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62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c>
          <w:tcPr>
            <w:tcW w:w="3200" w:type="dxa"/>
            <w:vAlign w:val="bottom"/>
            <w:gridSpan w:val="2"/>
          </w:tcPr>
          <w:p>
            <w:pPr>
              <w:spacing w:after="0"/>
              <w:rPr>
                <w:sz w:val="17"/>
                <w:szCs w:val="17"/>
                <w:color w:val="auto"/>
              </w:rPr>
            </w:pPr>
          </w:p>
        </w:tc>
      </w:tr>
      <w:tr>
        <w:trPr>
          <w:trHeight w:val="345"/>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299"/>
              <w:spacing w:after="0"/>
              <w:rPr>
                <w:sz w:val="20"/>
                <w:szCs w:val="20"/>
                <w:color w:val="auto"/>
              </w:rPr>
            </w:pPr>
            <w:r>
              <w:rPr>
                <w:rFonts w:ascii="Arial" w:cs="Arial" w:eastAsia="Arial" w:hAnsi="Arial"/>
                <w:sz w:val="18"/>
                <w:szCs w:val="18"/>
                <w:b w:val="1"/>
                <w:bCs w:val="1"/>
                <w:color w:val="auto"/>
                <w:w w:val="90"/>
              </w:rPr>
              <w:t>Commission file number: 001-36740</w:t>
            </w:r>
          </w:p>
        </w:tc>
      </w:tr>
      <w:tr>
        <w:trPr>
          <w:trHeight w:val="94"/>
        </w:trPr>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583"/>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299"/>
              <w:spacing w:after="0"/>
              <w:rPr>
                <w:sz w:val="20"/>
                <w:szCs w:val="20"/>
                <w:color w:val="auto"/>
              </w:rPr>
            </w:pPr>
            <w:r>
              <w:rPr>
                <w:rFonts w:ascii="Arial" w:cs="Arial" w:eastAsia="Arial" w:hAnsi="Arial"/>
                <w:sz w:val="43"/>
                <w:szCs w:val="43"/>
                <w:b w:val="1"/>
                <w:bCs w:val="1"/>
                <w:color w:val="auto"/>
              </w:rPr>
              <w:t>FIBROGEN, INC.</w:t>
            </w:r>
          </w:p>
        </w:tc>
      </w:tr>
      <w:tr>
        <w:trPr>
          <w:trHeight w:val="234"/>
        </w:trPr>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240" w:type="dxa"/>
            <w:vAlign w:val="bottom"/>
            <w:gridSpan w:val="9"/>
          </w:tcPr>
          <w:p>
            <w:pPr>
              <w:jc w:val="center"/>
              <w:ind w:right="301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81"/>
        </w:trPr>
        <w:tc>
          <w:tcPr>
            <w:tcW w:w="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60" w:type="dxa"/>
            <w:vAlign w:val="bottom"/>
          </w:tcPr>
          <w:p>
            <w:pPr>
              <w:spacing w:after="0"/>
              <w:rPr>
                <w:sz w:val="7"/>
                <w:szCs w:val="7"/>
                <w:color w:val="auto"/>
              </w:rPr>
            </w:pPr>
          </w:p>
        </w:tc>
      </w:tr>
      <w:tr>
        <w:trPr>
          <w:trHeight w:val="308"/>
        </w:trPr>
        <w:tc>
          <w:tcPr>
            <w:tcW w:w="80" w:type="dxa"/>
            <w:vAlign w:val="bottom"/>
          </w:tcPr>
          <w:p>
            <w:pPr>
              <w:spacing w:after="0"/>
              <w:rPr>
                <w:sz w:val="24"/>
                <w:szCs w:val="24"/>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60" w:type="dxa"/>
            <w:vAlign w:val="bottom"/>
            <w:gridSpan w:val="5"/>
          </w:tcPr>
          <w:p>
            <w:pPr>
              <w:jc w:val="right"/>
              <w:ind w:right="1799"/>
              <w:spacing w:after="0"/>
              <w:rPr>
                <w:sz w:val="20"/>
                <w:szCs w:val="20"/>
                <w:color w:val="auto"/>
              </w:rPr>
            </w:pPr>
            <w:r>
              <w:rPr>
                <w:rFonts w:ascii="Arial" w:cs="Arial" w:eastAsia="Arial" w:hAnsi="Arial"/>
                <w:sz w:val="18"/>
                <w:szCs w:val="18"/>
                <w:b w:val="1"/>
                <w:bCs w:val="1"/>
                <w:color w:val="auto"/>
              </w:rPr>
              <w:t>77-0357827</w:t>
            </w:r>
          </w:p>
        </w:tc>
      </w:tr>
      <w:tr>
        <w:trPr>
          <w:trHeight w:val="148"/>
        </w:trPr>
        <w:tc>
          <w:tcPr>
            <w:tcW w:w="80" w:type="dxa"/>
            <w:vAlign w:val="bottom"/>
          </w:tcPr>
          <w:p>
            <w:pPr>
              <w:spacing w:after="0"/>
              <w:rPr>
                <w:sz w:val="12"/>
                <w:szCs w:val="12"/>
                <w:color w:val="auto"/>
              </w:rPr>
            </w:pPr>
          </w:p>
        </w:tc>
        <w:tc>
          <w:tcPr>
            <w:tcW w:w="6040" w:type="dxa"/>
            <w:vAlign w:val="bottom"/>
            <w:gridSpan w:val="5"/>
          </w:tcPr>
          <w:p>
            <w:pPr>
              <w:jc w:val="center"/>
              <w:ind w:right="17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60" w:type="dxa"/>
            <w:vAlign w:val="bottom"/>
          </w:tcPr>
          <w:p>
            <w:pPr>
              <w:jc w:val="center"/>
              <w:ind w:right="13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0" w:type="dxa"/>
            <w:vAlign w:val="bottom"/>
          </w:tcPr>
          <w:p>
            <w:pPr>
              <w:spacing w:after="0"/>
              <w:rPr>
                <w:sz w:val="16"/>
                <w:szCs w:val="16"/>
                <w:color w:val="auto"/>
              </w:rPr>
            </w:pPr>
          </w:p>
        </w:tc>
        <w:tc>
          <w:tcPr>
            <w:tcW w:w="604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Pr>
          <w:p>
            <w:pPr>
              <w:jc w:val="center"/>
              <w:ind w:right="1379"/>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80" w:type="dxa"/>
            <w:vAlign w:val="bottom"/>
          </w:tcPr>
          <w:p>
            <w:pPr>
              <w:spacing w:after="0"/>
              <w:rPr>
                <w:sz w:val="24"/>
                <w:szCs w:val="24"/>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409 Illinois Street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2"/>
        </w:trPr>
        <w:tc>
          <w:tcPr>
            <w:tcW w:w="80" w:type="dxa"/>
            <w:vAlign w:val="bottom"/>
          </w:tcPr>
          <w:p>
            <w:pPr>
              <w:spacing w:after="0"/>
              <w:rPr>
                <w:sz w:val="18"/>
                <w:szCs w:val="18"/>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0"/>
              </w:rPr>
              <w:t>San Francisco, CA</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60" w:type="dxa"/>
            <w:vAlign w:val="bottom"/>
            <w:gridSpan w:val="5"/>
          </w:tcPr>
          <w:p>
            <w:pPr>
              <w:jc w:val="right"/>
              <w:ind w:right="1999"/>
              <w:spacing w:after="0"/>
              <w:rPr>
                <w:sz w:val="20"/>
                <w:szCs w:val="20"/>
                <w:color w:val="auto"/>
              </w:rPr>
            </w:pPr>
            <w:r>
              <w:rPr>
                <w:rFonts w:ascii="Arial" w:cs="Arial" w:eastAsia="Arial" w:hAnsi="Arial"/>
                <w:sz w:val="18"/>
                <w:szCs w:val="18"/>
                <w:b w:val="1"/>
                <w:bCs w:val="1"/>
                <w:color w:val="auto"/>
              </w:rPr>
              <w:t>94158</w:t>
            </w:r>
          </w:p>
        </w:tc>
      </w:tr>
      <w:tr>
        <w:trPr>
          <w:trHeight w:val="186"/>
        </w:trPr>
        <w:tc>
          <w:tcPr>
            <w:tcW w:w="80" w:type="dxa"/>
            <w:vAlign w:val="bottom"/>
          </w:tcPr>
          <w:p>
            <w:pPr>
              <w:spacing w:after="0"/>
              <w:rPr>
                <w:sz w:val="16"/>
                <w:szCs w:val="16"/>
                <w:color w:val="auto"/>
              </w:rPr>
            </w:pPr>
          </w:p>
        </w:tc>
        <w:tc>
          <w:tcPr>
            <w:tcW w:w="604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Pr>
          <w:p>
            <w:pPr>
              <w:jc w:val="center"/>
              <w:ind w:right="1379"/>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8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90"/>
              </w:rPr>
              <w:t>(415) 978-1200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186"/>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960" w:type="dxa"/>
            <w:vAlign w:val="bottom"/>
            <w:gridSpan w:val="8"/>
          </w:tcPr>
          <w:p>
            <w:pPr>
              <w:jc w:val="center"/>
              <w:ind w:right="331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66"/>
        </w:trPr>
        <w:tc>
          <w:tcPr>
            <w:tcW w:w="80" w:type="dxa"/>
            <w:vAlign w:val="bottom"/>
          </w:tcPr>
          <w:p>
            <w:pPr>
              <w:spacing w:after="0"/>
              <w:rPr>
                <w:sz w:val="5"/>
                <w:szCs w:val="5"/>
                <w:color w:val="auto"/>
              </w:rPr>
            </w:pPr>
          </w:p>
        </w:tc>
        <w:tc>
          <w:tcPr>
            <w:tcW w:w="324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160" w:type="dxa"/>
            <w:vAlign w:val="bottom"/>
          </w:tcPr>
          <w:p>
            <w:pPr>
              <w:spacing w:after="0"/>
              <w:rPr>
                <w:sz w:val="5"/>
                <w:szCs w:val="5"/>
                <w:color w:val="auto"/>
              </w:rPr>
            </w:pPr>
          </w:p>
        </w:tc>
      </w:tr>
      <w:tr>
        <w:trPr>
          <w:trHeight w:val="264"/>
        </w:trPr>
        <w:tc>
          <w:tcPr>
            <w:tcW w:w="61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81"/>
        </w:trPr>
        <w:tc>
          <w:tcPr>
            <w:tcW w:w="80" w:type="dxa"/>
            <w:vAlign w:val="bottom"/>
          </w:tcPr>
          <w:p>
            <w:pPr>
              <w:spacing w:after="0"/>
              <w:rPr>
                <w:sz w:val="7"/>
                <w:szCs w:val="7"/>
                <w:color w:val="auto"/>
              </w:rPr>
            </w:pPr>
          </w:p>
        </w:tc>
        <w:tc>
          <w:tcPr>
            <w:tcW w:w="29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r>
      <w:tr>
        <w:trPr>
          <w:trHeight w:val="191"/>
        </w:trPr>
        <w:tc>
          <w:tcPr>
            <w:tcW w:w="80" w:type="dxa"/>
            <w:vAlign w:val="bottom"/>
            <w:tcBorders>
              <w:right w:val="single" w:sz="8" w:color="auto"/>
            </w:tcBorders>
          </w:tcPr>
          <w:p>
            <w:pPr>
              <w:spacing w:after="0"/>
              <w:rPr>
                <w:sz w:val="16"/>
                <w:szCs w:val="16"/>
                <w:color w:val="auto"/>
              </w:rPr>
            </w:pPr>
          </w:p>
        </w:tc>
        <w:tc>
          <w:tcPr>
            <w:tcW w:w="2960" w:type="dxa"/>
            <w:vAlign w:val="bottom"/>
          </w:tcPr>
          <w:p>
            <w:pPr>
              <w:ind w:left="940"/>
              <w:spacing w:after="0" w:line="191" w:lineRule="exact"/>
              <w:rPr>
                <w:sz w:val="20"/>
                <w:szCs w:val="20"/>
                <w:color w:val="auto"/>
              </w:rPr>
            </w:pPr>
            <w:r>
              <w:rPr>
                <w:rFonts w:ascii="Arial" w:cs="Arial" w:eastAsia="Arial" w:hAnsi="Arial"/>
                <w:sz w:val="18"/>
                <w:szCs w:val="18"/>
                <w:b w:val="1"/>
                <w:bCs w:val="1"/>
                <w:color w:val="auto"/>
              </w:rPr>
              <w:t>Title of each class</w:t>
            </w:r>
          </w:p>
        </w:tc>
        <w:tc>
          <w:tcPr>
            <w:tcW w:w="2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2"/>
          </w:tcPr>
          <w:p>
            <w:pPr>
              <w:jc w:val="center"/>
              <w:ind w:left="210"/>
              <w:spacing w:after="0" w:line="191" w:lineRule="exact"/>
              <w:rPr>
                <w:sz w:val="20"/>
                <w:szCs w:val="20"/>
                <w:color w:val="auto"/>
              </w:rPr>
            </w:pPr>
            <w:r>
              <w:rPr>
                <w:rFonts w:ascii="Arial" w:cs="Arial" w:eastAsia="Arial" w:hAnsi="Arial"/>
                <w:sz w:val="18"/>
                <w:szCs w:val="18"/>
                <w:b w:val="1"/>
                <w:bCs w:val="1"/>
                <w:color w:val="auto"/>
                <w:w w:val="91"/>
              </w:rPr>
              <w:t>Trading Symbol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80" w:type="dxa"/>
            <w:vAlign w:val="bottom"/>
            <w:tcBorders>
              <w:right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0"/>
        </w:trPr>
        <w:tc>
          <w:tcPr>
            <w:tcW w:w="80" w:type="dxa"/>
            <w:vAlign w:val="bottom"/>
            <w:tcBorders>
              <w:right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1"/>
              </w:rPr>
              <w:t>FGEN</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67" w:lineRule="exact"/>
        <w:rPr>
          <w:sz w:val="24"/>
          <w:szCs w:val="24"/>
          <w:color w:val="auto"/>
        </w:rPr>
      </w:pPr>
    </w:p>
    <w:p>
      <w:pPr>
        <w:jc w:val="both"/>
        <w:ind w:right="40" w:firstLine="56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40" w:firstLine="56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right="220" w:firstLine="56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60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July 31, 2021 was 92,621,941.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restart"/>
          </w:tcPr>
          <w:p>
            <w:pPr>
              <w:spacing w:after="0"/>
              <w:rPr>
                <w:sz w:val="14"/>
                <w:szCs w:val="14"/>
                <w:color w:val="auto"/>
              </w:rPr>
            </w:pPr>
          </w:p>
        </w:tc>
        <w:tc>
          <w:tcPr>
            <w:tcW w:w="7040" w:type="dxa"/>
            <w:vAlign w:val="bottom"/>
            <w:gridSpan w:val="14"/>
            <w:vMerge w:val="restart"/>
          </w:tcPr>
          <w:p>
            <w:pPr>
              <w:jc w:val="center"/>
              <w:ind w:right="38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040" w:type="dxa"/>
            <w:vAlign w:val="bottom"/>
            <w:gridSpan w:val="14"/>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Financial Statements (Unaudited)</w:t>
              </w:r>
            </w:hyperlink>
          </w:p>
        </w:tc>
        <w:tc>
          <w:tcPr>
            <w:tcW w:w="562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2021 and December 31, 2020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0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and Six Months Ended June 30, 2021 and 2020 (Unaudited)</w:t>
              </w:r>
            </w:hyperlink>
          </w:p>
        </w:tc>
        <w:tc>
          <w:tcPr>
            <w:tcW w:w="8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2"/>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Comprehensive Loss for the Three and Six Months Ended June 30, 2021 and 2020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Changes in Equity for the Three and Six Months Ended June 30, 2021 and 2020 (Unaudited)</w:t>
              </w:r>
            </w:hyperlink>
          </w:p>
        </w:tc>
        <w:tc>
          <w:tcPr>
            <w:tcW w:w="1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for the Six Months Ended June 30, 2021 and 2020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the Condensed Consolidated Financial Statements (Unaudited)</w:t>
              </w:r>
            </w:hyperlink>
          </w:p>
        </w:tc>
        <w:tc>
          <w:tcPr>
            <w:tcW w:w="16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80" w:type="dxa"/>
            <w:vAlign w:val="bottom"/>
            <w:gridSpan w:val="2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4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8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40" w:type="dxa"/>
            <w:vAlign w:val="bottom"/>
            <w:gridSpan w:val="14"/>
          </w:tcPr>
          <w:p>
            <w:pPr>
              <w:jc w:val="center"/>
              <w:ind w:right="3860"/>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0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02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56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Unregistered Sales of Equity Securities and Use of Proceeds</w:t>
              </w:r>
            </w:hyperlink>
          </w:p>
        </w:tc>
        <w:tc>
          <w:tcPr>
            <w:tcW w:w="554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Defaults Upon Senior Securities</w:t>
              </w:r>
            </w:hyperlink>
          </w:p>
        </w:tc>
        <w:tc>
          <w:tcPr>
            <w:tcW w:w="756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80" w:type="dxa"/>
            <w:vAlign w:val="bottom"/>
            <w:gridSpan w:val="2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Mine Safety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812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17"/>
                <w:szCs w:val="17"/>
                <w:color w:val="auto"/>
              </w:rPr>
            </w:pPr>
          </w:p>
        </w:tc>
        <w:tc>
          <w:tcPr>
            <w:tcW w:w="858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89">
              <w:r>
                <w:rPr>
                  <w:rFonts w:ascii="Arial" w:cs="Arial" w:eastAsia="Arial" w:hAnsi="Arial"/>
                  <w:sz w:val="18"/>
                  <w:szCs w:val="18"/>
                  <w:color w:val="0000EE"/>
                  <w:w w:val="85"/>
                </w:rPr>
                <w:t>Signatures</w:t>
              </w:r>
            </w:hyperlink>
          </w:p>
        </w:tc>
        <w:tc>
          <w:tcPr>
            <w:tcW w:w="9120" w:type="dxa"/>
            <w:vAlign w:val="bottom"/>
            <w:gridSpan w:val="2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885"/>
        </w:trPr>
        <w:tc>
          <w:tcPr>
            <w:tcW w:w="920" w:type="dxa"/>
            <w:vAlign w:val="bottom"/>
          </w:tcPr>
          <w:p>
            <w:pPr>
              <w:spacing w:after="0"/>
              <w:rPr>
                <w:sz w:val="24"/>
                <w:szCs w:val="24"/>
                <w:color w:val="auto"/>
              </w:rPr>
            </w:pPr>
          </w:p>
        </w:tc>
        <w:tc>
          <w:tcPr>
            <w:tcW w:w="5160" w:type="dxa"/>
            <w:vAlign w:val="bottom"/>
            <w:gridSpan w:val="13"/>
          </w:tcPr>
          <w:p>
            <w:pPr>
              <w:ind w:left="466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success of the Company will depend on a number of factors, many of which are beyond our control and involve risks, including but not limited to the following: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substantially dependent on the success of our lead product, roxadustat, and our second compound in development, pamrevlumab.</w:t>
      </w:r>
    </w:p>
    <w:p>
      <w:pPr>
        <w:spacing w:after="0" w:line="34" w:lineRule="exact"/>
        <w:rPr>
          <w:rFonts w:ascii="Arial" w:cs="Arial" w:eastAsia="Arial" w:hAnsi="Arial"/>
          <w:sz w:val="17"/>
          <w:szCs w:val="17"/>
          <w:color w:val="auto"/>
        </w:rPr>
      </w:pPr>
    </w:p>
    <w:p>
      <w:pPr>
        <w:ind w:left="500" w:right="260" w:hanging="492"/>
        <w:spacing w:after="0" w:line="265"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a company, we have limited commercialization experience, and the time and resources to develop such experience are significant. If we fail to achieve and sustain commercial success for roxadustat with our collaboration partners, our business would be harmed.</w:t>
      </w:r>
    </w:p>
    <w:p>
      <w:pPr>
        <w:ind w:left="500" w:right="420" w:hanging="492"/>
        <w:spacing w:after="0" w:line="281"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Although regulatory approval has been obtained for roxadustat in China, Japan, South Korea, and Chile, we may be unable to obtain regulatory approval for other countries, or such approval may be delayed or limited, due to a number of factors, many of which are beyond our control.</w:t>
      </w:r>
    </w:p>
    <w:p>
      <w:pPr>
        <w:spacing w:after="0" w:line="1" w:lineRule="exact"/>
        <w:rPr>
          <w:rFonts w:ascii="Arial" w:cs="Arial" w:eastAsia="Arial" w:hAnsi="Arial"/>
          <w:sz w:val="16"/>
          <w:szCs w:val="16"/>
          <w:color w:val="auto"/>
        </w:rPr>
      </w:pPr>
    </w:p>
    <w:p>
      <w:pPr>
        <w:ind w:left="500" w:right="90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negative vote of the FDA Cardiovascular and Renal Drugs Advisory Committee meeting is expected to have a significant impact on roxadustat’s approvability in CKD anemia in the U.S.</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Phase 1 and Phase 2 clinical trial results may not be indicative of the results that may be obtained in larger clinical trials.</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ind w:left="500" w:right="18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may cause or have attributed to them undesirable side effects or have other properties that delay or prevent their regulatory approval or limit their commercial potential.</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trials of our product candidates may not uncover all possible adverse effects that patients may experience.</w:t>
      </w:r>
    </w:p>
    <w:p>
      <w:pPr>
        <w:spacing w:after="0" w:line="9"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manufacturers or we cannot properly manufacture the appropriate amount of product, we may experience delays in development, regulatory approval, launch or successful commercialization.</w:t>
      </w:r>
    </w:p>
    <w:p>
      <w:pPr>
        <w:ind w:left="500" w:right="2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ind w:left="500" w:right="18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are able to obtain regulatory approval of our product candidates, the label we obtain may limit the indicated uses for which our product candidates may be marketed.</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in the discovery, development and commercialization of product candidates.</w:t>
      </w:r>
    </w:p>
    <w:p>
      <w:pPr>
        <w:spacing w:after="0" w:line="9" w:lineRule="exact"/>
        <w:rPr>
          <w:rFonts w:ascii="Arial" w:cs="Arial" w:eastAsia="Arial" w:hAnsi="Arial"/>
          <w:sz w:val="18"/>
          <w:szCs w:val="18"/>
          <w:color w:val="auto"/>
        </w:rPr>
      </w:pPr>
    </w:p>
    <w:p>
      <w:pPr>
        <w:ind w:left="500" w:right="52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necessary for commercial success.</w:t>
      </w:r>
    </w:p>
    <w:p>
      <w:pPr>
        <w:ind w:left="500" w:right="40" w:hanging="492"/>
        <w:spacing w:after="0" w:line="26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or limited reimbursement or insurance coverage of our approved products, if any, by third-party payors may render our products less attractive to patients and healthcare providers.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ongoing COVID-19 global pandemic.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00" w:right="80" w:hanging="492"/>
        <w:spacing w:after="0" w:line="25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preclinical and clinical trial contractors do not properly perform their agreed upon obligations, we may not be able to obtain or may be delayed in receiving regulatory approvals for our product candidates.</w:t>
      </w:r>
    </w:p>
    <w:p>
      <w:pPr>
        <w:ind w:left="500" w:right="18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ind w:left="500" w:right="140" w:hanging="492"/>
        <w:spacing w:after="0" w:line="26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Intellectual property disputes may be costly, time consuming, and may negatively affect our competitive position.</w:t>
      </w:r>
    </w:p>
    <w:p>
      <w:pPr>
        <w:spacing w:after="0" w:line="9"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ind w:left="500" w:right="16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ind w:left="500" w:right="100" w:hanging="492"/>
        <w:spacing w:after="0" w:line="26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 rights do not address all potential threats to any competitive advantage we may have.</w:t>
      </w:r>
    </w:p>
    <w:p>
      <w:pPr>
        <w:spacing w:after="0" w:line="23" w:lineRule="exact"/>
        <w:rPr>
          <w:rFonts w:ascii="Arial" w:cs="Arial" w:eastAsia="Arial" w:hAnsi="Arial"/>
          <w:sz w:val="18"/>
          <w:szCs w:val="18"/>
          <w:color w:val="auto"/>
        </w:rPr>
      </w:pPr>
    </w:p>
    <w:p>
      <w:pPr>
        <w:ind w:left="500" w:right="400" w:hanging="492"/>
        <w:spacing w:after="0" w:line="26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existence of counterfeit pharmaceutical products in pharmaceutical markets may compromise our brand and reputation and have a material adverse effect on our business, operations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regulatory approval process is highly uncertain and we may not obtain regulatory approval for our product candidates.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could fail to receive regulatory approval from the FDA or other regulatory authorities.</w:t>
      </w:r>
    </w:p>
    <w:p>
      <w:pPr>
        <w:spacing w:after="0" w:line="9"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laws and regulations governing corruption, which will require us to maintain costly compliance programs.</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or if we otherwise fail to maintain an effective system of internal control, it may result in material misstatements in our financial statements.</w:t>
      </w:r>
    </w:p>
    <w:p>
      <w:pPr>
        <w:ind w:left="500" w:right="60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recent U.S. healthcare reform, its potential partial or full repeal, and other changes in the healthcare industry and in healthcare spending is currently unknown, and may adversely affect our business model.</w:t>
      </w:r>
    </w:p>
    <w:p>
      <w:pPr>
        <w:ind w:left="50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Roxadustat is considered a Class 2 substance on the 2019 World Anti-Doping Agency Prohibited List that could limit sales and increase security and distribution costs for our partners and us.</w:t>
      </w: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employees may engage in misconduct or improper activities, which could result in significant liability or harm our reputation.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environmental, health or safety laws and regulations, we could incur fines, penalties or other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left="500" w:right="320" w:hanging="492"/>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pharmaceutical industry in China is highly regulated and such regulations are subject to change.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limited experience distributing drugs in China.</w:t>
      </w:r>
    </w:p>
    <w:p>
      <w:pPr>
        <w:spacing w:after="0" w:line="9" w:lineRule="exact"/>
        <w:rPr>
          <w:rFonts w:ascii="Arial" w:cs="Arial" w:eastAsia="Arial" w:hAnsi="Arial"/>
          <w:sz w:val="18"/>
          <w:szCs w:val="18"/>
          <w:color w:val="auto"/>
        </w:rPr>
      </w:pPr>
    </w:p>
    <w:p>
      <w:pPr>
        <w:ind w:left="500" w:right="320" w:hanging="492"/>
        <w:spacing w:after="0" w:line="281"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use our own manufacturing facilities in China to produce roxadustat API and drug product. There are risks inherent to operating commercial manufacturing facilities, and with these being our single source suppliers, we may not be able to continually meet market demand.</w:t>
      </w:r>
    </w:p>
    <w:p>
      <w:pPr>
        <w:spacing w:after="0" w:line="1" w:lineRule="exact"/>
        <w:rPr>
          <w:rFonts w:ascii="Arial" w:cs="Arial" w:eastAsia="Arial" w:hAnsi="Arial"/>
          <w:sz w:val="16"/>
          <w:szCs w:val="16"/>
          <w:color w:val="auto"/>
        </w:rPr>
      </w:pPr>
    </w:p>
    <w:p>
      <w:pPr>
        <w:ind w:left="500" w:right="4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company, we have limited experience in pharmacovigilance, medical affairs, and management of the third-party distribution logistics, and cannot assure you we will be able to meet regulatory requirements or operate in these capacities successfully.</w:t>
      </w:r>
    </w:p>
    <w:p>
      <w:pPr>
        <w:ind w:left="500" w:right="2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collaboration partner in China, AstraZeneca, and we may experience difficulties in successfully growing and sustaining sales of roxadustat in China.</w:t>
      </w: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retail prices of any product candidates that we develop may be subject to pricing control in China and elsewhere.</w:t>
      </w:r>
    </w:p>
    <w:p>
      <w:pPr>
        <w:spacing w:after="0" w:line="9"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FibroGen (China) Medical Technology Development Co., Ltd. (“FibroGen Beijing”) would be subject to restrictions on paying dividends or making other payments to us, which may restrict our ability to satisfy our liquidity requirements.</w:t>
      </w:r>
    </w:p>
    <w:p>
      <w:pPr>
        <w:ind w:left="500" w:right="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capital contributions from us to FibroGen Beijing must be approved by the Ministry of Commerce in China, and failure to obtain such approval may materially and adversely affect the liquidity position of FibroGen Beijing.</w:t>
      </w:r>
    </w:p>
    <w:p>
      <w:pPr>
        <w:ind w:left="500" w:right="20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currency exchange rate fluctuations and currency exchange restrictions with respect to our operations in China, which could adversely affect our financial performance.</w:t>
      </w:r>
    </w:p>
    <w:p>
      <w:pPr>
        <w:ind w:left="500" w:right="28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FibroGen Beijing’s funds are held in banks that do not provide insurance, the failure of any bank in which FibroGen Beijing deposits its funds could adversely affect our business.</w:t>
      </w: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tax inefficiencies associated with our offshore corporate structure.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foreign operations, particularly those in China, are subject to significant risks involving the protection of intellectual property.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with respect to the China legal system could have a material adverse effect on us.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China’s economic, governmental, or social conditions could have a material adverse effect on our business.</w:t>
      </w:r>
    </w:p>
    <w:p>
      <w:pPr>
        <w:spacing w:after="0" w:line="9" w:lineRule="exact"/>
        <w:rPr>
          <w:rFonts w:ascii="Arial" w:cs="Arial" w:eastAsia="Arial" w:hAnsi="Arial"/>
          <w:sz w:val="18"/>
          <w:szCs w:val="18"/>
          <w:color w:val="auto"/>
        </w:rPr>
      </w:pPr>
    </w:p>
    <w:p>
      <w:pPr>
        <w:ind w:left="500" w:right="80" w:hanging="492"/>
        <w:spacing w:after="0" w:line="26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Part II – Other Information, Item 1A. Risk Factors</w:t>
      </w:r>
      <w:r>
        <w:rPr>
          <w:rFonts w:ascii="Arial" w:cs="Arial" w:eastAsia="Arial" w:hAnsi="Arial"/>
          <w:sz w:val="18"/>
          <w:szCs w:val="18"/>
          <w:color w:val="auto"/>
        </w:rPr>
        <w:t xml:space="preserve"> for additional risk factors related to the operation of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also a variety of Risks Related to Our Common Stock</w:t>
      </w:r>
    </w:p>
    <w:p>
      <w:pPr>
        <w:spacing w:after="0" w:line="12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Part II – Other Information, Item 1A. Risk Factors</w:t>
      </w:r>
      <w:r>
        <w:rPr>
          <w:rFonts w:ascii="Arial" w:cs="Arial" w:eastAsia="Arial" w:hAnsi="Arial"/>
          <w:sz w:val="18"/>
          <w:szCs w:val="18"/>
          <w:color w:val="auto"/>
        </w:rPr>
        <w:t xml:space="preserve"> for additional risk factors related to our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FIBROGEN, INC.</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353,361</w:t>
            </w:r>
          </w:p>
        </w:tc>
        <w:tc>
          <w:tcPr>
            <w:tcW w:w="3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678,393</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153,851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($13,352 and $4,127 from related parties)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41,883</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16,530</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 ($0 and $889 from related parties)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10,160</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564,466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755,110</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105,758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33,647</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Finance lease right-of-use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29,606</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Equity method investment in unconsolidated variable interest entity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97,091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FF0FC"/>
          </w:tcPr>
          <w:p>
            <w:pPr>
              <w:spacing w:after="0"/>
              <w:rPr>
                <w:sz w:val="19"/>
                <w:szCs w:val="19"/>
                <w:color w:val="auto"/>
              </w:rPr>
            </w:pPr>
          </w:p>
        </w:tc>
      </w:tr>
      <w:tr>
        <w:trPr>
          <w:trHeight w:val="26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808,618</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826,840</w:t>
            </w:r>
          </w:p>
        </w:tc>
        <w:tc>
          <w:tcPr>
            <w:tcW w:w="100" w:type="dxa"/>
            <w:vAlign w:val="bottom"/>
            <w:tcBorders>
              <w:bottom w:val="single" w:sz="8" w:color="CFF0FC"/>
            </w:tcBorders>
          </w:tcPr>
          <w:p>
            <w:pPr>
              <w:spacing w:after="0"/>
              <w:rPr>
                <w:sz w:val="22"/>
                <w:szCs w:val="22"/>
                <w:color w:val="auto"/>
              </w:rPr>
            </w:pPr>
          </w:p>
        </w:tc>
      </w:tr>
      <w:tr>
        <w:trPr>
          <w:trHeight w:val="210"/>
        </w:trPr>
        <w:tc>
          <w:tcPr>
            <w:tcW w:w="7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 ($0 and $1,118 to a related party)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48,988</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24,789</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 ($14 and $24 to a related party)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147,801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118,333</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Deferred revenue ($10,699 and $2,907 to a related party)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liabilities, current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163,187</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18,697</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($9,381 and $4,636 to a related party)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152,865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138,474</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Finance lease liabilities, non-current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25,391</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38,789</w:t>
            </w:r>
          </w:p>
        </w:tc>
        <w:tc>
          <w:tcPr>
            <w:tcW w:w="10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528,767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385,391</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and outstanding at June 30, 2021, and December 31, 2020</w:t>
            </w:r>
          </w:p>
        </w:tc>
        <w:tc>
          <w:tcPr>
            <w:tcW w:w="22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Common stock, $0.01 par value; 225,000 shares authorized at June 30, 2021, and December 31,</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2020; 92,609 and 91,441 shares issued and outstanding at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June 30, 2021, and December 31, 2020</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FF0FC"/>
          </w:tcPr>
          <w:p>
            <w:pPr>
              <w:spacing w:after="0"/>
              <w:rPr>
                <w:sz w:val="20"/>
                <w:szCs w:val="20"/>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1,443,975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1,399,774</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(4,499)</w:t>
            </w: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(1,179,754)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(974,011)</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260,580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422,178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441,449</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808,618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826,840</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96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 (includes $2,645, $4,766,</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$6,256 and $9,503 from a related party)</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34,228</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60" w:type="dxa"/>
            <w:vAlign w:val="bottom"/>
          </w:tcPr>
          <w:p>
            <w:pPr>
              <w:ind w:left="260"/>
              <w:spacing w:after="0"/>
              <w:rPr>
                <w:sz w:val="20"/>
                <w:szCs w:val="20"/>
                <w:color w:val="auto"/>
              </w:rPr>
            </w:pPr>
            <w:r>
              <w:rPr>
                <w:rFonts w:ascii="Arial" w:cs="Arial" w:eastAsia="Arial" w:hAnsi="Arial"/>
                <w:sz w:val="18"/>
                <w:szCs w:val="18"/>
                <w:color w:val="auto"/>
              </w:rPr>
              <w:t>Product revenue, net (includes $11,760, $0, $22,167 and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380"/>
              <w:spacing w:after="0"/>
              <w:rPr>
                <w:sz w:val="20"/>
                <w:szCs w:val="20"/>
                <w:color w:val="auto"/>
              </w:rPr>
            </w:pPr>
            <w:r>
              <w:rPr>
                <w:rFonts w:ascii="Arial" w:cs="Arial" w:eastAsia="Arial" w:hAnsi="Arial"/>
                <w:sz w:val="18"/>
                <w:szCs w:val="18"/>
                <w:color w:val="auto"/>
              </w:rPr>
              <w:t>$0 from a related party)</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15,693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28,733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 (includes $(1,974), $8,238, $2,056</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$8,238 from a related party)</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(8,648)</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42,888</w:t>
            </w: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62,793</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122,567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197,243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63,535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63,334</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costs and expenses</w:t>
            </w:r>
          </w:p>
        </w:tc>
        <w:tc>
          <w:tcPr>
            <w:tcW w:w="4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128,025</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267,056</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(204,263)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and other, net</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(651)</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(856)</w:t>
            </w: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income (expenses), net</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500"/>
              <w:spacing w:after="0"/>
              <w:rPr>
                <w:sz w:val="20"/>
                <w:szCs w:val="20"/>
                <w:color w:val="auto"/>
              </w:rPr>
            </w:pPr>
            <w:r>
              <w:rPr>
                <w:rFonts w:ascii="Arial" w:cs="Arial" w:eastAsia="Arial" w:hAnsi="Arial"/>
                <w:sz w:val="18"/>
                <w:szCs w:val="18"/>
                <w:color w:val="auto"/>
              </w:rPr>
              <w:t>Total interest and other, net</w:t>
            </w: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(1,673)</w:t>
            </w:r>
          </w:p>
        </w:tc>
        <w:tc>
          <w:tcPr>
            <w:tcW w:w="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(134,553)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(85,144)</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(205,936)</w:t>
            </w: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(163,686)</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(benefit from) income taxes</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5"/>
        </w:trPr>
        <w:tc>
          <w:tcPr>
            <w:tcW w:w="4960" w:type="dxa"/>
            <w:vAlign w:val="bottom"/>
          </w:tcPr>
          <w:p>
            <w:pPr>
              <w:ind w:left="260"/>
              <w:spacing w:after="0"/>
              <w:rPr>
                <w:sz w:val="20"/>
                <w:szCs w:val="20"/>
                <w:color w:val="auto"/>
              </w:rPr>
            </w:pPr>
            <w:r>
              <w:rPr>
                <w:rFonts w:ascii="Arial" w:cs="Arial" w:eastAsia="Arial" w:hAnsi="Arial"/>
                <w:sz w:val="18"/>
                <w:szCs w:val="18"/>
                <w:color w:val="auto"/>
              </w:rPr>
              <w:t>Investment income in unconsolidated variable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380"/>
              <w:spacing w:after="0"/>
              <w:rPr>
                <w:sz w:val="20"/>
                <w:szCs w:val="20"/>
                <w:color w:val="auto"/>
              </w:rPr>
            </w:pPr>
            <w:r>
              <w:rPr>
                <w:rFonts w:ascii="Arial" w:cs="Arial" w:eastAsia="Arial" w:hAnsi="Arial"/>
                <w:sz w:val="18"/>
                <w:szCs w:val="18"/>
                <w:color w:val="auto"/>
              </w:rPr>
              <w:t>interest entity</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(133,988)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(85,313)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(205,743)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7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(1.45)</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(0.95)</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number of common shares used to calculate</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 basic and diluted</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89,451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91,983</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6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(133,988)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(205,743)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(163,661)</w:t>
            </w:r>
          </w:p>
        </w:tc>
        <w:tc>
          <w:tcPr>
            <w:tcW w:w="10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(1,334)</w:t>
            </w: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(loss) on investments, net of tax effect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taxes</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(133,931)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(88,057)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(205,811)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For The Three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10"/>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0"/>
              <w:spacing w:after="0" w:line="135"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14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10"/>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2140" w:type="dxa"/>
            <w:vAlign w:val="bottom"/>
          </w:tcPr>
          <w:p>
            <w:pPr>
              <w:spacing w:after="0"/>
              <w:rPr>
                <w:sz w:val="13"/>
                <w:szCs w:val="13"/>
                <w:color w:val="auto"/>
              </w:rPr>
            </w:pP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3"/>
                <w:szCs w:val="13"/>
                <w:color w:val="auto"/>
              </w:rPr>
            </w:pPr>
          </w:p>
        </w:tc>
        <w:tc>
          <w:tcPr>
            <w:tcW w:w="920" w:type="dxa"/>
            <w:vAlign w:val="bottom"/>
          </w:tcPr>
          <w:p>
            <w:pPr>
              <w:jc w:val="right"/>
              <w:ind w:right="29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March 31,</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92,080,399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1,420,471</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(4,624)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(1,045,766)</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390,273</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(133,988)</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(133,988)</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4"/>
                <w:szCs w:val="14"/>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528,530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4,508</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19,001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19,001</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92,608,929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1,443,975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(4,567)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(1,179,754)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279,851</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39"/>
        </w:trPr>
        <w:tc>
          <w:tcPr>
            <w:tcW w:w="214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March 31,</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88,895,630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1,319,354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1,183</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(863,068)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477,629</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(85,313)</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(85,313)</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(1,129)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(1,129)</w:t>
            </w: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(1,615)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(1,615)</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1,332,663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7,927</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17,644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17,644</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90,228,293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1,344,912</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(1,561)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(948,381)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415,143</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For The Six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10"/>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94"/>
              </w:rPr>
              <w:t>Non</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14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10"/>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Controlling</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3"/>
                <w:szCs w:val="13"/>
                <w:color w:val="auto"/>
              </w:rPr>
            </w:pPr>
          </w:p>
        </w:tc>
        <w:tc>
          <w:tcPr>
            <w:tcW w:w="920" w:type="dxa"/>
            <w:vAlign w:val="bottom"/>
          </w:tcPr>
          <w:p>
            <w:pPr>
              <w:jc w:val="right"/>
              <w:ind w:right="29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3"/>
              </w:rPr>
              <w:t>Interests</w:t>
            </w:r>
          </w:p>
        </w:tc>
        <w:tc>
          <w:tcPr>
            <w:tcW w:w="24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91,440,633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1,399,774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(4,499)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(974,011)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441,449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(205,743)</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(205,743)</w:t>
            </w: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1,168,296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38,385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38,385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92,608,929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1,443,975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(4,567)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(1,179,754)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279,851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Balance at December 31,</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1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tcPr>
          <w:p>
            <w:pPr>
              <w:jc w:val="right"/>
              <w:spacing w:after="0"/>
              <w:rPr>
                <w:sz w:val="20"/>
                <w:szCs w:val="20"/>
                <w:color w:val="auto"/>
              </w:rPr>
            </w:pPr>
            <w:r>
              <w:rPr>
                <w:rFonts w:ascii="Arial" w:cs="Arial" w:eastAsia="Arial" w:hAnsi="Arial"/>
                <w:sz w:val="14"/>
                <w:szCs w:val="14"/>
                <w:color w:val="auto"/>
              </w:rPr>
              <w:t>87,657,489</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877</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1,300,725</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(747)</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(784,720)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535,406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(163,661)</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(163,661)</w:t>
            </w:r>
          </w:p>
        </w:tc>
        <w:tc>
          <w:tcPr>
            <w:tcW w:w="0" w:type="dxa"/>
            <w:vAlign w:val="bottom"/>
          </w:tcPr>
          <w:p>
            <w:pPr>
              <w:spacing w:after="0"/>
              <w:rPr>
                <w:sz w:val="1"/>
                <w:szCs w:val="1"/>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(1,334)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tcPr>
          <w:p>
            <w:pPr>
              <w:jc w:val="right"/>
              <w:spacing w:after="0"/>
              <w:rPr>
                <w:sz w:val="20"/>
                <w:szCs w:val="20"/>
                <w:color w:val="auto"/>
              </w:rPr>
            </w:pPr>
            <w:r>
              <w:rPr>
                <w:rFonts w:ascii="Arial" w:cs="Arial" w:eastAsia="Arial" w:hAnsi="Arial"/>
                <w:sz w:val="14"/>
                <w:szCs w:val="14"/>
                <w:color w:val="auto"/>
              </w:rPr>
              <w:t>2,570,804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9,627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34,560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jc w:val="right"/>
              <w:spacing w:after="0"/>
              <w:rPr>
                <w:sz w:val="20"/>
                <w:szCs w:val="20"/>
                <w:color w:val="auto"/>
              </w:rPr>
            </w:pPr>
            <w:r>
              <w:rPr>
                <w:rFonts w:ascii="Arial" w:cs="Arial" w:eastAsia="Arial" w:hAnsi="Arial"/>
                <w:sz w:val="14"/>
                <w:szCs w:val="14"/>
                <w:color w:val="auto"/>
              </w:rPr>
              <w:t>90,228,293</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902</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1,344,912</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(1,561)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(948,381)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415,143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3"/>
                <w:szCs w:val="13"/>
                <w:b w:val="1"/>
                <w:bCs w:val="1"/>
                <w:color w:val="auto"/>
                <w:w w:val="91"/>
              </w:rPr>
              <w:t>Six Months Ended June 30,</w:t>
            </w: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2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155"/>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10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ind w:right="931"/>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(205,743)</w:t>
            </w:r>
          </w:p>
        </w:tc>
        <w:tc>
          <w:tcPr>
            <w:tcW w:w="680" w:type="dxa"/>
            <w:vAlign w:val="bottom"/>
            <w:gridSpan w:val="2"/>
          </w:tcPr>
          <w:p>
            <w:pPr>
              <w:jc w:val="right"/>
              <w:ind w:right="549"/>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(163,661)</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5,242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5,737</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finance lease right-of-use assets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5,247</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Net accretion of premium and discount on investments</w:t>
            </w:r>
          </w:p>
        </w:tc>
        <w:tc>
          <w:tcPr>
            <w:tcW w:w="1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(22)</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 on equity investments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Investment loss in unconsolidated variable interest entity</w:t>
            </w:r>
          </w:p>
        </w:tc>
        <w:tc>
          <w:tcPr>
            <w:tcW w:w="10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(323)</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(gain) on disposal of property and equipment</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38,385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34,560</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Expense for acquired in-process research and development asset</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Tax benefit on unrealized gain on available-for-sale securities</w:t>
            </w:r>
          </w:p>
        </w:tc>
        <w:tc>
          <w:tcPr>
            <w:tcW w:w="10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(138)</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Realized loss on sales of available-for-sale securities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17,868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1,903</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Inventories</w:t>
            </w:r>
          </w:p>
        </w:tc>
        <w:tc>
          <w:tcPr>
            <w:tcW w:w="10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(7,861)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(2,016)</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126,874</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Operating lease right-of-use assets</w:t>
            </w:r>
          </w:p>
        </w:tc>
        <w:tc>
          <w:tcPr>
            <w:tcW w:w="10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(1,800)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assets</w:t>
            </w:r>
          </w:p>
        </w:tc>
        <w:tc>
          <w:tcPr>
            <w:tcW w:w="10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(3,066)</w:t>
            </w: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3,529</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10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(1,013)</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(1,060)</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and other liabilities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27,745</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(33,331)</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Operating lease liabilities, current</w:t>
            </w:r>
          </w:p>
        </w:tc>
        <w:tc>
          <w:tcPr>
            <w:tcW w:w="1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(170)</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33,078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48,117</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Accrued interest for finance lease liabilities</w:t>
            </w:r>
          </w:p>
        </w:tc>
        <w:tc>
          <w:tcPr>
            <w:tcW w:w="10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(115)</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 non-current</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(359)</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Other long-term liabilities</w:t>
            </w:r>
          </w:p>
        </w:tc>
        <w:tc>
          <w:tcPr>
            <w:tcW w:w="10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(8,065)</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64,317</w:t>
            </w:r>
          </w:p>
        </w:tc>
        <w:tc>
          <w:tcPr>
            <w:tcW w:w="120" w:type="dxa"/>
            <w:vAlign w:val="bottom"/>
          </w:tcPr>
          <w:p>
            <w:pPr>
              <w:spacing w:after="0"/>
              <w:rPr>
                <w:sz w:val="14"/>
                <w:szCs w:val="14"/>
                <w:color w:val="auto"/>
              </w:rPr>
            </w:pPr>
          </w:p>
        </w:tc>
      </w:tr>
      <w:tr>
        <w:trPr>
          <w:trHeight w:val="156"/>
        </w:trPr>
        <w:tc>
          <w:tcPr>
            <w:tcW w:w="73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08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(71,527)</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90,179</w:t>
            </w:r>
          </w:p>
        </w:tc>
        <w:tc>
          <w:tcPr>
            <w:tcW w:w="120" w:type="dxa"/>
            <w:vAlign w:val="bottom"/>
            <w:tcBorders>
              <w:top w:val="single" w:sz="8" w:color="CFF0FC"/>
            </w:tcBorders>
            <w:shd w:val="clear" w:color="auto" w:fill="CFF0FC"/>
          </w:tcPr>
          <w:p>
            <w:pPr>
              <w:spacing w:after="0"/>
              <w:rPr>
                <w:sz w:val="13"/>
                <w:szCs w:val="13"/>
                <w:color w:val="auto"/>
              </w:rPr>
            </w:pPr>
          </w:p>
        </w:tc>
      </w:tr>
      <w:tr>
        <w:trPr>
          <w:trHeight w:val="155"/>
        </w:trPr>
        <w:tc>
          <w:tcPr>
            <w:tcW w:w="7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10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(2,215)</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(1,185)</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Payment made for investment in unconsolidated variable interest entity</w:t>
            </w:r>
          </w:p>
        </w:tc>
        <w:tc>
          <w:tcPr>
            <w:tcW w:w="10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(1,419)</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Purchases of available-for-sale securities</w:t>
            </w:r>
          </w:p>
        </w:tc>
        <w:tc>
          <w:tcPr>
            <w:tcW w:w="10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(266,647)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sales of available-for-sale securities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10,606</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maturities of investments</w:t>
            </w:r>
          </w:p>
        </w:tc>
        <w:tc>
          <w:tcPr>
            <w:tcW w:w="10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10,610</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201,900</w:t>
            </w:r>
          </w:p>
        </w:tc>
        <w:tc>
          <w:tcPr>
            <w:tcW w:w="120" w:type="dxa"/>
            <w:vAlign w:val="bottom"/>
            <w:tcBorders>
              <w:bottom w:val="single" w:sz="8" w:color="CFF0FC"/>
            </w:tcBorders>
          </w:tcPr>
          <w:p>
            <w:pPr>
              <w:spacing w:after="0"/>
              <w:rPr>
                <w:sz w:val="14"/>
                <w:szCs w:val="14"/>
                <w:color w:val="auto"/>
              </w:rPr>
            </w:pPr>
          </w:p>
        </w:tc>
      </w:tr>
      <w:tr>
        <w:trPr>
          <w:trHeight w:val="155"/>
        </w:trPr>
        <w:tc>
          <w:tcPr>
            <w:tcW w:w="73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0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(254,252)</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209,864</w:t>
            </w:r>
          </w:p>
        </w:tc>
        <w:tc>
          <w:tcPr>
            <w:tcW w:w="120" w:type="dxa"/>
            <w:vAlign w:val="bottom"/>
            <w:shd w:val="clear" w:color="auto" w:fill="CFF0FC"/>
          </w:tcPr>
          <w:p>
            <w:pPr>
              <w:spacing w:after="0"/>
              <w:rPr>
                <w:sz w:val="13"/>
                <w:szCs w:val="13"/>
                <w:color w:val="auto"/>
              </w:rPr>
            </w:pPr>
          </w:p>
        </w:tc>
      </w:tr>
      <w:tr>
        <w:trPr>
          <w:trHeight w:val="155"/>
        </w:trPr>
        <w:tc>
          <w:tcPr>
            <w:tcW w:w="7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Repayments of finance lease liabilities</w:t>
            </w:r>
          </w:p>
        </w:tc>
        <w:tc>
          <w:tcPr>
            <w:tcW w:w="10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(5,326)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(5,992)</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Repayments of lease obligations</w:t>
            </w:r>
          </w:p>
        </w:tc>
        <w:tc>
          <w:tcPr>
            <w:tcW w:w="10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(201)</w:t>
            </w: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(201)</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Cash paid for payroll taxes on restricted stock unit releases</w:t>
            </w:r>
          </w:p>
        </w:tc>
        <w:tc>
          <w:tcPr>
            <w:tcW w:w="10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(5,928)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(6,858)</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common stock</w:t>
            </w:r>
          </w:p>
        </w:tc>
        <w:tc>
          <w:tcPr>
            <w:tcW w:w="10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11,756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16,510</w:t>
            </w:r>
          </w:p>
        </w:tc>
        <w:tc>
          <w:tcPr>
            <w:tcW w:w="120" w:type="dxa"/>
            <w:vAlign w:val="bottom"/>
            <w:shd w:val="clear" w:color="auto" w:fill="CFF0FC"/>
          </w:tcPr>
          <w:p>
            <w:pPr>
              <w:spacing w:after="0"/>
              <w:rPr>
                <w:sz w:val="14"/>
                <w:szCs w:val="14"/>
                <w:color w:val="auto"/>
              </w:rPr>
            </w:pPr>
          </w:p>
        </w:tc>
      </w:tr>
      <w:tr>
        <w:trPr>
          <w:trHeight w:val="155"/>
        </w:trPr>
        <w:tc>
          <w:tcPr>
            <w:tcW w:w="7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3,459</w:t>
            </w:r>
          </w:p>
        </w:tc>
        <w:tc>
          <w:tcPr>
            <w:tcW w:w="120" w:type="dxa"/>
            <w:vAlign w:val="bottom"/>
            <w:tcBorders>
              <w:bottom w:val="single" w:sz="8" w:color="CFF0FC"/>
            </w:tcBorders>
          </w:tcPr>
          <w:p>
            <w:pPr>
              <w:spacing w:after="0"/>
              <w:rPr>
                <w:sz w:val="13"/>
                <w:szCs w:val="13"/>
                <w:color w:val="auto"/>
              </w:rPr>
            </w:pPr>
          </w:p>
        </w:tc>
      </w:tr>
      <w:tr>
        <w:trPr>
          <w:trHeight w:val="156"/>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 on cash and cash equivalents</w:t>
            </w:r>
          </w:p>
        </w:tc>
        <w:tc>
          <w:tcPr>
            <w:tcW w:w="10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446</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(499)</w:t>
            </w:r>
          </w:p>
        </w:tc>
        <w:tc>
          <w:tcPr>
            <w:tcW w:w="120" w:type="dxa"/>
            <w:vAlign w:val="bottom"/>
            <w:shd w:val="clear" w:color="auto" w:fill="CFF0FC"/>
          </w:tcPr>
          <w:p>
            <w:pPr>
              <w:spacing w:after="0"/>
              <w:rPr>
                <w:sz w:val="13"/>
                <w:szCs w:val="13"/>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10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(325,032)</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303,003</w:t>
            </w:r>
          </w:p>
        </w:tc>
        <w:tc>
          <w:tcPr>
            <w:tcW w:w="120" w:type="dxa"/>
            <w:vAlign w:val="bottom"/>
          </w:tcPr>
          <w:p>
            <w:pPr>
              <w:spacing w:after="0"/>
              <w:rPr>
                <w:sz w:val="13"/>
                <w:szCs w:val="13"/>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Total cash and cash equivalents at beginning of period</w:t>
            </w:r>
          </w:p>
        </w:tc>
        <w:tc>
          <w:tcPr>
            <w:tcW w:w="10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678,393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126,266</w:t>
            </w:r>
          </w:p>
        </w:tc>
        <w:tc>
          <w:tcPr>
            <w:tcW w:w="120" w:type="dxa"/>
            <w:vAlign w:val="bottom"/>
            <w:shd w:val="clear" w:color="auto" w:fill="CFF0FC"/>
          </w:tcPr>
          <w:p>
            <w:pPr>
              <w:spacing w:after="0"/>
              <w:rPr>
                <w:sz w:val="14"/>
                <w:szCs w:val="14"/>
                <w:color w:val="auto"/>
              </w:rPr>
            </w:pPr>
          </w:p>
        </w:tc>
      </w:tr>
      <w:tr>
        <w:trPr>
          <w:trHeight w:val="156"/>
        </w:trPr>
        <w:tc>
          <w:tcPr>
            <w:tcW w:w="7320" w:type="dxa"/>
            <w:vAlign w:val="bottom"/>
          </w:tcPr>
          <w:p>
            <w:pPr>
              <w:spacing w:after="0" w:line="155" w:lineRule="exact"/>
              <w:rPr>
                <w:sz w:val="20"/>
                <w:szCs w:val="20"/>
                <w:color w:val="auto"/>
              </w:rPr>
            </w:pPr>
            <w:r>
              <w:rPr>
                <w:rFonts w:ascii="Arial" w:cs="Arial" w:eastAsia="Arial" w:hAnsi="Arial"/>
                <w:sz w:val="14"/>
                <w:szCs w:val="14"/>
                <w:color w:val="auto"/>
              </w:rPr>
              <w:t>Total cash and cash equivalents at end of period</w:t>
            </w:r>
          </w:p>
        </w:tc>
        <w:tc>
          <w:tcPr>
            <w:tcW w:w="1080" w:type="dxa"/>
            <w:vAlign w:val="bottom"/>
            <w:tcBorders>
              <w:bottom w:val="single" w:sz="8" w:color="auto"/>
            </w:tcBorders>
          </w:tcPr>
          <w:p>
            <w:pPr>
              <w:jc w:val="right"/>
              <w:ind w:right="931"/>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353,361</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429,269</w:t>
            </w:r>
          </w:p>
        </w:tc>
        <w:tc>
          <w:tcPr>
            <w:tcW w:w="120" w:type="dxa"/>
            <w:vAlign w:val="bottom"/>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300" w:firstLine="8"/>
        <w:spacing w:after="0" w:line="400" w:lineRule="auto"/>
        <w:tabs>
          <w:tab w:leader="none" w:pos="499"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ind w:right="120"/>
        <w:spacing w:after="0" w:line="301" w:lineRule="auto"/>
        <w:rPr>
          <w:sz w:val="20"/>
          <w:szCs w:val="20"/>
          <w:color w:val="auto"/>
        </w:rPr>
      </w:pPr>
      <w:r>
        <w:rPr>
          <w:rFonts w:ascii="Arial" w:cs="Arial" w:eastAsia="Arial" w:hAnsi="Arial"/>
          <w:sz w:val="16"/>
          <w:szCs w:val="16"/>
          <w:color w:val="auto"/>
        </w:rPr>
        <w:t>FibroGen, Inc. (“FibroGen” or the “Company”) is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biology, 2-oxoglutarate enzymology, connective tissue growth factor (“CTGF”) biology, and clinical development to advance innovative medicines for the treatment of anemia, fibrotic disease, and cancer.</w:t>
      </w:r>
    </w:p>
    <w:p>
      <w:pPr>
        <w:spacing w:after="0" w:line="157" w:lineRule="exact"/>
        <w:rPr>
          <w:sz w:val="20"/>
          <w:szCs w:val="20"/>
          <w:color w:val="auto"/>
        </w:rPr>
      </w:pPr>
    </w:p>
    <w:p>
      <w:pPr>
        <w:ind w:right="300"/>
        <w:spacing w:after="0" w:line="226" w:lineRule="exact"/>
        <w:rPr>
          <w:sz w:val="20"/>
          <w:szCs w:val="20"/>
          <w:color w:val="auto"/>
        </w:rPr>
      </w:pPr>
      <w:r>
        <w:rPr>
          <w:rFonts w:ascii="Arial" w:cs="Arial" w:eastAsia="Arial" w:hAnsi="Arial"/>
          <w:sz w:val="18"/>
          <w:szCs w:val="18"/>
          <w:color w:val="auto"/>
        </w:rPr>
        <w:t xml:space="preserve">Roxadustat, FibroGen’s most advanced product, is an oral small molecule inhibitor of HIF prolyl hydroxylase (“HIF-PH”) activity that is being commercialized in China (tradename: </w:t>
      </w:r>
      <w:r>
        <w:rPr>
          <w:rFonts w:ascii="SimSun" w:cs="SimSun" w:eastAsia="SimSun" w:hAnsi="SimSun"/>
          <w:sz w:val="18"/>
          <w:szCs w:val="18"/>
          <w:color w:val="auto"/>
        </w:rPr>
        <w:t>爱瑞卓</w:t>
      </w:r>
      <w:r>
        <w:rPr>
          <w:rFonts w:ascii="Arial" w:cs="Arial" w:eastAsia="Arial" w:hAnsi="Arial"/>
          <w:sz w:val="30"/>
          <w:szCs w:val="30"/>
          <w:color w:val="auto"/>
          <w:vertAlign w:val="superscript"/>
        </w:rPr>
        <w:t>®</w:t>
      </w:r>
      <w:r>
        <w:rPr>
          <w:rFonts w:ascii="Arial" w:cs="Arial" w:eastAsia="Arial" w:hAnsi="Arial"/>
          <w:sz w:val="18"/>
          <w:szCs w:val="18"/>
          <w:color w:val="auto"/>
        </w:rPr>
        <w:t>) for the treatment of anemia caused by chronic kidney disease (“CKD”) in dialysis and non-dialysis patients. EVRENZO</w:t>
      </w:r>
      <w:r>
        <w:rPr>
          <w:rFonts w:ascii="Arial" w:cs="Arial" w:eastAsia="Arial" w:hAnsi="Arial"/>
          <w:sz w:val="15"/>
          <w:szCs w:val="15"/>
          <w:color w:val="auto"/>
        </w:rPr>
        <w:t>®</w:t>
      </w:r>
      <w:r>
        <w:rPr>
          <w:rFonts w:ascii="Arial" w:cs="Arial" w:eastAsia="Arial" w:hAnsi="Arial"/>
          <w:sz w:val="18"/>
          <w:szCs w:val="18"/>
          <w:color w:val="auto"/>
        </w:rPr>
        <w:t xml:space="preserve"> (roxadustat) is also being commercialized in Japan and has been approved in South Korea and Chile for the treatment of anemia associated with CKD in dialysis and non-dialysis patients.</w:t>
      </w:r>
    </w:p>
    <w:p>
      <w:pPr>
        <w:spacing w:after="0" w:line="2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June 2021, the Committee for Medicinal Products for Human Use of the European Medicines Agency (“EMA”) adopted a positive opinion, recommending the granting of Marketing Authorization Application (“MAA”) for the medicinal product Evrenzo (roxadustat), intended for the treatment of adult patients with symptomatic anemia associated with CKD. Our partner Astellas Pharma Inc. (“Astellas”) expects an approval decision on the MAA for roxadustat by the European Commission in August 2021.</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2021, the United States (“U.S.”) Food and Drug Administration (“FDA”) Cardiovascular and Renal Drugs Advisory Committee (“CRDAC”) voted to recommend not approving roxadustat, an oral HIF-PH inhibitor, for the treatment of anemia due to CKD in adult patients. The CRDAC vote was 13 to 1 for non-dialysis dependent CKD patients, and 12 to 2 for dialysis-dependent CKD patients. While the FDA is not required to follow CRDAC's vote, the agency considers CRDAC's non-binding recommendations when making its decision.</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Roxadustat is in Phase 3 clinical development in the U.S. and Europe and in Phase 3 development in China for anemia associated with myelodysplastic syndromes. Roxadustat is in Phase 2 clinical development for chemotherapy-induced anemia.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Pamrevlumab, a human monoclonal antibody targeting CTGF, is in Phase 3 clinical development for the treatment of idiopathic pulmonary fibrosis, locally advanced unresectable pancreatic cancer and Duchenne muscular dystrophy.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condensed consolidated financial statements include the accounts of FibroGen, its wholly owned subsidiaries and its majority-owned subsidiaries, FibroGen Europe Oy and FibroGen China Anemia Holdings, Ltd. All inter-company transactions and balances have been eliminated in consolidation. For any variable interest entity for which FibroGen is not the primary beneficiary, the Company uses the equity method of accounting. The Company operates as one segment — the discovery, development and commercialization of novel therapeutics to treat serious unmet medical needs.</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2020 (“2020 Form 10-K”).</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specifically, estimates in variable consideration for drug product sales, and estimates in transaction price per unit for the China performance obligation (as defined and discussed under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below).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Potential common shares that would have the effect of increasing diluted earnings per share are considered to be anti-dilutive and as such, these shares are not included in the calculation of diluted earnings per share. Diluted weighted average shares excluded potential common shares related to stock options, restricted stock units and shares to be purchased under the employee stock purchase plan totaling 11.4 million and 9.2 million for the three months ended June 30, 2021 and 2020, and totaling 9.4 million and 9.0 million for the six months ended June 30, 2021 and 2020, respectively, as they were anti-dilutive.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Company’s business is subject to risks and uncertainties, including those related to Severe Acute Respiratory Syndrome Coronavirus 2 and the resulting Coronavirus Disease (“COVID-19”) and the risk that we may not get approval of roxadustat in the U.S. for CKD anemia given the fact that the CRDAC voted to recommend not approving roxadustat in July 2021.</w:t>
      </w:r>
    </w:p>
    <w:p>
      <w:pPr>
        <w:spacing w:after="0" w:line="1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Company’s future results of operations involve a number of risks and uncertainties. Factors that could affect the Company’s future operating results and cause actual results to vary materially from expectations include, but are not limited to, rapid technological change, obtaining second source suppliers, </w:t>
      </w:r>
      <w:r>
        <w:rPr>
          <w:rFonts w:ascii="Arial" w:cs="Arial" w:eastAsia="Arial" w:hAnsi="Arial"/>
          <w:sz w:val="17"/>
          <w:szCs w:val="17"/>
          <w:color w:val="auto"/>
        </w:rPr>
        <w:t>regulatory approval from the FDA or other regulatory authorities,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December 2019, the Financial Accounting Standards Board (“FASB”) issued Accounting Standards Update (“ASU”) No. 2019-12, </w:t>
      </w:r>
      <w:r>
        <w:rPr>
          <w:rFonts w:ascii="Arial" w:cs="Arial" w:eastAsia="Arial" w:hAnsi="Arial"/>
          <w:sz w:val="17"/>
          <w:szCs w:val="17"/>
          <w:i w:val="1"/>
          <w:iCs w:val="1"/>
          <w:color w:val="auto"/>
        </w:rPr>
        <w:t>Income Taxes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740): Simplifying the Accounting for Income Taxes</w:t>
      </w:r>
      <w:r>
        <w:rPr>
          <w:rFonts w:ascii="Arial" w:cs="Arial" w:eastAsia="Arial" w:hAnsi="Arial"/>
          <w:sz w:val="17"/>
          <w:szCs w:val="17"/>
          <w:color w:val="auto"/>
        </w:rPr>
        <w:t>. This guidance simplifies the accounting for income taxes by clarifying and amending existing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recognition of franchise tax, the evaluation of a step up in the tax basis of goodwill, and the effects of enacted changes in tax laws or rates in the effective tax rate computation, among other clarifications. This guidance was effective for annual reporting periods beginning after December 15, 2020 including interim periods. The Company adopted this guidance on January 1, 2021, and the adoption of this guidance did not have material impact to the Company’s condensed consolidated financial statements and related disclosures.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w:t>
      </w:r>
      <w:r>
        <w:rPr>
          <w:rFonts w:ascii="Arial" w:cs="Arial" w:eastAsia="Arial" w:hAnsi="Arial"/>
          <w:sz w:val="16"/>
          <w:szCs w:val="16"/>
          <w:i w:val="1"/>
          <w:iCs w:val="1"/>
          <w:color w:val="auto"/>
        </w:rPr>
        <w:t>ASU 2020-04”</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companies with optional financial reporting alternatives to reduce the cost and complexity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contracts and hedging relationships affected by reference rate reform. This guidance is effective as of March 12, 2020 through December 31, 2022. Subsequently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which clarifies ASU 2020-04 and provides certain optional expedients that allow derivative instruments impacted by changes in the interest rate used for margining, discounting or contract price alignment to qualify for certain optional relief. ASU 2021-01 is effective in the same timeframe as ASU 2020-04. The relief offered by this guidance, if adopted, is available to companies for the period March 12, 2020 through December 31, 2022. The Company has certain lease arrangements that are linked to LIBOR. The Company is in the process of evaluating options for transitioning away from LIBOR and expects to complete this analysis by the time LIBOR is phased out. The Company did not elect to apply any of the expedients or exceptions as of and for the period ended June 30, 2021 and is currently evaluating the impact on its consolidated financial statements and related disclosures upon adoption of this guidance.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2020 Form 10-K, except for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Product revenue, net consists of revenues from sales of roxadustat commercial product to Beijing Falikang Pharmaceutical Co., Ltd. (“Falikang”), and directly to pharmaceutical distributors located in a few provinces in China that are not covered by Falikang. Falikang is jointly owned by AstraZeneca AB (“AstraZeneca”) and FibroGen Beijing. The Company is not the primary beneficiary of Falikang for accounting purposes, as AstraZeneca is the final decision maker for all the roxadustat commercialization activities, and the Company lacks the power criterion to direct the activities of Falikang (see Note 3, </w:t>
      </w:r>
      <w:r>
        <w:rPr>
          <w:rFonts w:ascii="Arial" w:cs="Arial" w:eastAsia="Arial" w:hAnsi="Arial"/>
          <w:sz w:val="18"/>
          <w:szCs w:val="18"/>
          <w:i w:val="1"/>
          <w:iCs w:val="1"/>
          <w:color w:val="auto"/>
        </w:rPr>
        <w:t>Variable Interest Entity</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Falikang became fully operational in January 2021, at which time FibroGen Beijing began selling roxadustat commercial product to Falikang. Falikang is FibroGen Beijing’s primary customer in China and substantially all roxadustat product sales to distributors in China are made by Falikang. Falikang bears inventory risk once it receives and accepts the product from FibroGen Beijing, and is responsible for delivering product to its distributors.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promises identified under the AstraZeneca China Agreement (as defined in Note 2, </w:t>
      </w:r>
      <w:r>
        <w:rPr>
          <w:rFonts w:ascii="Arial" w:cs="Arial" w:eastAsia="Arial" w:hAnsi="Arial"/>
          <w:sz w:val="16"/>
          <w:szCs w:val="16"/>
          <w:i w:val="1"/>
          <w:iCs w:val="1"/>
          <w:color w:val="auto"/>
        </w:rPr>
        <w:t>Collaboration Agreements and Revenues</w:t>
      </w:r>
      <w:r>
        <w:rPr>
          <w:rFonts w:ascii="Arial" w:cs="Arial" w:eastAsia="Arial" w:hAnsi="Arial"/>
          <w:sz w:val="16"/>
          <w:szCs w:val="16"/>
          <w:color w:val="auto"/>
        </w:rPr>
        <w:t xml:space="preserve">), including the license, co-development services and manufacturing of commercial supplies have been bundled into a single performance obligation (“China performance obligation”). Amounts of the transaction price allocable to this performance obligation under the Company’s agreements with AstraZeneca as outlined in Note 2, </w:t>
      </w:r>
      <w:r>
        <w:rPr>
          <w:rFonts w:ascii="Arial" w:cs="Arial" w:eastAsia="Arial" w:hAnsi="Arial"/>
          <w:sz w:val="16"/>
          <w:szCs w:val="16"/>
          <w:i w:val="1"/>
          <w:iCs w:val="1"/>
          <w:color w:val="auto"/>
        </w:rPr>
        <w:t>Collaboration Agreements and Revenues,</w:t>
      </w:r>
      <w:r>
        <w:rPr>
          <w:rFonts w:ascii="Arial" w:cs="Arial" w:eastAsia="Arial" w:hAnsi="Arial"/>
          <w:sz w:val="16"/>
          <w:szCs w:val="16"/>
          <w:color w:val="auto"/>
        </w:rPr>
        <w:t xml:space="preserve"> are deferred until control of the manufactured commercial product is transferred to AstraZeneca.</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initiation of roxadustat sales to Falikang marked the beginning of the China performance obligation</w:t>
      </w:r>
      <w:r>
        <w:rPr>
          <w:rFonts w:ascii="Arial" w:cs="Arial" w:eastAsia="Arial" w:hAnsi="Arial"/>
          <w:sz w:val="16"/>
          <w:szCs w:val="16"/>
          <w:i w:val="1"/>
          <w:iCs w:val="1"/>
          <w:color w:val="auto"/>
        </w:rPr>
        <w:t>.</w:t>
      </w:r>
      <w:r>
        <w:rPr>
          <w:rFonts w:ascii="Arial" w:cs="Arial" w:eastAsia="Arial" w:hAnsi="Arial"/>
          <w:sz w:val="16"/>
          <w:szCs w:val="16"/>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the Company believes those sales would occur. The price per unit is subject to reassessment on a quarterly basis, which may result in cumulative catch up adjustments due to changes in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380" w:hanging="372"/>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Non-refundable upfront license fees; development, regulatory, and commercial milestone payments based on the China Agreement allocated to the China performance obligation;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Co-development billings resulting from the Company’s research and development efforts, which are reimbursable under the China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Interim profit/loss share between FibroGen Beijing and AstraZeneca from April 1, 2020 through December 31, 2020;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transfer price from product sales to Falikang from January 1, 2021 onwards. The net transfer price includes the following elements:</w:t>
      </w:r>
    </w:p>
    <w:p>
      <w:pPr>
        <w:spacing w:after="0" w:line="117" w:lineRule="exact"/>
        <w:rPr>
          <w:rFonts w:ascii="Arial" w:cs="Arial" w:eastAsia="Arial" w:hAnsi="Arial"/>
          <w:sz w:val="18"/>
          <w:szCs w:val="18"/>
          <w:color w:val="auto"/>
        </w:rPr>
      </w:pPr>
    </w:p>
    <w:p>
      <w:pPr>
        <w:ind w:left="740" w:right="200" w:hanging="365"/>
        <w:spacing w:after="0" w:line="245"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Gross transfer price: The gross transfer price is based on a percentage of Falikang’s net sales to its distributors, which takes into account</w:t>
      </w:r>
      <w:r>
        <w:rPr>
          <w:rFonts w:ascii="Courier New" w:cs="Courier New" w:eastAsia="Courier New" w:hAnsi="Courier New"/>
          <w:sz w:val="18"/>
          <w:szCs w:val="18"/>
          <w:color w:val="auto"/>
        </w:rPr>
        <w:t xml:space="preserve"> </w:t>
      </w:r>
      <w:r>
        <w:rPr>
          <w:rFonts w:ascii="Arial" w:cs="Arial" w:eastAsia="Arial" w:hAnsi="Arial"/>
          <w:sz w:val="18"/>
          <w:szCs w:val="18"/>
          <w:color w:val="auto"/>
        </w:rPr>
        <w:t>Falikang’s operating expenses and its payments to AstraZeneca for roxadustat sales and marketing efforts, capped at a percentage of Falikang’s net roxadustat sales.</w:t>
      </w:r>
    </w:p>
    <w:p>
      <w:pPr>
        <w:spacing w:after="0" w:line="89" w:lineRule="exact"/>
        <w:rPr>
          <w:rFonts w:ascii="Arial" w:cs="Arial" w:eastAsia="Arial" w:hAnsi="Arial"/>
          <w:sz w:val="18"/>
          <w:szCs w:val="18"/>
          <w:color w:val="auto"/>
        </w:rPr>
      </w:pPr>
    </w:p>
    <w:p>
      <w:pPr>
        <w:ind w:left="740" w:right="40" w:hanging="365"/>
        <w:spacing w:after="0" w:line="300"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Profit share: The gross transfer price is then adjusted for an estimated amount to achieve the 50/50 profit share from current period roxadustat net</w:t>
      </w:r>
      <w:r>
        <w:rPr>
          <w:rFonts w:ascii="Courier New" w:cs="Courier New" w:eastAsia="Courier New" w:hAnsi="Courier New"/>
          <w:sz w:val="16"/>
          <w:szCs w:val="16"/>
          <w:color w:val="auto"/>
        </w:rPr>
        <w:t xml:space="preserve"> </w:t>
      </w:r>
      <w:r>
        <w:rPr>
          <w:rFonts w:ascii="Arial" w:cs="Arial" w:eastAsia="Arial" w:hAnsi="Arial"/>
          <w:sz w:val="16"/>
          <w:szCs w:val="16"/>
          <w:color w:val="auto"/>
        </w:rPr>
        <w:t>sales in China. The adjustments to date have been a reduction to the transfer price and the related accounts receivable from Falikang.</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key estimates such as total sales quantity, performance period, gross transfer price and profit share, which require a substantial degree of judgment.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net transfer price in excess of the revenue recognized is deferred, and will be recognized over future periods as the performance obligations are satisfied.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to Distributors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sells roxadustat in China directly to a number of pharmaceutical distributors located in a few provinces in China that are not covered by Falikang. These pharmaceutical distributors are the Company’s customers. Hospitals order roxadustat through a distributor and the Company ships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the Company expects to be entitled to in exchange for the product.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period between the transfer of control of the promised goods and when the Company receives payment is based on 60-day payment terms.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recorded at the net sales prices which includes the following estimates of variable consideration:</w:t>
      </w:r>
    </w:p>
    <w:p>
      <w:pPr>
        <w:spacing w:after="0" w:line="117" w:lineRule="exact"/>
        <w:rPr>
          <w:sz w:val="20"/>
          <w:szCs w:val="20"/>
          <w:color w:val="auto"/>
        </w:rPr>
      </w:pPr>
    </w:p>
    <w:p>
      <w:pPr>
        <w:jc w:val="both"/>
        <w:ind w:left="740" w:hanging="368"/>
        <w:spacing w:after="0" w:line="311"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Price adjustment: When China’s National Healthcare Security Administration releases price guidance for roxadustat under the National Reimbursement Drug List, any channel inventories that have not been sold through by distributors, or to patients by hospitals and retailors, would be eligible for a price adjustment under the price protection. The price adjustment is calculated based on estimated channel inventory levels;</w:t>
      </w:r>
    </w:p>
    <w:p>
      <w:pPr>
        <w:spacing w:after="0" w:line="40" w:lineRule="exact"/>
        <w:rPr>
          <w:rFonts w:ascii="Arial" w:cs="Arial" w:eastAsia="Arial" w:hAnsi="Arial"/>
          <w:sz w:val="16"/>
          <w:szCs w:val="16"/>
          <w:color w:val="auto"/>
        </w:rPr>
      </w:pPr>
    </w:p>
    <w:p>
      <w:pPr>
        <w:jc w:val="both"/>
        <w:ind w:left="740" w:hanging="368"/>
        <w:spacing w:after="0" w:line="26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sales rebate: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5" w:lineRule="exact"/>
        <w:rPr>
          <w:rFonts w:ascii="Arial" w:cs="Arial" w:eastAsia="Arial" w:hAnsi="Arial"/>
          <w:sz w:val="18"/>
          <w:szCs w:val="18"/>
          <w:color w:val="auto"/>
        </w:rPr>
      </w:pPr>
    </w:p>
    <w:p>
      <w:pPr>
        <w:jc w:val="both"/>
        <w:ind w:left="740" w:hanging="368"/>
        <w:spacing w:after="0" w:line="25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Non-key account hospital listing award: A one-time fixed-amount award is offered to a distributor who successfully lists the product with an eligible hospital, and who meets certain requirements. The Company considers this particular award to be an upfront payment to a customer within the definitions of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non-key account hospital listing award is capitalized when the distributor meets eligibility requirements, and amortized as reduction to product revenue over future sales orders made by the distributor until exhausted;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740" w:hanging="368"/>
        <w:spacing w:after="0" w:line="30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discounts and rebates, including key account hospital sales rebate and transfer fee discount, are generally based on a percentage of eligible gross sales made by the distributor and recorded as a reduction to revenue at the point of sale to the distributor; and</w:t>
      </w:r>
    </w:p>
    <w:p>
      <w:pPr>
        <w:spacing w:after="0" w:line="38" w:lineRule="exact"/>
        <w:rPr>
          <w:rFonts w:ascii="Arial" w:cs="Arial" w:eastAsia="Arial" w:hAnsi="Arial"/>
          <w:sz w:val="17"/>
          <w:szCs w:val="17"/>
          <w:color w:val="auto"/>
        </w:rPr>
      </w:pPr>
    </w:p>
    <w:p>
      <w:pPr>
        <w:ind w:left="740" w:right="2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returns: Distributors can request to return product to the Company only due to quality issues or for product purchased within one year prior to the product’s expiration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or when the Company expects to settle the discount in cash. The distributor’s legal right of offset is calculated at the individual distributor level.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Acquisition Agreement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16, 2021, the Company entered into an exclusive license and option agreement with HiFiBiO Therapeutics (“HiFiBiO”) (“HiFiBiO Agreement”), pursuant to which the Company exclusively licensed all product candidates in HiFiBiO’s Galectin-9 program and will have the sole right to develop them worldwide. The Company has also obtained exclusive options to license all product candidates in HiFiBiO’s CXCR5 and CCR8 programs. Under the terms of the HiFiBiO Agreement, the Company will make a $25 million upfront payment to HiFiBiO, as well as payments upon option exercise. In addition, HiFiBiO may receive up to a total of an additional $1.1 billion in future option, clinical, regulatory, and commercial milestone payments across all three programs. HiFiBiO will also be eligible to receive royalties based upon worldwide net sales.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acquisition of these licenses was accounted for as an asset acquisition. The initial upfront payment of $25.0 million related to the license and options acquisition meets the definition of an in-process research and development asset (“IPR&amp;D asset”) under the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(“ASC 730”). It relates to particular research and development projects and is determined to have no alternative future uses and thus have no separate economic value. Therefore, this upfront payment was recorded as a research and development expense during the three months ended June 30, 2021. As of June 30, 2021, this amount was not paid, and was included as accounts payable in the condensed consolidated balance sheet.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Contingent consideration payments will be evaluated and recognized when they become probable and reasonably estimable. The related IPR&amp;D asset will only be capitalized if it has an alternative future use other than in a particular research and development project. Otherwise, amounts allocated to IPR&amp;D asset that have no alternative use will be expensed. As of June 30, 2021, all programs were at the early stage of development and the contingencies related to the milestone payments had not been resolved, therefore no contingent consideration was recognized. The Company will reassess the probability of future option payments and contingent payments on a quarterly basis.</w:t>
      </w:r>
    </w:p>
    <w:p>
      <w:pPr>
        <w:spacing w:after="0" w:line="292" w:lineRule="exact"/>
        <w:rPr>
          <w:sz w:val="20"/>
          <w:szCs w:val="20"/>
          <w:color w:val="auto"/>
        </w:rPr>
      </w:pPr>
    </w:p>
    <w:p>
      <w:pPr>
        <w:ind w:right="7600" w:firstLine="8"/>
        <w:spacing w:after="0" w:line="378" w:lineRule="auto"/>
        <w:tabs>
          <w:tab w:leader="none" w:pos="49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and Revenues Astellas Agreements</w:t>
      </w: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June 2005, the Company entered into a collaboration agreement with Astellas for the development and commercialization (but not manufacture)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roxadustat for the treatment of anemia in Japan (“Japan Agreement”). Under this agreement, Astellas paid license fees and other consideration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$40.1 million (such amounts were fully received as of February 2009). Under the Japan Agreement, the Company is also eligible to receive from Astellas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aggregate of approximately $132.5 million in potential milestone payments, comprised of (i) up to $22.5 million in milestone payments upon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achievement of specified clinical and development milestone events (such amounts were fully received as of July 2016), (ii) up to $95.0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upon achievement of specified regulatory milestone events, and (iii) up to approximately $15.0 million in milestone payments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achievement of specified commercial sales milestone. The Japan Agreement also provides for tiered payments based on net sales of product (as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low 20% range of the list price published by Japan’s Ministry of Health, Labour and Welfare, adjusted for certain elements, after commercial launch.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consideration received through June 30, 2021 totals $105.1 million, excluding drug product revenue that is discussed separately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2018, FibroGen and Astellas entered into an amendment to the Japan Agreement that allows Astellas to manufacture roxadustat drug product for commercialization in Japan (the “Japan Amendment”). Under this amendment, FibroGen would continue to manufacture and supply roxadustat active pharmaceutical ingredient (“API”) to Astellas for the roxadustat commercial purposes in Japan. The commercial terms of the Japan Agreement relating to the transfer price for roxadustat for commercial use remain substantially the same, reflecting an adjustment for the manufacture of drug product by Astellas rather than FibroGen. The related drug product revenue, as described in details under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below, was $(2.0) million and $2.1 million for the three and six months ended June 30, 2021,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comprised of</w:t>
      </w:r>
    </w:p>
    <w:p>
      <w:pPr>
        <w:spacing w:after="0" w:line="1" w:lineRule="exact"/>
        <w:rPr>
          <w:sz w:val="20"/>
          <w:szCs w:val="20"/>
          <w:color w:val="auto"/>
        </w:rPr>
      </w:pPr>
    </w:p>
    <w:p>
      <w:pPr>
        <w:ind w:right="100" w:firstLine="8"/>
        <w:spacing w:after="0" w:line="292" w:lineRule="auto"/>
        <w:tabs>
          <w:tab w:leader="none" w:pos="2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product (as defined) in the low 20% range. The aggregate amount of consideration received under the Europe Agreement through June 30, 2021 totals $540.0 million, excluding drug product revenue that is discussed separately below.</w:t>
      </w:r>
    </w:p>
    <w:p>
      <w:pPr>
        <w:spacing w:after="0" w:line="1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Under the Europe Agreement, Astellas has an option to purchase roxadustat bulk drug product in support of commercial supplies. During the first quarter of 2021, the Company entered into an Astellas EU Supply Agreement (“EU Supply Agreement”) under the Europe Agreement with Astellas to define general forecast, order, supply and payment terms for Astellas to purchase roxadustat bulk drug product from FibroGen in support of commercial supplies. The Company shipped bulk drug product to Astellas as pre-commercial supply for process validation purposes during the first quarter of 2021. The Company recorded the consideration of $11.8 million from this shipment as deferred revenue as of June 30, 2021, as described in details under </w:t>
      </w:r>
      <w:r>
        <w:rPr>
          <w:rFonts w:ascii="Arial" w:cs="Arial" w:eastAsia="Arial" w:hAnsi="Arial"/>
          <w:sz w:val="18"/>
          <w:szCs w:val="18"/>
          <w:i w:val="1"/>
          <w:iCs w:val="1"/>
          <w:color w:val="auto"/>
        </w:rPr>
        <w:t>Drug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Product Revenue </w:t>
      </w:r>
      <w:r>
        <w:rPr>
          <w:rFonts w:ascii="Arial" w:cs="Arial" w:eastAsia="Arial" w:hAnsi="Arial"/>
          <w:sz w:val="18"/>
          <w:szCs w:val="18"/>
          <w:color w:val="auto"/>
        </w:rPr>
        <w:t>section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(such amounts were fully received as of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(such amounts were fully received as of April 2020), (ii) up to $325.0 million in milestone payments upon achievement of specified regulatory milestone events, (iii) up to $160.0 million in milestone payments related to activity by potential competitors and</w:t>
      </w:r>
    </w:p>
    <w:p>
      <w:pPr>
        <w:spacing w:after="0" w:line="1" w:lineRule="exact"/>
        <w:rPr>
          <w:sz w:val="20"/>
          <w:szCs w:val="20"/>
          <w:color w:val="auto"/>
        </w:rPr>
      </w:pPr>
    </w:p>
    <w:p>
      <w:pPr>
        <w:jc w:val="both"/>
        <w:ind w:right="460" w:firstLine="8"/>
        <w:spacing w:after="0" w:line="255"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 to approximately $325.0 million in milestone payments upon the achievement of specified commercial sales events. The aggregate amount of consideration received under the U.S./RoW Agreement through June 30, 2021 totals $439.0 million, excluding drug product revenue that is discussed separately below.</w:t>
      </w:r>
    </w:p>
    <w:p>
      <w:pPr>
        <w:spacing w:after="0" w:line="1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2020, the Company entered into Master Supply Agreement under the U.S./RoW Agreement with AstraZeneca (“Master Supply Agreement”) to define general forecast, order, supply and payment terms for AstraZeneca to purchase roxadustat bulk drug product from FibroGen in support of commercial supplies. The Company shipped bulk drug product to AstraZeneca as commercial supply during 2020, and the first and second quarter of 2021. On July 15, 2021, the FDA CRDAC voted to recommend not approving roxadustat for the treatment of anemia due to CKD in adult patients. While the FDA is not required to follow the CRDAC’s vote, the agency considers the CRDAC’s non-binding recommendations when making its decision. The Company evaluated the impact of these developments in revising its estimates of variable consideration associated with drug product revenue. As a result, the Company updated the estimated transaction price, and recorded $11.2 million as deferred revenue as of June 30, 2021. See details under </w:t>
      </w:r>
      <w:r>
        <w:rPr>
          <w:rFonts w:ascii="Arial" w:cs="Arial" w:eastAsia="Arial" w:hAnsi="Arial"/>
          <w:sz w:val="18"/>
          <w:szCs w:val="18"/>
          <w:i w:val="1"/>
          <w:iCs w:val="1"/>
          <w:color w:val="auto"/>
        </w:rPr>
        <w:t>Drug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w:t>
      </w:r>
      <w:r>
        <w:rPr>
          <w:rFonts w:ascii="Arial" w:cs="Arial" w:eastAsia="Arial" w:hAnsi="Arial"/>
          <w:sz w:val="18"/>
          <w:szCs w:val="18"/>
          <w:color w:val="auto"/>
        </w:rPr>
        <w:t>section below.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Effective July 30, 2013, the Company (through its subsidiaries affiliated with China) entered into the China Agreement (“China Agreement”). Under the terms of the China Agreement, AstraZeneca agreed to pay upfront consideration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which was amended under the China Amendment discussed below in the third quarter of 2020, and provides for joint development costs (including capital and equipment costs for construction of the manufacturing plant in China), to be shared equally during the development period. The aggregate amount of such consideration received for milestone and upfront payments through June 30, 2021 totals $77.2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July 2020, FibroGen China and AstraZeneca (together with FibroGen China, the “Parties”) entered into the China Amendment, effective July 1, 2020, relating to the development and commercialization of roxadustat in China. While the responsibilities of the Parties under the China Agreement remain largely the same, certain changes were made.</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Under the China Amendment, in September 2020, FibroGen Beijing and AstraZeneca completed the establishment of a jointly owned entity, Falikang, which performs roxadustat distribution, as well as conduct sales and marketing through AstraZeneca.</w:t>
      </w:r>
    </w:p>
    <w:p>
      <w:pPr>
        <w:spacing w:after="0" w:line="17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Under the China Amendment, the interim period is defined as the period from April 1, 2020 to the time when Falikang is fully operational. Falikang became fully operational in January 2021. The calculation for profit or loss share related to sales of roxadustat in China has changed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Once AstraZeneca has been fully reimbursed for their sales and marketing costs under the cap, AstraZeneca will bill the co-promotion expenses based on actual costs on a prospective basis. In addition, the China Amendment has allowed for a higher cost of manufacturing incurred by FibroGen Beijing to be included in the profit or loss share calculation, subject to an annual cap, among other changes.</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Since Falikang became fully operational in January 2021, substantially all direct roxadustat product sales to distributors in China are made by Falikang, while FibroGen Beijing continues to sell roxadustat product directly in a few provinces in China. FibroGen Beijing manufactures and supplies commercial product to Falikang based on a gross transfer price, which is adjusted for the estimated profit share. In addition, AstraZeneca now bills the co-promotion expenses to Falikang and to FibroGen Beijing, respectively, for its services provided to the respective entity. Development costs continue to be shared 50/50 between the Parties.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During the three and six months ended June 30, 2021, the Company recognized $11.8 million and $22.2 million, respectively, of net product revenue from the sales to Falikang, as described in details under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below.</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In addition to sales to Falikang, during the three and six months ended June 30, 2021, the Company recognized $1.6 million and 6.6 million, respectively, of net product revenue from sales directly to distributors in a few provinces in China, as described as direct sales under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 and Development Revenue Recognized Under the Collaboration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license revenue and development revenue under the Japan Agreement with Astellas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Agreement</w:t>
            </w:r>
          </w:p>
        </w:tc>
        <w:tc>
          <w:tcPr>
            <w:tcW w:w="2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Performance Obligation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w w:val="94"/>
              </w:rPr>
              <w:t>Three Months Ended June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60" w:type="dxa"/>
            <w:vAlign w:val="bottom"/>
            <w:gridSpan w:val="2"/>
            <w:vMerge w:val="continue"/>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40" w:type="dxa"/>
            <w:vAlign w:val="bottom"/>
            <w:tcBorders>
              <w:top w:val="single" w:sz="8" w:color="CFF0FC"/>
            </w:tcBorders>
            <w:shd w:val="clear" w:color="auto" w:fill="CFF0FC"/>
          </w:tcPr>
          <w:p>
            <w:pPr>
              <w:spacing w:after="0"/>
              <w:rPr>
                <w:sz w:val="19"/>
                <w:szCs w:val="19"/>
                <w:color w:val="auto"/>
              </w:rPr>
            </w:pPr>
          </w:p>
        </w:tc>
        <w:tc>
          <w:tcPr>
            <w:tcW w:w="2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Development revenue</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89"/>
              </w:rPr>
              <w:t>99</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37"/>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Japan Agreement with Astellas,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June 30, 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ind w:left="12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89"/>
              </w:rPr>
              <w:t>30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0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Total license and development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116,876</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ind w:left="1220"/>
              <w:spacing w:after="0"/>
              <w:rPr>
                <w:sz w:val="20"/>
                <w:szCs w:val="20"/>
                <w:color w:val="auto"/>
              </w:rPr>
            </w:pPr>
            <w:r>
              <w:rPr>
                <w:rFonts w:ascii="Arial" w:cs="Arial" w:eastAsia="Arial" w:hAnsi="Arial"/>
                <w:sz w:val="18"/>
                <w:szCs w:val="18"/>
                <w:color w:val="auto"/>
                <w:w w:val="89"/>
              </w:rPr>
              <w:t>30</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116,906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revenue recognized under the Japan Agreement for the three months ended June 30, 2021 included immaterial revenue resulting from changes to estimated variable consideration in the current period relating to performance obligations satisfied or partially satisfied in previous periods. The Company does not expect material variable consideration from estimated future co-development billing beyond the development period in the transaction price related to the Japan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as license revenue and development revenue under the Europe Agreement with Astellas were as follows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2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Performance Obligation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w w:val="95"/>
              </w:rPr>
              <w:t>Three Months Ended June 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1040" w:type="dxa"/>
            <w:vAlign w:val="bottom"/>
            <w:vMerge w:val="continue"/>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40" w:type="dxa"/>
            <w:vAlign w:val="bottom"/>
            <w:tcBorders>
              <w:top w:val="single" w:sz="8" w:color="CFF0FC"/>
            </w:tcBorders>
            <w:shd w:val="clear" w:color="auto" w:fill="CFF0FC"/>
          </w:tcPr>
          <w:p>
            <w:pPr>
              <w:spacing w:after="0"/>
              <w:rPr>
                <w:sz w:val="19"/>
                <w:szCs w:val="19"/>
                <w:color w:val="auto"/>
              </w:rPr>
            </w:pPr>
          </w:p>
        </w:tc>
        <w:tc>
          <w:tcPr>
            <w:tcW w:w="2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Development 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2,546</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4,602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6,077</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Europe Agreement with Astellas,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June 30, 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255,039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0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Total license and development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742,990</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743,323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revenue recognized under the Europe Agreement for the three months ended June 30, 2021 included an increase in revenue of $0.4 million resulting from changes to estimated variable consideration. The remainder of the transaction price related to the Europe Agreement includes $10.7 million of variable consideration from estimated future co-development billing and is expected to be recognized over the remaining development service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and China Agreement with AstraZeneca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Agreement</w:t>
            </w:r>
          </w:p>
        </w:tc>
        <w:tc>
          <w:tcPr>
            <w:tcW w:w="2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Performance Obligation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w w:val="95"/>
              </w:rPr>
              <w:t>Three Months Ended June 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80" w:type="dxa"/>
            <w:vAlign w:val="bottom"/>
            <w:gridSpan w:val="2"/>
            <w:vMerge w:val="continue"/>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40" w:type="dxa"/>
            <w:vAlign w:val="bottom"/>
            <w:tcBorders>
              <w:top w:val="single" w:sz="8" w:color="CFF0FC"/>
            </w:tcBorders>
            <w:shd w:val="clear" w:color="auto" w:fill="CFF0FC"/>
          </w:tcPr>
          <w:p>
            <w:pPr>
              <w:spacing w:after="0"/>
              <w:rPr>
                <w:sz w:val="18"/>
                <w:szCs w:val="18"/>
                <w:color w:val="auto"/>
              </w:rPr>
            </w:pPr>
          </w:p>
        </w:tc>
        <w:tc>
          <w:tcPr>
            <w:tcW w:w="2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4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Development revenue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28,305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China performance obligation</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36"/>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 U.S./RoW Agreement and China Agreement with AstraZeneca, along with any associated deferred revenue as follows (in thousands):</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center"/>
              <w:ind w:right="219"/>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vMerge w:val="restart"/>
          </w:tcPr>
          <w:p>
            <w:pPr>
              <w:jc w:val="center"/>
              <w:ind w:right="218"/>
              <w:spacing w:after="0"/>
              <w:rPr>
                <w:sz w:val="20"/>
                <w:szCs w:val="20"/>
                <w:color w:val="auto"/>
              </w:rPr>
            </w:pPr>
            <w:r>
              <w:rPr>
                <w:rFonts w:ascii="Arial" w:cs="Arial" w:eastAsia="Arial" w:hAnsi="Arial"/>
                <w:sz w:val="14"/>
                <w:szCs w:val="14"/>
                <w:b w:val="1"/>
                <w:bCs w:val="1"/>
                <w:color w:val="auto"/>
                <w:w w:val="97"/>
              </w:rPr>
              <w:t>Deferred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300" w:type="dxa"/>
            <w:vAlign w:val="bottom"/>
          </w:tcPr>
          <w:p>
            <w:pPr>
              <w:spacing w:after="0"/>
              <w:rPr>
                <w:sz w:val="12"/>
                <w:szCs w:val="12"/>
                <w:color w:val="auto"/>
              </w:rPr>
            </w:pPr>
          </w:p>
        </w:tc>
        <w:tc>
          <w:tcPr>
            <w:tcW w:w="154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Revenue at</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center"/>
              <w:ind w:right="219"/>
              <w:spacing w:after="0"/>
              <w:rPr>
                <w:sz w:val="20"/>
                <w:szCs w:val="20"/>
                <w:color w:val="auto"/>
              </w:rPr>
            </w:pPr>
            <w:r>
              <w:rPr>
                <w:rFonts w:ascii="Arial" w:cs="Arial" w:eastAsia="Arial" w:hAnsi="Arial"/>
                <w:sz w:val="14"/>
                <w:szCs w:val="14"/>
                <w:b w:val="1"/>
                <w:bCs w:val="1"/>
                <w:color w:val="auto"/>
                <w:w w:val="92"/>
              </w:rPr>
              <w:t>June 30, 2021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218"/>
              <w:spacing w:after="0"/>
              <w:rPr>
                <w:sz w:val="20"/>
                <w:szCs w:val="20"/>
                <w:color w:val="auto"/>
              </w:rPr>
            </w:pPr>
            <w:r>
              <w:rPr>
                <w:rFonts w:ascii="Arial" w:cs="Arial" w:eastAsia="Arial" w:hAnsi="Arial"/>
                <w:sz w:val="14"/>
                <w:szCs w:val="14"/>
                <w:b w:val="1"/>
                <w:bCs w:val="1"/>
                <w:color w:val="auto"/>
                <w:w w:val="92"/>
              </w:rPr>
              <w:t>June 30, 2021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gridSpan w:val="2"/>
          </w:tcPr>
          <w:p>
            <w:pPr>
              <w:spacing w:after="0"/>
              <w:rPr>
                <w:sz w:val="20"/>
                <w:szCs w:val="20"/>
                <w:color w:val="auto"/>
              </w:rPr>
            </w:pPr>
            <w:r>
              <w:rPr>
                <w:rFonts w:ascii="Arial" w:cs="Arial" w:eastAsia="Arial" w:hAnsi="Arial"/>
                <w:sz w:val="18"/>
                <w:szCs w:val="18"/>
                <w:color w:val="auto"/>
              </w:rPr>
              <w:t>Co-development, information sharing &amp;</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80"/>
              <w:spacing w:after="0"/>
              <w:rPr>
                <w:sz w:val="20"/>
                <w:szCs w:val="20"/>
                <w:color w:val="auto"/>
              </w:rPr>
            </w:pPr>
            <w:r>
              <w:rPr>
                <w:rFonts w:ascii="Arial" w:cs="Arial" w:eastAsia="Arial" w:hAnsi="Arial"/>
                <w:sz w:val="18"/>
                <w:szCs w:val="18"/>
                <w:color w:val="auto"/>
              </w:rPr>
              <w:t>committee services</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582,743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2,309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585,052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China performance obligation *</w:t>
            </w:r>
          </w:p>
        </w:tc>
        <w:tc>
          <w:tcPr>
            <w:tcW w:w="3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149,759</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gridSpan w:val="2"/>
          </w:tcPr>
          <w:p>
            <w:pPr>
              <w:ind w:left="240"/>
              <w:spacing w:after="0"/>
              <w:rPr>
                <w:sz w:val="20"/>
                <w:szCs w:val="20"/>
                <w:color w:val="auto"/>
              </w:rPr>
            </w:pPr>
            <w:r>
              <w:rPr>
                <w:rFonts w:ascii="Arial" w:cs="Arial" w:eastAsia="Arial" w:hAnsi="Arial"/>
                <w:sz w:val="18"/>
                <w:szCs w:val="18"/>
                <w:color w:val="auto"/>
              </w:rPr>
              <w:t>Total license and development</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946,754</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152,068</w:t>
            </w:r>
          </w:p>
        </w:tc>
        <w:tc>
          <w:tcPr>
            <w:tcW w:w="640" w:type="dxa"/>
            <w:vAlign w:val="bottom"/>
            <w:gridSpan w:val="3"/>
          </w:tcPr>
          <w:p>
            <w:pPr>
              <w:jc w:val="right"/>
              <w:ind w:right="107"/>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1,098,822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China performance obligation revenue is recognized as product revenue, as described in details under </w:t>
      </w:r>
      <w:r>
        <w:rPr>
          <w:rFonts w:ascii="Arial" w:cs="Arial" w:eastAsia="Arial" w:hAnsi="Arial"/>
          <w:sz w:val="17"/>
          <w:szCs w:val="17"/>
          <w:i w:val="1"/>
          <w:iCs w:val="1"/>
          <w:color w:val="auto"/>
        </w:rPr>
        <w:t>Product Revenue, Net</w:t>
      </w:r>
      <w:r>
        <w:rPr>
          <w:rFonts w:ascii="Arial" w:cs="Arial" w:eastAsia="Arial" w:hAnsi="Arial"/>
          <w:sz w:val="17"/>
          <w:szCs w:val="17"/>
          <w:color w:val="auto"/>
        </w:rPr>
        <w:t xml:space="preserve">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951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9" w:lineRule="exact"/>
        <w:rPr>
          <w:sz w:val="20"/>
          <w:szCs w:val="20"/>
          <w:color w:val="auto"/>
        </w:rPr>
      </w:pPr>
    </w:p>
    <w:p>
      <w:pPr>
        <w:jc w:val="both"/>
        <w:ind w:left="380" w:right="40" w:hanging="372"/>
        <w:spacing w:after="0" w:line="311"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consolidated balance sheets. As of June 30, 2021, deferred revenue included $146.8 million related to the U.S./RoW and China Agreement, which represents the net of $152.1 million of deferred revenue presented above and a $5.3 million unbilled co-development revenue under the China Amendment with AstraZeneca.</w:t>
      </w:r>
    </w:p>
    <w:p>
      <w:pPr>
        <w:spacing w:after="0" w:line="1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revenue recognized under the U.S./RoW Agreement for the three months ended June 30, 2021 included a reduction in revenue of $0.2 million resulting from changes to estimated variable consideration. The remainder of the transaction price related to the U.S./RoW Agreement and China Agreement includes $34.1 million of variable consideration from estimated future co-development billing and is expected to be recognized over the remaining development service period, except for amounts allocated to the China performance obligation. The amount allocated to the U.S./RoW Agreement is expected to be recognized over the remaining development service period. The amount allocated to the China performance obligation is expected to be recognized as the Company transfers control of the commercial products to Falikang.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net from the sales of roxadustat commercial product in China was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Three Months Ended 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Sales:</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Gross revenue</w:t>
            </w:r>
          </w:p>
        </w:tc>
        <w:tc>
          <w:tcPr>
            <w:tcW w:w="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2,230</w:t>
            </w:r>
          </w:p>
        </w:tc>
        <w:tc>
          <w:tcPr>
            <w:tcW w:w="14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19,833</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7,659</w:t>
            </w:r>
          </w:p>
        </w:tc>
        <w:tc>
          <w:tcPr>
            <w:tcW w:w="14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25,205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Discounts and rebates</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(4,095)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100"/>
              <w:spacing w:after="0"/>
              <w:rPr>
                <w:sz w:val="20"/>
                <w:szCs w:val="20"/>
                <w:color w:val="auto"/>
              </w:rPr>
            </w:pPr>
            <w:r>
              <w:rPr>
                <w:rFonts w:ascii="Arial" w:cs="Arial" w:eastAsia="Arial" w:hAnsi="Arial"/>
                <w:sz w:val="18"/>
                <w:szCs w:val="18"/>
                <w:color w:val="auto"/>
              </w:rPr>
              <w:t>Sales returns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Direct sales revenue, net</w:t>
            </w:r>
          </w:p>
        </w:tc>
        <w:tc>
          <w:tcPr>
            <w:tcW w:w="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to Falikang:</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Gross transfer price</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Profit share</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(9,573)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(19,636)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220"/>
              <w:spacing w:after="0"/>
              <w:rPr>
                <w:sz w:val="20"/>
                <w:szCs w:val="20"/>
                <w:color w:val="auto"/>
              </w:rPr>
            </w:pPr>
            <w:r>
              <w:rPr>
                <w:rFonts w:ascii="Arial" w:cs="Arial" w:eastAsia="Arial" w:hAnsi="Arial"/>
                <w:sz w:val="18"/>
                <w:szCs w:val="18"/>
                <w:color w:val="auto"/>
              </w:rPr>
              <w:t>Net transfer price</w:t>
            </w: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Increase in deferred revenue</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(5,381)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(9,312)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Sales to Falikang revenue, net</w:t>
            </w:r>
          </w:p>
        </w:tc>
        <w:tc>
          <w:tcPr>
            <w:tcW w:w="5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product revenue, net</w:t>
            </w:r>
          </w:p>
        </w:tc>
        <w:tc>
          <w:tcPr>
            <w:tcW w:w="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Product revenue from direct roxadustat product sales to distributors in China is recognized in an amount that reflects the consideration to which the Company expects to be entitled in exchange for those products, net of various sales rebates and discounts. The total discounts and rebates were $0.6 million and $4.1 million for the three months ended June 30, 2021 and 2020, and $1.2 million and $4.5 million for the six months ended June 30, 2021 and 2020, respectively, which primarily consisted of the contractual sales rebate calculated based on the stated percentage of gross sales by each distributor in the distribution agreement entered between FibroGen and each distributor.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rebates and discounts that the Company’s pharmaceutical distributors have earned are eligible to be applied against future sales orders, limited to certain maximums until such rebates and discounts are exhausted. These rebates and discounts are recorded as contract liabilities at the time they become eligible in the same period that the related revenue is recorded. 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calculated at the individual distributor level. The following table includes a roll-forward of the contract liabilities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4"/>
                <w:szCs w:val="14"/>
                <w:color w:val="auto"/>
              </w:rPr>
            </w:pPr>
          </w:p>
        </w:tc>
        <w:tc>
          <w:tcPr>
            <w:tcW w:w="14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40" w:type="dxa"/>
            <w:vAlign w:val="bottom"/>
          </w:tcPr>
          <w:p>
            <w:pPr>
              <w:spacing w:after="0"/>
              <w:rPr>
                <w:sz w:val="12"/>
                <w:szCs w:val="12"/>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6"/>
              </w:rPr>
              <w:t>Deduction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and Other</w:t>
            </w: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 Direct sales - contract liabilities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June 30, 2021 and December 31, 2020, the total contract liabilities were $13.8 million and $15.1 million, which were included in accrued and other current liabilities in the condensed consolidated balance sheet. The rebates and discounts reflected as reductions to gross accounts receivable for direct sales was $0.8 million and $0.5 million as of June 30, 2021 and December 31,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 – China Performance Obligation</w:t>
      </w:r>
    </w:p>
    <w:p>
      <w:pPr>
        <w:spacing w:after="0" w:line="11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FibroGen Beijing manufactures and supplies commercial product to Falikang. The net transfer price for FibroGen Beijing’s product sales to Falikang is based on a gross transfer price, which is adjusted to account for the 50/50 profit share for the period.</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roxadustat sales to Falikang marked the beginning of the Company’s China performance obligation under the Company’s agreements with AstraZeneca</w:t>
      </w:r>
      <w:r>
        <w:rPr>
          <w:rFonts w:ascii="Arial" w:cs="Arial" w:eastAsia="Arial" w:hAnsi="Arial"/>
          <w:sz w:val="18"/>
          <w:szCs w:val="18"/>
          <w:i w:val="1"/>
          <w:iCs w:val="1"/>
          <w:color w:val="auto"/>
        </w:rPr>
        <w:t>.</w:t>
      </w:r>
      <w:r>
        <w:rPr>
          <w:rFonts w:ascii="Arial" w:cs="Arial" w:eastAsia="Arial" w:hAnsi="Arial"/>
          <w:sz w:val="18"/>
          <w:szCs w:val="18"/>
          <w:color w:val="auto"/>
        </w:rPr>
        <w:t xml:space="preserve"> Product revenue is based on the transaction price of the China performance obligation. Revenue is recognized when control of product is transferred to Falikang, in an amount that reflects the allocation of the transaction price to the performance obligation satisfied during the reporting period. Any net transfer price in excess of the revenue recognized is added to the deferred balance to date, and will be recognized over future periods as the performance obligations are satisfied. During the three and six months ended June 30, 2021, following updates to its estimates, the Company deferred $5.4 million and $9.3 million, respectively, from the net transfer price to Falikang, which was included in the related deferred revenue of the China performance obligation.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roll-forward of the related deferred revenue that is considered as a contract liability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Recognized as</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 AstraZeneca</w:t>
            </w:r>
          </w:p>
        </w:tc>
        <w:tc>
          <w:tcPr>
            <w:tcW w:w="5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China performance obligation - deferred revenue</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(137,338)</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(34,588)</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(149,759)</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June 30, 2021, approximately $6.3 million of the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reductions to gross accounts receivable related to product revenue to Falikang was $10.1 million as of June 30,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Drug product revenue from commercial-grade API or bulk drug product sales to AstraZeneca and Astellas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2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Astellas</w:t>
            </w:r>
          </w:p>
        </w:tc>
        <w:tc>
          <w:tcPr>
            <w:tcW w:w="9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0"/>
              </w:rPr>
              <w:t>(1,974)</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AstraZeneca</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(6,674)</w:t>
            </w:r>
          </w:p>
        </w:tc>
        <w:tc>
          <w:tcPr>
            <w:tcW w:w="86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(2,224)</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8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Drug product revenue</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0"/>
              </w:rPr>
              <w:t>(8,648)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three months ended June 30, 2021, the Company shipped bulk drug product to AstraZeneca as commercial supply under the terms of the Master Supply Agreement. Based on the above-mentioned FDA CRDAC’s vote on July 15, 2021, the Company evaluated the impact of these developments in revising its estimates of variable consideration associated with drug product revenue. As a result, the Company updated the estimated transaction price, and recorded $11.2 million as deferred revenue as of June 30, 2021.</w:t>
      </w:r>
    </w:p>
    <w:p>
      <w:pPr>
        <w:spacing w:after="0" w:line="18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the three months ended June 30, 2021, the Company recorded a reduction of $2.0 million to the drug product revenue related to the API shipments fulfilled under the terms of the Japan Amendment with Astellas in 2018, due to a change in estimated variable consideration. Specifically, the change in estimated variable consideration was based on the API held by Astellas at June 30, 2021, adjusted to reflect the changes in the estimated bulk product strength mix intended to be manufactured by Astellas, estimated cost to convert the API to bulk product tablets, and estimated yield from the manufacture of bulk product tablets, among others. This amount was recorded under deferred revenue in the condensed consolidated balance sheet as of June 30, 2021. During the first quarter of 2021, the Company recorded $4.0 million drug product revenue related to the same API shipments for the change in estimated variable consideration based on the API held by Astellas at March 31, 2021, under the same methodology. This amount was unbilled to Astellas as of March 31, 2021, and was billed and received from Astellas during the second quarter of 2021.</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March 31, 2021, the Company shipped bulk drug product from process validation supplies for commercial purposes under the terms of the Europe Agreement and the EU Supply Agreement with Astellas. The Company recorded the consideration of $11.8 million from this shipment as deferred revenue as of June 30, 2021, due to a high degree of uncertainty associated with the final consideration. The deferred revenue will be recognized as and when uncertainty is resolved.</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includes a roll-forward of the above-mentioned deferred revenues that are considered as contract liabilities related to drug product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Recognized as</w:t>
            </w:r>
          </w:p>
        </w:tc>
        <w:tc>
          <w:tcPr>
            <w:tcW w:w="2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December 31, 2020</w:t>
            </w: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Astellas - Japan Agreement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Astellas - Europe Agreement</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(5,984)</w:t>
            </w:r>
          </w:p>
        </w:tc>
        <w:tc>
          <w:tcPr>
            <w:tcW w:w="2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(11,759)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AstraZeneca - U.S. Agreement</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(11,171)</w:t>
            </w:r>
          </w:p>
        </w:tc>
        <w:tc>
          <w:tcPr>
            <w:tcW w:w="0" w:type="dxa"/>
            <w:vAlign w:val="bottom"/>
          </w:tcPr>
          <w:p>
            <w:pPr>
              <w:spacing w:after="0"/>
              <w:rPr>
                <w:sz w:val="1"/>
                <w:szCs w:val="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8"/>
                <w:szCs w:val="18"/>
                <w:color w:val="auto"/>
              </w:rPr>
              <w:t>Drug product revenue - deferred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Falikang is a distribution entity jointly owned by AstraZeneca and FibroGen Beijing. FibroGen Beijing owns 51.1% of the outstanding shares of Falikang.</w:t>
      </w:r>
    </w:p>
    <w:p>
      <w:pPr>
        <w:spacing w:after="0" w:line="2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Pursuant to the guidance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 the Company concluded that Falikang qualifies as a variable interest entity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Accordingly, the Company records its total investments in Falikang as an equity method investment in an unconsolidated variable interest entity in the condensed consolidated balance sheet. In addition, the Company recognizes its proportionate share of the reported profits or losses of Falikang as investment gain or loss in unconsolidated variable interest entity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these loans have been immaterial.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method investment in Falikang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40" w:type="dxa"/>
            <w:vAlign w:val="bottom"/>
            <w:vMerge w:val="restart"/>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Ownership</w:t>
            </w:r>
          </w:p>
        </w:tc>
        <w:tc>
          <w:tcPr>
            <w:tcW w:w="1600" w:type="dxa"/>
            <w:vAlign w:val="bottom"/>
          </w:tcPr>
          <w:p>
            <w:pPr>
              <w:jc w:val="center"/>
              <w:ind w:left="362"/>
              <w:spacing w:after="0"/>
              <w:rPr>
                <w:sz w:val="20"/>
                <w:szCs w:val="20"/>
                <w:color w:val="auto"/>
              </w:rPr>
            </w:pPr>
            <w:r>
              <w:rPr>
                <w:rFonts w:ascii="Arial" w:cs="Arial" w:eastAsia="Arial" w:hAnsi="Arial"/>
                <w:sz w:val="14"/>
                <w:szCs w:val="14"/>
                <w:b w:val="1"/>
                <w:bCs w:val="1"/>
                <w:color w:val="auto"/>
                <w:w w:val="91"/>
              </w:rPr>
              <w:t>Balance at</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Share of Net Income</w:t>
            </w:r>
          </w:p>
        </w:tc>
        <w:tc>
          <w:tcPr>
            <w:tcW w:w="34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Currency</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Percentage</w:t>
            </w:r>
          </w:p>
        </w:tc>
        <w:tc>
          <w:tcPr>
            <w:tcW w:w="40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jc w:val="center"/>
              <w:ind w:left="362"/>
              <w:spacing w:after="0"/>
              <w:rPr>
                <w:sz w:val="20"/>
                <w:szCs w:val="20"/>
                <w:color w:val="auto"/>
              </w:rPr>
            </w:pPr>
            <w:r>
              <w:rPr>
                <w:rFonts w:ascii="Arial" w:cs="Arial" w:eastAsia="Arial" w:hAnsi="Arial"/>
                <w:sz w:val="14"/>
                <w:szCs w:val="14"/>
                <w:b w:val="1"/>
                <w:bCs w:val="1"/>
                <w:color w:val="auto"/>
                <w:w w:val="91"/>
              </w:rPr>
              <w:t>December 31, 2020</w:t>
            </w: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Falikang</w:t>
            </w: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51.1%</w:t>
            </w:r>
          </w:p>
        </w:tc>
        <w:tc>
          <w:tcPr>
            <w:tcW w:w="1600" w:type="dxa"/>
            <w:vAlign w:val="bottom"/>
            <w:tcBorders>
              <w:bottom w:val="single" w:sz="8" w:color="auto"/>
            </w:tcBorders>
            <w:shd w:val="clear" w:color="auto" w:fill="CFF0FC"/>
          </w:tcPr>
          <w:p>
            <w:pPr>
              <w:jc w:val="right"/>
              <w:ind w:right="142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2,728</w:t>
            </w:r>
          </w:p>
        </w:tc>
        <w:tc>
          <w:tcPr>
            <w:tcW w:w="3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Falikang is considered a related party to the Company. See Note 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related disclosures.</w:t>
      </w:r>
    </w:p>
    <w:p>
      <w:pPr>
        <w:spacing w:after="0" w:line="329"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5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220,627</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104,483</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104,483</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72,099</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72,099</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46,568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46,568</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Agency bonds</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14,284</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12,490</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12,490</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Foreign government bonds</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12,151</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12,151</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r>
      <w:tr>
        <w:trPr>
          <w:trHeight w:val="223"/>
        </w:trPr>
        <w:tc>
          <w:tcPr>
            <w:tcW w:w="4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482,935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5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590,347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590,347</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590,591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598,735</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during the three and six months ended June 30, 2021.</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financial liabilities related to lease obligations as of June 30, 2021 and December 31, 2020 were $0.9 million and $1.1 million, respectively. The fair values of the Company’s financial liabilities are carried at historical cost that were derived by using an income approach, which required Level 3 inputs such as discounted estimated future cash flows. There were no transfers of assets or liabilities between levels for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Balance Sheet Line Item</w:t>
            </w: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2020</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Finance:</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50,477</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(20,871)</w:t>
            </w:r>
          </w:p>
        </w:tc>
      </w:tr>
      <w:tr>
        <w:trPr>
          <w:trHeight w:val="223"/>
        </w:trPr>
        <w:tc>
          <w:tcPr>
            <w:tcW w:w="4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Finance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Operating:</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(3,614)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(1,891)</w:t>
            </w:r>
          </w:p>
        </w:tc>
      </w:tr>
      <w:tr>
        <w:trPr>
          <w:trHeight w:val="223"/>
        </w:trPr>
        <w:tc>
          <w:tcPr>
            <w:tcW w:w="40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4080" w:type="dxa"/>
            <w:vAlign w:val="bottom"/>
            <w:tcBorders>
              <w:bottom w:val="single" w:sz="8" w:color="CFF0FC"/>
            </w:tcBorders>
          </w:tcPr>
          <w:p>
            <w:pPr>
              <w:jc w:val="right"/>
              <w:ind w:right="2130"/>
              <w:spacing w:after="0"/>
              <w:rPr>
                <w:sz w:val="20"/>
                <w:szCs w:val="20"/>
                <w:color w:val="auto"/>
              </w:rPr>
            </w:pPr>
            <w:r>
              <w:rPr>
                <w:rFonts w:ascii="Arial" w:cs="Arial" w:eastAsia="Arial" w:hAnsi="Arial"/>
                <w:sz w:val="18"/>
                <w:szCs w:val="18"/>
                <w:color w:val="auto"/>
              </w:rPr>
              <w:t>Total lease assets</w:t>
            </w:r>
          </w:p>
        </w:tc>
        <w:tc>
          <w:tcPr>
            <w:tcW w:w="38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97,952</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31,649</w:t>
            </w:r>
          </w:p>
        </w:tc>
        <w:tc>
          <w:tcPr>
            <w:tcW w:w="120" w:type="dxa"/>
            <w:vAlign w:val="bottom"/>
            <w:tcBorders>
              <w:bottom w:val="single" w:sz="8" w:color="CFF0FC"/>
            </w:tcBorders>
          </w:tcPr>
          <w:p>
            <w:pPr>
              <w:spacing w:after="0"/>
              <w:rPr>
                <w:sz w:val="22"/>
                <w:szCs w:val="22"/>
                <w:color w:val="auto"/>
              </w:rPr>
            </w:pPr>
          </w:p>
        </w:tc>
      </w:tr>
      <w:tr>
        <w:trPr>
          <w:trHeight w:val="210"/>
        </w:trPr>
        <w:tc>
          <w:tcPr>
            <w:tcW w:w="4080" w:type="dxa"/>
            <w:vAlign w:val="bottom"/>
            <w:shd w:val="clear" w:color="auto" w:fill="CFF0FC"/>
          </w:tcPr>
          <w:p>
            <w:pPr>
              <w:spacing w:after="0"/>
              <w:rPr>
                <w:sz w:val="18"/>
                <w:szCs w:val="18"/>
                <w:color w:val="auto"/>
              </w:rPr>
            </w:pPr>
          </w:p>
        </w:tc>
        <w:tc>
          <w:tcPr>
            <w:tcW w:w="3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tcPr>
          <w:p>
            <w:pPr>
              <w:spacing w:after="0"/>
              <w:rPr>
                <w:sz w:val="20"/>
                <w:szCs w:val="20"/>
                <w:color w:val="auto"/>
              </w:rPr>
            </w:pPr>
            <w:r>
              <w:rPr>
                <w:rFonts w:ascii="Arial" w:cs="Arial" w:eastAsia="Arial" w:hAnsi="Arial"/>
                <w:sz w:val="18"/>
                <w:szCs w:val="18"/>
                <w:color w:val="auto"/>
              </w:rPr>
              <w:t>Finance lease liabilities, current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19"/>
                <w:szCs w:val="19"/>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Non-current:</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25,391</w:t>
            </w:r>
          </w:p>
        </w:tc>
        <w:tc>
          <w:tcPr>
            <w:tcW w:w="120" w:type="dxa"/>
            <w:vAlign w:val="bottom"/>
            <w:shd w:val="clear" w:color="auto" w:fill="CFF0FC"/>
          </w:tcPr>
          <w:p>
            <w:pPr>
              <w:spacing w:after="0"/>
              <w:rPr>
                <w:sz w:val="19"/>
                <w:szCs w:val="19"/>
                <w:color w:val="auto"/>
              </w:rPr>
            </w:pPr>
          </w:p>
        </w:tc>
      </w:tr>
      <w:tr>
        <w:trPr>
          <w:trHeight w:val="230"/>
        </w:trPr>
        <w:tc>
          <w:tcPr>
            <w:tcW w:w="4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jc w:val="right"/>
              <w:ind w:right="2130"/>
              <w:spacing w:after="0"/>
              <w:rPr>
                <w:sz w:val="20"/>
                <w:szCs w:val="20"/>
                <w:color w:val="auto"/>
              </w:rPr>
            </w:pPr>
            <w:r>
              <w:rPr>
                <w:rFonts w:ascii="Arial" w:cs="Arial" w:eastAsia="Arial" w:hAnsi="Arial"/>
                <w:sz w:val="18"/>
                <w:szCs w:val="18"/>
                <w:color w:val="auto"/>
              </w:rPr>
              <w:t>Total lease liabilities</w:t>
            </w:r>
          </w:p>
        </w:tc>
        <w:tc>
          <w:tcPr>
            <w:tcW w:w="3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104,943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Company’s long-term property lease with Alexandria for its corporate headquarters in San Francisco, California, had an initial term of 15 years, scheduled to expire in 2023. The original lease was accounted for as a finance lease upon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at January 1, 2019. On June 1, 2021, the Company entered into an amendment with Alexandria to extend the lease to 2028 (“Lease Amendment”). Under the terms of the Lease Amendment, the Company has two optional rights to each extend the lease for an additional five years. The lease contract provides for a fixed annual rent, with scheduled increases of two percent that occur on each anniversary of the rent commencement date through 2023, and with scheduled increases of three percent that occur on each anniversary of the rent commencement date through 2028. This lease requires the Company to pay all costs of ownership, operation, and maintenance of the premises, including without limitation all operating costs, insurance costs, and taxes.</w:t>
      </w:r>
    </w:p>
    <w:p>
      <w:pPr>
        <w:spacing w:after="0" w:line="16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Company determined that the Lease Amendment was a lease modification, effective June 1, 2021, and thus reassessed the lease classification, remeasured the related lease liability using an updated discount rate, and adjusted the related right-of-use asset under the lease modification guidance under the ASC</w:t>
      </w:r>
    </w:p>
    <w:p>
      <w:pPr>
        <w:ind w:right="60" w:firstLine="8"/>
        <w:spacing w:after="0" w:line="253"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Accordingly, on June 1, 2021, the Company determined that the modified lease be accounted for as an operating lease, and therefore derecognized the previous finance lease right-of-use asset of $24.6 million and the related finance lease liability of $32.6 million, and recognized an operating lease right-of-use asset of $93.2 million and the related operating lease liability of $101.2 million. Starting June 1, 2021, the cash payment related to this lease was classified as an operating activity, the impact of which was approximately $1.1 million to the condensed consolidated statement of cash flow for the six months ended June 30, 2021.</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months ended March 31, 2021, after FibroGen Beijing’s previous long-term lease agreement expired, the Company entered into a new lease agreement with the landlord for the same pilot plant located in Beijing Yizhuang Biomedical Park of BDA. The new lease term is five year, scheduled to expire in 2026, and is treated as an operating lease. Accordingly, the Company recorded $3.4 million in the operating right-of-use assets and total operating lease liabilities, respectively. The lease contract provides for fixed quarterly rent payments, and require the Company to pay operating and maintenance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Statement of Operations Line Item</w:t>
            </w:r>
          </w:p>
        </w:tc>
        <w:tc>
          <w:tcPr>
            <w:tcW w:w="220" w:type="dxa"/>
            <w:vAlign w:val="bottom"/>
          </w:tcPr>
          <w:p>
            <w:pPr>
              <w:spacing w:after="0"/>
              <w:rPr>
                <w:sz w:val="14"/>
                <w:szCs w:val="14"/>
                <w:color w:val="auto"/>
              </w:rPr>
            </w:pPr>
          </w:p>
        </w:tc>
        <w:tc>
          <w:tcPr>
            <w:tcW w:w="222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11"/>
          </w:tcPr>
          <w:p>
            <w:pPr>
              <w:jc w:val="right"/>
              <w:ind w:right="4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560" w:type="dxa"/>
            <w:vAlign w:val="bottom"/>
            <w:gridSpan w:val="3"/>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34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gridSpan w:val="3"/>
          </w:tcPr>
          <w:p>
            <w:pPr>
              <w:ind w:left="260"/>
              <w:spacing w:after="0"/>
              <w:rPr>
                <w:sz w:val="20"/>
                <w:szCs w:val="20"/>
                <w:color w:val="auto"/>
              </w:rPr>
            </w:pPr>
            <w:r>
              <w:rPr>
                <w:rFonts w:ascii="Arial" w:cs="Arial" w:eastAsia="Arial" w:hAnsi="Arial"/>
                <w:sz w:val="18"/>
                <w:szCs w:val="18"/>
                <w:color w:val="auto"/>
              </w:rPr>
              <w:t>Amortization of</w:t>
            </w:r>
          </w:p>
        </w:tc>
        <w:tc>
          <w:tcPr>
            <w:tcW w:w="35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1,777</w:t>
            </w:r>
          </w:p>
        </w:tc>
        <w:tc>
          <w:tcPr>
            <w:tcW w:w="180" w:type="dxa"/>
            <w:vAlign w:val="bottom"/>
          </w:tcPr>
          <w:p>
            <w:pPr>
              <w:spacing w:after="0"/>
              <w:rPr>
                <w:sz w:val="18"/>
                <w:szCs w:val="18"/>
                <w:color w:val="auto"/>
              </w:rPr>
            </w:pPr>
          </w:p>
        </w:tc>
        <w:tc>
          <w:tcPr>
            <w:tcW w:w="4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2,653</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5,247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3"/>
          </w:tcPr>
          <w:p>
            <w:pPr>
              <w:ind w:left="380"/>
              <w:spacing w:after="0"/>
              <w:rPr>
                <w:sz w:val="20"/>
                <w:szCs w:val="20"/>
                <w:color w:val="auto"/>
              </w:rPr>
            </w:pPr>
            <w:r>
              <w:rPr>
                <w:rFonts w:ascii="Arial" w:cs="Arial" w:eastAsia="Arial" w:hAnsi="Arial"/>
                <w:sz w:val="18"/>
                <w:szCs w:val="18"/>
                <w:color w:val="auto"/>
              </w:rPr>
              <w:t>right-of-use assets</w:t>
            </w:r>
          </w:p>
        </w:tc>
        <w:tc>
          <w:tcPr>
            <w:tcW w:w="356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Interest on lease liabilities</w:t>
            </w:r>
          </w:p>
        </w:tc>
        <w:tc>
          <w:tcPr>
            <w:tcW w:w="3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gridSpan w:val="3"/>
          </w:tcPr>
          <w:p>
            <w:pPr>
              <w:spacing w:after="0"/>
              <w:rPr>
                <w:sz w:val="20"/>
                <w:szCs w:val="20"/>
                <w:color w:val="auto"/>
              </w:rPr>
            </w:pPr>
            <w:r>
              <w:rPr>
                <w:rFonts w:ascii="Arial" w:cs="Arial" w:eastAsia="Arial" w:hAnsi="Arial"/>
                <w:sz w:val="18"/>
                <w:szCs w:val="18"/>
                <w:color w:val="auto"/>
              </w:rPr>
              <w:t>Operating lease cost</w:t>
            </w:r>
          </w:p>
        </w:tc>
        <w:tc>
          <w:tcPr>
            <w:tcW w:w="35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35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(275)</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2600" w:type="dxa"/>
            <w:vAlign w:val="bottom"/>
            <w:gridSpan w:val="3"/>
          </w:tcPr>
          <w:p>
            <w:pPr>
              <w:ind w:left="140"/>
              <w:spacing w:after="0"/>
              <w:rPr>
                <w:sz w:val="20"/>
                <w:szCs w:val="20"/>
                <w:color w:val="auto"/>
              </w:rPr>
            </w:pPr>
            <w:r>
              <w:rPr>
                <w:rFonts w:ascii="Arial" w:cs="Arial" w:eastAsia="Arial" w:hAnsi="Arial"/>
                <w:sz w:val="18"/>
                <w:szCs w:val="18"/>
                <w:color w:val="auto"/>
              </w:rPr>
              <w:t>Total lease cost</w:t>
            </w:r>
          </w:p>
        </w:tc>
        <w:tc>
          <w:tcPr>
            <w:tcW w:w="3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6"/>
            <w:vMerge w:val="restart"/>
          </w:tcPr>
          <w:p>
            <w:pPr>
              <w:ind w:left="40"/>
              <w:spacing w:after="0"/>
              <w:rPr>
                <w:sz w:val="20"/>
                <w:szCs w:val="20"/>
                <w:color w:val="auto"/>
              </w:rPr>
            </w:pPr>
            <w:r>
              <w:rPr>
                <w:rFonts w:ascii="Arial" w:cs="Arial" w:eastAsia="Arial" w:hAnsi="Arial"/>
                <w:sz w:val="18"/>
                <w:szCs w:val="18"/>
                <w:color w:val="auto"/>
                <w:w w:val="90"/>
              </w:rPr>
              <w:t>Supplemental cash flow information related to leases were as follows (in thousands):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58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b w:val="1"/>
                <w:bCs w:val="1"/>
                <w:color w:val="auto"/>
                <w:w w:val="91"/>
              </w:rPr>
              <w:t>Cash paid for amounts included in the measurement of lease liabilities:</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9"/>
                <w:szCs w:val="19"/>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58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628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1,010</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5,992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0" w:type="dxa"/>
            <w:vAlign w:val="bottom"/>
            <w:gridSpan w:val="6"/>
            <w:shd w:val="clear" w:color="auto" w:fill="CFF0FC"/>
          </w:tcPr>
          <w:p>
            <w:pPr>
              <w:spacing w:after="0"/>
              <w:rPr>
                <w:sz w:val="20"/>
                <w:szCs w:val="20"/>
                <w:color w:val="auto"/>
              </w:rPr>
            </w:pPr>
            <w:r>
              <w:rPr>
                <w:rFonts w:ascii="Arial" w:cs="Arial" w:eastAsia="Arial" w:hAnsi="Arial"/>
                <w:sz w:val="18"/>
                <w:szCs w:val="18"/>
                <w:b w:val="1"/>
                <w:bCs w:val="1"/>
                <w:color w:val="auto"/>
                <w:w w:val="88"/>
              </w:rPr>
              <w:t>Non-cash: Right-of-use assets obtained in exchange for new lease liabilities: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3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303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3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tcPr>
          <w:p>
            <w:pPr>
              <w:spacing w:after="0"/>
              <w:rPr>
                <w:sz w:val="20"/>
                <w:szCs w:val="20"/>
                <w:color w:val="auto"/>
              </w:rPr>
            </w:pPr>
            <w:r>
              <w:rPr>
                <w:rFonts w:ascii="Arial" w:cs="Arial" w:eastAsia="Arial" w:hAnsi="Arial"/>
                <w:sz w:val="18"/>
                <w:szCs w:val="18"/>
                <w:b w:val="1"/>
                <w:bCs w:val="1"/>
                <w:color w:val="auto"/>
              </w:rPr>
              <w:t>Non-cash: Increase (decrease) resulting from lease modification:</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58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Finance lease right-of-use assets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6"/>
            <w:shd w:val="clear" w:color="auto" w:fill="CFF0FC"/>
          </w:tcPr>
          <w:p>
            <w:pPr>
              <w:jc w:val="right"/>
              <w:ind w:right="60"/>
              <w:spacing w:after="0"/>
              <w:rPr>
                <w:sz w:val="20"/>
                <w:szCs w:val="20"/>
                <w:color w:val="auto"/>
              </w:rPr>
            </w:pPr>
            <w:r>
              <w:rPr>
                <w:rFonts w:ascii="Arial" w:cs="Arial" w:eastAsia="Arial" w:hAnsi="Arial"/>
                <w:sz w:val="18"/>
                <w:szCs w:val="18"/>
                <w:color w:val="auto"/>
              </w:rPr>
              <w:t>(24,654)</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93,222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Finance lease liabilities, current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6"/>
            <w:shd w:val="clear" w:color="auto" w:fill="CFF0FC"/>
          </w:tcPr>
          <w:p>
            <w:pPr>
              <w:jc w:val="right"/>
              <w:ind w:right="60"/>
              <w:spacing w:after="0"/>
              <w:rPr>
                <w:sz w:val="20"/>
                <w:szCs w:val="20"/>
                <w:color w:val="auto"/>
              </w:rPr>
            </w:pPr>
            <w:r>
              <w:rPr>
                <w:rFonts w:ascii="Arial" w:cs="Arial" w:eastAsia="Arial" w:hAnsi="Arial"/>
                <w:sz w:val="18"/>
                <w:szCs w:val="18"/>
                <w:color w:val="auto"/>
              </w:rPr>
              <w:t>(12,587)</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9,221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58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Finance lease liabilities, non-current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6"/>
            <w:shd w:val="clear" w:color="auto" w:fill="CFF0FC"/>
          </w:tcPr>
          <w:p>
            <w:pPr>
              <w:jc w:val="right"/>
              <w:ind w:right="60"/>
              <w:spacing w:after="0"/>
              <w:rPr>
                <w:sz w:val="20"/>
                <w:szCs w:val="20"/>
                <w:color w:val="auto"/>
              </w:rPr>
            </w:pPr>
            <w:r>
              <w:rPr>
                <w:rFonts w:ascii="Arial" w:cs="Arial" w:eastAsia="Arial" w:hAnsi="Arial"/>
                <w:sz w:val="18"/>
                <w:szCs w:val="18"/>
                <w:color w:val="auto"/>
              </w:rPr>
              <w:t>(20,009)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91,943</w:t>
            </w:r>
          </w:p>
        </w:tc>
        <w:tc>
          <w:tcPr>
            <w:tcW w:w="120" w:type="dxa"/>
            <w:vAlign w:val="bottom"/>
          </w:tcPr>
          <w:p>
            <w:pPr>
              <w:spacing w:after="0"/>
              <w:rPr>
                <w:sz w:val="20"/>
                <w:szCs w:val="2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6160" w:type="dxa"/>
            <w:vAlign w:val="bottom"/>
            <w:gridSpan w:val="6"/>
          </w:tcPr>
          <w:p>
            <w:pPr>
              <w:ind w:left="40"/>
              <w:spacing w:after="0"/>
              <w:rPr>
                <w:sz w:val="20"/>
                <w:szCs w:val="20"/>
                <w:color w:val="auto"/>
              </w:rPr>
            </w:pPr>
            <w:r>
              <w:rPr>
                <w:rFonts w:ascii="Arial" w:cs="Arial" w:eastAsia="Arial" w:hAnsi="Arial"/>
                <w:sz w:val="18"/>
                <w:szCs w:val="18"/>
                <w:color w:val="auto"/>
              </w:rPr>
              <w:t>Lease term and discount rate were as follows: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June 30, 2021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3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6"/>
              </w:rPr>
              <w:t>Operating leases</w:t>
            </w:r>
          </w:p>
        </w:tc>
        <w:tc>
          <w:tcPr>
            <w:tcW w:w="3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3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ind w:left="120"/>
              <w:spacing w:after="0"/>
              <w:rPr>
                <w:sz w:val="20"/>
                <w:szCs w:val="20"/>
                <w:color w:val="auto"/>
              </w:rPr>
            </w:pPr>
            <w:r>
              <w:rPr>
                <w:rFonts w:ascii="Arial" w:cs="Arial" w:eastAsia="Arial" w:hAnsi="Arial"/>
                <w:sz w:val="18"/>
                <w:szCs w:val="18"/>
                <w:color w:val="auto"/>
                <w:w w:val="96"/>
              </w:rPr>
              <w:t>Operating leases</w:t>
            </w:r>
          </w:p>
        </w:tc>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ind w:left="294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June 30, 2021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5620" w:type="dxa"/>
            <w:vAlign w:val="bottom"/>
            <w:gridSpan w:val="2"/>
          </w:tcPr>
          <w:p>
            <w:pPr>
              <w:ind w:left="8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Finance Leases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(remaining six month period)</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Beyond 2025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Interest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56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20" w:type="dxa"/>
            <w:vAlign w:val="bottom"/>
            <w:vMerge w:val="continue"/>
          </w:tcPr>
          <w:p>
            <w:pPr>
              <w:spacing w:after="0"/>
              <w:rPr>
                <w:sz w:val="24"/>
                <w:szCs w:val="24"/>
                <w:color w:val="auto"/>
              </w:rPr>
            </w:pPr>
          </w:p>
        </w:tc>
        <w:tc>
          <w:tcPr>
            <w:tcW w:w="5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130,035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353,361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June 30, 2021 and December 31, 2020, a total of $85.1 million and $66.0 million, respectively, of the Company’s cash and cash equivalents were held outside of the U.S. in its foreign subsidiaries to be used primarily for its China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investments consist of available-for-sale debt investments and marketable equity investments. The amortized cost, gross unrealized holding gains or losses, and fair value of the Company’s investments by major investments type are summarized in the tables below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1200"/>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Amortized 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Holding 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Holding Losses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104,499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69,400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bonds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Agency bonds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Foreign government bonds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259,534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Amortized 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Holding Gains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Holding Losses</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investments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June 30, 2021, the available-for-sale investments had contractual maturities range from several months to two years. During the three and six months ended June 30, 2021 and 2020, the Company did not recognize any other-than-temporary impairment loss.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Work-in-progress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8,114</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16,530</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capitalizes inventory costs for FibroGen Beijing’s production of roxadustat for commercial sales purposes. The Company started capitalizing pre-launch inventory costs in the second quarter of 2020 prior to regulatory approvals in the U.S. and other territories. As of June 30, 2021 and December 31, 2020, pre-launch inventory capitalized was 37% and 29% of the total inventory balance, respectively. The provision to write-down excess and obsolete inventory was immaterial for three and six months ended June 30, 2021 and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Unbilled contract assets</w:t>
            </w:r>
          </w:p>
        </w:tc>
        <w:tc>
          <w:tcPr>
            <w:tcW w:w="8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Deferred revenues from associated contracts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(5,256)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(2,147)</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unbilled contract assets</w:t>
            </w:r>
          </w:p>
        </w:tc>
        <w:tc>
          <w:tcPr>
            <w:tcW w:w="8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Prepaid assets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7,149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8,353</w:t>
            </w:r>
          </w:p>
        </w:tc>
        <w:tc>
          <w:tcPr>
            <w:tcW w:w="8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8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10,160</w:t>
            </w:r>
          </w:p>
        </w:tc>
        <w:tc>
          <w:tcPr>
            <w:tcW w:w="8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unbilled contract assets as of June 30, 2021 of $5.3 million related to unbilled co-development revenue under the China Amendment with AstraZeneca. The unbilled contract assets as of December 31, 2020 were related to unbilled co-development revenue under the China Amendment with AstraZeneca. See Note 2,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for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2020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102,657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102,006</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Laboratory equipment</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18,143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Machinery</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Computer equipment</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9,545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144,894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(116,359)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(111,247)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00" w:type="dxa"/>
            <w:vAlign w:val="bottom"/>
            <w:vMerge w:val="restart"/>
          </w:tcPr>
          <w:p>
            <w:pPr>
              <w:jc w:val="right"/>
              <w:ind w:right="610"/>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65,274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22,800</w:t>
            </w:r>
          </w:p>
        </w:tc>
        <w:tc>
          <w:tcPr>
            <w:tcW w:w="8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to pharmaceutical distributors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15,137</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Accrued co-promotion expenses - current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20,832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11,537</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Roxadustat profit share to AstraZeneca</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Property taxes and other taxes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5,970</w:t>
            </w:r>
          </w:p>
        </w:tc>
        <w:tc>
          <w:tcPr>
            <w:tcW w:w="8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8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8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147,801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118,333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profit share liability of $7.0 million to AstraZeneca as of June 30, 2021 and December 31, 2020 represented the profit/loss share between FibroGen Beijing and AstraZeneca that was calculated for the interim period pursuant to the China Amendment. This liability correspondingly reduced the deferred revenue related to the performance obligation in accordance with the China Amendment.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long-term co-promotion expenses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Other long-term tax liabilities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8,985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8,675</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2,690</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color w:val="auto"/>
              </w:rPr>
              <w:t>Total other long-term liabilities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38,789</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Stock-based compensation expense was recorded directly to research and development and selling, general and administrative expense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10,681</w:t>
            </w: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10,780</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22,903</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21,417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8,320</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15,482</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13,143</w:t>
            </w:r>
          </w:p>
        </w:tc>
        <w:tc>
          <w:tcPr>
            <w:tcW w:w="120" w:type="dxa"/>
            <w:vAlign w:val="bottom"/>
            <w:tcBorders>
              <w:bottom w:val="single" w:sz="8" w:color="CFF0FC"/>
            </w:tcBorders>
          </w:tcPr>
          <w:p>
            <w:pPr>
              <w:spacing w:after="0"/>
              <w:rPr>
                <w:sz w:val="19"/>
                <w:szCs w:val="19"/>
                <w:color w:val="auto"/>
              </w:rPr>
            </w:pPr>
          </w:p>
        </w:tc>
      </w:tr>
      <w:tr>
        <w:trPr>
          <w:trHeight w:val="223"/>
        </w:trPr>
        <w:tc>
          <w:tcPr>
            <w:tcW w:w="35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8"/>
              </w:rPr>
              <w:t>Total stock-based compensation expense</w:t>
            </w:r>
          </w:p>
        </w:tc>
        <w:tc>
          <w:tcPr>
            <w:tcW w:w="3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19,001</w:t>
            </w:r>
          </w:p>
        </w:tc>
        <w:tc>
          <w:tcPr>
            <w:tcW w:w="2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17,644</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38,385</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34,560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40"/>
        <w:spacing w:after="0" w:line="277" w:lineRule="auto"/>
        <w:rPr>
          <w:sz w:val="20"/>
          <w:szCs w:val="20"/>
          <w:color w:val="auto"/>
        </w:rPr>
      </w:pPr>
      <w:r>
        <w:rPr>
          <w:rFonts w:ascii="Arial" w:cs="Arial" w:eastAsia="Arial" w:hAnsi="Arial"/>
          <w:sz w:val="18"/>
          <w:szCs w:val="18"/>
          <w:color w:val="auto"/>
        </w:rPr>
        <w:t>The assumptions used to estimate the fair value of stock options granted and purchases under the Company’s 2014 Employee Share Purchase Plan (“ESPP”) using the Black-Scholes option valuation model were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r>
      <w:tr>
        <w:trPr>
          <w:trHeight w:val="155"/>
        </w:trPr>
        <w:tc>
          <w:tcPr>
            <w:tcW w:w="326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21.72</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25.38</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17.75</w:t>
            </w:r>
          </w:p>
        </w:tc>
        <w:tc>
          <w:tcPr>
            <w:tcW w:w="280" w:type="dxa"/>
            <w:vAlign w:val="bottom"/>
          </w:tcPr>
          <w:p>
            <w:pPr>
              <w:spacing w:after="0"/>
              <w:rPr>
                <w:sz w:val="20"/>
                <w:szCs w:val="20"/>
                <w:color w:val="auto"/>
              </w:rPr>
            </w:pPr>
          </w:p>
        </w:tc>
      </w:tr>
      <w:tr>
        <w:trPr>
          <w:trHeight w:val="229"/>
        </w:trPr>
        <w:tc>
          <w:tcPr>
            <w:tcW w:w="3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0.5 - 2.0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0.5 - 2.0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0.5 - 2.0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0.5 - 2.0</w:t>
            </w:r>
          </w:p>
        </w:tc>
        <w:tc>
          <w:tcPr>
            <w:tcW w:w="28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47.5 - 104.2 %</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49.5 - 77.1 %</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47.5 - 104.2 %</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49.5 - 77.1 %</w:t>
            </w: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0.0 - 2.2 %</w:t>
            </w:r>
          </w:p>
        </w:tc>
        <w:tc>
          <w:tcPr>
            <w:tcW w:w="26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0.2 - 2.9 %</w:t>
            </w:r>
          </w:p>
        </w:tc>
        <w:tc>
          <w:tcPr>
            <w:tcW w:w="220" w:type="dxa"/>
            <w:vAlign w:val="bottom"/>
          </w:tcPr>
          <w:p>
            <w:pPr>
              <w:spacing w:after="0"/>
              <w:rPr>
                <w:sz w:val="19"/>
                <w:szCs w:val="19"/>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0.0 - 2.2 %</w:t>
            </w: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0.2 - 2.9 %</w:t>
            </w: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13.60</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17.82</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14.69</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18.11</w:t>
            </w:r>
          </w:p>
        </w:tc>
        <w:tc>
          <w:tcPr>
            <w:tcW w:w="2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080"/>
          </w:cols>
          <w:pgMar w:left="320" w:top="125" w:right="499" w:bottom="1440" w:gutter="0" w:footer="0" w:header="0"/>
        </w:sectPr>
      </w:pP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Provision for (benefit from) income tax for the three and six months ended June 30, 2021 were primarily due to foreign taxes. Provision for (benefit from) income tax for the three and six months ended June 30, 2020 were primarily due to the tax effect arising from other comprehensive income related to available-for-sale securities, and foreign taxes.</w:t>
      </w:r>
    </w:p>
    <w:p>
      <w:pPr>
        <w:spacing w:after="0" w:line="18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spacing w:after="0" w:line="328"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Astellas is an equity investor in the Company and is considered a related party. The Company recorded revenue related to collaboration agreements with Astellas of $2.6 million and $4.8 million for the three months ended June 30, 2021 and 2020, and $6.3 million and $9.5 million for the six months ended June 30, 2021 and 2020, respectively. The Company also recorded drug product revenue from Astellas of $(2.0) million and $8.2 million for the three months ended June 30, 2021 and 2020, and $2.1 million and $8.2 million for the six months ended June 30, 2021 and 2020, respectively. See Note 2,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for details.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expense related to collaboration agreements with Astellas was immaterial for each of the three and six months ended June 30,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accounts receivable from Astellas were $2.6 million and $4.1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total deferred revenue from Astellas was $20.1 million and $7.5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amount due to Astellas was immaterial. As of December 31, 2020, amount due to Astellas was $1.1 million.</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 xml:space="preserve">Falikang, an entity jointly owned by FibroGen Beijing and AstraZeneca is an unconsolidated VIE accounted for as an equity method investment, and considered as a related party to the Company. FibroGen Beijing owns 51.1% of Falikang’s equity. See Note 3, </w:t>
      </w:r>
      <w:r>
        <w:rPr>
          <w:rFonts w:ascii="Arial" w:cs="Arial" w:eastAsia="Arial" w:hAnsi="Arial"/>
          <w:sz w:val="16"/>
          <w:szCs w:val="16"/>
          <w:i w:val="1"/>
          <w:iCs w:val="1"/>
          <w:color w:val="auto"/>
        </w:rPr>
        <w:t>Variable Interest Entity</w:t>
      </w:r>
      <w:r>
        <w:rPr>
          <w:rFonts w:ascii="Arial" w:cs="Arial" w:eastAsia="Arial" w:hAnsi="Arial"/>
          <w:sz w:val="16"/>
          <w:szCs w:val="16"/>
          <w:color w:val="auto"/>
        </w:rPr>
        <w:t>, for details.</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For the three and six months ended June 30, 2021, the net product revenue from Falikang was $11.8 million and $22.2 million, respectively. See Note 2,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for details.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For the three and six months ended June 30, 2021, the investment income in Falikang was $0.6 million and $0.3 million, respectively. As of June 30, 2021 and December 31, 2020, the Company’s equity method investment in Falikang was $3.1 million and $2.7 million, respectively. See Note 3, </w:t>
      </w:r>
      <w:r>
        <w:rPr>
          <w:rFonts w:ascii="Arial" w:cs="Arial" w:eastAsia="Arial" w:hAnsi="Arial"/>
          <w:sz w:val="18"/>
          <w:szCs w:val="18"/>
          <w:i w:val="1"/>
          <w:iCs w:val="1"/>
          <w:color w:val="auto"/>
        </w:rPr>
        <w:t>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Entity</w:t>
      </w:r>
      <w:r>
        <w:rPr>
          <w:rFonts w:ascii="Arial" w:cs="Arial" w:eastAsia="Arial" w:hAnsi="Arial"/>
          <w:sz w:val="18"/>
          <w:szCs w:val="18"/>
          <w:color w:val="auto"/>
        </w:rPr>
        <w:t>, for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accounts receivable, net, from Falikang was of $10.8 million.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30, 2021, there was no miscellaneous receivables from Falikang. As of December 31, 2020, prepaid expenses and other current assets included miscellaneous receivables from Falikang of $0.9 million.</w:t>
      </w:r>
    </w:p>
    <w:p>
      <w:pPr>
        <w:spacing w:after="0" w:line="274" w:lineRule="exact"/>
        <w:rPr>
          <w:sz w:val="20"/>
          <w:szCs w:val="20"/>
          <w:color w:val="auto"/>
        </w:rPr>
      </w:pPr>
    </w:p>
    <w:p>
      <w:pPr>
        <w:ind w:left="880" w:hanging="872"/>
        <w:spacing w:after="0"/>
        <w:tabs>
          <w:tab w:leader="none" w:pos="8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June 30, 2021, the Company had outstanding total non-cancelable purchase obligations of $81.9 million, including $29.6 million for manufacture and supply of roxadustat, $47.3 million for manufacture and supply of pamrevlumab, and $5.0 million for other purchases. The Company expects to fulfill our commitments under these agreements in the normal course of business, and as such, no liability has been recorded.</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Some of the Company’s license agreements provide for periodic maintenance fees over specified time periods, as well as payments by the Company upon the achievement of development, regulatory and commercial milestones. As of June 30, 2021, future milestone payments for research and pre-clinical stage development programs consisted of up to approximately $359.2 million in total potential future milestone payments under the Company’s license agreements with HiFiBiO (for Galectin-9),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did not have material accruals for any currently active legal action in its condensed consolidated balance sheets as of June 30, 2021, as it could not predict the ultimate outcome of these matters, or reasonably estimate the potential exposure.</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2021, three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FDA approval between November 2019 and December 2020. Plaintiffs seek to represent a class of persons or entities that purchased FibroGen securities between November 8, 2019 and April 6, 2021. In May 2021, two additional putative securities class action complaints were filed against Defendants alleging the same claims. One of the lawsuits alleges that Defendants made materially false and misleading statements between October 2017 and December 2020 and seeks to represent a class of persons or entities that purchased FibroGen securities between October 18, 2017 and April 6, 2021. The other lawsuit alleges that Defendants made materially false and misleading statements between December 2018 and February 2020 and seeks to represent a class of persons or entities that purchased FibroGen securities between December 20, 2018 and April 6, 2021. All plaintiffs seek unspecified monetary damages and other relief. Motions for lead plaintiff were filed on June 11, 2021 and a hearing on the motion is scheduled for August 19, 2021. Once a lead plaintiff is appointed by the Court, the Company expects to receive an amended consolidated complaint.</w:t>
      </w:r>
    </w:p>
    <w:p>
      <w:pPr>
        <w:spacing w:after="0" w:line="17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July 30, 2021, a purported shareholder derivative complaint was filed in the U.S. District Court for the Northern District of California. The complaint names as defendants ten of the Company’s officers and directors, as well as the Company as nominal defendant, and asserts state and federal claims based on some of the same alleged misstatements as the securities class action complaints. The complaint seeks unspecified damages, attorneys’ fees, and other costs. The Company and individual defendants have not yet been served.</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285" w:lineRule="exact"/>
        <w:rPr>
          <w:sz w:val="20"/>
          <w:szCs w:val="20"/>
          <w:color w:val="auto"/>
        </w:rPr>
      </w:pPr>
    </w:p>
    <w:p>
      <w:pPr>
        <w:ind w:left="880" w:hanging="872"/>
        <w:spacing w:after="0"/>
        <w:tabs>
          <w:tab w:leader="none" w:pos="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 of FDA Advisory Committee Review</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July 15, 2021, the FDA CRDAC voted to recommend not approving roxadustat for the treatment of anemia due to CKD in adult patients. While the FDA is not required to follow the CRDAC’s vote, the agency considers the CRDAC’s non-binding recommendations when making its decision.</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evaluated this subsequent event and concluded that it required adjustment and disclosure in the condensed consolidated financial statements, specifically to the drug product revenue related the bulk drug product shipments to AstraZeneca as commercial supply under the terms of the Master Supply Agreement. As a result, the Company recorded $11.2 million as deferred revenue as of June 30, 2021. See Note 2, </w:t>
      </w:r>
      <w:r>
        <w:rPr>
          <w:rFonts w:ascii="Arial" w:cs="Arial" w:eastAsia="Arial" w:hAnsi="Arial"/>
          <w:sz w:val="18"/>
          <w:szCs w:val="18"/>
          <w:i w:val="1"/>
          <w:iCs w:val="1"/>
          <w:color w:val="auto"/>
        </w:rPr>
        <w:t>Collaboration Agreements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Revenues</w:t>
      </w:r>
      <w:r>
        <w:rPr>
          <w:rFonts w:ascii="Arial" w:cs="Arial" w:eastAsia="Arial" w:hAnsi="Arial"/>
          <w:sz w:val="18"/>
          <w:szCs w:val="18"/>
          <w:color w:val="auto"/>
        </w:rPr>
        <w:t>, for details.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Eluminex</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19, 2021, Eluminex Biosciences (Suzhou) Limited (“Eluminex”), an ophthalmology-focused biotechnology company headquartered in Suzhou, China with a US-subsidiary office in San Francisco Bay Area, California, exclusively licensed global rights from FibroGen, Inc. for the development and commercialization of an investigational biosynthetic cornea derived from recombinant human collagen Type III intended to treat patients with corneal blindness.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terms of the agreement, Eluminex will make an $8 million upfront payment to FibroGen. In addition, FibroGen may receive up to a total of $64 million in future manufacturing, clinical, regulatory, and commercial milestone payments for the biosynthetic cornea program, as well as $36 million in commercial milestones for the first recombinant collagen III product that is not the biosynthetic cornea. FibroGen will also be eligible to receive mid single-digit to low double-digit royalties based upon worldwide net sales of cornea products, and low single-digit to mid single-digit royalties based upon worldwide net sales of other recombinant human collagen type III products that are not cornea products.</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2020 filed with the SEC on March 1, 2021 (“2020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are headquartered in San Francisco, California, with subsidiary offices in Beijing and Shanghai, People’s Republic of China (“China”). We are a leading biopharmaceutical company developing and commercializing a pipeline of first-in-class therapeutics. We apply our pioneering expertise in hypoxia-inducible factor (“HIF”) biology, 2-oxoglutarate enzymology, connective tissue growth factor (“CTGF”) biology, and clinical development to advance innovative medicines for the treatment of anemia, fibrotic disease, and cancer.</w:t>
      </w:r>
    </w:p>
    <w:p>
      <w:pPr>
        <w:spacing w:after="0" w:line="187" w:lineRule="exact"/>
        <w:rPr>
          <w:sz w:val="20"/>
          <w:szCs w:val="20"/>
          <w:color w:val="auto"/>
        </w:rPr>
      </w:pPr>
    </w:p>
    <w:p>
      <w:pPr>
        <w:ind w:right="100"/>
        <w:spacing w:after="0" w:line="226" w:lineRule="exact"/>
        <w:rPr>
          <w:sz w:val="20"/>
          <w:szCs w:val="20"/>
          <w:color w:val="auto"/>
        </w:rPr>
      </w:pPr>
      <w:r>
        <w:rPr>
          <w:rFonts w:ascii="Arial" w:cs="Arial" w:eastAsia="Arial" w:hAnsi="Arial"/>
          <w:sz w:val="18"/>
          <w:szCs w:val="18"/>
          <w:color w:val="auto"/>
        </w:rPr>
        <w:t xml:space="preserve">Roxadustat, our most advanced product, is an oral small molecule inhibitor of HIF prolyl hydroxylase (“HIF-PH”) activity that is being commercialized in China (tradename: </w:t>
      </w:r>
      <w:r>
        <w:rPr>
          <w:rFonts w:ascii="SimSun" w:cs="SimSun" w:eastAsia="SimSun" w:hAnsi="SimSun"/>
          <w:sz w:val="18"/>
          <w:szCs w:val="18"/>
          <w:color w:val="auto"/>
        </w:rPr>
        <w:t>爱瑞卓</w:t>
      </w:r>
      <w:r>
        <w:rPr>
          <w:rFonts w:ascii="Arial" w:cs="Arial" w:eastAsia="Arial" w:hAnsi="Arial"/>
          <w:sz w:val="30"/>
          <w:szCs w:val="30"/>
          <w:color w:val="auto"/>
          <w:vertAlign w:val="superscript"/>
        </w:rPr>
        <w:t>®</w:t>
      </w:r>
      <w:r>
        <w:rPr>
          <w:rFonts w:ascii="Arial" w:cs="Arial" w:eastAsia="Arial" w:hAnsi="Arial"/>
          <w:sz w:val="18"/>
          <w:szCs w:val="18"/>
          <w:color w:val="auto"/>
        </w:rPr>
        <w:t>) for the treatment of anemia caused by chronic kidney disease (“CKD”) in dialysis and non-dialysis patients. EVRENZO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(roxadustat) is also being commercialized in Japan and has been approved in South Korea and Chile for the treatment of anemia associated with CKD in dialysis and non-dialysis patients.</w:t>
      </w:r>
    </w:p>
    <w:p>
      <w:pPr>
        <w:spacing w:after="0" w:line="20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June 2021, the Committee for Medicinal Products for Human Use of the European Medicines Agency (“EMA”) adopted a positive opinion, recommending the granting of Marketing Authorization Application (“MAA”) for the medicinal product Evrenzo (roxadustat), intended for the treatment of adult patients with symptomatic anemia associated with CKD. Our partner Astellas Pharma Inc. (“Astellas”) expects an approval decision on the MAA for roxadustat by the European Commission in August 2021.</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2021, the United States (“U.S.”) Food and Drug Administration (“FDA”) Cardiovascular and Renal Drugs Advisory Committee (“CRDAC”) voted to recommend not approving roxadustat, an oral HIF-PH inhibitor, for the treatment of anemia due to CKD in adult patients. The CRDAC vote was 13 to 1 for non-dialysis dependent CKD patients, and 12 to 2 for dialysis-dependent CKD patients. While the FDA is not required to follow CRDAC’s vote, the agency considers CRDAC’s non-binding recommendations when making its decision.</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Roxadustat is in Phase 3 clinical development in the U.S. and Europe and in Phase 3 development in China for anemia associated with myelodysplastic syndromes (“MDS”). Roxadustat is in Phase 2 clinical development for chemotherapy-induced anemia.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Pamrevlumab, a human monoclonal antibody targeting CTGF, is in Phase 3 clinical development for the treatment of idiopathic pulmonary fibrosis (“IPF”), pancreatic cancer and Duchenne muscular dystrophy (“DMD”).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Severe Acute Respiratory Syndrome Coronavirus 2 and the resulting Coronavirus Disease (“COVID-19”)</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March 11, 2020, COVID-19, a disease caused by a novel strain of the coronavirus, was characterized as a pandemic by the World Health Organization.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rapid spread has resulted in authorities implementing numerous measures to contain the virus.</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While we have seen some impacts from COVID-19, such as slower enrollment in our clinical trials, particularly our Phase 3 IPF program, we do not know if, or to what extent, these effects will continue in the future, as the impact of the COVID-19 pandemic continues to unfold. The effect on our operational and financial performance beyond those effects described above, including any impact on sales of roxadustat, will depend in large part on future developments with the pandemic, which cannot be predicted with confidence at this time. Future developments include the duration, scope, and severity of the COVID-19 pandemic, the actions taken to contain or mitigate its impact, the impact on governmental programs and budgets, the impact on healthcare systems and operating procedures, the development of treatments or roll out of vaccines, and the resumption of widespread economic activity. Due to the inherent uncertainty of the largely unprecedented and rapidly evolving situation, we are unable to predict with any confidence the likely impact of the COVID-19 pandemic on our future operations.</w:t>
      </w:r>
    </w:p>
    <w:p>
      <w:pPr>
        <w:spacing w:after="0" w:line="1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financial results for the three and six months ended June 30, 2021 were not significantly impacted by COVID-19 relative to prior quarters. However, we will continue to monitor, and to the extent possible, mitigate the impact of the COVID-19 pandemic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9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7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1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1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0" w:type="dxa"/>
            <w:vAlign w:val="bottom"/>
            <w:gridSpan w:val="4"/>
          </w:tcPr>
          <w:p>
            <w:pPr>
              <w:jc w:val="right"/>
              <w:ind w:right="337"/>
              <w:spacing w:after="0" w:line="155" w:lineRule="exact"/>
              <w:rPr>
                <w:sz w:val="20"/>
                <w:szCs w:val="20"/>
                <w:color w:val="auto"/>
              </w:rPr>
            </w:pPr>
            <w:r>
              <w:rPr>
                <w:rFonts w:ascii="Arial" w:cs="Arial" w:eastAsia="Arial" w:hAnsi="Arial"/>
                <w:sz w:val="14"/>
                <w:szCs w:val="14"/>
                <w:b w:val="1"/>
                <w:bCs w:val="1"/>
                <w:color w:val="auto"/>
                <w:w w:val="94"/>
              </w:rPr>
              <w:t>(in thousands, except for per share data)</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24,364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42,888</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62,793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67,288</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158,199</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267,056</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233,500</w:t>
            </w: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(133,988)</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(85,313)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(205,743)</w:t>
            </w: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(163,661)</w:t>
            </w: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w:t>
            </w:r>
          </w:p>
        </w:tc>
      </w:tr>
      <w:tr>
        <w:trPr>
          <w:trHeight w:val="688"/>
        </w:trPr>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337"/>
              <w:spacing w:after="0"/>
              <w:rPr>
                <w:sz w:val="20"/>
                <w:szCs w:val="20"/>
                <w:color w:val="auto"/>
              </w:rPr>
            </w:pPr>
            <w:r>
              <w:rPr>
                <w:rFonts w:ascii="Arial" w:cs="Arial" w:eastAsia="Arial" w:hAnsi="Arial"/>
                <w:sz w:val="14"/>
                <w:szCs w:val="14"/>
                <w:b w:val="1"/>
                <w:bCs w:val="1"/>
                <w:color w:val="auto"/>
                <w:w w:val="98"/>
              </w:rPr>
              <w:t>June 30, 2021</w:t>
            </w:r>
          </w:p>
        </w:tc>
        <w:tc>
          <w:tcPr>
            <w:tcW w:w="16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2020</w:t>
            </w:r>
          </w:p>
        </w:tc>
      </w:tr>
      <w:tr>
        <w:trPr>
          <w:trHeight w:val="155"/>
        </w:trPr>
        <w:tc>
          <w:tcPr>
            <w:tcW w:w="3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gridSpan w:val="3"/>
          </w:tcPr>
          <w:p>
            <w:pPr>
              <w:jc w:val="right"/>
              <w:ind w:right="99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353,361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678,393</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259,609</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24,266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41,883</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three and six months ended June 30, 2021 included the revenue recognized related to the following:</w:t>
      </w:r>
    </w:p>
    <w:p>
      <w:pPr>
        <w:spacing w:after="0" w:line="117" w:lineRule="exact"/>
        <w:rPr>
          <w:sz w:val="20"/>
          <w:szCs w:val="20"/>
          <w:color w:val="auto"/>
        </w:rPr>
      </w:pPr>
    </w:p>
    <w:p>
      <w:pPr>
        <w:ind w:left="500" w:right="6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$19.6 million and $34.2 million of development revenue recognized under our collaboration agreements with our partners Astellas and AstraZeneca AB (“AstraZeneca”);</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$13.4 million and $28.7 million of net product revenue from roxadustat commercial sales in China; and</w:t>
      </w:r>
    </w:p>
    <w:p>
      <w:pPr>
        <w:spacing w:after="0" w:line="117" w:lineRule="exact"/>
        <w:rPr>
          <w:rFonts w:ascii="Arial" w:cs="Arial" w:eastAsia="Arial" w:hAnsi="Arial"/>
          <w:sz w:val="18"/>
          <w:szCs w:val="18"/>
          <w:color w:val="auto"/>
        </w:rPr>
      </w:pPr>
    </w:p>
    <w:p>
      <w:pPr>
        <w:ind w:left="500" w:right="48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$(8.6) million and $(0.2) million of drug product revenue primarily resulted from the deferred considerations of roxadustat bulk drug or active pharmaceutical ingredient (“API”) deliveries to AstraZeneca and Astellas.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comparison, our revenue for the three and six months ended June 30, 2020 included the revenue recognized related to the following:</w:t>
      </w:r>
    </w:p>
    <w:p>
      <w:pPr>
        <w:spacing w:after="0" w:line="117"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$19.0 million and $38.4 million of development revenue recognized under our collaboration agreements with our partners Astellas and AstraZeneca;</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$15.7 million and 20.6 million of net product revenue from roxadustat commercial sales in China;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$8.2 million of roxadustat API delivery to Astellas.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Operating costs and expenses for the three and six months ended June 30, 2021 increased compared to the same periods a year ago as a result of the net effect of the following:</w:t>
      </w:r>
    </w:p>
    <w:p>
      <w:pPr>
        <w:spacing w:after="0" w:line="62"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 of $25 million for acquired in-process research and development asset from HiFiBiO Therapeutics (“HiFiBiO”);</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clinical trial expenses associated with Phase 3 trials for pamrevlumab and roxadustat post-approval safety studies;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Higher drug development expenses associated with drug substance and drug product manufacturing activities primarily related to pamrevlumab;</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employee-related expenses resulting from higher average compensation level and headcount; and</w:t>
      </w:r>
    </w:p>
    <w:p>
      <w:pPr>
        <w:spacing w:after="0" w:line="117" w:lineRule="exact"/>
        <w:rPr>
          <w:rFonts w:ascii="Arial" w:cs="Arial" w:eastAsia="Arial" w:hAnsi="Arial"/>
          <w:sz w:val="18"/>
          <w:szCs w:val="18"/>
          <w:color w:val="auto"/>
        </w:rPr>
      </w:pPr>
    </w:p>
    <w:p>
      <w:pPr>
        <w:ind w:left="500" w:right="160" w:hanging="492"/>
        <w:spacing w:after="0" w:line="255"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Lower sales and marketing expenses primarily due to a change in the calculation method of co-promotion expenses with AstraZeneca as a result of the China Amendment between FibroGen China and AstraZeneca in the third quarter of 2020. In addition, since Falikang became fully operational in January 2021, substantially all direct product sales to distributors were made by Falikang, while FibroGen Beijing continued to sell product directly in a few provinces in China. AstraZeneca now bills the co-promotion expenses to Falikang and to FibroGen Beijing, respectively, for its services provided to the respective entity. All defined terms referenced in this paragraph that are not already defined, are defined below in </w:t>
      </w:r>
      <w:r>
        <w:rPr>
          <w:rFonts w:ascii="Arial" w:cs="Arial" w:eastAsia="Arial" w:hAnsi="Arial"/>
          <w:sz w:val="18"/>
          <w:szCs w:val="18"/>
          <w:i w:val="1"/>
          <w:iCs w:val="1"/>
          <w:color w:val="auto"/>
        </w:rPr>
        <w:t>Collaboration Partnerships for Roxadustat</w:t>
      </w:r>
      <w:r>
        <w:rPr>
          <w:rFonts w:ascii="Arial" w:cs="Arial" w:eastAsia="Arial" w:hAnsi="Arial"/>
          <w:sz w:val="18"/>
          <w:szCs w:val="18"/>
          <w:color w:val="auto"/>
        </w:rPr>
        <w:t>.</w:t>
      </w:r>
    </w:p>
    <w:p>
      <w:pPr>
        <w:spacing w:after="0" w:line="1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the three and six months ended June 30, 2021, we had net losses of $134.0 million and 205.7 million, respectively, or net loss per basic and diluted share of $1.45 and $2.24, respectively, as compared to a net loss of $85.3 million and $163.7 million for the same periods a year ago, due to decreases in revenue, and increases in operating costs and expenses as discussed above.</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and cash equivalents, investments and accounts receivable totaled $637.2 million at June 30, 2021, a decrease of $91.5 million from December 31, 2020, primarily due to the cash used in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Development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Roxadustat is our most advanced product, an oral small molecule inhibitor of HIF-PH activity that acts by stimulating the body’s natural pathway of erythropoiesis, or red blood cell production.</w:t>
      </w:r>
    </w:p>
    <w:p>
      <w:pPr>
        <w:spacing w:after="0" w:line="171" w:lineRule="exact"/>
        <w:rPr>
          <w:sz w:val="20"/>
          <w:szCs w:val="20"/>
          <w:color w:val="auto"/>
        </w:rPr>
      </w:pPr>
    </w:p>
    <w:p>
      <w:pPr>
        <w:ind w:right="20"/>
        <w:spacing w:after="0" w:line="226" w:lineRule="exact"/>
        <w:rPr>
          <w:sz w:val="20"/>
          <w:szCs w:val="20"/>
          <w:color w:val="auto"/>
        </w:rPr>
      </w:pPr>
      <w:r>
        <w:rPr>
          <w:rFonts w:ascii="Arial" w:cs="Arial" w:eastAsia="Arial" w:hAnsi="Arial"/>
          <w:sz w:val="17"/>
          <w:szCs w:val="17"/>
          <w:color w:val="auto"/>
        </w:rPr>
        <w:t xml:space="preserve">Our collaboration partner AstraZeneca and we continue to expand the commercialization of roxadustat (tradename: </w:t>
      </w:r>
      <w:r>
        <w:rPr>
          <w:rFonts w:ascii="SimSun" w:cs="SimSun" w:eastAsia="SimSun" w:hAnsi="SimSun"/>
          <w:sz w:val="17"/>
          <w:szCs w:val="17"/>
          <w:color w:val="auto"/>
        </w:rPr>
        <w:t>爱瑞卓</w:t>
      </w:r>
      <w:r>
        <w:rPr>
          <w:rFonts w:ascii="Arial" w:cs="Arial" w:eastAsia="Arial" w:hAnsi="Arial"/>
          <w:sz w:val="28"/>
          <w:szCs w:val="28"/>
          <w:color w:val="auto"/>
          <w:vertAlign w:val="superscript"/>
        </w:rPr>
        <w:t>®</w:t>
      </w:r>
      <w:r>
        <w:rPr>
          <w:rFonts w:ascii="Arial" w:cs="Arial" w:eastAsia="Arial" w:hAnsi="Arial"/>
          <w:sz w:val="17"/>
          <w:szCs w:val="17"/>
          <w:color w:val="auto"/>
        </w:rPr>
        <w:t>) in China where it is approved for the treatment of anemia caused by CKD in non-dialysis and dialysis patients. As of the second quarter of 2021, roxadustat was listed at hospitals that collectively represent approximately 81% of the CKD anemia market opportunity in China and roxadustat had a 32% value share within the segment of erythropoiesis stimulating agents and HIF-PH inhibitors (roxadustat is the only HIF-PH inhibitor currently on the market in China).</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Japan, our partner Astellas continues the commercial launch of EVRENZO</w:t>
      </w:r>
      <w:r>
        <w:rPr>
          <w:rFonts w:ascii="Arial" w:cs="Arial" w:eastAsia="Arial" w:hAnsi="Arial"/>
          <w:sz w:val="15"/>
          <w:szCs w:val="15"/>
          <w:color w:val="auto"/>
        </w:rPr>
        <w:t>®</w:t>
      </w:r>
      <w:r>
        <w:rPr>
          <w:rFonts w:ascii="Arial" w:cs="Arial" w:eastAsia="Arial" w:hAnsi="Arial"/>
          <w:sz w:val="18"/>
          <w:szCs w:val="18"/>
          <w:color w:val="auto"/>
        </w:rPr>
        <w:t xml:space="preserve"> (roxadustat) for the treatment of anemia associated with CKD in both non-dialysis and dialysis patients.</w:t>
      </w:r>
    </w:p>
    <w:p>
      <w:pPr>
        <w:spacing w:after="0" w:line="1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June 2021, the Committee for Medicinal Products for Human Use of the EMA adopted a positive opinion, recommending the granting of MAA for the medicinal product Evrenzo (roxadustat), intended for the treatment of adult patients with symptomatic anemia associated with CKD. Our partner Astellas expects an approval decision on the MAA for roxadustat by the European Commission in August 2021.</w:t>
      </w:r>
    </w:p>
    <w:p>
      <w:pPr>
        <w:spacing w:after="0" w:line="18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EVRENZO</w:t>
      </w:r>
      <w:r>
        <w:rPr>
          <w:rFonts w:ascii="Arial" w:cs="Arial" w:eastAsia="Arial" w:hAnsi="Arial"/>
          <w:sz w:val="15"/>
          <w:szCs w:val="15"/>
          <w:color w:val="auto"/>
        </w:rPr>
        <w:t>®</w:t>
      </w:r>
      <w:r>
        <w:rPr>
          <w:rFonts w:ascii="Arial" w:cs="Arial" w:eastAsia="Arial" w:hAnsi="Arial"/>
          <w:sz w:val="18"/>
          <w:szCs w:val="18"/>
          <w:color w:val="auto"/>
        </w:rPr>
        <w:t xml:space="preserve"> (roxadustat) has also been approved for the treatment of anemia in CKD patients on dialysis and patients not on dialysis in South Korea and Chile. In collaboration with AstraZeneca, applications for marketing approval of roxadustat in CKD anemia have been submitted in Canada, Australia, Mexico, Brazil, Taiwan, Philippines, Singapore, India, Colombia, and Thailand.</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July 2021, the FDA CRDAC voted to recommend not approving roxadustat, an oral HIF-PH inhibitor, for the treatment of anemia due to CKD in adult patients. While the FDA is not required to follow CRDAC’s vote, the agency considers CRDAC’s non-binding recommendations when making its decision.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continuing to enroll MATTERHORN, our Phase 2/3 placebo controlled, double-blind clinical trial to evaluate the safety and efficacy of roxadustat for treatment of anemia in MDS in the U.S. and Europe. This 160-patient trial is studying roxadustat in transfusion-dependent, lower-risk MDS patients, in which subjects are randomized 3:2 to receive roxadustat or placebo three-times-weekly. The primary endpoint is the proportion of patients who achieve transfusion independence by 28 weeks with secondary endpoints and safety evaluated at 52 weeks. We expect topline data from this study between the second half of 2022 and the first half of 2023.</w:t>
      </w:r>
    </w:p>
    <w:p>
      <w:pPr>
        <w:spacing w:after="0" w:line="188"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In China, we are enrolling the randomized, double-blind, placebo-controlled portion of our Phase 3 clinical trial to evaluate the safety and efficacy of roxadustat in non-transfusion dependent, lower-risk MDS patients with anemia. One hundred thirty-five subjects will be randomized 2:1 to receive roxadustat or placebo three-times weekly for 26 weeks. The primary endpoint for this study is percentage of patients achieving a hemoglobin response.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Chemotherapy-Induced Anemia</w:t>
      </w:r>
    </w:p>
    <w:p>
      <w:pPr>
        <w:spacing w:after="0" w:line="117"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We have completed enrollment in WHITNEY, our Phase 2 clinical trial of roxadustat in the U.S. in chemotherapy-induced anemia. This is a single-arm open label study investigating the efficacy and safety of roxadustat for the treatment of anemia in 92 patients receiving myelosuppressive chemotherapy treatment for non-myeloid malignancies, with a treatment duration of 16 weeks. We expect topline data from this study in the third quarter of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Targeting Connective Tissue Growth Factor (CTGF)</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Pamrevlumab is our first-in-class antibody developed to inhibit the activity of CTGF, a common factor in fibrotic and fibro-proliferative disorders characterized by persistent and excessive scarring that can lead to organ dysfunction and failure.</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second quarter of 2021, the FDA granted both Rare Pediatric Disease designation and Fast Track designation for pamrevlumab for the treatment of patients with DMD. In addition, the FDA has granted Orphan Drug Designation to pamrevlumab for the treatment of IPF, locally advanced unresectable pancreatic cancer, and DMD. Pamrevlumab has also received Fast Track designation from the FDA for the treatment of both IPF and locally advanced unresectable pancreatic cancer.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Idiopathic Pulmonary Fibrosis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conducting ZEPHYRUS-1, our Phase 3 trial of pamrevlumab in IPF patients, as well as our newly initiated ZEPHYRUS-2, a second IPF Phase 3 study. Both studies are randomized, double-blind, placebo-controlled Phase 3 trials targeting approximately 340 patients, each with a primary U.S. efficacy endpoint of change from baseline in forced vital capacity. The primary efficacy endpoint in Europe for each study is disease progression (defined by a decline in forced vital capacity percent predicted of greater than or equal to 10% or death). Secondary endpoints will include clinical outcomes of disease progression, patient reported outcomes, and quantitative changes in lung fibrosis volume from baseline. We expect topline data from ZEPHYRUS-1 in mid-2023.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Locally Advanced Unresectable Pancreatic Cancer</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continue to enroll LAPIS, our double-blind placebo controlled Phase 3 clinical program for pamrevlumab as a neoadjuvant therapy for locally advanced unresectable pancreatic cancer. We intend to enroll approximately 260 patients, randomized at a 1:1 ratio to receive either pamrevlumab or placebo, in each case in combination with chemotherapy (either FOLFIRINOX or gemcitabine plus nab-paclitaxel). Overall survival is the primary endpoint of this study. An interim analysis of event-free survival will be completed in the second half of 2022 for potential accelerated approval.</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June 2021 the Pancreatic Cancer Action Network's (PanCAN) Precision PromiseSM adaptive trial platform included pamrevlumab, with standard of care chemotherapy treatments for pancreatic cancer (gemcitabine and Abraxane</w:t>
      </w:r>
      <w:r>
        <w:rPr>
          <w:rFonts w:ascii="Arial" w:cs="Arial" w:eastAsia="Arial" w:hAnsi="Arial"/>
          <w:sz w:val="13"/>
          <w:szCs w:val="13"/>
          <w:color w:val="auto"/>
        </w:rPr>
        <w:t>®</w:t>
      </w:r>
      <w:r>
        <w:rPr>
          <w:rFonts w:ascii="Arial" w:cs="Arial" w:eastAsia="Arial" w:hAnsi="Arial"/>
          <w:sz w:val="16"/>
          <w:szCs w:val="16"/>
          <w:color w:val="auto"/>
        </w:rPr>
        <w:t>), in its study for patients with metastatic pancreatic cancer. The combination therapy is offered to patients as either a first- or second-line treatment option, marking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continue to enroll LELANTOS-1, our Phase 3 clinical trial evaluating pamrevlumab in combination with systemic corticosteroids as a treatment for DMD. LELANTOS is a double-blind, placebo-controlled trial in approximately 90 non-ambulatory DMD patients. Patients are randomized at a 1:1 ratio to pamrevlumab or placebo and have a treatment period of 52 weeks. The primary endpoint will assess change in upper limb strength and additional endpoints will include pulmonary, performance, cardiac, and fibrosis assessments. We expect topline data from this study in the first half of 2023.</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continue to enroll our double-blind, placebo-controlled Phase 3 clinical trial, LELANTOS 2, evaluating pamrevlumab in combination with systemic corticosteroids in approximately 70 ambulatory DMD patients. Patients aged 6-12 will be randomized at a 1:1 ratio to pamrevlumab or placebo and have a treatment period of 52 weeks. The primary efficacy endpoint will assess ambulatory function, measured by the change in North Star Ambulatory Assessment from baseline to Week 52.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and Option Agreement with HiFiBiO Therapeutics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June 17, 2021, we announced a partnership with HiFiBiO covering three HiFiBiO programs.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FibroGen exclusively licensed all product candidates in the Galectin-9 program and will have sole right to develop them worldwide. FibroGen has also obtained exclusive options to license all product candidates in HiFiBiO’s CXCR5 and CCR8 programs. Each option may be independently exercised following delivery of program-specific data to be generated by HiFiBiO. If an option is exercised, FibroGen will have the sole right to develop products from that program worldwide. Under the terms of the Exclusive License and Option Agreement, dated June 16, 2021 (the “HiFiBiO Agreement”), FibroGen will make a $25 million upfront payment to HiFiBiO, as well as payments upon option exercise. In addition, HiFiBiO may receive up to a total of an additional $1.1 billion in future option, clinical, regulatory, and commercial milestone payments across all three programs. HiFiBiO will also be eligible to receive mid single-digit to low double-digit royalties based upon worldwide net sales. The HiFiBiO Agreement is filed as an exhibit 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with Eluminex Biosciences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July 19, 2021, we announced an exclusive license of our global rights to investigational biosynthetic cornea derived from recombinant human collagen type III Eluminex Biosciences (Suzhou) Limited (“Eluminex”).</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Under the terms of the agreement with Eluminex (the “Eluminex Agreement”), Eluminex will make an $8 million upfront payment to FibroGen. In addition, FibroGen may receive up to a total of $64 million in future manufacturing, clinical, regulatory, and commercial milestone payments for the biosynthetic cornea program, as well as $36 million in commercial milestones for the first recombinant collagen III product that is not the biosynthetic cornea. FibroGen will be eligible to receive mid single-digit to low double-digit royalties based upon worldwide net sales of cornea products, and low single-digit to mid single-digit royalties based on worldwide net sale of other recombinant human collagen type III products that are not cornea products. The Eluminex Agreement contains other industry standard license terms including related to exclusivity, sublicensing, manufacturing, milestones, royalties, intellectual property, and termination. The Eluminex Agreement will expire on a product-by-product and country-by-country basis at the end of the applicable royalty term.</w:t>
      </w:r>
    </w:p>
    <w:p>
      <w:pPr>
        <w:spacing w:after="0" w:line="19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foregoing description of the Eluminex Agreement is not a complete description thereof, and is qualified in its entirety by reference to the actual Agreement that will be filed with the SEC as an exhibit to FibroGen’s Quarterly Report on Form 10-Q for the quarter ending September 30, 2021.</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Our current and future research, development, manufacturing and commercialization efforts with respect to roxadustat and our other product candidates currently in development depend on funds from our collaboration agreements with Astellas and AstraZeneca. See Note 2, </w:t>
      </w:r>
      <w:r>
        <w:rPr>
          <w:rFonts w:ascii="Arial" w:cs="Arial" w:eastAsia="Arial" w:hAnsi="Arial"/>
          <w:sz w:val="18"/>
          <w:szCs w:val="18"/>
          <w:i w:val="1"/>
          <w:iCs w:val="1"/>
          <w:color w:val="auto"/>
        </w:rPr>
        <w:t>Collaboration Agreements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Revenues</w:t>
      </w:r>
      <w:r>
        <w:rPr>
          <w:rFonts w:ascii="Arial" w:cs="Arial" w:eastAsia="Arial" w:hAnsi="Arial"/>
          <w:sz w:val="18"/>
          <w:szCs w:val="18"/>
          <w:color w:val="auto"/>
        </w:rPr>
        <w:t>, to the condensed consolidated financial statements for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(“Europe Agreement”). Under these agreements, the aggregate amount of such consideration received through June 30, 2021 totals $645.1 million.</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2018, FibroGen and Astellas entered into an amendment to the Japan Agreement that allows Astellas to manufacture roxadustat drug product for commercialization in Japan (the “Japan Amendment”). Under this amendment, the related drug product revenue was $(2.0) and $2.1 million for the three and six months ended June 30, 2021, respectively.</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2021, we entered into an EU Supply Agreement under the Europe Agreement with Astellas to define general forecast, order, supply and payment terms for Astellas to purchase roxadustat bulk drug product from FibroGen in support of commercial supplies. We shipped bulk drug product to Astellas as pre-commercial supply for process validation purposes during the first quarter of 2021. We recorded the consideration of $11.8 million from this shipment as deferred revenue as of June 30, 2021, due to a high degree of uncertainty associated with the final consideration. The deferred revenue will be recognized as and when uncertainty is resolved.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a collaboration agreement with AstraZeneca for roxadustat for the treatment of anemia in China (“China Agreement”). Under the AstraZeneca agreements, aggregate amount of such consideration received through June 30, 2021 totals $516.2 million.</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Under the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China Amendment in the third quarter of 2020, as discussed and defined below in </w:t>
      </w:r>
      <w:r>
        <w:rPr>
          <w:rFonts w:ascii="Arial" w:cs="Arial" w:eastAsia="Arial" w:hAnsi="Arial"/>
          <w:sz w:val="18"/>
          <w:szCs w:val="18"/>
          <w:i w:val="1"/>
          <w:iCs w:val="1"/>
          <w:color w:val="auto"/>
        </w:rPr>
        <w:t>China</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w:t>
      </w:r>
    </w:p>
    <w:p>
      <w:pPr>
        <w:spacing w:after="0" w:line="18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2020, we entered into Master Supply Agreement under the U.S./RoW Agreement with AstraZeneca (“Master Supply Agreement”) to define general forecast, order, supply and payment terms for AstraZeneca to purchase roxadustat bulk drug product from FibroGen in support of commercial supplies. We shipped bulk drug product to AstraZeneca as commercial supply during 2020 and the first and second quarter of 2021. Based on the above-mentioned FDA CRDAC’s vote on July 15, 2021, we evaluated the impact of these developments in revising our estimates of variable consideration associated with drug product revenue. As a result, we updated the estimated transaction price, and recorded $11.2 million as deferred revenue as of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July 2020, FibroGen China and AstraZeneca (together with FibroGen China, the “Parties”) entered into an amendment, effective July 1, 2020, to the China Agreement, relating to the development and commercialization of roxadustat in China (the “China Amendment”).</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Under the China Amendment, in September 2020, FibroGen Beijing and AstraZeneca completed the establishment of a jointly owned entity, Beijing Falikang Pharmaceutical Co., Ltd. (“Falikang”), which performs roxadustat distribution, as well as conduct sales and marketing through AstraZeneca.</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During the three and six months ended June 30, 2021, we recognized net product revenue of $11.8 million and $22.2 million,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Total cash consideration received through June 30, 2021 and potential cash consideration, for upfront payments and milestone payments under our collaboration agreements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Cash Received for Upfront</w:t>
            </w: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Payments and Milestone</w:t>
            </w:r>
          </w:p>
        </w:tc>
        <w:tc>
          <w:tcPr>
            <w:tcW w:w="300" w:type="dxa"/>
            <w:vAlign w:val="bottom"/>
          </w:tcPr>
          <w:p>
            <w:pPr>
              <w:spacing w:after="0"/>
              <w:rPr>
                <w:sz w:val="12"/>
                <w:szCs w:val="12"/>
                <w:color w:val="auto"/>
              </w:rPr>
            </w:pPr>
          </w:p>
        </w:tc>
        <w:tc>
          <w:tcPr>
            <w:tcW w:w="160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Payments</w:t>
            </w:r>
          </w:p>
        </w:tc>
        <w:tc>
          <w:tcPr>
            <w:tcW w:w="3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Potential</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Through</w:t>
            </w:r>
          </w:p>
        </w:tc>
        <w:tc>
          <w:tcPr>
            <w:tcW w:w="300" w:type="dxa"/>
            <w:vAlign w:val="bottom"/>
          </w:tcPr>
          <w:p>
            <w:pPr>
              <w:spacing w:after="0"/>
              <w:rPr>
                <w:sz w:val="12"/>
                <w:szCs w:val="12"/>
                <w:color w:val="auto"/>
              </w:rPr>
            </w:pPr>
          </w:p>
        </w:tc>
        <w:tc>
          <w:tcPr>
            <w:tcW w:w="160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1"/>
              </w:rPr>
              <w:t>Potential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Cash Payments for Upfront</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2021</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Cash Payment for Milestones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Payments and Milestones</w:t>
            </w:r>
          </w:p>
        </w:tc>
        <w:tc>
          <w:tcPr>
            <w:tcW w:w="0" w:type="dxa"/>
            <w:vAlign w:val="bottom"/>
          </w:tcPr>
          <w:p>
            <w:pPr>
              <w:spacing w:after="0"/>
              <w:rPr>
                <w:sz w:val="1"/>
                <w:szCs w:val="1"/>
                <w:color w:val="auto"/>
              </w:rPr>
            </w:pPr>
          </w:p>
        </w:tc>
      </w:tr>
      <w:tr>
        <w:trPr>
          <w:trHeight w:val="155"/>
        </w:trPr>
        <w:tc>
          <w:tcPr>
            <w:tcW w:w="2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23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105,093</w:t>
            </w:r>
          </w:p>
        </w:tc>
        <w:tc>
          <w:tcPr>
            <w:tcW w:w="3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8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540,000</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205,000</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480"/>
              <w:spacing w:after="0"/>
              <w:rPr>
                <w:sz w:val="20"/>
                <w:szCs w:val="20"/>
                <w:color w:val="auto"/>
              </w:rPr>
            </w:pPr>
            <w:r>
              <w:rPr>
                <w:rFonts w:ascii="Arial" w:cs="Arial" w:eastAsia="Arial" w:hAnsi="Arial"/>
                <w:sz w:val="18"/>
                <w:szCs w:val="18"/>
                <w:color w:val="auto"/>
              </w:rPr>
              <w:t>Total Astellas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645,093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272,500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439,000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810,000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8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77,200</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299,500</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AstraZeneca</w:t>
            </w:r>
          </w:p>
        </w:tc>
        <w:tc>
          <w:tcPr>
            <w:tcW w:w="8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516,200</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1,109,500</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1,161,293</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1,382,000</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above table does not include development cost reimbursement, transfer price payments, and royalties and profit share under our existing collaboration agreements. These collaboration agreements also provide for reimbursement of certain fully burdened research and development costs as well as direct out of pocket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right"/>
              <w:ind w:right="193"/>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gridSpan w:val="5"/>
          </w:tcPr>
          <w:p>
            <w:pPr>
              <w:jc w:val="right"/>
              <w:ind w:right="62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4  %</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(4,174)</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15,693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(2,322)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20,648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8,085</w:t>
            </w:r>
          </w:p>
        </w:tc>
        <w:tc>
          <w:tcPr>
            <w:tcW w:w="3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(8,648)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8"/>
              </w:rPr>
              <w:t>(16,886)</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 %</w:t>
            </w: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(8,406)</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3"/>
        </w:trPr>
        <w:tc>
          <w:tcPr>
            <w:tcW w:w="29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42,888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(18,524</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(43) %</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62,793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(4,495</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 In addition, we started roxadustat commercial sales in China in 2019.</w:t>
      </w:r>
    </w:p>
    <w:p>
      <w:pPr>
        <w:spacing w:after="0" w:line="17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 We did not have any license revenue for the three and six months ended June 30, 2021 and 2020.</w:t>
      </w:r>
    </w:p>
    <w:p>
      <w:pPr>
        <w:spacing w:after="0" w:line="16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Development revenue includes co-development and other development related services. Co-development services are recognized as revenue in the period in which they are billed to our partners, excluding China. For China co-development services, revenue is deferred until we begin to transfer control of the manufactured commercial product to AstraZeneca, which commenced in the first quarter of 2021 and expected to continue through 2028. Other development related services are recognized as revenue over the non-contingent development period based on a proportional performance method. As of June 30, 2021, the estimated future non-contingent development periods range from three to 48 months. Other revenues consist of sales of research and development material and have not been material for any of the periods presented.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Product revenue is recognized when our customer obtains control of promised goods or services in an amount that reflects the consideration we expect to receive in exchange for those goods or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Drug product revenue includes commercial-grade API or bulk drug product sales to AstraZeneca and Astellas in support of pre-commercial preparation prior to the New Drug Application (“NDA”) or MAA approval, and to Astellas for ongoing commercial launch in Japan. Drug product revenue is recognized when we fulfill the delivery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revenue decreased $18.5 million, or 43% for the three months ended June 30, 2021 and $4.5 million, or 7% for the six months ended June 30, 2021, compared to the same periods a year ago for the reasons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4"/>
          </w:tcPr>
          <w:p>
            <w:pPr>
              <w:jc w:val="right"/>
              <w:ind w:right="297"/>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2,645</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4,766</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  (2,121)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(45) %   $</w:t>
            </w:r>
          </w:p>
        </w:tc>
        <w:tc>
          <w:tcPr>
            <w:tcW w:w="720" w:type="dxa"/>
            <w:vAlign w:val="bottom"/>
          </w:tcPr>
          <w:p>
            <w:pPr>
              <w:jc w:val="right"/>
              <w:spacing w:after="0"/>
              <w:rPr>
                <w:sz w:val="20"/>
                <w:szCs w:val="20"/>
                <w:color w:val="auto"/>
              </w:rPr>
            </w:pPr>
            <w:r>
              <w:rPr>
                <w:rFonts w:ascii="Arial" w:cs="Arial" w:eastAsia="Arial" w:hAnsi="Arial"/>
                <w:sz w:val="18"/>
                <w:szCs w:val="18"/>
                <w:color w:val="auto"/>
              </w:rPr>
              <w:t>6,256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9,503</w:t>
            </w: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  (3,247)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14,191</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28,899</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(930)</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3280" w:type="dxa"/>
            <w:vAlign w:val="bottom"/>
          </w:tcPr>
          <w:p>
            <w:pPr>
              <w:ind w:left="500"/>
              <w:spacing w:after="0"/>
              <w:rPr>
                <w:sz w:val="20"/>
                <w:szCs w:val="20"/>
                <w:color w:val="auto"/>
              </w:rPr>
            </w:pPr>
            <w:r>
              <w:rPr>
                <w:rFonts w:ascii="Arial" w:cs="Arial" w:eastAsia="Arial" w:hAnsi="Arial"/>
                <w:sz w:val="18"/>
                <w:szCs w:val="18"/>
                <w:color w:val="auto"/>
              </w:rPr>
              <w:t>Total development revenue</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18,957</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34,225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38,402</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3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Development and other revenue increased $0.7 million, or 4% for the three months ended June 30, 2021 and decreased $4.2 million, or 11% for the six months ended June 30, 2021, compared to the same periods a year ago.</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Co-development billings related to the development of roxadustat under our collaboration agreements with Astellas for the three and six months ended June 30, 2021 decreased as a result of the substantial completion of Phase 3 trials for roxadustat.</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Development revenue recognized under our collaboration agreements with AstraZeneca for the three and six months ended June 30, 2021 was impacted by the increase in CKD related co-development billings in the U.S., offset by the extension of the estimated future non-contingent development period when we were notified of the FDA CRDAC meeting to review the NDA for roxadustat.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5"/>
          </w:tcPr>
          <w:p>
            <w:pPr>
              <w:jc w:val="right"/>
              <w:ind w:right="520"/>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Sales: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Gross revenue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2,230</w:t>
            </w:r>
          </w:p>
        </w:tc>
        <w:tc>
          <w:tcPr>
            <w:tcW w:w="16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19,833</w:t>
            </w:r>
          </w:p>
        </w:tc>
        <w:tc>
          <w:tcPr>
            <w:tcW w:w="160" w:type="dxa"/>
            <w:vAlign w:val="bottom"/>
          </w:tcPr>
          <w:p>
            <w:pPr>
              <w:spacing w:after="0"/>
              <w:rPr>
                <w:sz w:val="19"/>
                <w:szCs w:val="19"/>
                <w:color w:val="auto"/>
              </w:rPr>
            </w:pPr>
          </w:p>
        </w:tc>
        <w:tc>
          <w:tcPr>
            <w:tcW w:w="1140" w:type="dxa"/>
            <w:vAlign w:val="bottom"/>
            <w:gridSpan w:val="3"/>
          </w:tcPr>
          <w:p>
            <w:pPr>
              <w:jc w:val="right"/>
              <w:ind w:right="201"/>
              <w:spacing w:after="0"/>
              <w:rPr>
                <w:sz w:val="20"/>
                <w:szCs w:val="20"/>
                <w:color w:val="auto"/>
              </w:rPr>
            </w:pPr>
            <w:r>
              <w:rPr>
                <w:rFonts w:ascii="Arial" w:cs="Arial" w:eastAsia="Arial" w:hAnsi="Arial"/>
                <w:sz w:val="18"/>
                <w:szCs w:val="18"/>
                <w:color w:val="auto"/>
              </w:rPr>
              <w:t>$ (17,603)</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(89)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7,659</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25,205</w:t>
            </w:r>
          </w:p>
        </w:tc>
        <w:tc>
          <w:tcPr>
            <w:tcW w:w="140" w:type="dxa"/>
            <w:vAlign w:val="bottom"/>
          </w:tcPr>
          <w:p>
            <w:pPr>
              <w:spacing w:after="0"/>
              <w:rPr>
                <w:sz w:val="19"/>
                <w:szCs w:val="19"/>
                <w:color w:val="auto"/>
              </w:rPr>
            </w:pPr>
          </w:p>
        </w:tc>
        <w:tc>
          <w:tcPr>
            <w:tcW w:w="1220" w:type="dxa"/>
            <w:vAlign w:val="bottom"/>
            <w:gridSpan w:val="3"/>
          </w:tcPr>
          <w:p>
            <w:pPr>
              <w:jc w:val="right"/>
              <w:ind w:right="261"/>
              <w:spacing w:after="0"/>
              <w:rPr>
                <w:sz w:val="20"/>
                <w:szCs w:val="20"/>
                <w:color w:val="auto"/>
              </w:rPr>
            </w:pPr>
            <w:r>
              <w:rPr>
                <w:rFonts w:ascii="Arial" w:cs="Arial" w:eastAsia="Arial" w:hAnsi="Arial"/>
                <w:sz w:val="18"/>
                <w:szCs w:val="18"/>
                <w:color w:val="auto"/>
              </w:rPr>
              <w:t>$ (17,546)</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Discounts and rebates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(4,095)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(85) %</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(4,512)</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Sales returns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(98)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9"/>
                <w:szCs w:val="19"/>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Direct sales revenue, net</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(14,082)</w:t>
            </w:r>
          </w:p>
        </w:tc>
        <w:tc>
          <w:tcPr>
            <w:tcW w:w="3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(90) %</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(14,082</w:t>
            </w:r>
          </w:p>
        </w:tc>
        <w:tc>
          <w:tcPr>
            <w:tcW w:w="400" w:type="dxa"/>
            <w:vAlign w:val="bottom"/>
            <w:tcBorders>
              <w:top w:val="single" w:sz="8" w:color="CFF0FC"/>
            </w:tcBorders>
            <w:shd w:val="clear" w:color="auto" w:fill="CFF0FC"/>
          </w:tcPr>
          <w:p>
            <w:pPr>
              <w:jc w:val="right"/>
              <w:ind w:right="261"/>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to Falikang:</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Gross transfer price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26,714</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51,115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51,115</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Profit share</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(9,573)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201"/>
              <w:spacing w:after="0"/>
              <w:rPr>
                <w:sz w:val="20"/>
                <w:szCs w:val="20"/>
                <w:color w:val="auto"/>
              </w:rPr>
            </w:pPr>
            <w:r>
              <w:rPr>
                <w:rFonts w:ascii="Arial" w:cs="Arial" w:eastAsia="Arial" w:hAnsi="Arial"/>
                <w:sz w:val="18"/>
                <w:szCs w:val="18"/>
                <w:color w:val="auto"/>
              </w:rPr>
              <w:t>(9,573)</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(19,636)</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261"/>
              <w:spacing w:after="0"/>
              <w:rPr>
                <w:sz w:val="20"/>
                <w:szCs w:val="20"/>
                <w:color w:val="auto"/>
              </w:rPr>
            </w:pPr>
            <w:r>
              <w:rPr>
                <w:rFonts w:ascii="Arial" w:cs="Arial" w:eastAsia="Arial" w:hAnsi="Arial"/>
                <w:sz w:val="18"/>
                <w:szCs w:val="18"/>
                <w:color w:val="auto"/>
              </w:rPr>
              <w:t>(19,636)</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ind w:left="260"/>
              <w:spacing w:after="0"/>
              <w:rPr>
                <w:sz w:val="20"/>
                <w:szCs w:val="20"/>
                <w:color w:val="auto"/>
              </w:rPr>
            </w:pPr>
            <w:r>
              <w:rPr>
                <w:rFonts w:ascii="Arial" w:cs="Arial" w:eastAsia="Arial" w:hAnsi="Arial"/>
                <w:sz w:val="18"/>
                <w:szCs w:val="18"/>
                <w:color w:val="auto"/>
              </w:rPr>
              <w:t>Net transfer price</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17,141</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31,479</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31,479</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deferred revenue</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(5,381)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201"/>
              <w:spacing w:after="0"/>
              <w:rPr>
                <w:sz w:val="20"/>
                <w:szCs w:val="20"/>
                <w:color w:val="auto"/>
              </w:rPr>
            </w:pPr>
            <w:r>
              <w:rPr>
                <w:rFonts w:ascii="Arial" w:cs="Arial" w:eastAsia="Arial" w:hAnsi="Arial"/>
                <w:sz w:val="18"/>
                <w:szCs w:val="18"/>
                <w:color w:val="auto"/>
              </w:rPr>
              <w:t>(5,381)</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(9,312)</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261"/>
              <w:spacing w:after="0"/>
              <w:rPr>
                <w:sz w:val="20"/>
                <w:szCs w:val="20"/>
                <w:color w:val="auto"/>
              </w:rPr>
            </w:pPr>
            <w:r>
              <w:rPr>
                <w:rFonts w:ascii="Arial" w:cs="Arial" w:eastAsia="Arial" w:hAnsi="Arial"/>
                <w:sz w:val="18"/>
                <w:szCs w:val="18"/>
                <w:color w:val="auto"/>
              </w:rPr>
              <w:t>(9,312)</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Sales to Falikang revenue, net</w:t>
            </w:r>
          </w:p>
        </w:tc>
        <w:tc>
          <w:tcPr>
            <w:tcW w:w="3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11,760</w:t>
            </w: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22,167</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22,167</w:t>
            </w:r>
          </w:p>
        </w:tc>
        <w:tc>
          <w:tcPr>
            <w:tcW w:w="40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product revenue, net</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(2,322</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90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(15) %</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28,733</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8,085</w:t>
            </w:r>
          </w:p>
        </w:tc>
        <w:tc>
          <w:tcPr>
            <w:tcW w:w="4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January 2021, Falikang became fully operational and substantially all direct product sales to distributors in China were made by Falikang, while FibroGen Beijing continued to sell product directly in a few provinces in China.</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Product revenue from direct sales to distributors is recognized in an amount that reflects the consideration to which we expect to be entitled in exchange for those products, net of various sales rebates and discounts. The gross product revenue from direct sales to distributors was $2.3 million and $19.8 million for the three months ended June 30, 2021 and 2020, and $7.7 million and $25.2 million for six months ended June 30, 2021 and 2020, respectively. The total discounts and rebates were $0.6 million and $4.1 million for the three months ended June 30, 2021 and 2020, and $1.2 million and $4.5 million for six months ended June 30, 2021 and 2020, respectively. The discounts and rebates primarily consisted of the contractual sales rebate that were calculated based on the stated percentage of gross sales by each distributor in the distribution agreement, and non-key account hospital listing award that was calculated based on eligible non-key account hospital listing to date achieved by each distributor with certain requirements met during the period. In the second quarter of 2020, we recorded a $2.6 million as a reduction to the revenue related to accounting modifications of non-key account hospital listing award, when we amended the agreement with our pharmaceutical distributors.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 During the three and six months ended June 30, 2021, the gross transfer price was $26.7 million and $51.1 million respectively, net of the calculated profit share of $9.6 million and $19.6 million respectively. Following updates to our estimates, we deferred $5.4 million and $9.3 million from the sales to Falikang for the three and six months ended June 30, 2021, respectively, which was included in the related deferred revenue of the China performance obligation.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19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5"/>
          </w:tcPr>
          <w:p>
            <w:pPr>
              <w:jc w:val="right"/>
              <w:ind w:right="660"/>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Drug product revenue:</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Astellas</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(1,974)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8,238</w:t>
            </w:r>
          </w:p>
        </w:tc>
        <w:tc>
          <w:tcPr>
            <w:tcW w:w="1320" w:type="dxa"/>
            <w:vAlign w:val="bottom"/>
            <w:gridSpan w:val="3"/>
          </w:tcPr>
          <w:p>
            <w:pPr>
              <w:jc w:val="right"/>
              <w:ind w:right="221"/>
              <w:spacing w:after="0"/>
              <w:rPr>
                <w:sz w:val="20"/>
                <w:szCs w:val="20"/>
                <w:color w:val="auto"/>
              </w:rPr>
            </w:pPr>
            <w:r>
              <w:rPr>
                <w:rFonts w:ascii="Arial" w:cs="Arial" w:eastAsia="Arial" w:hAnsi="Arial"/>
                <w:sz w:val="18"/>
                <w:szCs w:val="18"/>
                <w:color w:val="auto"/>
              </w:rPr>
              <w:t>$ (10,212)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(124)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2,056</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8,238</w:t>
            </w:r>
          </w:p>
        </w:tc>
        <w:tc>
          <w:tcPr>
            <w:tcW w:w="2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(6,182)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(6,674)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ind w:right="221"/>
              <w:spacing w:after="0"/>
              <w:rPr>
                <w:sz w:val="20"/>
                <w:szCs w:val="20"/>
                <w:color w:val="auto"/>
              </w:rPr>
            </w:pPr>
            <w:r>
              <w:rPr>
                <w:rFonts w:ascii="Arial" w:cs="Arial" w:eastAsia="Arial" w:hAnsi="Arial"/>
                <w:sz w:val="18"/>
                <w:szCs w:val="18"/>
                <w:color w:val="auto"/>
              </w:rPr>
              <w:t>(6,674)</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(2,224)</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(2,224)</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2780" w:type="dxa"/>
            <w:vAlign w:val="bottom"/>
          </w:tcPr>
          <w:p>
            <w:pPr>
              <w:ind w:left="500"/>
              <w:spacing w:after="0"/>
              <w:rPr>
                <w:sz w:val="20"/>
                <w:szCs w:val="20"/>
                <w:color w:val="auto"/>
              </w:rPr>
            </w:pPr>
            <w:r>
              <w:rPr>
                <w:rFonts w:ascii="Arial" w:cs="Arial" w:eastAsia="Arial" w:hAnsi="Arial"/>
                <w:sz w:val="18"/>
                <w:szCs w:val="18"/>
                <w:color w:val="auto"/>
              </w:rPr>
              <w:t>Total drug product revenue:</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(8,648</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(16,886</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(205) %</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three months ended June 30, 2021, we recorded a reduction of $2.0 million to the drug product revenue related to the API shipments fulfilled under the terms of the Japan Amendment with Astellas in 2018, due to a change in estimated variable consideration. Specifically, the change in estimated variable consideration was based on the API held by Astellas at June 30, 2021, adjusted to reflect the changes in the estimated bulk product strength mix intended to be manufactured by Astellas, estimated cost to convert the API to bulk product tablets, and estimated yield from the manufacture of bulk product tablets, among others. During the first quarter of 2021, the Company recorded $4.0 million drug product revenue related to the same API shipments for the change in estimated variable consideration based on the API held by Astellas at March 31, 2021, under the same methodology.</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months ended March 31, 2021, we shipped bulk drug product from process validation supplies for commercial purposes under the terms of the Europe Agreement with Astellas. We recorded the consideration of $11.8 million from this shipment as deferred revenue as of June 30, 2021, due to a high degree of uncertainty associated to the final consideration, which will be recognized as and when uncertainty is resolved.</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three and six months ended June 30, 2021, we shipped bulk drug product to AstraZeneca as commercial supply under the terms of the Master Supply Agreement. Based on the above-mentioned FDA CRDAC’s vote on July 15, 2021, we evaluated the impact of these developments in revising our estimates of variable consideration associated with drug product revenue. As a result, we updated the estimated transaction price, and recorded $11.2 million as deferred revenue as of June 30,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6"/>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r>
      <w:tr>
        <w:trPr>
          <w:trHeight w:val="155"/>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3,078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3,076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6,479</w:t>
            </w:r>
          </w:p>
        </w:tc>
        <w:tc>
          <w:tcPr>
            <w:tcW w:w="2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4,047</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2,432</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122,567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116,315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80,928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63,535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(30,981)</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63,334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113,138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(49,804)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223"/>
        </w:trPr>
        <w:tc>
          <w:tcPr>
            <w:tcW w:w="31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1"/>
              </w:rPr>
              <w:t>Total operating costs and expenses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158,199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128,025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80" w:type="dxa"/>
            <w:vAlign w:val="bottom"/>
            <w:tcBorders>
              <w:top w:val="single" w:sz="8" w:color="CFF0FC"/>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233,500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taken measures to minimize the health risks of COVID-19 to our staff, patients, healthcare providers and their communities, as their safety and well-being are our top priority. We have also seen some reduced enrollment in our clinical trials, particularly for our IPF pamrevlumab trial. However, the overall impact of COVID-19 on our expenses was not significant. During the three and six months ended June 30, 2021, some reduction in expenses, such as due to paused or slowed enrollment for trials, were offset by some increased expenses, such as in patient care.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operating costs and expenses increased $30.2 million, or 24% for the three months ended June 30, 2021, and $33.6 million, or 14% for the six months ended June 30, 2021, compared to the same periods a year ago, for the reason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Cost of goods sold was $3.1 million for each of the three months ended June 30, 2021 and 2020. Cost of goods sold was $6.5 million and $4.0 million for the six months ended June 30, 2021 and 2020, respectively.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$1.9 million and $2.7 million for the three months ended June 30, 2021 and 2020, and $4.6 million and $3.7 million for the six months ended June 30, 2021 and 2020, respectively, due to the sales to Falikang that started in January 2021, offset by the overall increase in the gross sales.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Cost of goods sold associated with the roxadustat drug product revenue in the U.S. was $1.1 million and $0.4 million for the three months ended June 30, 2021 and 2020, and $1.9 million and $0.4 million for the six months ended June 30, 2021 and 2020, respectively. We expect costs of goods sold to increase in relation to drug product revenue as we deplete inventories that we had expensed prior to receiving regulatory approvals.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Research and development expenses consist of third-party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 Research and development expenses also include in-process research and development asset that has no alternative future use other than in a particular research and development project.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incurred during the three and six months ended June 30, 2021 and 2020:</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0"/>
              </w:rPr>
              <w:t>Phase of Development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352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Roxadustat</w:t>
            </w:r>
          </w:p>
        </w:tc>
        <w:tc>
          <w:tcPr>
            <w:tcW w:w="1380" w:type="dxa"/>
            <w:vAlign w:val="bottom"/>
            <w:shd w:val="clear" w:color="auto" w:fill="CFF0FC"/>
          </w:tcPr>
          <w:p>
            <w:pPr>
              <w:spacing w:after="0"/>
              <w:rPr>
                <w:sz w:val="20"/>
                <w:szCs w:val="20"/>
                <w:color w:val="auto"/>
              </w:rPr>
            </w:pPr>
            <w:r>
              <w:rPr>
                <w:rFonts w:ascii="Arial" w:cs="Arial" w:eastAsia="Arial" w:hAnsi="Arial"/>
                <w:sz w:val="18"/>
                <w:szCs w:val="18"/>
                <w:color w:val="auto"/>
              </w:rPr>
              <w:t>Phase 3</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34,332</w:t>
            </w:r>
          </w:p>
        </w:tc>
        <w:tc>
          <w:tcPr>
            <w:tcW w:w="6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53,641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spacing w:after="0"/>
              <w:rPr>
                <w:sz w:val="20"/>
                <w:szCs w:val="20"/>
                <w:color w:val="auto"/>
              </w:rPr>
            </w:pPr>
            <w:r>
              <w:rPr>
                <w:rFonts w:ascii="Arial" w:cs="Arial" w:eastAsia="Arial" w:hAnsi="Arial"/>
                <w:sz w:val="18"/>
                <w:szCs w:val="18"/>
                <w:color w:val="auto"/>
              </w:rPr>
              <w:t>Pamrevlumab</w:t>
            </w:r>
          </w:p>
        </w:tc>
        <w:tc>
          <w:tcPr>
            <w:tcW w:w="1380" w:type="dxa"/>
            <w:vAlign w:val="bottom"/>
          </w:tcPr>
          <w:p>
            <w:pPr>
              <w:spacing w:after="0"/>
              <w:rPr>
                <w:sz w:val="20"/>
                <w:szCs w:val="20"/>
                <w:color w:val="auto"/>
              </w:rPr>
            </w:pPr>
            <w:r>
              <w:rPr>
                <w:rFonts w:ascii="Arial" w:cs="Arial" w:eastAsia="Arial" w:hAnsi="Arial"/>
                <w:sz w:val="18"/>
                <w:szCs w:val="18"/>
                <w:color w:val="auto"/>
              </w:rPr>
              <w:t>Phase 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58,277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23,320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93,523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50,079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180"/>
              <w:spacing w:after="0"/>
              <w:rPr>
                <w:sz w:val="20"/>
                <w:szCs w:val="20"/>
                <w:color w:val="auto"/>
              </w:rPr>
            </w:pPr>
            <w:r>
              <w:rPr>
                <w:rFonts w:ascii="Arial" w:cs="Arial" w:eastAsia="Arial" w:hAnsi="Arial"/>
                <w:sz w:val="18"/>
                <w:szCs w:val="18"/>
                <w:color w:val="auto"/>
                <w:w w:val="97"/>
              </w:rPr>
              <w:t>Total research and development expenses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122,567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61,414</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197,243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555"/>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Research and development expenses increased $61.2 million, or 100% for the three months ended June 30, 2021, compared to the same period a year ago, as a result of the net effect of the following:</w:t>
      </w:r>
    </w:p>
    <w:p>
      <w:pPr>
        <w:spacing w:after="0" w:line="6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 of $25.0 million for acquired in-process research and development asset from HiFiBiO;</w:t>
      </w:r>
    </w:p>
    <w:p>
      <w:pPr>
        <w:spacing w:after="0" w:line="117"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of $21.7 million in drug development expenses associated with drug substance and drug product manufacturing activities primarily related to pamrevlumab;</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Increase of $8.3 million in clinical trials costs, primarily due to Phase 3 trials for pamrevlumab and roxadustat post-approval safety studies in China;</w:t>
      </w:r>
    </w:p>
    <w:p>
      <w:pPr>
        <w:spacing w:after="0" w:line="140" w:lineRule="exact"/>
        <w:rPr>
          <w:rFonts w:ascii="Arial" w:cs="Arial" w:eastAsia="Arial" w:hAnsi="Arial"/>
          <w:sz w:val="16"/>
          <w:szCs w:val="16"/>
          <w:color w:val="auto"/>
        </w:rPr>
      </w:pPr>
    </w:p>
    <w:p>
      <w:pPr>
        <w:ind w:left="500" w:right="7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of $3.2 million in employee-related costs primarily due to higher headcount in the research and development functions and higher compensation levels; and</w:t>
      </w:r>
    </w:p>
    <w:p>
      <w:pPr>
        <w:spacing w:after="0" w:line="62"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of $2.4 million in outside services due to higher consulting expenses related to roxadustat in China and higher scientific contract activities related to pamrevlumab Phase 3.</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Research and development expenses increased $80.9 million, or 70% for the six months ended June 30, 2021, compared to the same period a year ago, as a result of the net effect of the following:</w:t>
      </w:r>
    </w:p>
    <w:p>
      <w:pPr>
        <w:spacing w:after="0" w:line="62"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 of $25.0 million for acquired in-process research and development asset from HiFiBiO;</w:t>
      </w:r>
    </w:p>
    <w:p>
      <w:pPr>
        <w:spacing w:after="0" w:line="117" w:lineRule="exact"/>
        <w:rPr>
          <w:rFonts w:ascii="Arial" w:cs="Arial" w:eastAsia="Arial" w:hAnsi="Arial"/>
          <w:sz w:val="18"/>
          <w:szCs w:val="18"/>
          <w:color w:val="auto"/>
        </w:rPr>
      </w:pPr>
    </w:p>
    <w:p>
      <w:pPr>
        <w:ind w:left="500" w:right="44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of $22.8 million in clinical trials costs, primarily due to Phase 3 trials for pamrevlumab and roxadustat post-approval safety studies in China;</w:t>
      </w:r>
    </w:p>
    <w:p>
      <w:pPr>
        <w:spacing w:after="0" w:line="62"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of $20.0 million in drug development expenses associated with drug substance and drug product manufacturing activities primarily related to pamrevlumab;</w:t>
      </w:r>
    </w:p>
    <w:p>
      <w:pPr>
        <w:spacing w:after="0" w:line="62" w:lineRule="exact"/>
        <w:rPr>
          <w:rFonts w:ascii="Arial" w:cs="Arial" w:eastAsia="Arial" w:hAnsi="Arial"/>
          <w:sz w:val="18"/>
          <w:szCs w:val="18"/>
          <w:color w:val="auto"/>
        </w:rPr>
      </w:pPr>
    </w:p>
    <w:p>
      <w:pPr>
        <w:ind w:left="500" w:right="70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of $7.3 million in employee-related costs primarily due to higher headcount in the research and development functions and higher compensation levels;</w:t>
      </w:r>
    </w:p>
    <w:p>
      <w:pPr>
        <w:spacing w:after="0" w:line="62"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of $3.8 million in outside services due to higher consulting expenses related to roxadustat in China and higher scientific contract activities related to pamrevlumab Phase 3; and</w:t>
      </w:r>
    </w:p>
    <w:p>
      <w:pPr>
        <w:spacing w:after="0" w:line="62" w:lineRule="exact"/>
        <w:rPr>
          <w:rFonts w:ascii="Arial" w:cs="Arial" w:eastAsia="Arial" w:hAnsi="Arial"/>
          <w:sz w:val="18"/>
          <w:szCs w:val="18"/>
          <w:color w:val="auto"/>
        </w:rPr>
      </w:pPr>
    </w:p>
    <w:p>
      <w:pPr>
        <w:ind w:left="500" w:right="20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of $1.5 million in stock-based compensation expense, primarily due to the cumulative impact of stock option grant activities expensed in the normal course.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21"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We started to incur sales and marketing expenses in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 We anticipate that our SG&amp;A expenses will increase in the future as we anticipate an increase in payroll and related expenses associated with an increase in headcount to support the growth of the business in connection with potential commercialization of our product candidates.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SG&amp;A expenses decreased $31.0 million, or 49% for the three months ended June 30, 2021, compared to the same period a year ago, as a result of the net effect of the following:</w:t>
      </w:r>
    </w:p>
    <w:p>
      <w:pPr>
        <w:spacing w:after="0" w:line="62" w:lineRule="exact"/>
        <w:rPr>
          <w:sz w:val="20"/>
          <w:szCs w:val="20"/>
          <w:color w:val="auto"/>
        </w:rPr>
      </w:pPr>
    </w:p>
    <w:p>
      <w:pPr>
        <w:ind w:left="500" w:right="40" w:hanging="492"/>
        <w:spacing w:after="0" w:line="25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 of $34.9 million in outside service expenses, due to the above-mentioned change in the calculation of co-promotion expenses with AstraZeneca as a result of the China Amendment between FibroGen China and AstraZeneca in the third quarter of 2020. In addition, since Falikang became fully operational in January 2021, substantially all direct product sales to distributors were made by Falikang, while FibroGen Beijing continued to sell product directly in a few provinces in China. AstraZeneca now bills the co-promotion expenses to Falikang and to FibroGen Beijing, respectively, for its services provided to the respective entity;</w:t>
      </w:r>
    </w:p>
    <w:p>
      <w:pPr>
        <w:spacing w:after="0" w:line="79"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Decrease of $1.8 million in legal expenses primarily associated with less patent-related activities in United Kingdom compared to prior year period;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right="70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of $1.7 million in employee-related costs primarily due to higher headcount in the general and administrative functions and higher compensation levels;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of $1.6 million in facilities-related expense due higher repair and general maintenance expenses; and</w:t>
      </w:r>
    </w:p>
    <w:p>
      <w:pPr>
        <w:spacing w:after="0" w:line="117"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of $1.5 million in stock-based compensation expense, primarily due to the cumulative impact of stock option grant activities expensed in the normal course.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SG&amp;A expenses decreased $49.8 million, or 44% for the six months ended June 30, 2021, compared to the same period a year ago, as a result of the net effect of the following:</w:t>
      </w:r>
    </w:p>
    <w:p>
      <w:pPr>
        <w:spacing w:after="0" w:line="62" w:lineRule="exact"/>
        <w:rPr>
          <w:sz w:val="20"/>
          <w:szCs w:val="20"/>
          <w:color w:val="auto"/>
        </w:rPr>
      </w:pPr>
    </w:p>
    <w:p>
      <w:pPr>
        <w:ind w:left="500" w:right="80" w:hanging="492"/>
        <w:spacing w:after="0" w:line="25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 of $59.5 million in outside service expenses, due to the above-mentioned change in the calculation of co-promotion expenses with AstraZeneca as a result of the China Amendment between FibroGen China and AstraZeneca in the third quarter of 2020. In addition, since Falikang became fully operational in January 2021, substantially all direct product sales to distributors were made by Falikang, while FibroGen Beijing continued to sell product directly in a few provinces in China. AstraZeneca now bills the co-promotion expenses to Falikang and to FibroGen Beijing, respectively, for its services provided to the respective entity;</w:t>
      </w:r>
    </w:p>
    <w:p>
      <w:pPr>
        <w:spacing w:after="0" w:line="79"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Decrease of $1.5 million in legal expenses primarily associated with less patent-related activities in United Kingdom compared to prior year period;</w:t>
      </w:r>
    </w:p>
    <w:p>
      <w:pPr>
        <w:spacing w:after="0" w:line="140" w:lineRule="exact"/>
        <w:rPr>
          <w:rFonts w:ascii="Arial" w:cs="Arial" w:eastAsia="Arial" w:hAnsi="Arial"/>
          <w:sz w:val="16"/>
          <w:szCs w:val="16"/>
          <w:color w:val="auto"/>
        </w:rPr>
      </w:pPr>
    </w:p>
    <w:p>
      <w:pPr>
        <w:ind w:left="500" w:right="7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of $3.9 million in employee-related costs primarily due to higher headcount in the general and administrative functions and higher compensation levels;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of $2.6 million in facilities-related expense due higher repair and general maintenance expenses.</w:t>
      </w:r>
    </w:p>
    <w:p>
      <w:pPr>
        <w:spacing w:after="0" w:line="117"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of $2.3 million in stock-based compensation expense, primarily due to the cumulative impact of stock option grant activities expensed in the normal course;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of $2.2 million in audit and tax expenses.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0" w:type="dxa"/>
            <w:vAlign w:val="bottom"/>
            <w:gridSpan w:val="7"/>
          </w:tcPr>
          <w:p>
            <w:pPr>
              <w:jc w:val="right"/>
              <w:ind w:right="461"/>
              <w:spacing w:after="0" w:line="155"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(355)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(45)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(856)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428</w:t>
            </w:r>
          </w:p>
        </w:tc>
        <w:tc>
          <w:tcPr>
            <w:tcW w:w="3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Interest income and other income (expenses), net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98"/>
              </w:rPr>
              <w:t>(1,007)</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(156)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(817)</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w w:val="98"/>
              </w:rPr>
              <w:t>(4,627)</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500"/>
              <w:spacing w:after="0"/>
              <w:rPr>
                <w:sz w:val="20"/>
                <w:szCs w:val="20"/>
                <w:color w:val="auto"/>
              </w:rPr>
            </w:pPr>
            <w:r>
              <w:rPr>
                <w:rFonts w:ascii="Arial" w:cs="Arial" w:eastAsia="Arial" w:hAnsi="Arial"/>
                <w:sz w:val="18"/>
                <w:szCs w:val="18"/>
                <w:color w:val="auto"/>
              </w:rPr>
              <w:t>Total interest and other, net</w:t>
            </w: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5"/>
              <w:spacing w:after="0"/>
              <w:rPr>
                <w:sz w:val="20"/>
                <w:szCs w:val="20"/>
                <w:color w:val="auto"/>
              </w:rPr>
            </w:pPr>
            <w:r>
              <w:rPr>
                <w:rFonts w:ascii="Arial" w:cs="Arial" w:eastAsia="Arial" w:hAnsi="Arial"/>
                <w:sz w:val="16"/>
                <w:szCs w:val="16"/>
                <w:color w:val="auto"/>
                <w:w w:val="74"/>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1"/>
              </w:rPr>
              <w:t>10,157  %</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(718</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(711</w:t>
            </w:r>
          </w:p>
        </w:tc>
        <w:tc>
          <w:tcPr>
            <w:tcW w:w="34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(1,673</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0"/>
              </w:rPr>
              <w:t>$ (4,199</w:t>
            </w:r>
          </w:p>
        </w:tc>
        <w:tc>
          <w:tcPr>
            <w:tcW w:w="30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Interest expense decreased $0.3 million, or 45% for the three months ended June 30, 2021, and $0.4 million, or 33% for the six months ended June 30, 2021 compared to the same periods a year ago. The decrease was primarily due to the lease amendment effective June 1, 2021, related to our long-term property lease in San Francisco, was determined as a lease modification and classified as an operating lease, as compared to a finance lease before the lease modification. In addition, the new lease agreement effective in February 2021 for our long-term property lease in China was classified as an operating lease, as compared to a finance lease for the expired lease. The classification for both leases no longer trigger recognition of interest on the lease liabilities separately in the condensed statement of operations. See Note 5, </w:t>
      </w:r>
      <w:r>
        <w:rPr>
          <w:rFonts w:ascii="Arial" w:cs="Arial" w:eastAsia="Arial" w:hAnsi="Arial"/>
          <w:sz w:val="16"/>
          <w:szCs w:val="16"/>
          <w:i w:val="1"/>
          <w:iCs w:val="1"/>
          <w:color w:val="auto"/>
        </w:rPr>
        <w:t>Leases</w:t>
      </w:r>
      <w:r>
        <w:rPr>
          <w:rFonts w:ascii="Arial" w:cs="Arial" w:eastAsia="Arial" w:hAnsi="Arial"/>
          <w:sz w:val="16"/>
          <w:szCs w:val="16"/>
          <w:color w:val="auto"/>
        </w:rPr>
        <w:t>, to the condensed consolidated financial statements for details.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Income (Expenses), Net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Interest income and other, net decreased $1.0 million, or 156% for the three months ended June 30, 2021, and $4.6 million, or 121% for the six months ended June 30, 2021 compared to the same periods a year ago, primarily due to lower interest earned on our cash, cash equivalents and investments associated with the lower average balances and lower interest rates.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on April 1, 2020, FibroGen Beijing adopted Renminbi Yuan (“CNY”) as its functional currency based on reassessment of the primary economic environment in which FibroGen Beijing operates, as such environment was mainly associated with its growing manufacturing and product sales activities conducted in CNY. Prior to April 1, 2020, FibroGen Beijing’s functional currency was the U.S. dollar. This changed resulted in a one-time $1.0 million foreign currency loss during the three and six months ended June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4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777"/>
              <w:spacing w:after="0" w:line="155" w:lineRule="exact"/>
              <w:rPr>
                <w:sz w:val="20"/>
                <w:szCs w:val="20"/>
                <w:color w:val="auto"/>
              </w:rPr>
            </w:pPr>
            <w:r>
              <w:rPr>
                <w:rFonts w:ascii="Arial" w:cs="Arial" w:eastAsia="Arial" w:hAnsi="Arial"/>
                <w:sz w:val="14"/>
                <w:szCs w:val="14"/>
                <w:b w:val="1"/>
                <w:bCs w:val="1"/>
                <w:color w:val="auto"/>
                <w:w w:val="89"/>
              </w:rPr>
              <w:t>2021</w:t>
            </w:r>
          </w:p>
        </w:tc>
        <w:tc>
          <w:tcPr>
            <w:tcW w:w="4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r>
      <w:tr>
        <w:trPr>
          <w:trHeight w:val="155"/>
        </w:trPr>
        <w:tc>
          <w:tcPr>
            <w:tcW w:w="4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0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(134,553)</w:t>
            </w: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(85,144)</w:t>
            </w: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237"/>
              <w:spacing w:after="0"/>
              <w:rPr>
                <w:sz w:val="20"/>
                <w:szCs w:val="20"/>
                <w:color w:val="auto"/>
              </w:rPr>
            </w:pPr>
            <w:r>
              <w:rPr>
                <w:rFonts w:ascii="Arial" w:cs="Arial" w:eastAsia="Arial" w:hAnsi="Arial"/>
                <w:sz w:val="18"/>
                <w:szCs w:val="18"/>
                <w:color w:val="auto"/>
              </w:rPr>
              <w:t>(205,936)</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(163,686)</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297"/>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87"/>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(0.1) %</w:t>
            </w: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  %</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Provision for (benefit from) income tax for the three and six months ended June 30, 2021 were primarily due to foreign taxes. Provision for (benefit from) income tax for the three and six months ended June 30, 2020 were primarily due to the tax effect arising from other comprehensive income related to available-for-sale securities, and foreign taxes.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we have established and continue to maintain a full valuation allowance against our net deferred tax assets as we do not currently believe that realization of those assets is more likely than not.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in unconsolidated variable interest entity</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Investment income in unconsolidated variable interest entity represented our proportionate share of the reported profits or losses of Falikang, an unconsolidated VIE accounted for under the equity method, and was immaterial for the three and six months ended June 30, 2021. See Note 3, </w:t>
      </w:r>
      <w:r>
        <w:rPr>
          <w:rFonts w:ascii="Arial" w:cs="Arial" w:eastAsia="Arial" w:hAnsi="Arial"/>
          <w:sz w:val="18"/>
          <w:szCs w:val="18"/>
          <w:i w:val="1"/>
          <w:iCs w:val="1"/>
          <w:color w:val="auto"/>
        </w:rPr>
        <w:t>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Entity</w:t>
      </w:r>
      <w:r>
        <w:rPr>
          <w:rFonts w:ascii="Arial" w:cs="Arial" w:eastAsia="Arial" w:hAnsi="Arial"/>
          <w:sz w:val="18"/>
          <w:szCs w:val="18"/>
          <w:color w:val="auto"/>
        </w:rPr>
        <w:t>, to the condensed consolidated financial statements for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collaboration agreements involving license payments, milestones and reimbursement for development services.</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of June 30, 2021, we had cash and cash equivalents of $353.4 million. Cash is invested in accordance with our investment policy, primarily with a view to liquidity and capital preservation. Investments, consisting of available-for-sale debt investments and marketable equity investments, and stated at fair value, are also available as a source of liquidity. As of June 30, 2021, we had short-term and long-term investments of $153.9 million and $105.8 million, respectively. As of June 30, 2021, a total of $85.1 million of our cash and cash equivalents was held outside of the U.S. in our foreign subsidiaries, including $63.8 million of our cash and cash equivalents is held in China, to be used primarily for our China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third quarter of 2019, we started generating revenue from commercial sales of roxadustat product in China. Even with the expectation of increases in revenue from product sales, we anticipate that we will continue to generate losses for the foreseeable future. We expect increase in our operating expenses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are expected to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such as from the COVID-19 pandemic or other factors outlined under Part II,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in this Quarterly Report on Form 10-Q. We anticipate that we will need substantial additional funding in connection with our continuing</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will be sufficient to meet our anticipated cash requirements for at least the next 12 months from the date of this Quarterly Report on Form 10-Q.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primary sources and uses of cash and cash equivalents for each of the periods set forth below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80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2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(71,527)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90,179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(254,252)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209,864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Effect of exchange rate changes on cash and cash equivalents</w:t>
            </w:r>
          </w:p>
        </w:tc>
        <w:tc>
          <w:tcPr>
            <w:tcW w:w="1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Net increase (decrease) in cash and cash equivalents</w:t>
            </w:r>
          </w:p>
        </w:tc>
        <w:tc>
          <w:tcPr>
            <w:tcW w:w="19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40" w:type="dxa"/>
            <w:vAlign w:val="bottom"/>
            <w:vMerge w:val="restart"/>
          </w:tcPr>
          <w:p>
            <w:pPr>
              <w:jc w:val="right"/>
              <w:ind w:right="1510"/>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Net cash used in operating activities was $71.5 million for the six months ended June 30, 2021 and consisted primarily of net loss of $205.7 million adjusted for non-operating cash items of $73.5 million, offset by a net increase in operating assets and liabilities of $60.7 million. The significant non-operating cash items included stock-based compensation expense of $38.4 million, expense for acquired in-process research and development asset from HiFiBiO of $25.0 million, depreciation expense of $5.2 million and amortization of finance lease right-of-use assets of $4.4 million. The significant items in the changes in operating assets and liabilities included the increases resulting from the following:</w:t>
      </w:r>
    </w:p>
    <w:p>
      <w:pPr>
        <w:spacing w:after="0" w:line="68" w:lineRule="exact"/>
        <w:rPr>
          <w:sz w:val="20"/>
          <w:szCs w:val="20"/>
          <w:color w:val="auto"/>
        </w:rPr>
      </w:pPr>
    </w:p>
    <w:p>
      <w:pPr>
        <w:ind w:left="500" w:hanging="492"/>
        <w:spacing w:after="0" w:line="255"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Deferred revenue of $33.1 million, primarily related to the above-mentioned $11.8 million and $11.2 million of the deferred considerations of the bulk drug product shipped to Astellas and AstraZeneca, respectively, due to a high degree of uncertainty associated to the final consideration, and $9.3 million of the deferred revenue from the sales to Falikang associated with the China performance obligation. The change in deferred revenue was also driven by the extension of the estimated future non-contingent development period and recognition of revenues under our collaboration agreements with Astellas and AstraZeneca. See Note 2,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to the condensed consolidated financial statements for details;</w:t>
      </w:r>
    </w:p>
    <w:p>
      <w:pPr>
        <w:spacing w:after="0" w:line="84"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Accrued and other liabilities of $27.7 million, primarily driven by the timing of invoicing and payment; and</w:t>
      </w:r>
    </w:p>
    <w:p>
      <w:pPr>
        <w:spacing w:after="0" w:line="117"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Accounts receivable of $17.9 million, primarily driven by the timing of the receipt of upfront payments and the recognition of revenues under our collaboration agreements with Astellas and AstraZeneca, as well as the collection from our distributors and Falikang.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7" w:lineRule="exact"/>
        <w:rPr>
          <w:sz w:val="20"/>
          <w:szCs w:val="20"/>
          <w:color w:val="auto"/>
        </w:rPr>
      </w:pPr>
    </w:p>
    <w:p>
      <w:pPr>
        <w:ind w:left="500" w:right="74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 long-term liabilities of $8.1 million, primarily due to the decrease in the co-promotional expenses with AstraZeneca for its sales and marketing efforts related to the commercial launch of roxadustat in China that are not expected to be paid in the next year; and</w:t>
      </w:r>
    </w:p>
    <w:p>
      <w:pPr>
        <w:spacing w:after="0" w:line="38"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Inventories of $7.9 million, driven by the increased inventory level primarily related to FibroGen Beijing’s productions of roxadustat for commercial sales purposes and pre-launch inventory cost capitalized in the U.S.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cash provided by operating activities was $90.2 million for the six months ended June 30, 2020 and consisted primarily of net loss of $163.7 million adjusted for non-operating cash items of $45.7 million, offset by a net increase in operating assets and liabilities of $208.2 million. The significant non-operating cash items included stock-based compensation expense of $34.6 million, depreciation expense of $5.7 million and amortization of finance lease right-of-use assets of $5.2 million. The significant items in the changes in operating assets and liabilities included the increases resulting from the following:</w:t>
      </w:r>
    </w:p>
    <w:p>
      <w:pPr>
        <w:spacing w:after="0" w:line="80"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Prepaid expenses and other current assets of $126.9 million and Deferred revenue of $48.1 million, primarily related to the billing and receipt of</w:t>
      </w:r>
    </w:p>
    <w:p>
      <w:pPr>
        <w:spacing w:after="0" w:line="46" w:lineRule="exact"/>
        <w:rPr>
          <w:rFonts w:ascii="Arial" w:cs="Arial" w:eastAsia="Arial" w:hAnsi="Arial"/>
          <w:sz w:val="16"/>
          <w:szCs w:val="16"/>
          <w:color w:val="auto"/>
        </w:rPr>
      </w:pPr>
    </w:p>
    <w:p>
      <w:pPr>
        <w:ind w:left="500"/>
        <w:spacing w:after="0" w:line="253" w:lineRule="auto"/>
        <w:rPr>
          <w:rFonts w:ascii="Arial" w:cs="Arial" w:eastAsia="Arial" w:hAnsi="Arial"/>
          <w:sz w:val="16"/>
          <w:szCs w:val="16"/>
          <w:color w:val="auto"/>
        </w:rPr>
      </w:pPr>
      <w:r>
        <w:rPr>
          <w:rFonts w:ascii="Arial" w:cs="Arial" w:eastAsia="Arial" w:hAnsi="Arial"/>
          <w:sz w:val="18"/>
          <w:szCs w:val="18"/>
          <w:color w:val="auto"/>
        </w:rPr>
        <w:t>$130.0 million in regulatory milestones under the Europe Agreement with Astellas associated with the MAA submission in Europe; and the billing and receipt of $50.0 million regulatory milestone under the U.S./RoW Agreement with AstraZeneca associated with the NDA submission for review in the U.S. These milestones were not billable as of December 31, 2019, and was net of the associated deferred revenues of $4.8 million and $50.0 million, respectively. The change in deferred revenue was also driven by the recognition of revenues under our collaboration agreements with Astellas and AstraZeneca;</w:t>
      </w:r>
    </w:p>
    <w:p>
      <w:pPr>
        <w:spacing w:after="0" w:line="82" w:lineRule="exact"/>
        <w:rPr>
          <w:rFonts w:ascii="Arial" w:cs="Arial" w:eastAsia="Arial" w:hAnsi="Arial"/>
          <w:sz w:val="16"/>
          <w:szCs w:val="16"/>
          <w:color w:val="auto"/>
        </w:rPr>
      </w:pPr>
    </w:p>
    <w:p>
      <w:pPr>
        <w:ind w:left="500" w:right="460" w:hanging="492"/>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Other long-term liabilities of $64.0 million, primarily due to the additional accrual of co-promotional expenses with AstraZeneca for sales and marketing efforts related to the commercial launch of roxadustat in China that are not expected to be paid in the next year;</w:t>
      </w:r>
    </w:p>
    <w:p>
      <w:pPr>
        <w:spacing w:after="0" w:line="38" w:lineRule="exact"/>
        <w:rPr>
          <w:rFonts w:ascii="Arial" w:cs="Arial" w:eastAsia="Arial" w:hAnsi="Arial"/>
          <w:sz w:val="17"/>
          <w:szCs w:val="17"/>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assets of $4.0 million, primarily related to the return and consumption of input value added tax by FibroGen Beijing; and</w:t>
      </w:r>
    </w:p>
    <w:p>
      <w:pPr>
        <w:spacing w:after="0" w:line="117" w:lineRule="exact"/>
        <w:rPr>
          <w:rFonts w:ascii="Arial" w:cs="Arial" w:eastAsia="Arial" w:hAnsi="Arial"/>
          <w:sz w:val="18"/>
          <w:szCs w:val="18"/>
          <w:color w:val="auto"/>
        </w:rPr>
      </w:pPr>
    </w:p>
    <w:p>
      <w:pPr>
        <w:ind w:left="500" w:right="30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Accounts receivable of $1.9 million, primarily driven by the timing of the receipt of upfront payments and the recognition of revenues under our collaboration agreements with Astellas and AstraZeneca;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7" w:lineRule="exact"/>
        <w:rPr>
          <w:sz w:val="20"/>
          <w:szCs w:val="20"/>
          <w:color w:val="auto"/>
        </w:rPr>
      </w:pPr>
    </w:p>
    <w:p>
      <w:pPr>
        <w:ind w:left="500" w:right="180" w:hanging="492"/>
        <w:spacing w:after="0" w:line="342"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Accrued and other liabilities of $33.5 million, primarily driven by the payment of $36.3 million that was accrued at December 31, 2019, related to the change in estimated variable consideration associated with the API delivery; as well as driven by the timing of invoicing and payment; and</w:t>
      </w:r>
    </w:p>
    <w:p>
      <w:pPr>
        <w:spacing w:after="0" w:line="15" w:lineRule="exact"/>
        <w:rPr>
          <w:rFonts w:ascii="Arial" w:cs="Arial" w:eastAsia="Arial" w:hAnsi="Arial"/>
          <w:sz w:val="16"/>
          <w:szCs w:val="16"/>
          <w:color w:val="auto"/>
        </w:rPr>
      </w:pPr>
    </w:p>
    <w:p>
      <w:pPr>
        <w:ind w:left="500" w:right="32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Inventories of $2.0 million, driven by the increased inventory level related to FibroGen Beijing’s productions of roxadustat for commercial sales purposes.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Net cash used in investing activities was $254.3 million for the six months ended June 30, 2021 and consisted primarily of $266.6 million of cash used in purchases of available-for-sale securities, partially offset by $10.6 million of proceeds from maturities of investments, and $4.0 million of proceeds from sales of available-for-sale securities.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investing activities was $209.9 million for the six months ended June 30, 2020 and consisted primarily of $201.9 million of proceeds from maturities of investments, and $10.6 million of proceeds from sales of available-for-sale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liabilities and obligations.</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Net cash provided by financing activities was $0.3 million for the six months ended June 30, 2021 and consisted primarily of $11.8 million of proceeds from the issuance of common stock upon exercise of stock options and purchases under our Employee Share Purchase Plan (“ESPP”), partially offset by $5.9 million of cash paid for payroll taxes on restricted stock unit releases, and $5.3 million of repayments of finance lease liabilities.</w:t>
      </w:r>
    </w:p>
    <w:p>
      <w:pPr>
        <w:spacing w:after="0" w:line="1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cash provided by financing activities was $3.5 million for the six months ended June 30, 2020 and consisted primarily of $16.5 million of proceeds from the issuance of common stock upon exercise of stock options and purchases under our ESPP, partially offset by $6.9 million of cash paid for payroll taxes on restricted stock unit releases, and $6.0 million of repayments of finance lease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three and six months ended June 30, 2021,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had $104.9 million of operating lease liabilities. Our finance lease liabilities were immaterial as of June 30, 2021.</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June 30, 2021, we had outstanding total non-cancelable purchase obligations of $81.9 million, including $29.6 million for manufacture and supply of roxadustat, $47.3 million for manufacture and supply of pamrevlumab, and $5.0 million for other purchases. We expect to fulfill our commitments under these agreements in the normal course of business, and as such, no liability has been recorded.</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Some of our license agreements provide for periodic maintenance fees over specified time periods, as well as payments by us upon the achievement of development, regulatory and commercial milestones. As of June 30, 2021, future milestone payments for research and pre-clinical stage development programs consisted of up to approximately $359.2 million in total potential future milestone payments under our license agreements with HiFiBiO (for Galectin-9),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recently issued accounting guidance, see Note 1,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There have been no material changes in our critical accounting policies, estimates and judgments during the three and six months ended June 30, 2021 compared with the disclosures in Part II, Item 7 of our Annual Report on Form 10-K for the year ended December 31, 2020, except for the following: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Product revenue, net consists of revenues from sales of roxadustat commercial product to Falikang, and directly to pharmaceutical distributors located in a few provinces in China that are not covered by Falikang. Falikang is jointly owned by AstraZeneca and FibroGen Beijing. We are not the primary beneficiary of Falikang for accounting purposes, as AstraZeneca is the final decision maker for all the roxadustat commercialization activities, and we lack the power criterion to direct the activities of Falikang (see Note 3, </w:t>
      </w:r>
      <w:r>
        <w:rPr>
          <w:rFonts w:ascii="Arial" w:cs="Arial" w:eastAsia="Arial" w:hAnsi="Arial"/>
          <w:sz w:val="16"/>
          <w:szCs w:val="16"/>
          <w:i w:val="1"/>
          <w:iCs w:val="1"/>
          <w:color w:val="auto"/>
        </w:rPr>
        <w:t>Variable Interest Entity,</w:t>
      </w:r>
      <w:r>
        <w:rPr>
          <w:rFonts w:ascii="Arial" w:cs="Arial" w:eastAsia="Arial" w:hAnsi="Arial"/>
          <w:sz w:val="16"/>
          <w:szCs w:val="16"/>
          <w:color w:val="auto"/>
        </w:rPr>
        <w:t xml:space="preserve"> to the condensed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Falikang became fully operational in January 2021, at which time FibroGen Beijing began selling roxadustat commercial product to Falikang. Falikang is FibroGen Beijing’s primary customer in China and substantially all roxadustat product sales to distributors in China are made by Falikang. Falikang bears inventory risk once it receives and accepts the product from FibroGen Beijing, and is responsible for delivering product to its distributors.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promises identified under the AstraZeneca China Agreement, including the license, co-development services and manufacturing of commercial supplies have been bundled into the China performance obligation. Amounts of the transaction price allocable to this performance obligation under our agreements with AstraZeneca are deferred until control of the manufactured commercial product is transferred to AstraZeneca.</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initiation of roxadustat sales to Falikang marked the beginning of the China performance obligation</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we believe those sales would occur. The price per unit is subject to reassessment on a quarterly basis, which may result in cumulative catch up adjustments due to changes in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380" w:hanging="372"/>
        <w:spacing w:after="0" w:line="277"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Non-refundable upfront license fees; development, regulatory, and commercial milestone payments based on the China Agreement allocated to the China performance obligation;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Co-development billings resulting from our research and development efforts, which are reimbursable under the China Agreement;</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Interim profit/loss share between FibroGen Beijing and AstraZeneca from April 1, 2020 through December 31, 2020;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transfer price from product sales to Falikang from January 1, 2021 onwards. The net transfer price includes the following elements:</w:t>
      </w:r>
    </w:p>
    <w:p>
      <w:pPr>
        <w:spacing w:after="0" w:line="117" w:lineRule="exact"/>
        <w:rPr>
          <w:rFonts w:ascii="Arial" w:cs="Arial" w:eastAsia="Arial" w:hAnsi="Arial"/>
          <w:sz w:val="18"/>
          <w:szCs w:val="18"/>
          <w:color w:val="auto"/>
        </w:rPr>
      </w:pPr>
    </w:p>
    <w:p>
      <w:pPr>
        <w:ind w:left="740" w:right="200" w:hanging="365"/>
        <w:spacing w:after="0" w:line="245"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Gross transfer price: The gross transfer price is based on a percentage of Falikang’s net sales to its distributors, which takes into account</w:t>
      </w:r>
      <w:r>
        <w:rPr>
          <w:rFonts w:ascii="Courier New" w:cs="Courier New" w:eastAsia="Courier New" w:hAnsi="Courier New"/>
          <w:sz w:val="18"/>
          <w:szCs w:val="18"/>
          <w:color w:val="auto"/>
        </w:rPr>
        <w:t xml:space="preserve"> </w:t>
      </w:r>
      <w:r>
        <w:rPr>
          <w:rFonts w:ascii="Arial" w:cs="Arial" w:eastAsia="Arial" w:hAnsi="Arial"/>
          <w:sz w:val="18"/>
          <w:szCs w:val="18"/>
          <w:color w:val="auto"/>
        </w:rPr>
        <w:t>Falikang’s operating expenses and its payments to AstraZeneca for roxadustat sales and marketing efforts, capped at a percentage of Falikang’s net roxadustat sales.</w:t>
      </w:r>
    </w:p>
    <w:p>
      <w:pPr>
        <w:spacing w:after="0" w:line="89" w:lineRule="exact"/>
        <w:rPr>
          <w:rFonts w:ascii="Arial" w:cs="Arial" w:eastAsia="Arial" w:hAnsi="Arial"/>
          <w:sz w:val="18"/>
          <w:szCs w:val="18"/>
          <w:color w:val="auto"/>
        </w:rPr>
      </w:pPr>
    </w:p>
    <w:p>
      <w:pPr>
        <w:ind w:left="740" w:right="40" w:hanging="365"/>
        <w:spacing w:after="0" w:line="300"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Profit share: The gross transfer price is then adjusted for an estimated amount to achieve the 50/50 profit share from current period roxadustat net</w:t>
      </w:r>
      <w:r>
        <w:rPr>
          <w:rFonts w:ascii="Courier New" w:cs="Courier New" w:eastAsia="Courier New" w:hAnsi="Courier New"/>
          <w:sz w:val="16"/>
          <w:szCs w:val="16"/>
          <w:color w:val="auto"/>
        </w:rPr>
        <w:t xml:space="preserve"> </w:t>
      </w:r>
      <w:r>
        <w:rPr>
          <w:rFonts w:ascii="Arial" w:cs="Arial" w:eastAsia="Arial" w:hAnsi="Arial"/>
          <w:sz w:val="16"/>
          <w:szCs w:val="16"/>
          <w:color w:val="auto"/>
        </w:rPr>
        <w:t>sales in China. The adjustments to date have been a reduction to the transfer price and the related accounts receivable from Falikang.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key estimates such as total sales quantity, performance period, gross transfer price and profit share, which require a substantial degree of judgment.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net transfer price in excess of the revenue recognized is deferred, and will be recognized over future periods as the performance obligations are satisfied.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to Distributors</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We sell roxadustat in China directly to a number of pharmaceutical distributors located in a few provinces in China that are not covered by Falikang. These pharmaceutical distributors are our customers. Hospitals order roxadustat through a distributor and we ship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we expect to be entitled to in exchange for the product.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period between the transfer of control of the promised goods and when we receive payment is based on 60-day payment terms.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recorded at the net sales prices which includes the following estimates of variable consideration:</w:t>
      </w:r>
    </w:p>
    <w:p>
      <w:pPr>
        <w:spacing w:after="0" w:line="117" w:lineRule="exact"/>
        <w:rPr>
          <w:sz w:val="20"/>
          <w:szCs w:val="20"/>
          <w:color w:val="auto"/>
        </w:rPr>
      </w:pPr>
    </w:p>
    <w:p>
      <w:pPr>
        <w:jc w:val="both"/>
        <w:ind w:left="740" w:hanging="368"/>
        <w:spacing w:after="0" w:line="311" w:lineRule="auto"/>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Price adjustment: When China’s National Healthcare Security Administration releases price guidance for roxadustat under the National Reimbursement Drug List, any channel inventories that have not been sold through by distributors, or to patients by hospitals and retailors, would be eligible for a price adjustment under the price protection. The price adjustment is calculated based on estimated channel inventory levels;</w:t>
      </w:r>
    </w:p>
    <w:p>
      <w:pPr>
        <w:spacing w:after="0" w:line="40" w:lineRule="exact"/>
        <w:rPr>
          <w:rFonts w:ascii="Arial" w:cs="Arial" w:eastAsia="Arial" w:hAnsi="Arial"/>
          <w:sz w:val="16"/>
          <w:szCs w:val="16"/>
          <w:color w:val="auto"/>
        </w:rPr>
      </w:pPr>
    </w:p>
    <w:p>
      <w:pPr>
        <w:jc w:val="both"/>
        <w:ind w:left="740" w:hanging="368"/>
        <w:spacing w:after="0" w:line="263"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Contractual sales rebate: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5" w:lineRule="exact"/>
        <w:rPr>
          <w:rFonts w:ascii="Arial" w:cs="Arial" w:eastAsia="Arial" w:hAnsi="Arial"/>
          <w:sz w:val="18"/>
          <w:szCs w:val="18"/>
          <w:color w:val="auto"/>
        </w:rPr>
      </w:pPr>
    </w:p>
    <w:p>
      <w:pPr>
        <w:jc w:val="both"/>
        <w:ind w:left="740" w:hanging="368"/>
        <w:spacing w:after="0" w:line="279"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Non-key account hospital listing award: A one-time fixed-amount award is offered to a distributor who successfully lists the product with an eligible hospital, and who meets certain requirements. We consider this particular award to be an upfront payment to a customer within the definitions of the ASC 606. The non-key account hospital listing award is capitalized when the distributor meets eligibility requirements, and amortized as reduction to product revenue over future sales orders made by the distributor until exhausted;</w:t>
      </w:r>
    </w:p>
    <w:p>
      <w:pPr>
        <w:spacing w:after="0" w:line="63" w:lineRule="exact"/>
        <w:rPr>
          <w:rFonts w:ascii="Arial" w:cs="Arial" w:eastAsia="Arial" w:hAnsi="Arial"/>
          <w:sz w:val="17"/>
          <w:szCs w:val="17"/>
          <w:color w:val="auto"/>
        </w:rPr>
      </w:pPr>
    </w:p>
    <w:p>
      <w:pPr>
        <w:ind w:left="740" w:hanging="368"/>
        <w:spacing w:after="0" w:line="308"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discounts and rebates, including key account hospital sales rebate and transfer fee discount, are generally based on a percentage of eligible gross sales made by the distributor and recorded as a reduction to revenue at the point of sale to the distributor; and</w:t>
      </w:r>
    </w:p>
    <w:p>
      <w:pPr>
        <w:spacing w:after="0" w:line="38"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returns: Distributors can request to return product to us only due to quality issues or for product purchased within one year prior to the product’s expiration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or when we expect to settle the discount in cash. The distributor’s legal right of offset is calculated at the individual distributor level.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During the three and six months ended June 30, 2021, we believe there were no material changes to our exposure to market risks as set forth in Part II,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in our Annual Report on Form 10-K for the year ended December 31, 2020.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June 30, 2021,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Based on our evaluation, the Chief Executive Officer and Chief Financial Officer have concluded that our disclosure controls and procedures were not effective as of June 30, 2021 because of the material weaknesses in our internal control over financial reporting described below.</w:t>
      </w:r>
    </w:p>
    <w:p>
      <w:pPr>
        <w:spacing w:after="0" w:line="14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2020, we have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Each of these material weaknesses could result in material misstatements in the drug product revenue, contract asset or contract liability account balances or disclosures in our annual or interim consolidated financial statements that would not be prevented or detected.</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and Status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Board of Directors and management are committed to maintaining a strong internal control environment. We have developed a detailed remediation plan and are making progress of what will be a multi-step remediation process to fully remediate the material weaknesses described above. Specifically, as of June 30, 2021, we have continued with the remediation steps that were initiated in the fourth quarter of 2020, including, but not limited to, the following:</w:t>
      </w:r>
    </w:p>
    <w:p>
      <w:pPr>
        <w:spacing w:after="0" w:line="41" w:lineRule="exact"/>
        <w:rPr>
          <w:sz w:val="20"/>
          <w:szCs w:val="20"/>
          <w:color w:val="auto"/>
        </w:rPr>
      </w:pPr>
    </w:p>
    <w:p>
      <w:pPr>
        <w:ind w:left="380" w:right="260" w:hanging="372"/>
        <w:spacing w:after="0" w:line="258"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started a comprehensive annual risk assessment process, and will continue to refine the risk assessment, to identify and design our control activities related to the above mentioned material weaknesses;</w:t>
      </w:r>
    </w:p>
    <w:p>
      <w:pPr>
        <w:spacing w:after="0" w:line="1" w:lineRule="exact"/>
        <w:rPr>
          <w:rFonts w:ascii="Arial" w:cs="Arial" w:eastAsia="Arial" w:hAnsi="Arial"/>
          <w:sz w:val="18"/>
          <w:szCs w:val="18"/>
          <w:color w:val="auto"/>
        </w:rPr>
      </w:pPr>
    </w:p>
    <w:p>
      <w:pPr>
        <w:ind w:left="380" w:right="440" w:hanging="372"/>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identified and designed new controls and procedures associated with drug product revenue, and where applicable implemented new procedures and controls during the fourth quarter of 2020 and the first two quarters of 2021, and will continue to implement new procedures and controls in the future; and</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hired additional resources to strengthen our accounting and internal audit functions.</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we will continue to assess risks on a continuous basis to timely identify new exposures or risk categories as business practices change, and we plan to conduct a comprehensive review and, as applicable, update our existing internal control framework to ensure that it has identified, developed and deployed the appropriate business process controls to meet the objectives and address the risks identified.</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material weaknesses will not be considered remediated until the applicable controls operate for a sufficient period of time and management has concluded, through testing, that these controls are operating effectively. We believe the measures described above will remediate these material weaknesses and strengthen our internal control over financial reporting. As we continue to evaluate and work to remediate these material weaknesses, we may determine to take additional measures to address these deficiencies or determine to modify certain of the remediation measures described above.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Besides the new procedures and controls implemented to date as described above, there were no changes in our internal control over financial reporting that occurred during the three months ended June 30, 2021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party to various legal actions that arose in the ordinary course of our business. We recognize accruals for any legal action when we conclude that a loss is probable and reasonably estimable. We did not have any material accruals for any currently active legal action in our consolidated balance sheets as of June 30, 2021, as we could not predict the ultimate outcome of these matters, or reasonably estimate the potential exposure.</w:t>
      </w:r>
    </w:p>
    <w:p>
      <w:pPr>
        <w:spacing w:after="0" w:line="4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2021, three putative securities class action complaints were filed against FibroGen and certain of its current and former executive officers (collectively, the “Defendants”) in the United States (“U.S.”) District Court for the Northern District of California. The lawsuits allege that Defendants violated the Securities Exchange Act of 1934 by making materially false and misleading statements regarding FibroGen’s Phase 3 clinical studies data and prospects for FDA approval between November 2019 and December 2020. Plaintiffs seek to represent a class of persons or entities that purchased FibroGen securities between November 8, 2019 and April 6, 2021. In May 2021, two additional putative securities class action complaints were filed against Defendants alleging the same claims. One of the lawsuits alleges that Defendants made materially false and misleading statements between October 2017 and December 2020 and seeks to represent a class of persons or entities that purchased FibroGen securities between October 18, 2017 and April 6, 2021. The other lawsuit alleges that Defendants made materially false and misleading statements between December 2018 and February 2020 and seeks to represent a class of persons or entities that purchased FibroGen securities between December 20, 2018 and April 6, 2021. All plaintiffs seek unspecified monetary damages and other relief. Motions for lead plaintiff were filed on June 11, 2021 and a hearing on the motion is scheduled for August 19, 2021. Once a lead plaintiff is appointed by the Court, the Company expects to receive an amended consolidated complaint.</w:t>
      </w:r>
    </w:p>
    <w:p>
      <w:pPr>
        <w:spacing w:after="0" w:line="17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July 30, 2021, a purported shareholder derivative complaint was filed in the U.S. District Court for the Northern District of California. The complaint names as defendants ten of the Company’s officers and directors, as well as the Company as nominal defendant, and asserts state and federal claims based on some of the same alleged misstatements as the securities class action complaints. The complaint seeks unspecified damages, attorneys’ fees, and other costs. The Company and individual defendants have not yet been served.</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substantially dependent on the success of our lead product, roxadustat, and our second compound in development, pamrevlumab.</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date, we have invested a substantial portion of our efforts and financial resources in the research and development of roxadustat and pamrevlumab. While we have received approval of our New Drug Applications (“NDA”) for roxadustat in the People’s Republic of China (“China”), Japan, South Korea, and Chile for chronic kidney disease (“CKD”) anemia for patients on dialysis and not on dialysis, our partners and we will need to make substantial additional investments in the development and commercialization of roxadustat worldwide and in various indications. Our near-term prospects, including maintaining our existing collaborations with Astellas Pharma Inc. (“Astellas”) and AstraZeneca AB (“AstraZeneca”), will depend heavily on successful development and commercialization of roxadustat, including obtaining additional regulatory approvals for the commercialization of roxadustat for anemia associated with CKD.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other lead product candidate, pamrevlumab, is currently in clinical development for idiopathic pulmonary fibrosis (“IPF”), pancreatic cancer, and Duchenne muscular dystrophy (“DMD”). Pamrevlumab requires substantial further development and investment and we do not have a collaboration partner for support of this compound. In addition, pamrevlumab is a monoclonal antibody, which may require greater financial resources than for our small molecule, roxadustat.</w:t>
      </w:r>
    </w:p>
    <w:p>
      <w:pPr>
        <w:spacing w:after="0" w:line="29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As a company, we have limited commercialization experience, and the time and resources to develop such experience are significant. If we fail to achieve and sustain commercial success for roxadustat with our collaboration partners, our business would be harmed.</w:t>
      </w:r>
    </w:p>
    <w:p>
      <w:pPr>
        <w:spacing w:after="0" w:line="1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do not have a sales or marketing infrastructure and have limited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38"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commercial teams;</w:t>
      </w:r>
    </w:p>
    <w:p>
      <w:pPr>
        <w:spacing w:after="0" w:line="117" w:lineRule="exact"/>
        <w:rPr>
          <w:rFonts w:ascii="Arial" w:cs="Arial" w:eastAsia="Arial" w:hAnsi="Arial"/>
          <w:sz w:val="18"/>
          <w:szCs w:val="18"/>
          <w:color w:val="auto"/>
        </w:rPr>
      </w:pPr>
    </w:p>
    <w:p>
      <w:pPr>
        <w:ind w:left="500" w:right="30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5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Commercializing roxadustat requires us to establish commercialization systems, including but not limited to, medical affairs, pharmacovigilance, supply-chain, and distribution capabilities to perform our portion of the collaborative efforts. These efforts require resources and time.</w:t>
      </w:r>
    </w:p>
    <w:p>
      <w:pPr>
        <w:spacing w:after="0" w:line="14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If we, along with Astellas and AstraZeneca, are not successful in our marketing, pricing and reimbursement strategies, facilitating adoption by dialysis organizations, health care professionals, recruiting sales and marketing personnel or in building a sales and marketing infrastructure, or if the market perception of roxadustat’s safety and efficacy profile is negative, we will have difficulty commercializing roxadustat, which would adversely affect our business and financial condition.</w:t>
      </w:r>
    </w:p>
    <w:p>
      <w:pPr>
        <w:spacing w:after="0" w:line="295"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Although regulatory approval has been obtained for roxadustat in China, Japan, South Korea, and Chile, we may be unable to obtain regulatory approval in other countries, or such approval may be delayed or limited, due to a number of factors, many of which are beyond our control.*</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pamrevlumab, or any of our other product candidates in one or more indications and jurisdictions.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Moreover, for any Phase 3 clinical trial to support an NDA/Biologics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clinical research organizations (“CROs”),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2" w:lineRule="exact"/>
        <w:rPr>
          <w:sz w:val="20"/>
          <w:szCs w:val="20"/>
          <w:color w:val="auto"/>
        </w:rPr>
      </w:pPr>
    </w:p>
    <w:p>
      <w:pPr>
        <w:ind w:left="500" w:right="22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or an independent advisory committee that roxadustat is safe and effective in treating anemia in CKD, myelodysplastic syndromes, or chemotherapy-induced anemia, or that pamrevlumab is safe and effective in treating IPF, pancreatic cancer, or DMD;</w:t>
      </w:r>
    </w:p>
    <w:p>
      <w:pPr>
        <w:spacing w:after="0" w:line="75"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500" w:right="62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product candidates may exhibit an unacceptable safety signal as they advance through clinical trials, in particular controlled Phase 3 trials;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CROs that conduct clinical trials on our behalf may take actions outside of our control that materially adversely impact our clinical trials;</w:t>
      </w:r>
    </w:p>
    <w:p>
      <w:pPr>
        <w:spacing w:after="0" w:line="128" w:lineRule="exact"/>
        <w:rPr>
          <w:rFonts w:ascii="Arial" w:cs="Arial" w:eastAsia="Arial" w:hAnsi="Arial"/>
          <w:sz w:val="17"/>
          <w:szCs w:val="17"/>
          <w:color w:val="auto"/>
        </w:rPr>
      </w:pPr>
    </w:p>
    <w:p>
      <w:pPr>
        <w:ind w:left="500" w:right="8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or cause us to abandon the development program altogether.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negative vote of the FDA Cardiovascular and Renal Drugs Advisory Committee meeting is expected to have a significant impact on roxadustat’s approvability in CKD anemia in the U.S.*</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Cardiovascular and Renal Drugs Advisory Committee (“CRDAC”) of the FDA voted 13 to 1 for non-dialysis dependent patients with CKD, and 12 to 2 for dialysis-dependent CKD patients to recommend not approving roxadustat, an oral hypoxia-inducible factor prolyl hydroxylase (“HIF-PH”) inhibitor, for the treatment of anemia due to CKD in adult patients. While the FDA is not required to follow CRDAC's vote, the agency considers CRDAC's non-binding recommendations when making its decision, and there is a high risk roxadustat’s NDA will not be approved, or if it is approved, it may be for a more restricted use than the Company has requested. We do not know how long it will take for the FDA to make a decision on our NDA. The FDA may give us a complete response letter (rejecting our NDA) or further delay approval of our NDA if applicable regulatory criteria are not satisfied and/or the FDA requires additional testing or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Phase 1 and Phase 2 clinical trial results may not be indicative of the results that may be obtained in larger clinical trials.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approval or guidance;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recruit, enroll and retain patients through the completion of the trial, including for the duration of the </w:t>
      </w:r>
      <w:r>
        <w:rPr>
          <w:rFonts w:ascii="Arial" w:cs="Arial" w:eastAsia="Arial" w:hAnsi="Arial"/>
          <w:sz w:val="17"/>
          <w:szCs w:val="17"/>
          <w:color w:val="auto"/>
        </w:rPr>
        <w:t>Severe Acute Respiratory Syndrome Coronavirus</w:t>
      </w:r>
      <w:r>
        <w:rPr>
          <w:rFonts w:ascii="Arial" w:cs="Arial" w:eastAsia="Arial" w:hAnsi="Arial"/>
          <w:sz w:val="18"/>
          <w:szCs w:val="18"/>
          <w:color w:val="auto"/>
        </w:rPr>
        <w:t xml:space="preserve"> </w:t>
      </w:r>
      <w:r>
        <w:rPr>
          <w:rFonts w:ascii="Arial" w:cs="Arial" w:eastAsia="Arial" w:hAnsi="Arial"/>
          <w:sz w:val="17"/>
          <w:szCs w:val="17"/>
          <w:color w:val="auto"/>
        </w:rPr>
        <w:t>2 and the resulting Coronavirus Disease (“COVID-19”) pandemic;</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6"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 (particularly for IPF);</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500" w:right="2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3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68"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clinical trial development plan becoming longer and more extensive;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regulatory authorities increasing the data and information required to approve our product candidates and imposing other requirements; and</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Overview</w:t>
      </w:r>
      <w:r>
        <w:rPr>
          <w:rFonts w:ascii="Arial" w:cs="Arial" w:eastAsia="Arial" w:hAnsi="Arial"/>
          <w:sz w:val="16"/>
          <w:szCs w:val="16"/>
          <w:color w:val="auto"/>
        </w:rPr>
        <w:t>” in our Annual Report on Form 10-K for the year ended December 31, 2020 for a discussion of the adverse events and serious adverse events that have emerged in clinical trials of roxadustat and pamrevlumab.</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manufacturers or we cannot properly manufacture the appropriate amount of product, we may experience delays in development, regulatory approval, launch or successful commercialization.*</w:t>
      </w:r>
    </w:p>
    <w:p>
      <w:pPr>
        <w:spacing w:after="0" w:line="6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if we are not able to obtain regulatory approval of roxadustat in the U.S. in CKD anemia, we may have excess supply manufactured in anticipation of commercialization. Such excess supply of roxadustat could be wasted, for example, if it expires prior to being used in other clinical trials or prior to being used in other territories where such formulation of roxadustat is approved. We have a limited amount of roxadustat and pamrevlumab in storage, limited capacity reserved at our third-party manufacturers, and, even if we have or are able to put sufficient supply agreements in place for our development and commercialization plan,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or delay the regulatory approval process.</w:t>
      </w:r>
    </w:p>
    <w:p>
      <w:pPr>
        <w:spacing w:after="0" w:line="18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may add or change manufacturers for our products. We, our partners, or regulatory authorities may also request or make changes to our manufacturing processes or to our product or packaging specifications, including in order to accommodate changes in regulations, manufacturing equipment or to account for different processes at new or second source suppliers. If any such changes are made with respect to roxadustat or pamrevlumab we may need to demonstrate comparability to the products and processes already approved or in approval by various regulatory authorities, including potentially through the conduct of additional clinical trials. Even if we do demonstrate comparability, a regulatory agency could challenge that result which could delay our development or commercialization progress. Any such changes could also lead to product having an earlier expiration date, shorter shelf life, or failing to meet specifications. Any of these occurrences may materially impact our operations and potential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500" w:right="2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supply chain issues, including coordination of multiple contractors in our supply chain and securing necessary licenses (such as export licenses);</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timely availability and shelf life requirements of raw materials and supplies, including delays in availability due to the COVID-19 pandemic;</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limited stability and product shelf life;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Regulatory authorities may approve roxadustat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estimated glomerular filtration rate, hepcidin, or quality of life measures, regulatory authorities may not include such claims on any approved labeling for roxadustat.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2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boxed warnings on their labels. The safety concerns relating to ESAs may result in labeling for roxadustat containing similar warnings. Any label for roxadustat may contain other warnings or limit the market opportunity or approved indications for roxadustat. These warnings could include warnings against exceeding specified hemoglobin targets and other warnings that derive from the safety issues associated with ESAs, even if our Phase 3 clinical trials do not themselves raise safety concerns.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the discovery, development and commercialization of product candidates.*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If roxadustat is approved and launched commercially, competing drugs are expected to include ESAs, particularly in those patient segments where ESAs are used. Currently available ESAs include epoetin alfa (EPOGEN</w:t>
      </w:r>
      <w:r>
        <w:rPr>
          <w:rFonts w:ascii="Arial" w:cs="Arial" w:eastAsia="Arial" w:hAnsi="Arial"/>
          <w:sz w:val="14"/>
          <w:szCs w:val="14"/>
          <w:color w:val="auto"/>
        </w:rPr>
        <w:t>®</w:t>
      </w:r>
      <w:r>
        <w:rPr>
          <w:rFonts w:ascii="Arial" w:cs="Arial" w:eastAsia="Arial" w:hAnsi="Arial"/>
          <w:sz w:val="17"/>
          <w:szCs w:val="17"/>
          <w:color w:val="auto"/>
        </w:rPr>
        <w:t>, marketed by Amgen Inc. in the U.S., Procrit</w:t>
      </w:r>
      <w:r>
        <w:rPr>
          <w:rFonts w:ascii="Arial" w:cs="Arial" w:eastAsia="Arial" w:hAnsi="Arial"/>
          <w:sz w:val="14"/>
          <w:szCs w:val="14"/>
          <w:color w:val="auto"/>
        </w:rPr>
        <w:t>®</w:t>
      </w:r>
      <w:r>
        <w:rPr>
          <w:rFonts w:ascii="Arial" w:cs="Arial" w:eastAsia="Arial" w:hAnsi="Arial"/>
          <w:sz w:val="17"/>
          <w:szCs w:val="17"/>
          <w:color w:val="auto"/>
        </w:rPr>
        <w:t xml:space="preserve"> and Erypo</w:t>
      </w:r>
      <w:r>
        <w:rPr>
          <w:rFonts w:ascii="Arial" w:cs="Arial" w:eastAsia="Arial" w:hAnsi="Arial"/>
          <w:sz w:val="14"/>
          <w:szCs w:val="14"/>
          <w:color w:val="auto"/>
        </w:rPr>
        <w:t>®</w:t>
      </w:r>
      <w:r>
        <w:rPr>
          <w:rFonts w:ascii="Arial" w:cs="Arial" w:eastAsia="Arial" w:hAnsi="Arial"/>
          <w:sz w:val="17"/>
          <w:szCs w:val="17"/>
          <w:color w:val="auto"/>
        </w:rPr>
        <w:t>/Eprex</w:t>
      </w:r>
      <w:r>
        <w:rPr>
          <w:rFonts w:ascii="Arial" w:cs="Arial" w:eastAsia="Arial" w:hAnsi="Arial"/>
          <w:sz w:val="14"/>
          <w:szCs w:val="14"/>
          <w:color w:val="auto"/>
        </w:rPr>
        <w:t>®</w:t>
      </w:r>
      <w:r>
        <w:rPr>
          <w:rFonts w:ascii="Arial" w:cs="Arial" w:eastAsia="Arial" w:hAnsi="Arial"/>
          <w:sz w:val="17"/>
          <w:szCs w:val="17"/>
          <w:color w:val="auto"/>
        </w:rPr>
        <w:t>, marketed by Johnson &amp; Johnson Inc., and Espo</w:t>
      </w:r>
      <w:r>
        <w:rPr>
          <w:rFonts w:ascii="Arial" w:cs="Arial" w:eastAsia="Arial" w:hAnsi="Arial"/>
          <w:sz w:val="14"/>
          <w:szCs w:val="14"/>
          <w:color w:val="auto"/>
        </w:rPr>
        <w:t>®</w:t>
      </w:r>
      <w:r>
        <w:rPr>
          <w:rFonts w:ascii="Arial" w:cs="Arial" w:eastAsia="Arial" w:hAnsi="Arial"/>
          <w:sz w:val="17"/>
          <w:szCs w:val="17"/>
          <w:color w:val="auto"/>
        </w:rPr>
        <w:t xml:space="preserve"> marketed by Kyowa Hakko Kirin in Japan and China), darbepoetin (Amgen/Kyowa Hakko Kirin’s Aranesp</w:t>
      </w:r>
      <w:r>
        <w:rPr>
          <w:rFonts w:ascii="Arial" w:cs="Arial" w:eastAsia="Arial" w:hAnsi="Arial"/>
          <w:sz w:val="14"/>
          <w:szCs w:val="14"/>
          <w:color w:val="auto"/>
        </w:rPr>
        <w:t>®</w:t>
      </w:r>
      <w:r>
        <w:rPr>
          <w:rFonts w:ascii="Arial" w:cs="Arial" w:eastAsia="Arial" w:hAnsi="Arial"/>
          <w:sz w:val="17"/>
          <w:szCs w:val="17"/>
          <w:color w:val="auto"/>
        </w:rPr>
        <w:t xml:space="preserve"> and NESP</w:t>
      </w:r>
      <w:r>
        <w:rPr>
          <w:rFonts w:ascii="Arial" w:cs="Arial" w:eastAsia="Arial" w:hAnsi="Arial"/>
          <w:sz w:val="14"/>
          <w:szCs w:val="14"/>
          <w:color w:val="auto"/>
        </w:rPr>
        <w:t>®</w:t>
      </w:r>
      <w:r>
        <w:rPr>
          <w:rFonts w:ascii="Arial" w:cs="Arial" w:eastAsia="Arial" w:hAnsi="Arial"/>
          <w:sz w:val="17"/>
          <w:szCs w:val="17"/>
          <w:color w:val="auto"/>
        </w:rPr>
        <w:t>) and Mircera</w:t>
      </w:r>
      <w:r>
        <w:rPr>
          <w:rFonts w:ascii="Arial" w:cs="Arial" w:eastAsia="Arial" w:hAnsi="Arial"/>
          <w:sz w:val="14"/>
          <w:szCs w:val="14"/>
          <w:color w:val="auto"/>
        </w:rPr>
        <w:t>®</w:t>
      </w:r>
      <w:r>
        <w:rPr>
          <w:rFonts w:ascii="Arial" w:cs="Arial" w:eastAsia="Arial" w:hAnsi="Arial"/>
          <w:sz w:val="17"/>
          <w:szCs w:val="17"/>
          <w:color w:val="auto"/>
        </w:rPr>
        <w:t xml:space="preserve"> marketed by Hoffmann-La Roche (“Roche”) outside of the U.S. and by Vifor Pharma, a Roche licensee, in the U.S. and Puerto Rico, as well as biosimilar versions of these currently marketed ESA products. ESAs have been used in the treatment of anemia in CKD for more than 30 years, serving a significant majority of dialysis CKD patients. While non-dialysis CKD patients who are not under the care of nephrologists, including those with diabetes and hypertension, do not typically receive ESAs and are often left untreated, some non-dialysis patients under nephrology or hematology care may be receiving ESA therapy. It may be difficult to encourage healthcare providers and patients to switch to roxadustat from products with which they have become familiar.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may also face competition from potential new anemia therapies currently in clinical development, including in those patient segments not adequately addressed by ESAs. Companies that are currently developing “HIF-PH” inhibitors for anemia in CKD indications include GlaxoSmithKline plc (“GSK”), Bayer Corporation (“Bayer”), Akebia Therapeutics, Inc. (“Akebia”), Otsuka Pharmaceutical, Akebia’s partner in the U.S. and Europe, Japan Tobacco, and Zydus Cadila (India) (“Zydus”). Akebia has completed Phase 3 studies in CKD patients on dialysis and not on dialysis in the U.S., as well as a Phase 3b, randomized, open-label, active-controlled trial evaluating the efficacy and safety of oral vadadustat once daily and three times weekly for the maintenance treatment of anemia in hemodialysis subjects converting from ESAs. The study completion date is estimated to be May 2022. Akebia announced an additional Phase 3 study evaluating the efficacy and safety of dose conversion from a long-acting ESA (Mircera</w:t>
      </w:r>
      <w:r>
        <w:rPr>
          <w:rFonts w:ascii="Arial" w:cs="Arial" w:eastAsia="Arial" w:hAnsi="Arial"/>
          <w:sz w:val="14"/>
          <w:szCs w:val="14"/>
          <w:color w:val="auto"/>
        </w:rPr>
        <w:t>®</w:t>
      </w:r>
      <w:r>
        <w:rPr>
          <w:rFonts w:ascii="Arial" w:cs="Arial" w:eastAsia="Arial" w:hAnsi="Arial"/>
          <w:sz w:val="17"/>
          <w:szCs w:val="17"/>
          <w:color w:val="auto"/>
        </w:rPr>
        <w:t>) to three times weekly oral vadadustat for the maintenance treatment of anemia in hemodialysis subjects. The estimated study start date is February 2021. On March 30, 2021, Akebia submitted an NDA to the FDA for vadadustat for the treatment of anemia due to CKD in patients on dialysis and not on dialysis. The FDA accepted for filing the NDA for the treatment of anemia due to CKD in both adult patients on dialysis and adult patients not on dialysis, with a Prescription Drug User Fee Act (PDUFA) target action date of March 29, 2022.</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July 2021, GSK announced positive headline results from five Phase 3 studies of daprodustat for patients with anemia due to CKD. Full results of the studies are anticipated to be presented at a forthcoming medical meeting later in 2021. In Japan, Mitsubishi Tanabe Pharmaceutical Corporation, Akebia’s collaboration partner, received approval for vadadustat in June 2020 for the treatment of anemia of CKD patients on and not on dialysis. GSK received approval for daprodustat in Japan in June 2020 for the treatment of anemia of CKD patients on and not on dialysis. Price listing for the launch in Japan of both vadadustat and daprodustat occurred in the third quarter of 2020, with pricing in line with roxadustat pricing. GSK is also conducting global Phase 3 studies in CKD patients on dialysis and not on dialysis, and expects to complete those studies by March 2022. GSK and Kyowa Hakko Kirin announced in November 2018 that the two companies signed a strategic commercialization deal in Japan for daprodustat. Bayer received approval for molidustat in Japan in January 2021 for the treatment of anemia in CKD patients on and not on dialysis, with pricing in line with roxadustat pricing. Japan Tobacco received approval in Japan for enarodustat for the treatment of anemia in CKD patients on dialysis and not on dialysis, to be sold by Torii Pharmaceuticals Ltd as ENAROY</w:t>
      </w:r>
      <w:r>
        <w:rPr>
          <w:rFonts w:ascii="Arial" w:cs="Arial" w:eastAsia="Arial" w:hAnsi="Arial"/>
          <w:sz w:val="14"/>
          <w:szCs w:val="14"/>
          <w:color w:val="auto"/>
        </w:rPr>
        <w:t>®</w:t>
      </w:r>
      <w:r>
        <w:rPr>
          <w:rFonts w:ascii="Arial" w:cs="Arial" w:eastAsia="Arial" w:hAnsi="Arial"/>
          <w:sz w:val="17"/>
          <w:szCs w:val="17"/>
          <w:color w:val="auto"/>
        </w:rPr>
        <w:t>. Japan Tobacco and its partner JW Pharmaceuticals started a Phase 3 study in dialysis patients in Korea in 2019. Zydus started Phase 3 studies in dialysis and non-dialysis CKD patients in India in 2019.</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July 2020, Zydus received approval from the FDA to begin a Phase 1 study of desidustat for the treatment of chemotherapy-induced anemia, which could potentially be competitive with roxadustat within this indication.</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Reblozyl</w:t>
      </w:r>
      <w:r>
        <w:rPr>
          <w:rFonts w:ascii="Arial" w:cs="Arial" w:eastAsia="Arial" w:hAnsi="Arial"/>
          <w:sz w:val="15"/>
          <w:szCs w:val="15"/>
          <w:color w:val="auto"/>
        </w:rPr>
        <w:t>®</w:t>
      </w:r>
      <w:r>
        <w:rPr>
          <w:rFonts w:ascii="Arial" w:cs="Arial" w:eastAsia="Arial" w:hAnsi="Arial"/>
          <w:sz w:val="18"/>
          <w:szCs w:val="18"/>
          <w:color w:val="auto"/>
        </w:rPr>
        <w:t xml:space="preserve"> (luspatercept) was approved by the FDA in April 2020 for the treatment of anemia in adults with myelodysplastic syndromes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addition, we will likely face competition from other companies developing biologic therapies for the treatment of other anemia indications that we may also seek to pursue in the future. We may face competition for patient recruitment, enrollment for clinical trials, and potentially in commercial sales. There may also be new therapies for renal-related diseases that could limit the market or level of reimbursement available for roxadustat.</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China, ESA is considered the standard of care for treatment of anemia of CKD, and locally manufactured epoetin alfa is offered by 15 local manufacturers including the market leader EPIAO that is marketed by 3SBio Inc. We may face potential competition from other HIF-PH inhibitors. Companies active in the US such as Akebia, Bayer, and GSK have been authorized by the National Medical Products Administration (“NMPA”) to conduct trials in China to support its ex-China regulatory filings. A number of domestic companies, including Jiangsu Hengrui Medicine Co., Ltd., Guandong Sunshine Health Investment Co., Ltd., 3SBio Inc., and Hangzhou Andao Pharmaceutical Co. have been permitted by the NMPA to conduct clinical trials in their locally developed HIF-PH inhibitor investigational compounds for the treatment of anemia in CKD. Domestic companies are also in-licensing global compounds to be developed as domestic drugs, including China Medical System which in-licensed desidustat, a compound that is currently in Phase 3 trials in India, from Zydus for greater China in January 2020. In January 2021, China Medical System Holdings Ltd. was granted approval by the Chinese NMPA to begin trials for desidustat in patients with anemia of CKD, including dialysis and non-dialysis patients. Shenzhen Salubris Pharmaceutical Co., Ltd., a domestic company in China, has in-licensed enarodustat from Japan Tobacco and received NMPA approval in the third quarter of 2020 to initiate Phase 3 studies. We will also face competition from generics who could enter the market after expiry of our patents in China, and two potential market players have already started bioequivalence studies, including Chia Tai-Tiangqing Pharmaceutical Holdings and CSPA Pharmaceutical Group.</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first biosimilar ESA, Pfizer’s Retacrit</w:t>
      </w:r>
      <w:r>
        <w:rPr>
          <w:rFonts w:ascii="Arial" w:cs="Arial" w:eastAsia="Arial" w:hAnsi="Arial"/>
          <w:sz w:val="15"/>
          <w:szCs w:val="15"/>
          <w:color w:val="auto"/>
        </w:rPr>
        <w:t>®</w:t>
      </w:r>
      <w:r>
        <w:rPr>
          <w:rFonts w:ascii="Arial" w:cs="Arial" w:eastAsia="Arial" w:hAnsi="Arial"/>
          <w:sz w:val="18"/>
          <w:szCs w:val="18"/>
          <w:color w:val="auto"/>
        </w:rPr>
        <w:t xml:space="preserve">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w:t>
      </w:r>
      <w:r>
        <w:rPr>
          <w:rFonts w:ascii="Arial" w:cs="Arial" w:eastAsia="Arial" w:hAnsi="Arial"/>
          <w:sz w:val="15"/>
          <w:szCs w:val="15"/>
          <w:color w:val="auto"/>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w:t>
      </w:r>
      <w:r>
        <w:rPr>
          <w:rFonts w:ascii="Arial" w:cs="Arial" w:eastAsia="Arial" w:hAnsi="Arial"/>
          <w:sz w:val="15"/>
          <w:szCs w:val="15"/>
          <w:color w:val="auto"/>
        </w:rPr>
        <w:t>®</w:t>
      </w:r>
      <w:r>
        <w:rPr>
          <w:rFonts w:ascii="Arial" w:cs="Arial" w:eastAsia="Arial" w:hAnsi="Arial"/>
          <w:sz w:val="18"/>
          <w:szCs w:val="18"/>
          <w:color w:val="auto"/>
        </w:rPr>
        <w:t xml:space="preserve"> (epoetin alfa) in Europe and may file a biosimilar Biologics License Application in the U.S.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executed long-term contracts including rebate terms with Amgen. Successful penetration in this market will likely require our partner AstraZeneca to enter into a definitive agreement with Fresenius, DaVita, or other dialysis organizations, on favorable pricing terms and on a timely basis.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w:t>
      </w:r>
      <w:r>
        <w:rPr>
          <w:rFonts w:ascii="Arial" w:cs="Arial" w:eastAsia="Arial" w:hAnsi="Arial"/>
          <w:sz w:val="14"/>
          <w:szCs w:val="14"/>
          <w:color w:val="auto"/>
        </w:rPr>
        <w:t>®</w:t>
      </w:r>
      <w:r>
        <w:rPr>
          <w:rFonts w:ascii="Arial" w:cs="Arial" w:eastAsia="Arial" w:hAnsi="Arial"/>
          <w:sz w:val="17"/>
          <w:szCs w:val="17"/>
          <w:color w:val="auto"/>
        </w:rPr>
        <w:t xml:space="preserve"> (pirfenidone), and Boehringer Ingelheim’s Ofev</w:t>
      </w:r>
      <w:r>
        <w:rPr>
          <w:rFonts w:ascii="Arial" w:cs="Arial" w:eastAsia="Arial" w:hAnsi="Arial"/>
          <w:sz w:val="14"/>
          <w:szCs w:val="14"/>
          <w:color w:val="auto"/>
        </w:rPr>
        <w:t>®</w:t>
      </w:r>
      <w:r>
        <w:rPr>
          <w:rFonts w:ascii="Arial" w:cs="Arial" w:eastAsia="Arial" w:hAnsi="Arial"/>
          <w:sz w:val="17"/>
          <w:szCs w:val="17"/>
          <w:color w:val="auto"/>
        </w:rPr>
        <w:t xml:space="preserve">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an oral product with which they are already familiar to a product delivered via in-office infusion. Furthermore, pirfenidone and nintedanib may be produced as generics in the near future. We may also face competition from potential new IPF therapies in recruitment and enrollment in our clinical trials and potentially in commercialization.</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Pamrevlumab is a monoclonal antibody that may be more expensive and less convenient than oral small molecules such as nintedanib and pirfenidone. Other potential competitive product candidates in various stages of development for IPF include Kadmon Holdings, Inc.’s KD025, Galecto’s GB0139, Liminal BioSciences’ PBI-4050, and Roche/Promedior, Inc.’s PRM-151. Roche is enrolling patients in a Phase 3 trial evaluating the efficacy and safety of PRM-151, a recombinant human pentraxin-2 (rhPTX-2), compared to placebo in patients with IPF.</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pamrevlumab is approved and launched commercially to treat locally advanced pancreatic cancer patients who are not candidates for surgical resection, pamrevlumab may face competition from products currently used for pancreatic cancer. These include FOLFRINOX, a combination chemotherapy regimen of folic acid, 5-fluouracil, oxaliplatin and irinotecan, and agents seeking approval in combination with gemcitibine and nab-paclitaxel from companies such as Rafael Pharma’s defactinib/CPI-613 and Merrimack’s istiratumab. Gemcitabine and/or nab-paclitaxel are the current standard of care in the first-line treatment of metastatic pancreatic cancer.</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Celgene Corporation’s Abraxane</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European Union, and Japan. On September 19, 2016, the FDA approved Sarepta Therapeutics Inc.’s (“Sarepta”) Exondys 51</w:t>
      </w:r>
      <w:r>
        <w:rPr>
          <w:rFonts w:ascii="Arial" w:cs="Arial" w:eastAsia="Arial" w:hAnsi="Arial"/>
          <w:sz w:val="15"/>
          <w:szCs w:val="15"/>
          <w:color w:val="auto"/>
        </w:rPr>
        <w:t>TM</w:t>
      </w:r>
      <w:r>
        <w:rPr>
          <w:rFonts w:ascii="Arial" w:cs="Arial" w:eastAsia="Arial" w:hAnsi="Arial"/>
          <w:sz w:val="18"/>
          <w:szCs w:val="18"/>
          <w:color w:val="auto"/>
        </w:rPr>
        <w:t xml:space="preserve"> (eteplirsen).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Sarepta’s Vyondys 53</w:t>
      </w:r>
      <w:r>
        <w:rPr>
          <w:rFonts w:ascii="Arial" w:cs="Arial" w:eastAsia="Arial" w:hAnsi="Arial"/>
          <w:sz w:val="15"/>
          <w:szCs w:val="15"/>
          <w:color w:val="auto"/>
        </w:rPr>
        <w:t>TM</w:t>
      </w:r>
      <w:r>
        <w:rPr>
          <w:rFonts w:ascii="Arial" w:cs="Arial" w:eastAsia="Arial" w:hAnsi="Arial"/>
          <w:sz w:val="18"/>
          <w:szCs w:val="18"/>
          <w:color w:val="auto"/>
        </w:rPr>
        <w:t xml:space="preserve"> (golodirsen) was approved by the FDA in December 2019 for patients with a confirmed genetic mutation that is amenable to exon 53 skipping, which accounts for approximately 8% of the DMD population. Sarepta’s Amondys 45™ (casimersen) was approved by the FDA in February 2021 for patients with a confirmed genetic mutation that is amenable to exon 45 skipping, which accounts for approximately 8% of the DMD population.</w:t>
      </w:r>
    </w:p>
    <w:p>
      <w:pPr>
        <w:spacing w:after="0" w:line="19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PTC Therapeutics’ product Translarna </w:t>
      </w:r>
      <w:r>
        <w:rPr>
          <w:rFonts w:ascii="Arial" w:cs="Arial" w:eastAsia="Arial" w:hAnsi="Arial"/>
          <w:sz w:val="15"/>
          <w:szCs w:val="15"/>
          <w:color w:val="auto"/>
        </w:rPr>
        <w:t>TM</w:t>
      </w:r>
      <w:r>
        <w:rPr>
          <w:rFonts w:ascii="Arial" w:cs="Arial" w:eastAsia="Arial" w:hAnsi="Arial"/>
          <w:sz w:val="18"/>
          <w:szCs w:val="18"/>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complete response letter in October 2017, as well as in its response to PTC Therapeutics’ appeal, that the FDA is unable to approve the application in its current form. An additional Phase 3 study is currently ongoing. While Translarna </w:t>
      </w:r>
      <w:r>
        <w:rPr>
          <w:rFonts w:ascii="Arial" w:cs="Arial" w:eastAsia="Arial" w:hAnsi="Arial"/>
          <w:sz w:val="15"/>
          <w:szCs w:val="15"/>
          <w:color w:val="auto"/>
        </w:rPr>
        <w:t>TM</w:t>
      </w:r>
      <w:r>
        <w:rPr>
          <w:rFonts w:ascii="Arial" w:cs="Arial" w:eastAsia="Arial" w:hAnsi="Arial"/>
          <w:sz w:val="18"/>
          <w:szCs w:val="18"/>
          <w:color w:val="auto"/>
        </w:rPr>
        <w:t xml:space="preserve"> targets a different set of DMD patients from those targeted by Sarepta’s Exondys 51</w:t>
      </w:r>
      <w:r>
        <w:rPr>
          <w:rFonts w:ascii="Arial" w:cs="Arial" w:eastAsia="Arial" w:hAnsi="Arial"/>
          <w:sz w:val="15"/>
          <w:szCs w:val="15"/>
          <w:color w:val="auto"/>
        </w:rPr>
        <w:t>®</w:t>
      </w:r>
      <w:r>
        <w:rPr>
          <w:rFonts w:ascii="Arial" w:cs="Arial" w:eastAsia="Arial" w:hAnsi="Arial"/>
          <w:sz w:val="18"/>
          <w:szCs w:val="18"/>
          <w:color w:val="auto"/>
        </w:rPr>
        <w:t>, it is also limited to a subset of patients who carry a specific mutation. Conversely, pamrevlumab is intended to treat DMD patients without limitation to type of mutation.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Pliant, Galecto, and Sarepta. Pfizer initiated a Phase 3 study with PF-06939926, its AAV9 mini-dystrophin gene therapy for DMD in February 2020. Pliant’s PLN-74809 and Galecto’s lead candidate GB0139, are in Phase 2 development for IPF.</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If our collaboration partners and we are not able to compete effectively against existing and potential competitors, our business and financial condition may be materially and adversely affected.</w:t>
      </w:r>
    </w:p>
    <w:p>
      <w:pPr>
        <w:spacing w:after="0" w:line="2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41"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efficacy of the product candidate as demonstrated in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safety profile and perceptions of safety of our product candidates relative to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healthcare providers and patients;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17" w:lineRule="exact"/>
        <w:rPr>
          <w:rFonts w:ascii="Arial" w:cs="Arial" w:eastAsia="Arial" w:hAnsi="Arial"/>
          <w:sz w:val="18"/>
          <w:szCs w:val="18"/>
          <w:color w:val="auto"/>
        </w:rPr>
      </w:pPr>
    </w:p>
    <w:p>
      <w:pPr>
        <w:ind w:left="500" w:right="660" w:hanging="492"/>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the product candidate relative to alternative treatments;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adequate pricing and reimbursement by third parties and government authorities as described below;</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see the risk factor titled “Our product candidates may cause or have attributed to them undesirable side effects or have other properties that delay or prevent their regulatory approval or limit their commercial potential” above. If any product candidate is approved but does not achieve an adequate level of acceptance by such parties, we may not generate or derive sufficient revenue from that product candidate and may not become or remain profitable.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9"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2020 to December 31, 2021), after which time we will have to renegotiate a new price for roxadustat, which we expect to be lower based upon historical precedents.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continue to be adversely affected by the ongoing COVID-19 global pandemic.*</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COVID-19 pandemic may negatively impact productivity, disrupt our business, and delay our clinical programs and timelines, the magnitude of which will depend, in part, on the progression of the disease, government-mandated restrictions, the vaccine penetration rate (globally and in the U.S.), and the efficacy of the COVID-19 vaccines in preventing the spread and effects of current and future COVID-19 variants.</w:t>
      </w:r>
    </w:p>
    <w:p>
      <w:pPr>
        <w:spacing w:after="0" w:line="16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have taken measures to minimize the health risks of COVID-19 to our staff, patients, healthcare providers, and their communities, as their safety and well-being are our top priority. Despite these efforts, COVID-19 presents a health risk to our employees, including members of senior management.</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seen impacts from COVID-19 on all of our clinical trials to varying degrees, but COVID-19 has most heavily impacted our clinical trial timelines in IPF, DMD, and MDS. There is a risk that any or all of our clinical trials will be further delayed, in particular our studies in IPF, DMD and MDS, due to a new outbreak which could slow or pause enrollment or site initiation and other direct COVID-19 impacts to clinical sites and clinical service providers. In addition, while we are trying to mitigate the effect of COVID-19 on existing patients, it is possible that some patients may not be able to continue to comply with protocols, which could further delay our clinical trial progress.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believe we have sufficient roxadustat and pamrevlumab supplies for our expected commercial and clinical requirements over the next year and our manufacturing partners and we are currently continuing manufacturing operations. However, we only have a limited stockpile of these drug supply products, and therefore, if there is a greater impact from the COVID-19 pandemic than we have expected, or if manufacturing operations are halted again, or if drug product expires due to slowed clinical trials, we could face shortages in our global supply chains. COVID-19 has created increased demand for the limited global biologics manufacturing capacity, and as a result, we have faced competition for manufacturing supplies due to prioritization of COVID-19 related manufacturing. We could face additional competition for such manufacturing supplies, including for vials, reagents, supplements and media, and may face competition to use available capacity at our manufacturing partners. Any such supply disruptions could adversely impact our clinical development and ability to generate revenues from our approved products and our business, financial condition, results of operations and growth prospects could be materially adversely affected. There may be unexpected regulatory delays due to the COVID-19 pandemic including due to travel restrictions impacting pre-approval inspections.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Due to these and potentially additional business disruptions, there may be delays to any of our business areas including our drug supply chains, problems with our distribution or warehousing vendors, or delays to our (and our partners’) clinical trials or other development efforts, or commercialization and launch activities. The full extent of these effects are unknown, but all of them could have a material impact on our business, operating results, and financial condition.</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our collaborations are exclusive and preclude us from entering into additional collaboration agreements with other parties in the area or field of exclusivity.</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regulatory approval may be revised and negatively affect the anticipated timing and potential for success of our product candidates. Even if a product under a collaboration agreement receives regulatory approval, we will remain substantially dependent on the commercialization strategy and efforts of our collaboration partners, and, our collaboration partners have limited or no experience in commercialization of an anemia drug. If our collaboration partners are unsuccessful in their commercialization efforts, our results will be negatively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With respect to our collaboration agreements for roxadustat, there are additional complexities in that our collaboration partners, Astellas and AstraZeneca, and we must reach consensus on our development programs and regulatory activities, including for the NDA in the U.S. and the Marketing Authorization Application in Europe.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or both, may negatively impact the timing or success of our regulatory approval applications.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9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continued development of roxadustat.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period of time.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facilities in China, and our current commercial manufacturing plants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70" w:lineRule="exact"/>
        <w:rPr>
          <w:sz w:val="20"/>
          <w:szCs w:val="20"/>
          <w:color w:val="auto"/>
        </w:rPr>
      </w:pPr>
    </w:p>
    <w:p>
      <w:pPr>
        <w:ind w:left="500" w:right="220" w:hanging="492"/>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500" w:right="4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entered into an initial commercial supply agreement for the manufacture of pamrevlumab with Samsung Biologics Co., Ltd. (“Samsung”). However, we may experience delays or technical problems associated with technology transfer of the manufacturing process to Samsung and the qualification and scale-up thereof. We have made certain manufacturing commitments to Samsung, and there is a risk we will not require the quantities of pamrevlumab we have committed to, particularly if we cease some of our pamrevlumab clinical trials.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spacing w:after="0" w:line="18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IRIX and we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 and in 2017, ThermoFisher Scientific Inc. acquired Patheon Pharmaceuticals Inc.</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6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do not have an alternative supplier of certain components of our product candidates. We may be unable to enter into long-term commercial supply arrangements for some of our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ingredients (“API”), and drug product to meet our and our collaboration partners’ needs for roxadustat to date, the lead-time and regulatory approvals required to source from and into countries outside of the U.S. increase the risk of delay and potential shortages of supply.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proceedings involving our intellectual property initiated by third parties, which proceedings can be associated with significant costs and commitment of management time and attention. As our product candidates continue in development, third parties have attempted and may again attempt to challenge the validity and enforceability of our patents and proprietary information and technologies.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acknowledge ownership by us of inventions conceived as a result of employment from the point of conception and, to the extent necessary, perfect such ownership by assignment,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disputes may be costly, time consuming, and may negatively affect our competitive position.*</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have initiated and may again initiate or become party to or be threatened with future litigation or other proceedings regarding intellectual property rights with respect to our product candidates and competing products.</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our product candidates progress toward commercialization, 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Third parties have challenged and may again challenge our patents and patent applications. For example, various challenges against our HIF anemia-related technologies patent portfolio are ongoing in several territories including the U.S., Europe, the United Kingdom, and Japan. Regardless of final outcome, the potential narrowing or revocation of any of the HIF anemia-related technology patents does not affect our exclusivity for roxadustat or our freedom-to-operate with respect to use of roxadustat for the treatment of anemia in these or other territories.</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Oppositions were filed against our European Patent No. 2872488 (the “`488 Patent”), which claims a crystalline form of roxadustat, and against our European Patent No. 3003284 (the “`284 Patent”), which claims photostable formulations of roxadustat. To date, at oral proceedings, the Opposition Division of the European Patent Office found the ‘488 patent did not meet the grounds for novelty. FibroGen plans to appeal this decision once the Written Decision providing the underlying reasoning has been published. Final resolution of the opposition proceedings will take time, and we cannot be assured of the breadth of the claims that will remain in the `488 Patent or `284 Patent, or that either or both of the patents will not be revoked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-187960</wp:posOffset>
            </wp:positionV>
            <wp:extent cx="28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500" w:right="30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500" w:right="580" w:hanging="492"/>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500" w:right="840" w:hanging="492"/>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500" w:right="500" w:hanging="492"/>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500" w:right="40" w:hanging="492"/>
        <w:spacing w:after="0" w:line="286"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 is highly uncertain and we may not obtain regulatory approval for our product candidates.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for roxadustat in China, Japan, South Korea, and Chile for patients on dialysis and not on dialysis, we have not obtained regulatory approval for any product candidate, and it is possible that neither roxadustat nor pamrevlumab, nor any future product candidates we may discover, in-license or acquire and seek to develop in the future, will obtain regulatory approval in additional countries.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candidates could fail to receive regulatory approval from the FDA or other regulatory authorities for many reasons, including:</w:t>
      </w:r>
    </w:p>
    <w:p>
      <w:pPr>
        <w:spacing w:after="0" w:line="129"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00" w:right="120" w:hanging="492"/>
        <w:spacing w:after="0" w:line="27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FDA or other regulatory authorities may require more information, including additional preclinical or clinical data to support approval, or different analyses,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w:t>
      </w:r>
    </w:p>
    <w:p>
      <w:pPr>
        <w:spacing w:after="0" w:line="84" w:lineRule="exact"/>
        <w:rPr>
          <w:sz w:val="20"/>
          <w:szCs w:val="20"/>
          <w:color w:val="auto"/>
        </w:rPr>
      </w:pPr>
    </w:p>
    <w:p>
      <w:pPr>
        <w:ind w:left="500" w:right="240" w:hanging="492"/>
        <w:spacing w:after="0" w:line="263"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500" w:right="640" w:hanging="492"/>
        <w:spacing w:after="0" w:line="263"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500" w:right="80" w:hanging="492"/>
        <w:spacing w:after="0" w:line="259"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on certain covered healthcare providers, health plans, and healthcare clearinghouses as well as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78" w:lineRule="exact"/>
        <w:rPr>
          <w:rFonts w:ascii="Arial" w:cs="Arial" w:eastAsia="Arial" w:hAnsi="Arial"/>
          <w:sz w:val="18"/>
          <w:szCs w:val="18"/>
          <w:color w:val="auto"/>
        </w:rPr>
      </w:pPr>
    </w:p>
    <w:p>
      <w:pPr>
        <w:ind w:left="500" w:right="200" w:hanging="492"/>
        <w:spacing w:after="0" w:line="25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of 2010 (collectively, the “PPACA”), which requires manufacturers of drugs, devices, biologics, and medical supplies to report annually to the Centers for Medicare &amp;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hanging="492"/>
        <w:spacing w:after="0" w:line="272" w:lineRule="auto"/>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foreign and state law equivalents of each of the above federal laws, such as the U.S. Foreign Corrupt Practices Act (“FCPA”), anti-kickback and false claims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69" w:lineRule="exact"/>
        <w:rPr>
          <w:rFonts w:ascii="Arial" w:cs="Arial" w:eastAsia="Arial" w:hAnsi="Arial"/>
          <w:sz w:val="17"/>
          <w:szCs w:val="17"/>
          <w:color w:val="auto"/>
        </w:rPr>
      </w:pPr>
    </w:p>
    <w:p>
      <w:pPr>
        <w:ind w:left="500" w:right="140" w:hanging="492"/>
        <w:spacing w:after="0" w:line="273" w:lineRule="auto"/>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7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laws and regulations governing corruption, which will require us to maintain costly compliance programs.*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must comply with a wide range of laws and regulations to prevent corruption, bribery, and other unethical business practices, including the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U.S. Securities and Exchange Commission (“SEC”) is involved with enforcement of the books and records provisions of the FCPA.</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remediate these, or if we otherwise fail to maintain an effective system of internal control, it may result in material misstatements in our financial statements.</w:t>
      </w:r>
    </w:p>
    <w:p>
      <w:pPr>
        <w:spacing w:after="0" w:line="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September 30, 2020, we have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 Each of these material weaknesses could result in material misstatements in the drug product revenue, contract asset, or contract liability account balances or disclosures in our annual or interim consolidated financial statements that would not be prevented or detected. 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developed a detailed remediation plan and are making progress to improve our related internal control over financial reporting. For further discussion of the material weaknesses identified and our remedial efforts, see Part II, Item 9A, “</w:t>
      </w:r>
      <w:r>
        <w:rPr>
          <w:rFonts w:ascii="Arial" w:cs="Arial" w:eastAsia="Arial" w:hAnsi="Arial"/>
          <w:sz w:val="18"/>
          <w:szCs w:val="18"/>
          <w:i w:val="1"/>
          <w:iCs w:val="1"/>
          <w:color w:val="auto"/>
        </w:rPr>
        <w:t>Controls and Procedures”</w:t>
      </w:r>
      <w:r>
        <w:rPr>
          <w:rFonts w:ascii="Arial" w:cs="Arial" w:eastAsia="Arial" w:hAnsi="Arial"/>
          <w:sz w:val="18"/>
          <w:szCs w:val="18"/>
          <w:color w:val="auto"/>
        </w:rPr>
        <w:t xml:space="preserve"> in our Annual Report on Form 10-K for the year ended December 31, 2020.</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Remediation efforts place a significant burden on management and add increased pressure on our financial resources and processes. If we are unable to successfully remediate our existing or any future material weaknesses or other deficiencies in our internal control over financial reporting, the accuracy and timing of our financial reporting may be adversely affected, our liquidity,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2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that could similarly impact the commercial potential for our products.</w:t>
      </w:r>
    </w:p>
    <w:p>
      <w:pPr>
        <w:spacing w:after="0" w:line="18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End-Stage Renal Disease Prospective Payment System (the “ESRD PPS”)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or the timing of inclusion.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initially be included in the bundle and would instead be eligible for a Transitional Drug Add-on Payment Adjustment (“TDAPA”) for a 24-month period. At the 24-month mark, CMS would determine if the TDAPA period should be extended for roxadustat or ended. When the TDAPA period ends, CMS will determine if roxadustat should be included in the bundle and, if so, what changes to the ESRD PPS reimbursement should be made. If roxadustat is included in the ESRD PPS bundle, it may have an impact on roxadustat pricing within dialysis organizations. If roxadustat is not included in the bundle after the TDAPA period, and would therefore be reimbursed outside of the bundle, it may potentially limit further market penetration of roxadustat. We currently expect roxadustat to be granted TDAPA designation one to two calendar quarters after an FDA approval. However, there is a risk that we do not receive TDAPA designation, or when we expect it, in which case, there would be a significant impact on roxadustat revenue from dialysis organizations until TDAPA designation is granted.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March 2010, the PPACA was passed, which substantially changed the way healthcare is financed by both governmental and private payors in the U.S. There remain judicial and Congressional challenges to certain aspects of the PPACA. For example, the Tax Cuts and Jobs Act of 2017, (the “Tax Act”), was enacted, which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eliminates, effective January 1, 2020, the PPACA-mandated “Cadillac” tax on high-cost employer-sponsored health coverage and medical device tax and, effective January 1, 2021, also eliminated the health insurer tax. Additionally, on December 14,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The U.S. Supreme Court is currently reviewing this case, but it is unknown when a decision will be reached. Although the U.S. Supreme Court has yet ruled on the constitutionality of the PPACA, on January 28, 2021, President Biden issued an executive order to initiate a special enrollment period from February 15, 2021 through May 15, 2021 for purposes of obtaining health insurance coverage through the PPACA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It is unclear how the U.S. Supreme Court ruling, other such litigation, and the healthcare reform measures of the Biden administration will impact the PPACA and our business.</w:t>
      </w:r>
    </w:p>
    <w:p>
      <w:pPr>
        <w:spacing w:after="0" w:line="17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Further, in the U.S.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U.S. healthcare reform measures will be adopted in the future, any of which could limit the amounts that the U.S. federal government will pay for healthcare products and services, which could result in reduced demand for any future products or additional pricing pressures.</w:t>
      </w:r>
    </w:p>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improper activities, which could result in significant liability or harm our reputation.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7" w:lineRule="exact"/>
        <w:rPr>
          <w:rFonts w:ascii="Arial" w:cs="Arial" w:eastAsia="Arial" w:hAnsi="Arial"/>
          <w:sz w:val="18"/>
          <w:szCs w:val="18"/>
          <w:color w:val="auto"/>
        </w:rPr>
      </w:pPr>
    </w:p>
    <w:p>
      <w:pPr>
        <w:ind w:left="500" w:right="66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environmental, health or safety laws and regulations, we could incur fines, penalties or other costs.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different countries;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7" w:lineRule="exact"/>
        <w:rPr>
          <w:rFonts w:ascii="Arial" w:cs="Arial" w:eastAsia="Arial" w:hAnsi="Arial"/>
          <w:sz w:val="18"/>
          <w:szCs w:val="18"/>
          <w:color w:val="auto"/>
        </w:rPr>
      </w:pPr>
    </w:p>
    <w:p>
      <w:pPr>
        <w:ind w:left="500" w:right="560" w:hanging="492"/>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U.S. and foreign taxes, including income, excise, customs, consumption, withholding, and payroll taxes;</w:t>
      </w:r>
    </w:p>
    <w:p>
      <w:pPr>
        <w:spacing w:after="0" w:line="117"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costs and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500" w:right="56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500" w:right="50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specific to an international region, including war and terrorism, or natural disasters, including the differing impact of the COVID-19 pandemic on each region.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distributing drugs in China.</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established a jointly owned entity with AstraZeneca in China, one that has a distribution license. It is subject to a new body of regulations pertaining to distribution with which we have limited experience. This new distribution structure may impose higher costs or limit or delay our ability to sell products to our principal customers, and may limit the near term sales of our products. There are operational risks associated with the jointly owned entity, such as working capital funding requirements and regulatory challenges, which could impact our ability to operate in China, including increasing sales of roxadustat. We have limited experience managing distribution of pharmaceutical products, and this new distribution structure may impose higher costs or limit or delay our ability to sell products to our principal customers, and may limit the near term sales of our products.</w:t>
      </w:r>
    </w:p>
    <w:p>
      <w:pPr>
        <w:spacing w:after="0" w:line="286"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We use our own manufacturing facilities in China to produce roxadustat API and drug product. There are risks inherent to operating commercial manufacturing facilities, and with these being our single source suppliers, we may not be able to continually meet market demand.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have two manufacturing facilities in China, with one located in Beijing and the other in Cangzhou, Hebei.</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Manufacturing facilities in China are subject to periodic unannounced inspections by the NMPA and other regulatory authorities. We expect to depend on these facilities for our product candidates and business operations in China, and we do not yet have a secondary source supplier for either roxadustat API or drug product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a company, we have limited experience in pharmacovigilance, medical affairs, and management of the third-party distribution logistics, and cannot assure you we will be able to meet regulatory requirements or operate in these capacities successfully.</w:t>
      </w:r>
    </w:p>
    <w:p>
      <w:pPr>
        <w:spacing w:after="0" w:line="6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are responsible for commercial manufacturing, pharmacovigilance, medical affairs, and management of the third-party distribution logistics (with AstraZeneca through a jointly owned entity that will perform roxadustat distribution)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2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collaboration partner in China, AstraZeneca, and we may experience difficulties in successfully growing and sustaining sales of roxadustat in China.</w:t>
      </w:r>
    </w:p>
    <w:p>
      <w:pPr>
        <w:spacing w:after="0" w:line="6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AstraZeneca and we have a profit sharing arrangement with respect to roxadustat in China and any difficulties we may experience in growing and sustaining sales will affect our bottom line. Difficulties may be related to our ability to maintain reasonable pricing and reimbursement, obtain hospital listing, or other difficulties related to distribution, marketing, and sales efforts in China. For example, our current National Reimbursement Drug List reimbursement pricing is effective for a standard two-year period (between January 1, 2020 to December 31, 2021), after which time we will have to renegotiate a new price for roxadustat, which we expect to be lower based upon historical precedents. Sales of roxadustat in China may ultimately be limited due to the complex nature of the healthcare system, low average personal income, pricing controls, still developing infrastructure and potentially rapid competition from other products.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pricing control in China and elsewhere.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2021, approximately $63.8 million of our cash and cash equivalents is held in China.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China’s economic, governmental, or social conditions could have a material adverse effect on our business.</w:t>
      </w:r>
    </w:p>
    <w:p>
      <w:pPr>
        <w:spacing w:after="0" w:line="11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a biopharmaceutical company with two lead product candidates in clinical development, roxadustat for anemia in CKD, myelodysplastic syndromes, and chemotherapy-induced anemia, and pamrevlumab for IPF,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 ended December 31, 2020, 2019 and 2018 were $189.3 million, $77.0 million and $86.4 million, respectively. As of June 30, 2021, we had an accumulated deficit of $1.2 billion. As of June 30, 2021, we had capital resources consisting of cash, cash equivalents and short-term investments of $507.2 million plus $105.8 million of long-term investments classified as available for sale securities. Despite contractual development and cost coverage commitments from our collaboration partners, AstraZeneca and Astellas, and the potential to receive milestone and other payments from these partners, and despite commercialization efforts in the China and Japan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to grow our operations in China, expand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potential commercialization of roxadustat for the treatment of anemia caused by CKD, or we may require additional partnering in order to help fund such development and commercialization. If adequate funds or partners are not available to us on a timely basis or on favorable terms, we may be required to delay, limit, reduce or terminate our development or commercialization efforts or other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senior management and key personnel could adversely affect our business.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8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have to limit commercial operations.</w:t>
      </w:r>
    </w:p>
    <w:p>
      <w:pPr>
        <w:spacing w:after="0" w:line="1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8"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2019, and have continued to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sophisticated information technology systems and could face a cyber-attack or other breach of these systems.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upgraded our disaster data recovery program in March 2019,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headquarters are located near known earthquake fault zones.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principal stockholders own a significant percentage of our stock and will be able to exercise influence over stockholder approvals.*</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July 31, 2021, our executive officers, directors and principal stockholders, together with their respective affiliates, owned approximately 40.91%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2020.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dilute stockholders and harm our business.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6"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6"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reprioritization of our development programs and even cessation of development and commercialization of our current product candidates;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500" w:right="360" w:hanging="492"/>
        <w:spacing w:after="0" w:line="277"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00" w:right="200" w:hanging="492"/>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500" w:right="320" w:hanging="492"/>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8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Federal and state tax laws impose substantial restrictions on the utilization of net operating loss and credit carryforwards in the event of an “ownership change” for tax purposes, as defined in IRC Section 382. If additional ownership change occurs, the utilization of net operating loss and credit carryforwards could be significantly reduced.</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our judgment in providing for the possible impact of the Tax Act remains subject to developing interpretations of the provisions of the Tax Act. As regulations and guidance evolve with respect to the Tax Act, we continue to examine the impact to our tax provision or exposure to additional tax liabilities, which could have a material adverse effect on our business, results of operations or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Tariffs imposed by the U.S. and those imposed in response by other countries could have a material adverse effect on our business.</w:t>
      </w:r>
    </w:p>
    <w:p>
      <w:pPr>
        <w:spacing w:after="0" w:line="1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plan to pay dividends. Capital appreciation will be your sole possible source of gain, which may never occur.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 press release on April 6, 2021, the Company clarified that certain previously disclosed cardiovascular safety analyses from the roxadustat Phase 3 program for the treatment of anemia in chronic kidney disease included post-hoc changes to the stratification factors, and provided additional data from the cardiovascular safety analyses with the pre-specified stratification factors. As stated at that time, the Company initiated an internal review to ensure this does not occur in the future. We have now completed that review.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major findings are as follows:</w:t>
      </w:r>
    </w:p>
    <w:p>
      <w:pPr>
        <w:spacing w:after="0" w:line="117" w:lineRule="exact"/>
        <w:rPr>
          <w:sz w:val="20"/>
          <w:szCs w:val="20"/>
          <w:color w:val="auto"/>
        </w:rPr>
      </w:pPr>
    </w:p>
    <w:p>
      <w:pPr>
        <w:ind w:left="720" w:hanging="712"/>
        <w:spacing w:after="0"/>
        <w:tabs>
          <w:tab w:leader="none" w:pos="7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underlying data used for cardiovascular safety analyses are accurate, with no data integrity issues with the data used to generate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analyses.</w:t>
      </w:r>
    </w:p>
    <w:p>
      <w:pPr>
        <w:spacing w:after="0" w:line="102" w:lineRule="exact"/>
        <w:rPr>
          <w:rFonts w:ascii="Arial" w:cs="Arial" w:eastAsia="Arial" w:hAnsi="Arial"/>
          <w:sz w:val="17"/>
          <w:szCs w:val="17"/>
          <w:color w:val="auto"/>
        </w:rPr>
      </w:pPr>
    </w:p>
    <w:p>
      <w:pPr>
        <w:ind w:right="160" w:firstLine="8"/>
        <w:spacing w:after="0" w:line="263" w:lineRule="auto"/>
        <w:tabs>
          <w:tab w:leader="none" w:pos="7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its NDA, the Company calculated accurately and described both sets of analyses, including the statistical methodologies and stratification factors utilized. The statistical analyses using post-hoc stratification factors were designated as “primary” analysis, and the statistical analyses using pre-specified stratification factors as a “sensitivity” analysis.</w:t>
      </w:r>
    </w:p>
    <w:p>
      <w:pPr>
        <w:spacing w:after="0" w:line="75" w:lineRule="exact"/>
        <w:rPr>
          <w:rFonts w:ascii="Arial" w:cs="Arial" w:eastAsia="Arial" w:hAnsi="Arial"/>
          <w:sz w:val="18"/>
          <w:szCs w:val="18"/>
          <w:color w:val="auto"/>
        </w:rPr>
      </w:pPr>
    </w:p>
    <w:p>
      <w:pPr>
        <w:ind w:right="140" w:firstLine="8"/>
        <w:spacing w:after="0" w:line="263" w:lineRule="auto"/>
        <w:tabs>
          <w:tab w:leader="none" w:pos="7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believe a number of elements contributed to the fact that the cardiovascular safety analyses designated as primary included post-hoc stratification factors. These include a complex data set with data from multiple clinical studies conducted by three companies, and a lack of clarity in the pooled cardiovascular safety analysis plans which identified multiple statistical methods and assessment periods.</w:t>
      </w:r>
    </w:p>
    <w:p>
      <w:pPr>
        <w:spacing w:after="0" w:line="75" w:lineRule="exact"/>
        <w:rPr>
          <w:rFonts w:ascii="Arial" w:cs="Arial" w:eastAsia="Arial" w:hAnsi="Arial"/>
          <w:sz w:val="18"/>
          <w:szCs w:val="18"/>
          <w:color w:val="auto"/>
        </w:rPr>
      </w:pPr>
    </w:p>
    <w:p>
      <w:pPr>
        <w:ind w:right="180" w:firstLine="8"/>
        <w:spacing w:after="0" w:line="263" w:lineRule="auto"/>
        <w:tabs>
          <w:tab w:leader="none" w:pos="7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addition, this information was compartmentalized within the organization, which relied on the founder and then-CEO to make key decisions and facilitate internal communication between groups. He unfortunately passed away in August 2019 prior to public disclosure of the detailed pooled safety analyses and the NDA filing.</w:t>
      </w:r>
    </w:p>
    <w:p>
      <w:pPr>
        <w:spacing w:after="0" w:line="75" w:lineRule="exact"/>
        <w:rPr>
          <w:rFonts w:ascii="Arial" w:cs="Arial" w:eastAsia="Arial" w:hAnsi="Arial"/>
          <w:sz w:val="18"/>
          <w:szCs w:val="18"/>
          <w:color w:val="auto"/>
        </w:rPr>
      </w:pPr>
    </w:p>
    <w:p>
      <w:pPr>
        <w:ind w:left="720" w:hanging="712"/>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Those responsible for the statistical analyses believed that it was a reasonable and valid way to analyze and present the data.</w:t>
      </w:r>
    </w:p>
    <w:p>
      <w:pPr>
        <w:spacing w:after="0" w:line="225"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Management is taking steps to ensure the Company’s processes are consistent with best practices in all respects. We plan to implement and improve a number of processes and procedures, including independent quality unit oversight of clinical data management, programming, analysis, and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Those directly responsible for the decision to use post-hoc stratification factors in the primary analyses no longer work for the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Incorporation By Reference</w:t>
            </w:r>
          </w:p>
        </w:tc>
        <w:tc>
          <w:tcPr>
            <w:tcW w:w="1180" w:type="dxa"/>
            <w:vAlign w:val="bottom"/>
            <w:tcBorders>
              <w:bottom w:val="single" w:sz="8" w:color="auto"/>
            </w:tcBorders>
          </w:tcPr>
          <w:p>
            <w:pPr>
              <w:spacing w:after="0"/>
              <w:rPr>
                <w:sz w:val="14"/>
                <w:szCs w:val="14"/>
                <w:color w:val="auto"/>
              </w:rPr>
            </w:pPr>
          </w:p>
        </w:tc>
      </w:tr>
      <w:tr>
        <w:trPr>
          <w:trHeight w:val="155"/>
        </w:trPr>
        <w:tc>
          <w:tcPr>
            <w:tcW w:w="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3"/>
                <w:szCs w:val="13"/>
                <w:color w:val="auto"/>
              </w:rPr>
            </w:pPr>
          </w:p>
        </w:tc>
        <w:tc>
          <w:tcPr>
            <w:tcW w:w="5820" w:type="dxa"/>
            <w:vAlign w:val="bottom"/>
            <w:tcBorders>
              <w:bottom w:val="single" w:sz="8" w:color="auto"/>
            </w:tcBorders>
            <w:gridSpan w:val="12"/>
          </w:tcPr>
          <w:p>
            <w:pPr>
              <w:ind w:left="2300"/>
              <w:spacing w:after="0" w:line="155" w:lineRule="exact"/>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80" w:type="dxa"/>
            <w:vAlign w:val="bottom"/>
          </w:tcPr>
          <w:p>
            <w:pPr>
              <w:spacing w:after="0"/>
              <w:rPr>
                <w:sz w:val="13"/>
                <w:szCs w:val="13"/>
                <w:color w:val="auto"/>
              </w:rPr>
            </w:pPr>
          </w:p>
        </w:tc>
        <w:tc>
          <w:tcPr>
            <w:tcW w:w="116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SEC File No.</w:t>
            </w:r>
          </w:p>
        </w:tc>
        <w:tc>
          <w:tcPr>
            <w:tcW w:w="60" w:type="dxa"/>
            <w:vAlign w:val="bottom"/>
          </w:tcPr>
          <w:p>
            <w:pPr>
              <w:spacing w:after="0"/>
              <w:rPr>
                <w:sz w:val="13"/>
                <w:szCs w:val="13"/>
                <w:color w:val="auto"/>
              </w:rPr>
            </w:pPr>
          </w:p>
        </w:tc>
        <w:tc>
          <w:tcPr>
            <w:tcW w:w="10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3"/>
                <w:szCs w:val="13"/>
                <w:color w:val="auto"/>
              </w:rPr>
            </w:pPr>
          </w:p>
        </w:tc>
        <w:tc>
          <w:tcPr>
            <w:tcW w:w="11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263"/>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2"/>
                <w:szCs w:val="22"/>
                <w:color w:val="auto"/>
              </w:rPr>
            </w:pPr>
          </w:p>
        </w:tc>
        <w:tc>
          <w:tcPr>
            <w:tcW w:w="5000" w:type="dxa"/>
            <w:vAlign w:val="bottom"/>
            <w:tcBorders>
              <w:bottom w:val="single" w:sz="8" w:color="0000EE"/>
            </w:tcBorders>
            <w:gridSpan w:val="5"/>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Amended and Restated Certificate of Incorporation of FibroGen, Inc.</w:t>
              </w:r>
            </w:hyperlink>
          </w:p>
        </w:tc>
        <w:tc>
          <w:tcPr>
            <w:tcW w:w="900" w:type="dxa"/>
            <w:vAlign w:val="bottom"/>
            <w:gridSpan w:val="8"/>
          </w:tcPr>
          <w:p>
            <w:pPr>
              <w:spacing w:after="0"/>
              <w:rPr>
                <w:sz w:val="22"/>
                <w:szCs w:val="2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3560" w:type="dxa"/>
            <w:vAlign w:val="bottom"/>
            <w:tcBorders>
              <w:bottom w:val="single" w:sz="8" w:color="0000EE"/>
            </w:tcBorders>
            <w:gridSpan w:val="4"/>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Bylaws of FibroGen, Inc.</w:t>
              </w:r>
            </w:hyperlink>
          </w:p>
        </w:tc>
        <w:tc>
          <w:tcPr>
            <w:tcW w:w="2340" w:type="dxa"/>
            <w:vAlign w:val="bottom"/>
            <w:gridSpan w:val="9"/>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2620" w:type="dxa"/>
            <w:vAlign w:val="bottom"/>
            <w:tcBorders>
              <w:bottom w:val="single" w:sz="8" w:color="0000EE"/>
            </w:tcBorders>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Form of Common Stock Certificate.</w:t>
              </w:r>
            </w:hyperlink>
          </w:p>
        </w:tc>
        <w:tc>
          <w:tcPr>
            <w:tcW w:w="3280" w:type="dxa"/>
            <w:vAlign w:val="bottom"/>
            <w:gridSpan w:val="12"/>
          </w:tcPr>
          <w:p>
            <w:pPr>
              <w:spacing w:after="0"/>
              <w:rPr>
                <w:sz w:val="24"/>
                <w:szCs w:val="2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5380" w:type="dxa"/>
            <w:vAlign w:val="bottom"/>
            <w:tcBorders>
              <w:bottom w:val="single" w:sz="8" w:color="0000EE"/>
            </w:tcBorders>
            <w:gridSpan w:val="8"/>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Shareholders’ Agreement by and among FibroGen International (Cayman)</w:t>
              </w:r>
            </w:hyperlink>
          </w:p>
        </w:tc>
        <w:tc>
          <w:tcPr>
            <w:tcW w:w="520" w:type="dxa"/>
            <w:vAlign w:val="bottom"/>
            <w:gridSpan w:val="5"/>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Limited and certain of its shareholders, dated as of September 8, 2017.</w:t>
              </w:r>
            </w:hyperlink>
          </w:p>
        </w:tc>
        <w:tc>
          <w:tcPr>
            <w:tcW w:w="80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5900" w:type="dxa"/>
            <w:vAlign w:val="bottom"/>
            <w:gridSpan w:val="13"/>
          </w:tcPr>
          <w:p>
            <w:pPr>
              <w:spacing w:after="0"/>
              <w:rPr>
                <w:rFonts w:ascii="Arial" w:cs="Arial" w:eastAsia="Arial" w:hAnsi="Arial"/>
                <w:sz w:val="18"/>
                <w:szCs w:val="18"/>
                <w:color w:val="0000EE"/>
              </w:rPr>
            </w:pPr>
            <w:hyperlink r:id="rId118">
              <w:r>
                <w:rPr>
                  <w:rFonts w:ascii="Arial" w:cs="Arial" w:eastAsia="Arial" w:hAnsi="Arial"/>
                  <w:sz w:val="18"/>
                  <w:szCs w:val="18"/>
                  <w:color w:val="0000EE"/>
                </w:rPr>
                <w:t>Common Stock Purchase Agreement by and between FibroGen, Inc. and</w:t>
              </w:r>
            </w:hyperlink>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4.17</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AstraZeneca AB, dated as of October 20, 2014.</w:t>
              </w:r>
            </w:hyperlink>
          </w:p>
        </w:tc>
        <w:tc>
          <w:tcPr>
            <w:tcW w:w="66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5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Sixth Amendment to the Lease by and between ARE-San Francisco No., 43,</w:t>
              </w:r>
            </w:hyperlink>
          </w:p>
        </w:tc>
        <w:tc>
          <w:tcPr>
            <w:tcW w:w="380" w:type="dxa"/>
            <w:vAlign w:val="bottom"/>
            <w:gridSpan w:val="4"/>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00" w:type="dxa"/>
            <w:vAlign w:val="bottom"/>
            <w:gridSpan w:val="13"/>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LLC and FibroGen, Inc. as of June 1, 2021.</w:t>
              </w:r>
            </w:hyperlink>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91"/>
        </w:trPr>
        <w:tc>
          <w:tcPr>
            <w:tcW w:w="1000" w:type="dxa"/>
            <w:vAlign w:val="bottom"/>
            <w:gridSpan w:val="2"/>
          </w:tcPr>
          <w:p>
            <w:pPr>
              <w:spacing w:after="0"/>
              <w:rPr>
                <w:sz w:val="20"/>
                <w:szCs w:val="20"/>
                <w:color w:val="auto"/>
              </w:rPr>
            </w:pPr>
            <w:r>
              <w:rPr>
                <w:rFonts w:ascii="Arial" w:cs="Arial" w:eastAsia="Arial" w:hAnsi="Arial"/>
                <w:sz w:val="18"/>
                <w:szCs w:val="18"/>
                <w:color w:val="auto"/>
              </w:rPr>
              <w:t>10.2*†</w:t>
            </w:r>
          </w:p>
        </w:tc>
        <w:tc>
          <w:tcPr>
            <w:tcW w:w="56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Exclusive License and Option Agreement by and between FibroGen, Inc. and</w:t>
              </w:r>
            </w:hyperlink>
          </w:p>
        </w:tc>
        <w:tc>
          <w:tcPr>
            <w:tcW w:w="300" w:type="dxa"/>
            <w:vAlign w:val="bottom"/>
            <w:gridSpan w:val="2"/>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HiFiBiO (HK) Limited (D.B.A. HiFiBiO Therapeutics), as of June 16, 2021.</w:t>
              </w:r>
            </w:hyperlink>
          </w:p>
        </w:tc>
        <w:tc>
          <w:tcPr>
            <w:tcW w:w="3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90"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490"/>
              <w:spacing w:after="0"/>
              <w:rPr>
                <w:sz w:val="20"/>
                <w:szCs w:val="20"/>
                <w:color w:val="auto"/>
              </w:rPr>
            </w:pPr>
            <w:r>
              <w:rPr>
                <w:rFonts w:ascii="Arial" w:cs="Arial" w:eastAsia="Arial" w:hAnsi="Arial"/>
                <w:sz w:val="18"/>
                <w:szCs w:val="18"/>
                <w:color w:val="auto"/>
                <w:w w:val="95"/>
              </w:rPr>
              <w:t>21.1*</w:t>
            </w:r>
          </w:p>
        </w:tc>
        <w:tc>
          <w:tcPr>
            <w:tcW w:w="5700" w:type="dxa"/>
            <w:vAlign w:val="bottom"/>
            <w:gridSpan w:val="3"/>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Subsidiaries of FibroGen, Inc.</w:t>
              </w:r>
            </w:hyperlink>
          </w:p>
        </w:tc>
      </w:tr>
      <w:tr>
        <w:trPr>
          <w:trHeight w:val="20"/>
        </w:trPr>
        <w:tc>
          <w:tcPr>
            <w:tcW w:w="10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45"/>
        </w:trPr>
        <w:tc>
          <w:tcPr>
            <w:tcW w:w="1000" w:type="dxa"/>
            <w:vAlign w:val="bottom"/>
          </w:tcPr>
          <w:p>
            <w:pPr>
              <w:jc w:val="right"/>
              <w:ind w:right="490"/>
              <w:spacing w:after="0"/>
              <w:rPr>
                <w:sz w:val="20"/>
                <w:szCs w:val="20"/>
                <w:color w:val="auto"/>
              </w:rPr>
            </w:pPr>
            <w:r>
              <w:rPr>
                <w:rFonts w:ascii="Arial" w:cs="Arial" w:eastAsia="Arial" w:hAnsi="Arial"/>
                <w:sz w:val="18"/>
                <w:szCs w:val="18"/>
                <w:color w:val="auto"/>
                <w:w w:val="95"/>
              </w:rPr>
              <w:t>31.1*</w:t>
            </w:r>
          </w:p>
        </w:tc>
        <w:tc>
          <w:tcPr>
            <w:tcW w:w="57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87">
              <w:r>
                <w:rPr>
                  <w:rFonts w:ascii="Arial" w:cs="Arial" w:eastAsia="Arial" w:hAnsi="Arial"/>
                  <w:sz w:val="18"/>
                  <w:szCs w:val="18"/>
                  <w:color w:val="0000EE"/>
                  <w:w w:val="92"/>
                </w:rPr>
                <w:t>Certification of Chief Executive Officer, as required by Rule 13a-14(a) or Rule</w:t>
              </w:r>
            </w:hyperlink>
          </w:p>
        </w:tc>
      </w:tr>
      <w:tr>
        <w:trPr>
          <w:trHeight w:val="196"/>
        </w:trPr>
        <w:tc>
          <w:tcPr>
            <w:tcW w:w="1000" w:type="dxa"/>
            <w:vAlign w:val="bottom"/>
          </w:tcPr>
          <w:p>
            <w:pPr>
              <w:spacing w:after="0"/>
              <w:rPr>
                <w:sz w:val="17"/>
                <w:szCs w:val="17"/>
                <w:color w:val="auto"/>
              </w:rPr>
            </w:pPr>
          </w:p>
        </w:tc>
        <w:tc>
          <w:tcPr>
            <w:tcW w:w="5700" w:type="dxa"/>
            <w:vAlign w:val="bottom"/>
            <w:gridSpan w:val="3"/>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15d-14(a).</w:t>
              </w:r>
            </w:hyperlink>
          </w:p>
        </w:tc>
      </w:tr>
      <w:tr>
        <w:trPr>
          <w:trHeight w:val="20"/>
        </w:trPr>
        <w:tc>
          <w:tcPr>
            <w:tcW w:w="10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40" w:val="left"/>
          <w:tab w:leader="none" w:pos="2180" w:val="left"/>
          <w:tab w:leader="none" w:pos="3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spacing w:after="0"/>
        <w:tabs>
          <w:tab w:leader="none" w:pos="1040" w:val="left"/>
          <w:tab w:leader="none" w:pos="2180" w:val="left"/>
          <w:tab w:leader="none" w:pos="3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02" w:lineRule="exact"/>
        <w:rPr>
          <w:sz w:val="20"/>
          <w:szCs w:val="20"/>
          <w:color w:val="auto"/>
        </w:rPr>
      </w:pPr>
    </w:p>
    <w:p>
      <w:pPr>
        <w:sectPr>
          <w:pgSz w:w="11900" w:h="16838" w:orient="portrait"/>
          <w:cols w:equalWidth="0" w:num="2">
            <w:col w:w="6700" w:space="500"/>
            <w:col w:w="40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490"/>
              <w:spacing w:after="0"/>
              <w:rPr>
                <w:sz w:val="20"/>
                <w:szCs w:val="20"/>
                <w:color w:val="auto"/>
              </w:rPr>
            </w:pPr>
            <w:r>
              <w:rPr>
                <w:rFonts w:ascii="Arial" w:cs="Arial" w:eastAsia="Arial" w:hAnsi="Arial"/>
                <w:sz w:val="18"/>
                <w:szCs w:val="18"/>
                <w:color w:val="auto"/>
                <w:w w:val="95"/>
              </w:rPr>
              <w:t>31.2*</w:t>
            </w:r>
          </w:p>
        </w:tc>
        <w:tc>
          <w:tcPr>
            <w:tcW w:w="56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88">
              <w:r>
                <w:rPr>
                  <w:rFonts w:ascii="Arial" w:cs="Arial" w:eastAsia="Arial" w:hAnsi="Arial"/>
                  <w:sz w:val="18"/>
                  <w:szCs w:val="18"/>
                  <w:color w:val="0000EE"/>
                  <w:w w:val="92"/>
                </w:rPr>
                <w:t>Certification of Chief Financial Officer, as required by Rule 13a-14(a) or Rule</w:t>
              </w:r>
            </w:hyperlink>
          </w:p>
        </w:tc>
      </w:tr>
      <w:tr>
        <w:trPr>
          <w:trHeight w:val="196"/>
        </w:trPr>
        <w:tc>
          <w:tcPr>
            <w:tcW w:w="1000" w:type="dxa"/>
            <w:vAlign w:val="bottom"/>
          </w:tcPr>
          <w:p>
            <w:pPr>
              <w:spacing w:after="0"/>
              <w:rPr>
                <w:sz w:val="17"/>
                <w:szCs w:val="17"/>
                <w:color w:val="auto"/>
              </w:rPr>
            </w:pPr>
          </w:p>
        </w:tc>
        <w:tc>
          <w:tcPr>
            <w:tcW w:w="5640" w:type="dxa"/>
            <w:vAlign w:val="bottom"/>
            <w:gridSpan w:val="3"/>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15d-14(a).</w:t>
              </w:r>
            </w:hyperlink>
          </w:p>
        </w:tc>
      </w:tr>
      <w:tr>
        <w:trPr>
          <w:trHeight w:val="20"/>
        </w:trPr>
        <w:tc>
          <w:tcPr>
            <w:tcW w:w="10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000" w:type="dxa"/>
            <w:vAlign w:val="bottom"/>
          </w:tcPr>
          <w:p>
            <w:pPr>
              <w:jc w:val="right"/>
              <w:ind w:right="490"/>
              <w:spacing w:after="0"/>
              <w:rPr>
                <w:sz w:val="20"/>
                <w:szCs w:val="20"/>
                <w:color w:val="auto"/>
              </w:rPr>
            </w:pPr>
            <w:r>
              <w:rPr>
                <w:rFonts w:ascii="Arial" w:cs="Arial" w:eastAsia="Arial" w:hAnsi="Arial"/>
                <w:sz w:val="18"/>
                <w:szCs w:val="18"/>
                <w:color w:val="auto"/>
                <w:w w:val="95"/>
              </w:rPr>
              <w:t>32.1*</w:t>
            </w:r>
          </w:p>
        </w:tc>
        <w:tc>
          <w:tcPr>
            <w:tcW w:w="56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89">
              <w:r>
                <w:rPr>
                  <w:rFonts w:ascii="Arial" w:cs="Arial" w:eastAsia="Arial" w:hAnsi="Arial"/>
                  <w:sz w:val="18"/>
                  <w:szCs w:val="18"/>
                  <w:color w:val="0000EE"/>
                  <w:w w:val="93"/>
                </w:rPr>
                <w:t>Certification of Principal Executive Officer and Principal Financial Officer, as</w:t>
              </w:r>
            </w:hyperlink>
          </w:p>
        </w:tc>
      </w:tr>
      <w:tr>
        <w:trPr>
          <w:trHeight w:val="196"/>
        </w:trPr>
        <w:tc>
          <w:tcPr>
            <w:tcW w:w="1000" w:type="dxa"/>
            <w:vAlign w:val="bottom"/>
          </w:tcPr>
          <w:p>
            <w:pPr>
              <w:spacing w:after="0"/>
              <w:rPr>
                <w:sz w:val="17"/>
                <w:szCs w:val="17"/>
                <w:color w:val="auto"/>
              </w:rPr>
            </w:pPr>
          </w:p>
        </w:tc>
        <w:tc>
          <w:tcPr>
            <w:tcW w:w="56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89">
              <w:r>
                <w:rPr>
                  <w:rFonts w:ascii="Arial" w:cs="Arial" w:eastAsia="Arial" w:hAnsi="Arial"/>
                  <w:sz w:val="18"/>
                  <w:szCs w:val="18"/>
                  <w:color w:val="0000EE"/>
                  <w:w w:val="90"/>
                </w:rPr>
                <w:t>required by Rule 13a-14(b) or Rule 15d-14(b) and Section 1350 of Chapter 63</w:t>
              </w:r>
            </w:hyperlink>
          </w:p>
        </w:tc>
      </w:tr>
      <w:tr>
        <w:trPr>
          <w:trHeight w:val="196"/>
        </w:trPr>
        <w:tc>
          <w:tcPr>
            <w:tcW w:w="1000" w:type="dxa"/>
            <w:vAlign w:val="bottom"/>
          </w:tcPr>
          <w:p>
            <w:pPr>
              <w:spacing w:after="0"/>
              <w:rPr>
                <w:sz w:val="17"/>
                <w:szCs w:val="17"/>
                <w:color w:val="auto"/>
              </w:rPr>
            </w:pPr>
          </w:p>
        </w:tc>
        <w:tc>
          <w:tcPr>
            <w:tcW w:w="43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89">
              <w:r>
                <w:rPr>
                  <w:rFonts w:ascii="Arial" w:cs="Arial" w:eastAsia="Arial" w:hAnsi="Arial"/>
                  <w:sz w:val="18"/>
                  <w:szCs w:val="18"/>
                  <w:color w:val="0000EE"/>
                  <w:w w:val="91"/>
                </w:rPr>
                <w:t>of Title 18 of the United States Code (18 U.S.C. §1350)(1)).</w:t>
              </w:r>
            </w:hyperlink>
          </w:p>
        </w:tc>
        <w:tc>
          <w:tcPr>
            <w:tcW w:w="13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tabs>
          <w:tab w:leader="none" w:pos="1040" w:val="left"/>
          <w:tab w:leader="none" w:pos="2180" w:val="left"/>
          <w:tab w:leader="none" w:pos="3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20" w:lineRule="exact"/>
        <w:rPr>
          <w:sz w:val="20"/>
          <w:szCs w:val="20"/>
          <w:color w:val="auto"/>
        </w:rPr>
      </w:pPr>
    </w:p>
    <w:p>
      <w:pPr>
        <w:spacing w:after="0"/>
        <w:tabs>
          <w:tab w:leader="none" w:pos="1040" w:val="left"/>
          <w:tab w:leader="none" w:pos="2180" w:val="left"/>
          <w:tab w:leader="none" w:pos="3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535" w:lineRule="exact"/>
        <w:rPr>
          <w:sz w:val="20"/>
          <w:szCs w:val="20"/>
          <w:color w:val="auto"/>
        </w:rPr>
      </w:pPr>
    </w:p>
    <w:p>
      <w:pPr>
        <w:sectPr>
          <w:pgSz w:w="11900" w:h="16838" w:orient="portrait"/>
          <w:cols w:equalWidth="0" w:num="2">
            <w:col w:w="6640" w:space="560"/>
            <w:col w:w="40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6120" w:type="dxa"/>
            <w:vAlign w:val="bottom"/>
          </w:tcPr>
          <w:p>
            <w:pPr>
              <w:ind w:left="160"/>
              <w:spacing w:after="0"/>
              <w:rPr>
                <w:sz w:val="20"/>
                <w:szCs w:val="20"/>
                <w:color w:val="auto"/>
              </w:rPr>
            </w:pPr>
            <w:r>
              <w:rPr>
                <w:rFonts w:ascii="Arial" w:cs="Arial" w:eastAsia="Arial" w:hAnsi="Arial"/>
                <w:sz w:val="18"/>
                <w:szCs w:val="18"/>
                <w:color w:val="auto"/>
                <w:w w:val="94"/>
              </w:rPr>
              <w:t>Inline XBRL Instance Document: the instance document does not appear in the</w:t>
            </w: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216"/>
        </w:trPr>
        <w:tc>
          <w:tcPr>
            <w:tcW w:w="84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w w:val="99"/>
              </w:rPr>
              <w:t>Interactive Data File because its XBRL tags are embedded within the Inline</w:t>
            </w: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XBRL document</w:t>
            </w: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612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6120" w:type="dxa"/>
            <w:vAlign w:val="bottom"/>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311"/>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612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6120" w:type="dxa"/>
            <w:vAlign w:val="bottom"/>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6120" w:type="dxa"/>
            <w:vAlign w:val="bottom"/>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296"/>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6120" w:type="dxa"/>
            <w:vAlign w:val="bottom"/>
          </w:tcPr>
          <w:p>
            <w:pPr>
              <w:ind w:left="160"/>
              <w:spacing w:after="0"/>
              <w:rPr>
                <w:sz w:val="20"/>
                <w:szCs w:val="20"/>
                <w:color w:val="auto"/>
              </w:rPr>
            </w:pPr>
            <w:r>
              <w:rPr>
                <w:rFonts w:ascii="Arial" w:cs="Arial" w:eastAsia="Arial" w:hAnsi="Arial"/>
                <w:sz w:val="18"/>
                <w:szCs w:val="18"/>
                <w:color w:val="auto"/>
              </w:rPr>
              <w:t>Cover Page Interactive Data File (formatted as inline XBRL with applicable</w:t>
            </w: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230"/>
        </w:trPr>
        <w:tc>
          <w:tcPr>
            <w:tcW w:w="840" w:type="dxa"/>
            <w:vAlign w:val="bottom"/>
          </w:tcPr>
          <w:p>
            <w:pPr>
              <w:spacing w:after="0"/>
              <w:rPr>
                <w:sz w:val="20"/>
                <w:szCs w:val="20"/>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taxonomy extension information contained in Exhibits 101.*)</w:t>
            </w: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769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right="580" w:hanging="492"/>
        <w:spacing w:after="0" w:line="260"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as the Company has determined that the omitted information is both (i) not material and (ii) the type of information that the Company treats as private or confidential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FibroGen, Inc.</w:t>
            </w:r>
          </w:p>
        </w:tc>
        <w:tc>
          <w:tcPr>
            <w:tcW w:w="4240" w:type="dxa"/>
            <w:vAlign w:val="bottom"/>
          </w:tcPr>
          <w:p>
            <w:pPr>
              <w:spacing w:after="0"/>
              <w:rPr>
                <w:sz w:val="17"/>
                <w:szCs w:val="17"/>
                <w:color w:val="auto"/>
              </w:rPr>
            </w:pPr>
          </w:p>
        </w:tc>
      </w:tr>
      <w:tr>
        <w:trPr>
          <w:trHeight w:val="480"/>
        </w:trPr>
        <w:tc>
          <w:tcPr>
            <w:tcW w:w="3600" w:type="dxa"/>
            <w:vAlign w:val="bottom"/>
          </w:tcPr>
          <w:p>
            <w:pPr>
              <w:spacing w:after="0"/>
              <w:rPr>
                <w:sz w:val="20"/>
                <w:szCs w:val="20"/>
                <w:color w:val="auto"/>
              </w:rPr>
            </w:pPr>
            <w:r>
              <w:rPr>
                <w:rFonts w:ascii="Arial" w:cs="Arial" w:eastAsia="Arial" w:hAnsi="Arial"/>
                <w:sz w:val="18"/>
                <w:szCs w:val="18"/>
                <w:color w:val="auto"/>
              </w:rPr>
              <w:t>Dated: August 9, 2021</w:t>
            </w:r>
          </w:p>
        </w:tc>
        <w:tc>
          <w:tcPr>
            <w:tcW w:w="226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Enrique Conterno</w:t>
            </w:r>
          </w:p>
        </w:tc>
      </w:tr>
      <w:tr>
        <w:trPr>
          <w:trHeight w:val="195"/>
        </w:trPr>
        <w:tc>
          <w:tcPr>
            <w:tcW w:w="3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August 9, 2021</w:t>
            </w:r>
          </w:p>
        </w:tc>
        <w:tc>
          <w:tcPr>
            <w:tcW w:w="226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5"/>
        </w:trPr>
        <w:tc>
          <w:tcPr>
            <w:tcW w:w="3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64"/>
        </w:trPr>
        <w:tc>
          <w:tcPr>
            <w:tcW w:w="3600" w:type="dxa"/>
            <w:vAlign w:val="bottom"/>
          </w:tcPr>
          <w:p>
            <w:pPr>
              <w:spacing w:after="0"/>
              <w:rPr>
                <w:sz w:val="24"/>
                <w:szCs w:val="24"/>
                <w:color w:val="auto"/>
              </w:rPr>
            </w:pPr>
          </w:p>
        </w:tc>
        <w:tc>
          <w:tcPr>
            <w:tcW w:w="226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 TO LEASE</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THIS SIXTH AMENDMENT TO LEASE (this “</w:t>
      </w:r>
      <w:r>
        <w:rPr>
          <w:rFonts w:ascii="Arial" w:cs="Arial" w:eastAsia="Arial" w:hAnsi="Arial"/>
          <w:sz w:val="18"/>
          <w:szCs w:val="18"/>
          <w:b w:val="1"/>
          <w:bCs w:val="1"/>
          <w:color w:val="auto"/>
        </w:rPr>
        <w:t>Sixth Amendment</w:t>
      </w:r>
      <w:r>
        <w:rPr>
          <w:rFonts w:ascii="Arial" w:cs="Arial" w:eastAsia="Arial" w:hAnsi="Arial"/>
          <w:sz w:val="18"/>
          <w:szCs w:val="18"/>
          <w:color w:val="auto"/>
        </w:rPr>
        <w:t>”) is made as of June 1, 2021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ARE- SAN FRANCISCO NO. 43,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FIBROGEN,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4" w:lineRule="exact"/>
        <w:rPr>
          <w:sz w:val="20"/>
          <w:szCs w:val="20"/>
          <w:color w:val="auto"/>
        </w:rPr>
      </w:pPr>
    </w:p>
    <w:p>
      <w:pPr>
        <w:ind w:firstLine="872"/>
        <w:spacing w:after="0" w:line="236" w:lineRule="auto"/>
        <w:tabs>
          <w:tab w:leader="none" w:pos="1692"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Landlord (as successor-in-interest to X-4 Dolphin LLC) and Tenant are parties to that certain Lease Agreement dated as of September 22, 2006 (the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that certain First Amendment to Lease dated as of October 10, 2007, and as further amended by that certain letter agreement dated as of March 21, 2008, that certain Second Amendment to Lease dated as of June 29, 2009, that certain Third Amendment to Lease dated as of May 19, 2011 (the “</w:t>
      </w:r>
      <w:r>
        <w:rPr>
          <w:rFonts w:ascii="Arial" w:cs="Arial" w:eastAsia="Arial" w:hAnsi="Arial"/>
          <w:sz w:val="18"/>
          <w:szCs w:val="18"/>
          <w:b w:val="1"/>
          <w:bCs w:val="1"/>
          <w:color w:val="auto"/>
        </w:rPr>
        <w:t>Third Amendment</w:t>
      </w:r>
      <w:r>
        <w:rPr>
          <w:rFonts w:ascii="Arial" w:cs="Arial" w:eastAsia="Arial" w:hAnsi="Arial"/>
          <w:sz w:val="18"/>
          <w:szCs w:val="18"/>
          <w:color w:val="auto"/>
        </w:rPr>
        <w:t>”), that certain letter agreement dated as of June 20, 2011, that certain Fourth Amendment to Lease dated as of September 8, 2011, that certain letter agreement dated as of November 15, 2012, that certain Memorandum of Understanding dated as of October 1, 2014, that certain Fifth Amendment to Lease dated as of December 23, 2014, that certain letter agreement dated as of December 23, 2014, that certain letter agreement dated as of December 10, 2015, and that certain letter agreement dated as of April 26, 2016 (as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premises containing approximately 234,249 rentable square feet (the “</w:t>
      </w:r>
      <w:r>
        <w:rPr>
          <w:rFonts w:ascii="Arial" w:cs="Arial" w:eastAsia="Arial" w:hAnsi="Arial"/>
          <w:sz w:val="18"/>
          <w:szCs w:val="18"/>
          <w:b w:val="1"/>
          <w:bCs w:val="1"/>
          <w:color w:val="auto"/>
        </w:rPr>
        <w:t>Premises</w:t>
      </w:r>
      <w:r>
        <w:rPr>
          <w:rFonts w:ascii="Arial" w:cs="Arial" w:eastAsia="Arial" w:hAnsi="Arial"/>
          <w:sz w:val="18"/>
          <w:szCs w:val="18"/>
          <w:color w:val="auto"/>
        </w:rPr>
        <w:t>”) in that certain building located at 409 Illinois Street, San Francisco, California (the “Building”). The Premises are more particularly described in the Lease. Capitalized terms used herein without definition shall have the meanings defined for such terms in the Lease.</w:t>
      </w:r>
    </w:p>
    <w:p>
      <w:pPr>
        <w:spacing w:after="0" w:line="204" w:lineRule="exact"/>
        <w:rPr>
          <w:rFonts w:ascii="Arial" w:cs="Arial" w:eastAsia="Arial" w:hAnsi="Arial"/>
          <w:sz w:val="18"/>
          <w:szCs w:val="18"/>
          <w:b w:val="1"/>
          <w:bCs w:val="1"/>
          <w:color w:val="auto"/>
        </w:rPr>
      </w:pPr>
    </w:p>
    <w:p>
      <w:pPr>
        <w:ind w:left="1700" w:hanging="828"/>
        <w:spacing w:after="0"/>
        <w:tabs>
          <w:tab w:leader="none" w:pos="170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The Term of the Lease is scheduled to expire on November 19, 2023.</w:t>
      </w:r>
    </w:p>
    <w:p>
      <w:pPr>
        <w:spacing w:after="0" w:line="211" w:lineRule="exact"/>
        <w:rPr>
          <w:rFonts w:ascii="Arial" w:cs="Arial" w:eastAsia="Arial" w:hAnsi="Arial"/>
          <w:sz w:val="18"/>
          <w:szCs w:val="18"/>
          <w:b w:val="1"/>
          <w:bCs w:val="1"/>
          <w:color w:val="auto"/>
        </w:rPr>
      </w:pPr>
    </w:p>
    <w:p>
      <w:pPr>
        <w:ind w:right="260" w:firstLine="872"/>
        <w:spacing w:after="0" w:line="246" w:lineRule="auto"/>
        <w:tabs>
          <w:tab w:leader="none" w:pos="1692"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Landlord and Tenant desire, subject to the terms and conditions set forth below, to amend the Lease to, among other things, extend the Term of the Lease through November 30, 2028 (the “</w:t>
      </w:r>
      <w:r>
        <w:rPr>
          <w:rFonts w:ascii="Arial" w:cs="Arial" w:eastAsia="Arial" w:hAnsi="Arial"/>
          <w:sz w:val="18"/>
          <w:szCs w:val="18"/>
          <w:b w:val="1"/>
          <w:bCs w:val="1"/>
          <w:color w:val="auto"/>
        </w:rPr>
        <w:t>Sixth Amendment Expiration Date</w:t>
      </w:r>
      <w:r>
        <w:rPr>
          <w:rFonts w:ascii="Arial" w:cs="Arial" w:eastAsia="Arial" w:hAnsi="Arial"/>
          <w:sz w:val="18"/>
          <w:szCs w:val="18"/>
          <w:color w:val="auto"/>
        </w:rPr>
        <w:t>”).</w:t>
      </w:r>
    </w:p>
    <w:p>
      <w:pPr>
        <w:spacing w:after="0" w:line="17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w:t>
      </w:r>
      <w:r>
        <w:rPr>
          <w:rFonts w:ascii="Arial" w:cs="Arial" w:eastAsia="Arial" w:hAnsi="Arial"/>
          <w:sz w:val="18"/>
          <w:szCs w:val="18"/>
          <w:b w:val="1"/>
          <w:bCs w:val="1"/>
          <w:color w:val="auto"/>
        </w:rPr>
        <w:t xml:space="preserve"> </w:t>
      </w:r>
      <w:r>
        <w:rPr>
          <w:rFonts w:ascii="Arial" w:cs="Arial" w:eastAsia="Arial" w:hAnsi="Arial"/>
          <w:sz w:val="18"/>
          <w:szCs w:val="18"/>
          <w:color w:val="auto"/>
        </w:rPr>
        <w:t>promises and conditions contained herein, and for other good and valuable consideration, the receipt and sufficiency of which are hereby acknowledged, Landlord and Tenant hereby agree as follows:</w:t>
      </w:r>
    </w:p>
    <w:p>
      <w:pPr>
        <w:spacing w:after="0" w:line="169" w:lineRule="exact"/>
        <w:rPr>
          <w:sz w:val="20"/>
          <w:szCs w:val="20"/>
          <w:color w:val="auto"/>
        </w:rPr>
      </w:pPr>
    </w:p>
    <w:p>
      <w:pPr>
        <w:jc w:val="both"/>
        <w:ind w:left="860" w:hanging="852"/>
        <w:spacing w:after="0"/>
        <w:tabs>
          <w:tab w:leader="none" w:pos="8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Extended Term</w:t>
      </w:r>
      <w:r>
        <w:rPr>
          <w:rFonts w:ascii="Arial" w:cs="Arial" w:eastAsia="Arial" w:hAnsi="Arial"/>
          <w:sz w:val="18"/>
          <w:szCs w:val="18"/>
          <w:color w:val="auto"/>
        </w:rPr>
        <w:t>. The Term of the Lease is hereby extended beginning on November 20, 2023 (the “</w:t>
      </w:r>
      <w:r>
        <w:rPr>
          <w:rFonts w:ascii="Arial" w:cs="Arial" w:eastAsia="Arial" w:hAnsi="Arial"/>
          <w:sz w:val="18"/>
          <w:szCs w:val="18"/>
          <w:b w:val="1"/>
          <w:bCs w:val="1"/>
          <w:color w:val="auto"/>
        </w:rPr>
        <w:t>Sixth Amendment Commencement Date</w:t>
      </w:r>
      <w:r>
        <w:rPr>
          <w:rFonts w:ascii="Arial" w:cs="Arial" w:eastAsia="Arial" w:hAnsi="Arial"/>
          <w:sz w:val="18"/>
          <w:szCs w:val="18"/>
          <w:color w:val="auto"/>
        </w:rPr>
        <w:t>”) through the Sixth Amendment Expiration Date (the “</w:t>
      </w:r>
      <w:r>
        <w:rPr>
          <w:rFonts w:ascii="Arial" w:cs="Arial" w:eastAsia="Arial" w:hAnsi="Arial"/>
          <w:sz w:val="18"/>
          <w:szCs w:val="18"/>
          <w:b w:val="1"/>
          <w:bCs w:val="1"/>
          <w:color w:val="auto"/>
        </w:rPr>
        <w:t>Extended Term</w:t>
      </w:r>
      <w:r>
        <w:rPr>
          <w:rFonts w:ascii="Arial" w:cs="Arial" w:eastAsia="Arial" w:hAnsi="Arial"/>
          <w:sz w:val="18"/>
          <w:szCs w:val="18"/>
          <w:color w:val="auto"/>
        </w:rPr>
        <w:t>”). Tenant’s occupancy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through the Sixth Amendment Expiration Date shall be on an “as-is” basis and, except as otherwise expressly provided in the work letter attached to this Sixth Amendment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A06 Work Letter</w:t>
      </w:r>
      <w:r>
        <w:rPr>
          <w:rFonts w:ascii="Arial" w:cs="Arial" w:eastAsia="Arial" w:hAnsi="Arial"/>
          <w:sz w:val="18"/>
          <w:szCs w:val="18"/>
          <w:color w:val="auto"/>
        </w:rPr>
        <w:t>”), Landlord shall have no obligation to provide any tenant improvement allowance or make any alterations to the Premises. With respect to Tenant’s surrender obligations under the Lease, all work described in the A06 Work Letter shall be deemed to be “Tenant’s Work” as defined in Section 2.17 of the Lease.</w:t>
      </w:r>
    </w:p>
    <w:p>
      <w:pPr>
        <w:spacing w:after="0" w:line="184" w:lineRule="exact"/>
        <w:rPr>
          <w:rFonts w:ascii="Arial" w:cs="Arial" w:eastAsia="Arial" w:hAnsi="Arial"/>
          <w:sz w:val="18"/>
          <w:szCs w:val="18"/>
          <w:b w:val="1"/>
          <w:bCs w:val="1"/>
          <w:color w:val="auto"/>
        </w:rPr>
      </w:pPr>
    </w:p>
    <w:p>
      <w:pPr>
        <w:jc w:val="both"/>
        <w:ind w:left="860" w:hanging="852"/>
        <w:spacing w:after="0" w:line="242" w:lineRule="auto"/>
        <w:tabs>
          <w:tab w:leader="none" w:pos="8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Minimum Monthly Base Rent</w:t>
      </w:r>
      <w:r>
        <w:rPr>
          <w:rFonts w:ascii="Arial" w:cs="Arial" w:eastAsia="Arial" w:hAnsi="Arial"/>
          <w:sz w:val="18"/>
          <w:szCs w:val="18"/>
          <w:color w:val="auto"/>
        </w:rPr>
        <w:t>. Tenant shall continue to pay Minimum Monthly Rent as provided under the Lease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19, 2023. Commencing on the Sixth Amendment Commencement Date, Tenant shall pay Minimum Monthly Rent in the amount of $72.00 per rentable square foot of the Premises per year. Commencing on December 1, 2024, and on each subsequent December 1</w:t>
      </w:r>
      <w:r>
        <w:rPr>
          <w:rFonts w:ascii="Arial" w:cs="Arial" w:eastAsia="Arial" w:hAnsi="Arial"/>
          <w:sz w:val="15"/>
          <w:szCs w:val="15"/>
          <w:color w:val="auto"/>
        </w:rPr>
        <w:t>st</w:t>
      </w:r>
      <w:r>
        <w:rPr>
          <w:rFonts w:ascii="Arial" w:cs="Arial" w:eastAsia="Arial" w:hAnsi="Arial"/>
          <w:sz w:val="18"/>
          <w:szCs w:val="18"/>
          <w:color w:val="auto"/>
        </w:rPr>
        <w:t xml:space="preserve"> through the Sixth Amendment Expiration Date (each, a “</w:t>
      </w:r>
      <w:r>
        <w:rPr>
          <w:rFonts w:ascii="Arial" w:cs="Arial" w:eastAsia="Arial" w:hAnsi="Arial"/>
          <w:sz w:val="18"/>
          <w:szCs w:val="18"/>
          <w:b w:val="1"/>
          <w:bCs w:val="1"/>
          <w:color w:val="auto"/>
        </w:rPr>
        <w:t>Sixth Amendment Adjustment Date</w:t>
      </w:r>
      <w:r>
        <w:rPr>
          <w:rFonts w:ascii="Arial" w:cs="Arial" w:eastAsia="Arial" w:hAnsi="Arial"/>
          <w:sz w:val="18"/>
          <w:szCs w:val="18"/>
          <w:color w:val="auto"/>
        </w:rPr>
        <w:t>”), Minimum Monthly Rent shall be increased by multiplying the Minimum Monthly Rent payable immediately before such Sixth Amendment Adjustment Date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359410</wp:posOffset>
            </wp:positionV>
            <wp:extent cx="2537460" cy="539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jc w:val="both"/>
        <w:ind w:left="852"/>
        <w:spacing w:after="0" w:line="253" w:lineRule="auto"/>
        <w:rPr>
          <w:sz w:val="20"/>
          <w:szCs w:val="20"/>
          <w:color w:val="auto"/>
        </w:rPr>
      </w:pPr>
      <w:r>
        <w:rPr>
          <w:rFonts w:ascii="Arial" w:cs="Arial" w:eastAsia="Arial" w:hAnsi="Arial"/>
          <w:sz w:val="18"/>
          <w:szCs w:val="18"/>
          <w:color w:val="auto"/>
        </w:rPr>
        <w:t>3.0% (the “</w:t>
      </w:r>
      <w:r>
        <w:rPr>
          <w:rFonts w:ascii="Arial" w:cs="Arial" w:eastAsia="Arial" w:hAnsi="Arial"/>
          <w:sz w:val="18"/>
          <w:szCs w:val="18"/>
          <w:b w:val="1"/>
          <w:bCs w:val="1"/>
          <w:color w:val="auto"/>
        </w:rPr>
        <w:t>Rent Adjustment Percentage</w:t>
      </w:r>
      <w:r>
        <w:rPr>
          <w:rFonts w:ascii="Arial" w:cs="Arial" w:eastAsia="Arial" w:hAnsi="Arial"/>
          <w:sz w:val="18"/>
          <w:szCs w:val="18"/>
          <w:color w:val="auto"/>
        </w:rPr>
        <w:t>”) and adding the resulting amount to the Minimum Monthly Rent payable immediately before such Sixth Amendment Adjustment Date. The amounts comprising the Minimum Monthly Rent are set forth Exhibit D entitled, “</w:t>
      </w:r>
      <w:r>
        <w:rPr>
          <w:rFonts w:ascii="Arial" w:cs="Arial" w:eastAsia="Arial" w:hAnsi="Arial"/>
          <w:sz w:val="18"/>
          <w:szCs w:val="18"/>
          <w:b w:val="1"/>
          <w:bCs w:val="1"/>
          <w:color w:val="auto"/>
        </w:rPr>
        <w:t>A06 Minimum Monthly Rent Schedule</w:t>
      </w:r>
      <w:r>
        <w:rPr>
          <w:rFonts w:ascii="Arial" w:cs="Arial" w:eastAsia="Arial" w:hAnsi="Arial"/>
          <w:sz w:val="18"/>
          <w:szCs w:val="18"/>
          <w:color w:val="auto"/>
        </w:rPr>
        <w:t>” attached hereto.</w:t>
      </w:r>
    </w:p>
    <w:p>
      <w:pPr>
        <w:spacing w:after="0" w:line="191" w:lineRule="exact"/>
        <w:rPr>
          <w:sz w:val="20"/>
          <w:szCs w:val="20"/>
          <w:color w:val="auto"/>
        </w:rPr>
      </w:pPr>
    </w:p>
    <w:p>
      <w:pPr>
        <w:jc w:val="both"/>
        <w:ind w:left="872"/>
        <w:spacing w:after="0" w:line="236" w:lineRule="auto"/>
        <w:rPr>
          <w:sz w:val="20"/>
          <w:szCs w:val="20"/>
          <w:color w:val="auto"/>
        </w:rPr>
      </w:pPr>
      <w:r>
        <w:rPr>
          <w:rFonts w:ascii="Arial" w:cs="Arial" w:eastAsia="Arial" w:hAnsi="Arial"/>
          <w:sz w:val="18"/>
          <w:szCs w:val="18"/>
          <w:color w:val="auto"/>
        </w:rPr>
        <w:t>In addition to the Minimum Monthly Base Rent payable during the Extended Term, Tenant may be required to also pay “Additional TI Rent,” as defined in this paragraph. Landlord shall, subject to the terms of the A06 Work Letter, make available to Tenant the Additional Tenant Improvement Allowance (as defined in the A06 Work Letter). If Tenant elects to draw down all or any portion of the Additional Tenant Improvement Allowance, then, commencing on the Sixth Amendment Commencement Date Tenant shall pay, in addition to the Minimum Monthly Base Rent, that monthly amount (the “</w:t>
      </w:r>
      <w:r>
        <w:rPr>
          <w:rFonts w:ascii="Arial" w:cs="Arial" w:eastAsia="Arial" w:hAnsi="Arial"/>
          <w:sz w:val="18"/>
          <w:szCs w:val="18"/>
          <w:b w:val="1"/>
          <w:bCs w:val="1"/>
          <w:color w:val="auto"/>
        </w:rPr>
        <w:t>Additional TI Rent</w:t>
      </w:r>
      <w:r>
        <w:rPr>
          <w:rFonts w:ascii="Arial" w:cs="Arial" w:eastAsia="Arial" w:hAnsi="Arial"/>
          <w:sz w:val="18"/>
          <w:szCs w:val="18"/>
          <w:color w:val="auto"/>
        </w:rPr>
        <w:t>”) necessary to fully amortize the portion of the Additional Tenant Improvement Allowance requested by Tenant and actually funded by Landlord (if any), payable in equal monthly payments with interest at a rate of 8% per annum over the Extended Term, which interest shall begin to accrue on the date that Landlord first disburses such Additional Tenant Improvement Allowance or any portion(s) thereof. Any Additional TI Rent remaining unpaid as of the expiration or earlier termination of this Lease shall be paid to Landlord in a lump sum at the expiration or earlier termination of this Lease.</w:t>
      </w:r>
    </w:p>
    <w:p>
      <w:pPr>
        <w:spacing w:after="0" w:line="184" w:lineRule="exact"/>
        <w:rPr>
          <w:sz w:val="20"/>
          <w:szCs w:val="20"/>
          <w:color w:val="auto"/>
        </w:rPr>
      </w:pPr>
    </w:p>
    <w:p>
      <w:pPr>
        <w:jc w:val="both"/>
        <w:ind w:left="852" w:hanging="852"/>
        <w:spacing w:after="0"/>
        <w:tabs>
          <w:tab w:leader="none" w:pos="8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Abatement</w:t>
      </w:r>
      <w:r>
        <w:rPr>
          <w:rFonts w:ascii="Arial" w:cs="Arial" w:eastAsia="Arial" w:hAnsi="Arial"/>
          <w:sz w:val="18"/>
          <w:szCs w:val="18"/>
          <w:color w:val="auto"/>
        </w:rPr>
        <w:t>. Notwithstanding anything to the contrary contained in the Lease, so long as there exists no Event of monetary</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under the lease after the application of applicable notice and cure periods, for the period commencing on the Sixth Amendment Commencement Date, and ending on January 19, 2024 (the “</w:t>
      </w:r>
      <w:r>
        <w:rPr>
          <w:rFonts w:ascii="Arial" w:cs="Arial" w:eastAsia="Arial" w:hAnsi="Arial"/>
          <w:sz w:val="18"/>
          <w:szCs w:val="18"/>
          <w:b w:val="1"/>
          <w:bCs w:val="1"/>
          <w:color w:val="auto"/>
        </w:rPr>
        <w:t>Minimum Monthly Rent Abatement Period</w:t>
      </w:r>
      <w:r>
        <w:rPr>
          <w:rFonts w:ascii="Arial" w:cs="Arial" w:eastAsia="Arial" w:hAnsi="Arial"/>
          <w:sz w:val="18"/>
          <w:szCs w:val="18"/>
          <w:color w:val="auto"/>
        </w:rPr>
        <w:t>”), Tenant shall not be required to pay Minimum Monthly Rent under the Lease. Tenant shall resume paying 100% of the Minimum Monthly Rent required to be paid under the Lease on the date immediately following the expiration of the Minimum Monthly Rent Abatement Period. For the avoidance of doubt, Tenant shall continue during the Minimum Monthly Rent Abatement Period to pay Tenant’s Proportionate Share of Operating Costs, Taxes and Insurance Costs (in accordance with the terms of the Lease and without any abatement) and all other amounts due under the Lease.</w:t>
      </w:r>
    </w:p>
    <w:p>
      <w:pPr>
        <w:spacing w:after="0" w:line="193" w:lineRule="exact"/>
        <w:rPr>
          <w:rFonts w:ascii="Arial" w:cs="Arial" w:eastAsia="Arial" w:hAnsi="Arial"/>
          <w:sz w:val="18"/>
          <w:szCs w:val="18"/>
          <w:b w:val="1"/>
          <w:bCs w:val="1"/>
          <w:color w:val="auto"/>
        </w:rPr>
      </w:pPr>
    </w:p>
    <w:p>
      <w:pPr>
        <w:jc w:val="both"/>
        <w:ind w:left="852" w:hanging="852"/>
        <w:spacing w:after="0" w:line="238" w:lineRule="auto"/>
        <w:tabs>
          <w:tab w:leader="none" w:pos="8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Costs, Taxes and Insurance Costs</w:t>
      </w:r>
      <w:r>
        <w:rPr>
          <w:rFonts w:ascii="Arial" w:cs="Arial" w:eastAsia="Arial" w:hAnsi="Arial"/>
          <w:sz w:val="18"/>
          <w:szCs w:val="18"/>
          <w:color w:val="auto"/>
        </w:rPr>
        <w:t>. Tenant shall continue to pay Tenant’s Proportionate Share of Operating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Proportionate Share of Taxes and Proportionate Share of Insurance Costs as provided under the Lease during the Extended Term. Notwithstanding the foregoing, during the Extended Term only, (a) in addition to the exclusions set forth in the Lease, (i) the following items shall be excluded from Operating Costs: gross receipts taxes and costs associated with the fitness center, shuttle, vestibule security guard and security (Visentry AI and remote monitoring), and (ii) Operating Costs shall not include any items which have not previously been included within Operating Costs, except to the extent such new Operating Costs are outside of Landlord’s reasonable control and/or are consistent with maintaining and/or operating a Class A laboratory/office building in the Mission Bay neighborhood of San Francisco, California, and (b) Tenant’s Proportionate Share of Operating Costs for the Parking Garage, Proportionate Share of Taxes for the Parking Garage and Proportionate Share of Insurance Costs for the Parking Garage shall not, taken together, increase by more than 2.0% per annum (i) on the Sixth Amendment Commencement Date over the amount payable immediately prior to the Sixth Amendment Commencement Date, and (ii) on each Sixth Amendment Adjustment Date over the amount payable immediately prior to such Sixth Amendment Adjustment Date. The limitations on increases to Tenant’s Proportionate Share of Operating Costs for the Parking Garage, Proportionate Share of Taxes for the Parking Garage and Proportionate Share of Insurance Costs for the Parking Garage set forth in this Section 4 shall not be applicable to the extent any such increase is attributable to Tenant leasing additional parking spaces as a result of leasing space in the 499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365125</wp:posOffset>
            </wp:positionV>
            <wp:extent cx="2537460" cy="539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91" w:name="page92"/>
    <w:bookmarkEnd w:id="91"/>
    <w:p>
      <w:pPr>
        <w:jc w:val="both"/>
        <w:ind w:left="872"/>
        <w:spacing w:after="0" w:line="246" w:lineRule="auto"/>
        <w:rPr>
          <w:sz w:val="20"/>
          <w:szCs w:val="20"/>
          <w:color w:val="auto"/>
        </w:rPr>
      </w:pPr>
      <w:r>
        <w:rPr>
          <w:rFonts w:ascii="Arial" w:cs="Arial" w:eastAsia="Arial" w:hAnsi="Arial"/>
          <w:sz w:val="18"/>
          <w:szCs w:val="18"/>
          <w:color w:val="auto"/>
        </w:rPr>
        <w:t xml:space="preserve">The Calculation and Payment of Additional Rent provisions of Section 6.3 of the Original Lease shall continue to apply during the Extended Term except as specifically provided to the contrary in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97" w:lineRule="exact"/>
        <w:rPr>
          <w:sz w:val="20"/>
          <w:szCs w:val="20"/>
          <w:color w:val="auto"/>
        </w:rPr>
      </w:pPr>
    </w:p>
    <w:p>
      <w:pPr>
        <w:jc w:val="both"/>
        <w:ind w:left="872"/>
        <w:spacing w:after="0" w:line="235" w:lineRule="auto"/>
        <w:rPr>
          <w:sz w:val="20"/>
          <w:szCs w:val="20"/>
          <w:color w:val="auto"/>
        </w:rPr>
      </w:pPr>
      <w:r>
        <w:rPr>
          <w:rFonts w:ascii="Arial" w:cs="Arial" w:eastAsia="Arial" w:hAnsi="Arial"/>
          <w:sz w:val="18"/>
          <w:szCs w:val="18"/>
          <w:color w:val="auto"/>
        </w:rPr>
        <w:t>Notwithstanding anything to the contrary contained in this Lease, if, at any time prior to the Sixth Amendment Expiration Date, any sale of the Complex is consummated by Landlord, and solely as a result thereof, and to the extent that solely in connection therewith, the Complex is reassessed (the “</w:t>
      </w:r>
      <w:r>
        <w:rPr>
          <w:rFonts w:ascii="Arial" w:cs="Arial" w:eastAsia="Arial" w:hAnsi="Arial"/>
          <w:sz w:val="18"/>
          <w:szCs w:val="18"/>
          <w:b w:val="1"/>
          <w:bCs w:val="1"/>
          <w:color w:val="auto"/>
        </w:rPr>
        <w:t>Reassessment</w:t>
      </w:r>
      <w:r>
        <w:rPr>
          <w:rFonts w:ascii="Arial" w:cs="Arial" w:eastAsia="Arial" w:hAnsi="Arial"/>
          <w:sz w:val="18"/>
          <w:szCs w:val="18"/>
          <w:color w:val="auto"/>
        </w:rPr>
        <w:t>”) for real estate tax purposes by the appropriate governmental authority pursuant to the terms of Proposition 13, Tenant shall not be obligated with respect to the existing Premises only during the Extended Term to pay the Tax Increase solely in connection therewith. The term “</w:t>
      </w:r>
      <w:r>
        <w:rPr>
          <w:rFonts w:ascii="Arial" w:cs="Arial" w:eastAsia="Arial" w:hAnsi="Arial"/>
          <w:sz w:val="18"/>
          <w:szCs w:val="18"/>
          <w:b w:val="1"/>
          <w:bCs w:val="1"/>
          <w:color w:val="auto"/>
        </w:rPr>
        <w:t>Tax Increase</w:t>
      </w:r>
      <w:r>
        <w:rPr>
          <w:rFonts w:ascii="Arial" w:cs="Arial" w:eastAsia="Arial" w:hAnsi="Arial"/>
          <w:sz w:val="18"/>
          <w:szCs w:val="18"/>
          <w:color w:val="auto"/>
        </w:rPr>
        <w:t>” shall mean that portion of the Taxes during the Extended Term which is attributable solely to the Reassessment. Accordingly, the term Tax Increase shall not include (and Tenant shall be required to pay for) any portion of the Taxes which (i) is attributable to assessments which were pending prior to the Reassessment or which would otherwise have occurred unrelated to the sale, or (ii) is attributable to the annual inflationary increase of real estate taxes. In addition, nothing contained in this paragraph is intended to excuse Tenant from paying the full amount of any Taxes (including, without limitation, as a result of reassessments) resulting from any construction and/or improvements made to the Complex by Landlord or Tenant at any time. Notwithstanding anything to the contrary contained herein, the provisions of this paragraph shall not apply to (i) any period prior to the Extended Term or, if Tenant leases the Premises following the Extended Term (i.e. following November 30, 2028), to any period following the Extended Term and/or (ii) any other premises (e.g., Expansion Space, ROFR Space and ROFO Space) that Tenant may lease in the Complex.</w:t>
      </w:r>
    </w:p>
    <w:p>
      <w:pPr>
        <w:spacing w:after="0" w:line="192" w:lineRule="exact"/>
        <w:rPr>
          <w:sz w:val="20"/>
          <w:szCs w:val="20"/>
          <w:color w:val="auto"/>
        </w:rPr>
      </w:pPr>
    </w:p>
    <w:p>
      <w:pPr>
        <w:jc w:val="both"/>
        <w:ind w:left="852" w:hanging="852"/>
        <w:spacing w:after="0" w:line="253" w:lineRule="auto"/>
        <w:tabs>
          <w:tab w:leader="none" w:pos="8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Deposit</w:t>
      </w:r>
      <w:r>
        <w:rPr>
          <w:rFonts w:ascii="Arial" w:cs="Arial" w:eastAsia="Arial" w:hAnsi="Arial"/>
          <w:sz w:val="18"/>
          <w:szCs w:val="18"/>
          <w:color w:val="auto"/>
        </w:rPr>
        <w:t>. Commencing on the Effective Date, the Security Deposit shall be reduced from $2,072,481.00 to</w:t>
      </w:r>
      <w:r>
        <w:rPr>
          <w:rFonts w:ascii="Arial" w:cs="Arial" w:eastAsia="Arial" w:hAnsi="Arial"/>
          <w:sz w:val="18"/>
          <w:szCs w:val="18"/>
          <w:b w:val="1"/>
          <w:bCs w:val="1"/>
          <w:color w:val="auto"/>
        </w:rPr>
        <w:t xml:space="preserve"> </w:t>
      </w:r>
      <w:r>
        <w:rPr>
          <w:rFonts w:ascii="Arial" w:cs="Arial" w:eastAsia="Arial" w:hAnsi="Arial"/>
          <w:sz w:val="18"/>
          <w:szCs w:val="18"/>
          <w:color w:val="auto"/>
        </w:rPr>
        <w:t>$1,657,984.80 (the “</w:t>
      </w:r>
      <w:r>
        <w:rPr>
          <w:rFonts w:ascii="Arial" w:cs="Arial" w:eastAsia="Arial" w:hAnsi="Arial"/>
          <w:sz w:val="18"/>
          <w:szCs w:val="18"/>
          <w:b w:val="1"/>
          <w:bCs w:val="1"/>
          <w:color w:val="auto"/>
        </w:rPr>
        <w:t>Reduced Security Deposit Amount</w:t>
      </w:r>
      <w:r>
        <w:rPr>
          <w:rFonts w:ascii="Arial" w:cs="Arial" w:eastAsia="Arial" w:hAnsi="Arial"/>
          <w:sz w:val="18"/>
          <w:szCs w:val="18"/>
          <w:color w:val="auto"/>
        </w:rPr>
        <w:t>”). Landlord shall reasonably cooperate with Tenant, at no cost, expense or liability to Landlord, to reduce the Initial Letter of Credit to the Reduced Security Deposit Amount.</w:t>
      </w:r>
    </w:p>
    <w:p>
      <w:pPr>
        <w:spacing w:after="0" w:line="168" w:lineRule="exact"/>
        <w:rPr>
          <w:rFonts w:ascii="Arial" w:cs="Arial" w:eastAsia="Arial" w:hAnsi="Arial"/>
          <w:sz w:val="18"/>
          <w:szCs w:val="18"/>
          <w:b w:val="1"/>
          <w:bCs w:val="1"/>
          <w:color w:val="auto"/>
        </w:rPr>
      </w:pPr>
    </w:p>
    <w:p>
      <w:pPr>
        <w:jc w:val="both"/>
        <w:ind w:left="852" w:hanging="852"/>
        <w:spacing w:after="0" w:line="237" w:lineRule="auto"/>
        <w:tabs>
          <w:tab w:leader="none" w:pos="8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of Premises</w:t>
      </w:r>
      <w:r>
        <w:rPr>
          <w:rFonts w:ascii="Arial" w:cs="Arial" w:eastAsia="Arial" w:hAnsi="Arial"/>
          <w:sz w:val="18"/>
          <w:szCs w:val="18"/>
          <w:color w:val="auto"/>
        </w:rPr>
        <w:t>. Prior to the Sixth Amendment Commencement Date, Landlord shall retain a third party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approved by Tenant) to conduct an inspection of the mechanical, electrical and plumbing systems serving the Building to determine if any such mechanical, electrical and plumbing systems are either beyond their useful life or will then have a remaining useful life of fewer than 5 years (collectively, the “</w:t>
      </w:r>
      <w:r>
        <w:rPr>
          <w:rFonts w:ascii="Arial" w:cs="Arial" w:eastAsia="Arial" w:hAnsi="Arial"/>
          <w:sz w:val="18"/>
          <w:szCs w:val="18"/>
          <w:b w:val="1"/>
          <w:bCs w:val="1"/>
          <w:color w:val="auto"/>
        </w:rPr>
        <w:t>MEP Replacement Items</w:t>
      </w:r>
      <w:r>
        <w:rPr>
          <w:rFonts w:ascii="Arial" w:cs="Arial" w:eastAsia="Arial" w:hAnsi="Arial"/>
          <w:sz w:val="18"/>
          <w:szCs w:val="18"/>
          <w:color w:val="auto"/>
        </w:rPr>
        <w:t xml:space="preserve">”). When each existing MEP Replacement Item requires a capital repair or replacement during the Extended Term, as mutually and reasonably agreed upon by Tenant and Landlord in good faith, Landlord shall be solely responsible for the cost of the capital repair or replacement of such MEP Replacement Item (and with Landlord having the right to approve in its good faith reasonable discretion, the make, model, specifications, cost and contract, as applicable, for such MEP Replacement Item), which work of repair or replacement shall be addressed under the control and management of Tenant, and not included as part of Operating Costs. If Tenant elects to enter into any contract(s) for MEP Replacement Items (rather than have Landlord enter into such contract(s)), Landlord shall be named a third party beneficiary of such contract with the right to enforce all warranties. Once an MEP Replacement Item has been given a capital repair or been replaced pursuant to the immediately preceding sentence, and such MEP Replacement Item would thereafter have a remaining useful life of at least 5 years, any subsequent capital repair or replacement required of such MEP Replacement Item during the Term shall be performed as an Operating Cost, subject to the terms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 Original Lease. For avoidance of doubt, Landlord will continue to be able to include amortized Capital Costs in the calculation of Operating Costs, as permitted under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 Original Lease, to the extent such Capital Costs relate to any capital repairs, improvements, alterations and replacements made by Landlord to the Complex and are not with respect to an MEP Replacement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361315</wp:posOffset>
            </wp:positionV>
            <wp:extent cx="2537460" cy="539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92" w:name="page93"/>
    <w:bookmarkEnd w:id="92"/>
    <w:p>
      <w:pPr>
        <w:jc w:val="both"/>
        <w:ind w:left="852" w:hanging="852"/>
        <w:spacing w:after="0" w:line="242" w:lineRule="auto"/>
        <w:tabs>
          <w:tab w:leader="none" w:pos="8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Amenity Utilities</w:t>
      </w:r>
      <w:r>
        <w:rPr>
          <w:rFonts w:ascii="Arial" w:cs="Arial" w:eastAsia="Arial" w:hAnsi="Arial"/>
          <w:sz w:val="18"/>
          <w:szCs w:val="18"/>
          <w:color w:val="auto"/>
        </w:rPr>
        <w:t>. Landlord shall review with its asset services team the feasibility of (a) rerouting water and electrical servicing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first-floor amenities located within the Building (Taproot and the fitness center) to originate from 499 Illinois Street, San Francisco, California (the “</w:t>
      </w:r>
      <w:r>
        <w:rPr>
          <w:rFonts w:ascii="Arial" w:cs="Arial" w:eastAsia="Arial" w:hAnsi="Arial"/>
          <w:sz w:val="18"/>
          <w:szCs w:val="18"/>
          <w:b w:val="1"/>
          <w:bCs w:val="1"/>
          <w:color w:val="auto"/>
        </w:rPr>
        <w:t>499 Building</w:t>
      </w:r>
      <w:r>
        <w:rPr>
          <w:rFonts w:ascii="Arial" w:cs="Arial" w:eastAsia="Arial" w:hAnsi="Arial"/>
          <w:sz w:val="18"/>
          <w:szCs w:val="18"/>
          <w:color w:val="auto"/>
        </w:rPr>
        <w:t>”), which is also owned by Landlord, or (b) separately metering such first floor amenities. If the cost of such rerouting or separate metering is determined to be reasonable by Landlord, then Landlord, at its sole cost and expense, shall either reroute such water and electrical service or install separate meters for the first floor amenities, prior to the Sixth Amendment Commencement Date.</w:t>
      </w:r>
    </w:p>
    <w:p>
      <w:pPr>
        <w:spacing w:after="0" w:line="178" w:lineRule="exact"/>
        <w:rPr>
          <w:rFonts w:ascii="Arial" w:cs="Arial" w:eastAsia="Arial" w:hAnsi="Arial"/>
          <w:sz w:val="18"/>
          <w:szCs w:val="18"/>
          <w:b w:val="1"/>
          <w:bCs w:val="1"/>
          <w:color w:val="auto"/>
        </w:rPr>
      </w:pPr>
    </w:p>
    <w:p>
      <w:pPr>
        <w:ind w:left="852" w:hanging="852"/>
        <w:spacing w:after="0" w:line="271" w:lineRule="auto"/>
        <w:tabs>
          <w:tab w:leader="none" w:pos="8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to Extend Term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Lease shall be replaced with the provision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w:t>
      </w:r>
      <w:r>
        <w:rPr>
          <w:rFonts w:ascii="Arial" w:cs="Arial" w:eastAsia="Arial" w:hAnsi="Arial"/>
          <w:sz w:val="18"/>
          <w:szCs w:val="18"/>
          <w:color w:val="auto"/>
        </w:rPr>
        <w:t>. Tenant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further extend the Term of the Lease upon the following terms and conditions:</w:t>
      </w:r>
    </w:p>
    <w:p>
      <w:pPr>
        <w:spacing w:after="0" w:line="153" w:lineRule="exact"/>
        <w:rPr>
          <w:rFonts w:ascii="Arial" w:cs="Arial" w:eastAsia="Arial" w:hAnsi="Arial"/>
          <w:sz w:val="18"/>
          <w:szCs w:val="18"/>
          <w:b w:val="1"/>
          <w:bCs w:val="1"/>
          <w:color w:val="auto"/>
        </w:rPr>
      </w:pPr>
    </w:p>
    <w:p>
      <w:pPr>
        <w:jc w:val="both"/>
        <w:ind w:left="872" w:hanging="8"/>
        <w:spacing w:after="0" w:line="244" w:lineRule="auto"/>
        <w:tabs>
          <w:tab w:leader="none" w:pos="167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Right</w:t>
      </w:r>
      <w:r>
        <w:rPr>
          <w:rFonts w:ascii="Arial" w:cs="Arial" w:eastAsia="Arial" w:hAnsi="Arial"/>
          <w:sz w:val="18"/>
          <w:szCs w:val="18"/>
          <w:color w:val="auto"/>
        </w:rPr>
        <w:t>. Tenant shall have 2 consecutive rights (each, an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for 5 years each (each, an “</w:t>
      </w:r>
      <w:r>
        <w:rPr>
          <w:rFonts w:ascii="Arial" w:cs="Arial" w:eastAsia="Arial" w:hAnsi="Arial"/>
          <w:sz w:val="18"/>
          <w:szCs w:val="18"/>
          <w:b w:val="1"/>
          <w:bCs w:val="1"/>
          <w:color w:val="auto"/>
        </w:rPr>
        <w:t>Additional Extension Term</w:t>
      </w:r>
      <w:r>
        <w:rPr>
          <w:rFonts w:ascii="Arial" w:cs="Arial" w:eastAsia="Arial" w:hAnsi="Arial"/>
          <w:sz w:val="18"/>
          <w:szCs w:val="18"/>
          <w:color w:val="auto"/>
        </w:rPr>
        <w:t>”) on the same terms and conditions as the Lease (other than with respect to Minimum Monthly Rent, the TI Allowance (as defined in the A06 Work Letter), and any provisions which only apply during the Extended Term) by giving Landlord written notice of its election to exercise each Extension Right at least 18 months prior, and no earlier than 21 months prior, to the then current expiration date of the Lease.</w:t>
      </w:r>
    </w:p>
    <w:p>
      <w:pPr>
        <w:spacing w:after="0" w:line="198" w:lineRule="exact"/>
        <w:rPr>
          <w:rFonts w:ascii="Arial" w:cs="Arial" w:eastAsia="Arial" w:hAnsi="Arial"/>
          <w:sz w:val="18"/>
          <w:szCs w:val="18"/>
          <w:b w:val="1"/>
          <w:bCs w:val="1"/>
          <w:color w:val="auto"/>
        </w:rPr>
      </w:pPr>
    </w:p>
    <w:p>
      <w:pPr>
        <w:jc w:val="both"/>
        <w:ind w:left="872" w:hanging="8"/>
        <w:spacing w:after="0" w:line="236" w:lineRule="auto"/>
        <w:tabs>
          <w:tab w:leader="none" w:pos="168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Upon the commencement of any Additional Extension Term, Minimum Monthly Rent shall be payable at the Market Rate (as defined below). Minimum Monthly Rent shall thereafter be adjusted on each annual anniversary of the commencement of such Additional Extension Term by a percentage as determined by Landlord and agreed to by Tenant at the time the Market Rate is determined. As used herein, “</w:t>
      </w:r>
      <w:r>
        <w:rPr>
          <w:rFonts w:ascii="Arial" w:cs="Arial" w:eastAsia="Arial" w:hAnsi="Arial"/>
          <w:sz w:val="18"/>
          <w:szCs w:val="18"/>
          <w:b w:val="1"/>
          <w:bCs w:val="1"/>
          <w:color w:val="auto"/>
        </w:rPr>
        <w:t>Market Rate</w:t>
      </w:r>
      <w:r>
        <w:rPr>
          <w:rFonts w:ascii="Arial" w:cs="Arial" w:eastAsia="Arial" w:hAnsi="Arial"/>
          <w:sz w:val="18"/>
          <w:szCs w:val="18"/>
          <w:color w:val="auto"/>
        </w:rPr>
        <w:t>” shall mean the rate that comparable landlords of comparable buildings have accepted in current transactions from non-equity (i.e., not being offered equity in the buildings) and nonaffiliated tenants of similar financial strength for space of comparable size, quality (including all Tenant Improvements, Alterations and other improvements) and floor height in Class A laboratory focused buildings in the Mission Bay area of San Francisco, California, for a comparable term, with the determination of the Market Rate to take into account all relevant factors, including tenant inducements, parking costs, available amenities (including any Complex amenities), leasing commissions, allowances or concessions, if any. In addition, Landlord may impose a market rent for the parking rights provided hereunder.</w:t>
      </w:r>
    </w:p>
    <w:p>
      <w:pPr>
        <w:spacing w:after="0" w:line="205" w:lineRule="exact"/>
        <w:rPr>
          <w:rFonts w:ascii="Arial" w:cs="Arial" w:eastAsia="Arial" w:hAnsi="Arial"/>
          <w:sz w:val="18"/>
          <w:szCs w:val="18"/>
          <w:b w:val="1"/>
          <w:bCs w:val="1"/>
          <w:color w:val="auto"/>
        </w:rPr>
      </w:pPr>
    </w:p>
    <w:p>
      <w:pPr>
        <w:jc w:val="both"/>
        <w:ind w:left="872" w:hanging="8"/>
        <w:spacing w:after="0" w:line="238" w:lineRule="auto"/>
        <w:tabs>
          <w:tab w:leader="none" w:pos="167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 xml:space="preserve">If, on or before the date which is 210 days prior to the expiration of the then current Term of the Lease, Tenant has not agreed with Landlord’s determination of the Market Rate and the rent escalations during the Additional Extension Term after negotiating in good faith, Tenant shall be deemed to have elected arbitration as described in </w:t>
      </w:r>
      <w:r>
        <w:rPr>
          <w:rFonts w:ascii="Arial" w:cs="Arial" w:eastAsia="Arial" w:hAnsi="Arial"/>
          <w:sz w:val="18"/>
          <w:szCs w:val="18"/>
          <w:u w:val="single" w:color="auto"/>
          <w:color w:val="auto"/>
        </w:rPr>
        <w:t>Section 8.b, below.</w:t>
      </w:r>
      <w:r>
        <w:rPr>
          <w:rFonts w:ascii="Arial" w:cs="Arial" w:eastAsia="Arial" w:hAnsi="Arial"/>
          <w:sz w:val="18"/>
          <w:szCs w:val="18"/>
          <w:color w:val="auto"/>
        </w:rPr>
        <w:t xml:space="preserve"> If Tenant has elected to exercise the Extension Right by delivering notice to Landlord as required in this </w:t>
      </w:r>
      <w:r>
        <w:rPr>
          <w:rFonts w:ascii="Arial" w:cs="Arial" w:eastAsia="Arial" w:hAnsi="Arial"/>
          <w:sz w:val="18"/>
          <w:szCs w:val="18"/>
          <w:u w:val="single" w:color="auto"/>
          <w:color w:val="auto"/>
        </w:rPr>
        <w:t>Section 8.a.</w:t>
      </w:r>
      <w:r>
        <w:rPr>
          <w:rFonts w:ascii="Arial" w:cs="Arial" w:eastAsia="Arial" w:hAnsi="Arial"/>
          <w:sz w:val="18"/>
          <w:szCs w:val="18"/>
          <w:color w:val="auto"/>
        </w:rPr>
        <w:t>, Tenant shall have no right thereafter to rescind or elect not to extend the term of the Lease for an Additional Extension Term.</w:t>
      </w:r>
    </w:p>
    <w:p>
      <w:pPr>
        <w:spacing w:after="0" w:line="180" w:lineRule="exact"/>
        <w:rPr>
          <w:rFonts w:ascii="Arial" w:cs="Arial" w:eastAsia="Arial" w:hAnsi="Arial"/>
          <w:sz w:val="18"/>
          <w:szCs w:val="18"/>
          <w:b w:val="1"/>
          <w:bCs w:val="1"/>
          <w:color w:val="auto"/>
        </w:rPr>
      </w:pPr>
    </w:p>
    <w:p>
      <w:pPr>
        <w:ind w:left="1672" w:hanging="808"/>
        <w:spacing w:after="0"/>
        <w:tabs>
          <w:tab w:leader="none" w:pos="1672"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33" w:lineRule="exact"/>
        <w:rPr>
          <w:rFonts w:ascii="Arial" w:cs="Arial" w:eastAsia="Arial" w:hAnsi="Arial"/>
          <w:sz w:val="18"/>
          <w:szCs w:val="18"/>
          <w:b w:val="1"/>
          <w:bCs w:val="1"/>
          <w:color w:val="auto"/>
        </w:rPr>
      </w:pPr>
    </w:p>
    <w:p>
      <w:pPr>
        <w:jc w:val="both"/>
        <w:ind w:left="872" w:firstLine="789"/>
        <w:spacing w:after="0" w:line="237" w:lineRule="auto"/>
        <w:tabs>
          <w:tab w:leader="none" w:pos="2477" w:val="left"/>
        </w:tabs>
        <w:numPr>
          <w:ilvl w:val="2"/>
          <w:numId w:val="78"/>
        </w:numPr>
        <w:rPr>
          <w:rFonts w:ascii="Arial" w:cs="Arial" w:eastAsia="Arial" w:hAnsi="Arial"/>
          <w:sz w:val="18"/>
          <w:szCs w:val="18"/>
          <w:color w:val="auto"/>
        </w:rPr>
      </w:pPr>
      <w:r>
        <w:rPr>
          <w:rFonts w:ascii="Arial" w:cs="Arial" w:eastAsia="Arial" w:hAnsi="Arial"/>
          <w:sz w:val="18"/>
          <w:szCs w:val="18"/>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8"/>
          <w:szCs w:val="18"/>
          <w:b w:val="1"/>
          <w:bCs w:val="1"/>
          <w:color w:val="auto"/>
        </w:rPr>
        <w:t>Extension Proposal</w:t>
      </w:r>
      <w:r>
        <w:rPr>
          <w:rFonts w:ascii="Arial" w:cs="Arial" w:eastAsia="Arial" w:hAnsi="Arial"/>
          <w:sz w:val="18"/>
          <w:szCs w:val="18"/>
          <w:color w:val="auto"/>
        </w:rPr>
        <w:t>”). If either party fails to timely submit an Extension Proposal, the other party’s submitted proposal shall determine the Minimum Monthly Rent and escalations for such Additional Extension Term. If both parties submit Extension Proposals, then Landlord and Tenant shall meet within 7 days after delivery of the last Extension Proposal and make a good faith attempt to mutually appoint a single Arbitrator (defined below) to determine the Market Rate and escalations. If Landlord and Tenant are unable to agree upon a single Arbitrator, then each shall, by written notice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223520</wp:posOffset>
            </wp:positionV>
            <wp:extent cx="2537460" cy="5397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93" w:name="page94"/>
    <w:bookmarkEnd w:id="93"/>
    <w:p>
      <w:pPr>
        <w:jc w:val="both"/>
        <w:ind w:left="8"/>
        <w:spacing w:after="0" w:line="237" w:lineRule="auto"/>
        <w:rPr>
          <w:sz w:val="20"/>
          <w:szCs w:val="20"/>
          <w:color w:val="auto"/>
        </w:rPr>
      </w:pPr>
      <w:r>
        <w:rPr>
          <w:rFonts w:ascii="Arial" w:cs="Arial" w:eastAsia="Arial" w:hAnsi="Arial"/>
          <w:sz w:val="18"/>
          <w:szCs w:val="18"/>
          <w:color w:val="auto"/>
        </w:rPr>
        <w:t>the other within 10 days after the meeting, select an Arbitrator. If either party fails to timely give notice of its selection for an Arbitrator, the other party’s submitted proposal shall determine the Minimum Monthly Rent for the Additional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205" w:lineRule="exact"/>
        <w:rPr>
          <w:sz w:val="20"/>
          <w:szCs w:val="20"/>
          <w:color w:val="auto"/>
        </w:rPr>
      </w:pPr>
    </w:p>
    <w:p>
      <w:pPr>
        <w:jc w:val="both"/>
        <w:ind w:left="8" w:firstLine="789"/>
        <w:spacing w:after="0" w:line="236" w:lineRule="auto"/>
        <w:tabs>
          <w:tab w:leader="none" w:pos="1653"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Additional Extension Term, then Tenant shall pay Landlord Minimum Monthly Rent in an amount equal to the Minimum Monthly Rent in effect immediately prior to the Additional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Additional Extension Term.</w:t>
      </w:r>
    </w:p>
    <w:p>
      <w:pPr>
        <w:spacing w:after="0" w:line="183" w:lineRule="exact"/>
        <w:rPr>
          <w:rFonts w:ascii="Arial" w:cs="Arial" w:eastAsia="Arial" w:hAnsi="Arial"/>
          <w:sz w:val="18"/>
          <w:szCs w:val="18"/>
          <w:color w:val="auto"/>
        </w:rPr>
      </w:pPr>
    </w:p>
    <w:p>
      <w:pPr>
        <w:jc w:val="both"/>
        <w:ind w:left="8" w:firstLine="789"/>
        <w:spacing w:after="0" w:line="239" w:lineRule="auto"/>
        <w:tabs>
          <w:tab w:leader="none" w:pos="1693"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Arbitrator</w:t>
      </w:r>
      <w:r>
        <w:rPr>
          <w:rFonts w:ascii="Arial" w:cs="Arial" w:eastAsia="Arial" w:hAnsi="Arial"/>
          <w:sz w:val="18"/>
          <w:szCs w:val="18"/>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the greater San Francisco, California, metropolitan area, or (B) a licensed commercial real estate broker with not less than 15 years’ experience representing landlords and/or tenants in the leasing of high tech or life sciences space in the greater San Francisco, California, metropolitan area, (ii) devoting substantially all of their time to professional appraisal or brokerage work, as applicable, at the time of appointment and</w:t>
      </w:r>
    </w:p>
    <w:p>
      <w:pPr>
        <w:ind w:left="288" w:hanging="288"/>
        <w:spacing w:after="0"/>
        <w:tabs>
          <w:tab w:leader="none" w:pos="2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 in all respects impartial and disinterested.</w:t>
      </w:r>
    </w:p>
    <w:p>
      <w:pPr>
        <w:spacing w:after="0" w:line="190" w:lineRule="exact"/>
        <w:rPr>
          <w:sz w:val="20"/>
          <w:szCs w:val="20"/>
          <w:color w:val="auto"/>
        </w:rPr>
      </w:pPr>
    </w:p>
    <w:p>
      <w:pPr>
        <w:jc w:val="both"/>
        <w:ind w:left="8" w:hanging="8"/>
        <w:spacing w:after="0" w:line="253" w:lineRule="auto"/>
        <w:tabs>
          <w:tab w:leader="none" w:pos="80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Extension Rights are personal to Tenant and are not assignable without Landlord’s consent,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may be granted or withheld in Landlord’s sole discretion separate and apart from any consent by Landlord to an assignment of Tenant’s interest in the Lease.</w:t>
      </w:r>
    </w:p>
    <w:p>
      <w:pPr>
        <w:spacing w:after="0" w:line="168" w:lineRule="exact"/>
        <w:rPr>
          <w:rFonts w:ascii="Arial" w:cs="Arial" w:eastAsia="Arial" w:hAnsi="Arial"/>
          <w:sz w:val="18"/>
          <w:szCs w:val="18"/>
          <w:b w:val="1"/>
          <w:bCs w:val="1"/>
          <w:color w:val="auto"/>
        </w:rPr>
      </w:pPr>
    </w:p>
    <w:p>
      <w:pPr>
        <w:ind w:left="8" w:hanging="8"/>
        <w:spacing w:after="0" w:line="271" w:lineRule="auto"/>
        <w:tabs>
          <w:tab w:leader="none" w:pos="76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Extension Rights shall, at Landlord’s option, not</w:t>
      </w:r>
      <w:r>
        <w:rPr>
          <w:rFonts w:ascii="Arial" w:cs="Arial" w:eastAsia="Arial" w:hAnsi="Arial"/>
          <w:sz w:val="18"/>
          <w:szCs w:val="18"/>
          <w:b w:val="1"/>
          <w:bCs w:val="1"/>
          <w:color w:val="auto"/>
        </w:rPr>
        <w:t xml:space="preserve"> </w:t>
      </w:r>
      <w:r>
        <w:rPr>
          <w:rFonts w:ascii="Arial" w:cs="Arial" w:eastAsia="Arial" w:hAnsi="Arial"/>
          <w:sz w:val="18"/>
          <w:szCs w:val="18"/>
          <w:color w:val="auto"/>
        </w:rPr>
        <w:t>be in effect and Tenant may not exercise any of the Extension Rights:</w:t>
      </w:r>
    </w:p>
    <w:p>
      <w:pPr>
        <w:spacing w:after="0" w:line="171" w:lineRule="exact"/>
        <w:rPr>
          <w:rFonts w:ascii="Arial" w:cs="Arial" w:eastAsia="Arial" w:hAnsi="Arial"/>
          <w:sz w:val="18"/>
          <w:szCs w:val="18"/>
          <w:b w:val="1"/>
          <w:bCs w:val="1"/>
          <w:color w:val="auto"/>
        </w:rPr>
      </w:pPr>
    </w:p>
    <w:p>
      <w:pPr>
        <w:ind w:left="1608" w:hanging="811"/>
        <w:spacing w:after="0"/>
        <w:tabs>
          <w:tab w:leader="none" w:pos="16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during the existence of an Event of monetary Default under the Lease (beyond any applicable notice and cure</w:t>
      </w:r>
    </w:p>
    <w:p>
      <w:pPr>
        <w:ind w:left="8"/>
        <w:spacing w:after="0"/>
        <w:rPr>
          <w:rFonts w:ascii="Arial" w:cs="Arial" w:eastAsia="Arial" w:hAnsi="Arial"/>
          <w:sz w:val="18"/>
          <w:szCs w:val="18"/>
          <w:color w:val="auto"/>
        </w:rPr>
      </w:pPr>
      <w:r>
        <w:rPr>
          <w:rFonts w:ascii="Arial" w:cs="Arial" w:eastAsia="Arial" w:hAnsi="Arial"/>
          <w:sz w:val="18"/>
          <w:szCs w:val="18"/>
          <w:color w:val="auto"/>
        </w:rPr>
        <w:t>periods); or</w:t>
      </w:r>
    </w:p>
    <w:p>
      <w:pPr>
        <w:spacing w:after="0" w:line="211" w:lineRule="exact"/>
        <w:rPr>
          <w:rFonts w:ascii="Arial" w:cs="Arial" w:eastAsia="Arial" w:hAnsi="Arial"/>
          <w:sz w:val="18"/>
          <w:szCs w:val="18"/>
          <w:color w:val="auto"/>
        </w:rPr>
      </w:pPr>
    </w:p>
    <w:p>
      <w:pPr>
        <w:jc w:val="both"/>
        <w:ind w:left="8" w:firstLine="789"/>
        <w:spacing w:after="0"/>
        <w:tabs>
          <w:tab w:leader="none" w:pos="1653"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an Event of monetary Default has existed under the Lease 3 or more times, whether or not the Events of monetary Default are cured, during the 12 month period immediately prior to the date that Tenant intends to exercise the Extension Right.</w:t>
      </w:r>
    </w:p>
    <w:p>
      <w:pPr>
        <w:spacing w:after="0" w:line="180" w:lineRule="exact"/>
        <w:rPr>
          <w:rFonts w:ascii="Arial" w:cs="Arial" w:eastAsia="Arial" w:hAnsi="Arial"/>
          <w:sz w:val="18"/>
          <w:szCs w:val="18"/>
          <w:color w:val="auto"/>
        </w:rPr>
      </w:pPr>
    </w:p>
    <w:p>
      <w:pPr>
        <w:ind w:left="8" w:hanging="8"/>
        <w:spacing w:after="0" w:line="271" w:lineRule="auto"/>
        <w:tabs>
          <w:tab w:leader="none" w:pos="81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any Extension Rights may be exercised shall not be extended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enlarged by reason of Tenant’s inability to exercise the Extension Rights.</w:t>
      </w:r>
    </w:p>
    <w:p>
      <w:pPr>
        <w:spacing w:after="0" w:line="153" w:lineRule="exact"/>
        <w:rPr>
          <w:rFonts w:ascii="Arial" w:cs="Arial" w:eastAsia="Arial" w:hAnsi="Arial"/>
          <w:sz w:val="18"/>
          <w:szCs w:val="18"/>
          <w:b w:val="1"/>
          <w:bCs w:val="1"/>
          <w:color w:val="auto"/>
        </w:rPr>
      </w:pPr>
    </w:p>
    <w:p>
      <w:pPr>
        <w:jc w:val="both"/>
        <w:ind w:left="8" w:hanging="8"/>
        <w:spacing w:after="0" w:line="253" w:lineRule="auto"/>
        <w:tabs>
          <w:tab w:leader="none" w:pos="81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Extension Rights shall, at Landlord’s option, terminate and be of no further force or effect even after</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due and timely exercise of an Extension Right, if, after such exercise, but prior to the commencement date of the Additional Extension Term, (i)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215900</wp:posOffset>
            </wp:positionV>
            <wp:extent cx="2537460" cy="539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147955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55" w:right="339" w:bottom="1440" w:gutter="0" w:footer="0" w:header="0"/>
        </w:sectPr>
      </w:pPr>
    </w:p>
    <w:bookmarkStart w:id="94" w:name="page95"/>
    <w:bookmarkEnd w:id="94"/>
    <w:p>
      <w:pPr>
        <w:jc w:val="both"/>
        <w:ind w:left="872"/>
        <w:spacing w:after="0" w:line="238" w:lineRule="auto"/>
        <w:rPr>
          <w:sz w:val="20"/>
          <w:szCs w:val="20"/>
          <w:color w:val="auto"/>
        </w:rPr>
      </w:pPr>
      <w:r>
        <w:rPr>
          <w:rFonts w:ascii="Arial" w:cs="Arial" w:eastAsia="Arial" w:hAnsi="Arial"/>
          <w:sz w:val="18"/>
          <w:szCs w:val="18"/>
          <w:color w:val="auto"/>
        </w:rPr>
        <w:t xml:space="preserve">fails to timely cure any Event of monetary Default by Tenant under the Lease; or (ii) an Event of monetary Default under the Lease has occurred 3 or more times during the period from the date of the exercise of the Extension Right to the date of the commencement of the Additional Extension Term, whether or not such Events of monetary Default are cured.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the Original Lease is hereby deleted in its entirety, and Tenant shall have no right to extend the Term of the Lease except as expressly set forth in this Sixth Amendment.</w:t>
      </w:r>
    </w:p>
    <w:p>
      <w:pPr>
        <w:spacing w:after="0" w:line="180" w:lineRule="exact"/>
        <w:rPr>
          <w:sz w:val="20"/>
          <w:szCs w:val="20"/>
          <w:color w:val="auto"/>
        </w:rPr>
      </w:pPr>
    </w:p>
    <w:p>
      <w:pPr>
        <w:jc w:val="both"/>
        <w:ind w:left="852" w:hanging="852"/>
        <w:spacing w:after="0" w:line="244" w:lineRule="auto"/>
        <w:tabs>
          <w:tab w:leader="none" w:pos="8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Sublease</w:t>
      </w:r>
      <w:r>
        <w:rPr>
          <w:rFonts w:ascii="Arial" w:cs="Arial" w:eastAsia="Arial" w:hAnsi="Arial"/>
          <w:sz w:val="18"/>
          <w:szCs w:val="18"/>
          <w:color w:val="auto"/>
        </w:rPr>
        <w:t>. Landlord agrees to not withhold its consent in the event Tenant desires to sublease a portion of the Premises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to The Regents of the University of California (the “</w:t>
      </w:r>
      <w:r>
        <w:rPr>
          <w:rFonts w:ascii="Arial" w:cs="Arial" w:eastAsia="Arial" w:hAnsi="Arial"/>
          <w:sz w:val="18"/>
          <w:szCs w:val="18"/>
          <w:b w:val="1"/>
          <w:bCs w:val="1"/>
          <w:color w:val="auto"/>
        </w:rPr>
        <w:t>UC Tenant</w:t>
      </w:r>
      <w:r>
        <w:rPr>
          <w:rFonts w:ascii="Arial" w:cs="Arial" w:eastAsia="Arial" w:hAnsi="Arial"/>
          <w:sz w:val="18"/>
          <w:szCs w:val="18"/>
          <w:color w:val="auto"/>
        </w:rPr>
        <w:t>”), solely based on the fact that the UC Tenant is an existing tenant of the 499 Building. For avoidance of doubt, the immediately prior sentence is only applicable to the Premises located in the Building and is not applicable to any premises that Tenant may lease in the future in the 499 Building. All other requirements with respect to subletting the Premises set forth in the Lease remain in full force and effect.</w:t>
      </w:r>
    </w:p>
    <w:p>
      <w:pPr>
        <w:spacing w:after="0" w:line="176" w:lineRule="exact"/>
        <w:rPr>
          <w:rFonts w:ascii="Arial" w:cs="Arial" w:eastAsia="Arial" w:hAnsi="Arial"/>
          <w:sz w:val="18"/>
          <w:szCs w:val="18"/>
          <w:b w:val="1"/>
          <w:bCs w:val="1"/>
          <w:color w:val="auto"/>
        </w:rPr>
      </w:pPr>
    </w:p>
    <w:p>
      <w:pPr>
        <w:ind w:left="852" w:hanging="852"/>
        <w:spacing w:after="0"/>
        <w:tabs>
          <w:tab w:leader="none" w:pos="8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Negotiation</w:t>
      </w:r>
      <w:r>
        <w:rPr>
          <w:rFonts w:ascii="Arial" w:cs="Arial" w:eastAsia="Arial" w:hAnsi="Arial"/>
          <w:sz w:val="18"/>
          <w:szCs w:val="18"/>
          <w:color w:val="auto"/>
        </w:rPr>
        <w:t>. Tenant shall continue to have the rights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35.25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Lease.</w:t>
      </w:r>
    </w:p>
    <w:p>
      <w:pPr>
        <w:spacing w:after="0" w:line="211" w:lineRule="exact"/>
        <w:rPr>
          <w:rFonts w:ascii="Arial" w:cs="Arial" w:eastAsia="Arial" w:hAnsi="Arial"/>
          <w:sz w:val="18"/>
          <w:szCs w:val="18"/>
          <w:b w:val="1"/>
          <w:bCs w:val="1"/>
          <w:color w:val="auto"/>
        </w:rPr>
      </w:pPr>
    </w:p>
    <w:p>
      <w:pPr>
        <w:ind w:left="852" w:hanging="852"/>
        <w:spacing w:after="0"/>
        <w:tabs>
          <w:tab w:leader="none" w:pos="8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Expansion Right</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color w:val="auto"/>
        </w:rPr>
      </w:pPr>
    </w:p>
    <w:p>
      <w:pPr>
        <w:jc w:val="both"/>
        <w:ind w:left="872"/>
        <w:spacing w:after="0" w:line="236" w:lineRule="auto"/>
        <w:rPr>
          <w:rFonts w:ascii="Arial" w:cs="Arial" w:eastAsia="Arial" w:hAnsi="Arial"/>
          <w:sz w:val="18"/>
          <w:szCs w:val="18"/>
          <w:b w:val="1"/>
          <w:bCs w:val="1"/>
          <w:color w:val="auto"/>
        </w:rPr>
      </w:pPr>
      <w:r>
        <w:rPr>
          <w:rFonts w:ascii="Arial" w:cs="Arial" w:eastAsia="Arial" w:hAnsi="Arial"/>
          <w:sz w:val="18"/>
          <w:szCs w:val="18"/>
          <w:b w:val="1"/>
          <w:bCs w:val="1"/>
          <w:color w:val="auto"/>
        </w:rPr>
        <w:t>a. Expansion Right Generally</w:t>
      </w:r>
      <w:r>
        <w:rPr>
          <w:rFonts w:ascii="Arial" w:cs="Arial" w:eastAsia="Arial" w:hAnsi="Arial"/>
          <w:sz w:val="18"/>
          <w:szCs w:val="18"/>
          <w:color w:val="auto"/>
        </w:rPr>
        <w:t>. 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commencing on the Effective Date and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12 months thereafter, Tenant shall have the ongoing right, but not the obligation, subject to the terms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to expand the Premises (the “</w:t>
      </w:r>
      <w:r>
        <w:rPr>
          <w:rFonts w:ascii="Arial" w:cs="Arial" w:eastAsia="Arial" w:hAnsi="Arial"/>
          <w:sz w:val="18"/>
          <w:szCs w:val="18"/>
          <w:b w:val="1"/>
          <w:bCs w:val="1"/>
          <w:color w:val="auto"/>
        </w:rPr>
        <w:t>Expansion Right</w:t>
      </w:r>
      <w:r>
        <w:rPr>
          <w:rFonts w:ascii="Arial" w:cs="Arial" w:eastAsia="Arial" w:hAnsi="Arial"/>
          <w:sz w:val="18"/>
          <w:szCs w:val="18"/>
          <w:color w:val="auto"/>
        </w:rPr>
        <w:t xml:space="preserve">”) to include the Expansion Space upon the terms and conditions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If Tenant exercises the Expansion Right, Landlord shall not be obligated to deliver the Expansion Space until after the existing tenant in the Expansion Space vacates the Expansion Space at the expiration of the term of the existing lease for the Expansion Space. Landlord agrees to use reasonable available legal rights to cause the existing tenant to vacate the Expansion Space at the expiration of its term. For purposes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w:t>
      </w:r>
      <w:r>
        <w:rPr>
          <w:rFonts w:ascii="Arial" w:cs="Arial" w:eastAsia="Arial" w:hAnsi="Arial"/>
          <w:sz w:val="18"/>
          <w:szCs w:val="18"/>
          <w:b w:val="1"/>
          <w:bCs w:val="1"/>
          <w:color w:val="auto"/>
        </w:rPr>
        <w:t>Expansion Space</w:t>
      </w:r>
      <w:r>
        <w:rPr>
          <w:rFonts w:ascii="Arial" w:cs="Arial" w:eastAsia="Arial" w:hAnsi="Arial"/>
          <w:sz w:val="18"/>
          <w:szCs w:val="18"/>
          <w:color w:val="auto"/>
        </w:rPr>
        <w:t>” shall mean that certain space located on the 5</w:t>
      </w:r>
      <w:r>
        <w:rPr>
          <w:rFonts w:ascii="Arial" w:cs="Arial" w:eastAsia="Arial" w:hAnsi="Arial"/>
          <w:sz w:val="15"/>
          <w:szCs w:val="15"/>
          <w:color w:val="auto"/>
        </w:rPr>
        <w:t>th</w:t>
      </w:r>
      <w:r>
        <w:rPr>
          <w:rFonts w:ascii="Arial" w:cs="Arial" w:eastAsia="Arial" w:hAnsi="Arial"/>
          <w:sz w:val="18"/>
          <w:szCs w:val="18"/>
          <w:color w:val="auto"/>
        </w:rPr>
        <w:t xml:space="preserve"> floor of the 499 Building, containing approximately 44,000 rentable square feet, as more specifically described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attached hereto. For the avoidance of doubt, Tenant shall be required to exercise its right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with respect to all of the Expansion Space. Tenant shall have 12 months following the Effective Date to deliver to Landlord written notification of Tenant’s exercise of the Expansion Right (“</w:t>
      </w:r>
      <w:r>
        <w:rPr>
          <w:rFonts w:ascii="Arial" w:cs="Arial" w:eastAsia="Arial" w:hAnsi="Arial"/>
          <w:sz w:val="18"/>
          <w:szCs w:val="18"/>
          <w:b w:val="1"/>
          <w:bCs w:val="1"/>
          <w:color w:val="auto"/>
        </w:rPr>
        <w:t>Exercise Notice</w:t>
      </w:r>
      <w:r>
        <w:rPr>
          <w:rFonts w:ascii="Arial" w:cs="Arial" w:eastAsia="Arial" w:hAnsi="Arial"/>
          <w:sz w:val="18"/>
          <w:szCs w:val="18"/>
          <w:color w:val="auto"/>
        </w:rPr>
        <w:t>”) with respect to the Expansion Space. If Tenant elects to lease the Expansion Space by delivering the Exercise Notice within the required 12 month period, Tenant shall be deemed to agree to expand the Premises to include the Expansion Space and to lease the Expansion Space on the same general terms and conditions as the Lease (including the TI Allowance). Landlord shall permit Tenant access, at Tenant’s sole risk and expense, to the Expansion Space 14 days prior to the commencement date of the lease of the Expansion Space, for the purpose of space planning, construction and moving into the Expansion Space, and, during such early access period, all terms of the Lease shall be in effect with respect to the Expansion Space, except that Tenant shall not be required to pay Minimum Monthly Rent with respect to the Expansion Space, Tenant’s Proportionate Share of Operating Costs, Taxes and Insurance Costs with respect to the Expansion Space or the increase in Tenant’s Proportionate Share of Operating Costs, Taxes and Insurance Costs with respect to the Parking Garage which are attributable to the Expansion Space during such early access period; provided, however, after such early access period, Tenant shall commence paying Minimum Monthly Rent with respect to the Expansion Space, Tenant’s Proportionate Share of Operating Costs, Taxes and Insurance Costs with respect to the Expansion Space and the increase in Tenant’s Proportionate Share of Operating Costs, Taxes and Insurance Costs with respect to the Parking Garage which are attributable to the Expansion Space. The term of the Lease with respect to the Expansion Space shall be co-terminus with the Term of the Lease with respect to the then-existing Premises. If Tenant does not deliver an Exercise Notice to Landlord within such 12 month period, then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228600</wp:posOffset>
            </wp:positionV>
            <wp:extent cx="2537460" cy="539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95" w:name="page96"/>
    <w:bookmarkEnd w:id="95"/>
    <w:p>
      <w:pPr>
        <w:jc w:val="both"/>
        <w:ind w:left="872" w:right="20"/>
        <w:spacing w:after="0"/>
        <w:rPr>
          <w:sz w:val="20"/>
          <w:szCs w:val="20"/>
          <w:color w:val="auto"/>
        </w:rPr>
      </w:pPr>
      <w:r>
        <w:rPr>
          <w:rFonts w:ascii="Arial" w:cs="Arial" w:eastAsia="Arial" w:hAnsi="Arial"/>
          <w:sz w:val="18"/>
          <w:szCs w:val="18"/>
          <w:color w:val="auto"/>
        </w:rPr>
        <w:t xml:space="preserve">shall be deemed to have waived its rights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to lease the Expansion Space, and Landlord shall have the right to lease the Expansion Space to any third party on any terms and conditions acceptable to Landlord. Tenant’s failure to timely deliver an Exercise Notice shall not impact Tenant’s rights under </w:t>
      </w:r>
      <w:r>
        <w:rPr>
          <w:rFonts w:ascii="Arial" w:cs="Arial" w:eastAsia="Arial" w:hAnsi="Arial"/>
          <w:sz w:val="18"/>
          <w:szCs w:val="18"/>
          <w:u w:val="single" w:color="auto"/>
          <w:color w:val="auto"/>
        </w:rPr>
        <w:t>Sections 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below.</w:t>
      </w:r>
    </w:p>
    <w:p>
      <w:pPr>
        <w:spacing w:after="0" w:line="181" w:lineRule="exact"/>
        <w:rPr>
          <w:sz w:val="20"/>
          <w:szCs w:val="20"/>
          <w:color w:val="auto"/>
        </w:rPr>
      </w:pPr>
    </w:p>
    <w:p>
      <w:pPr>
        <w:jc w:val="both"/>
        <w:ind w:left="872" w:hanging="8"/>
        <w:spacing w:after="0" w:line="244" w:lineRule="auto"/>
        <w:tabs>
          <w:tab w:leader="none" w:pos="168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Amended Lease (Expansion)</w:t>
      </w:r>
      <w:r>
        <w:rPr>
          <w:rFonts w:ascii="Arial" w:cs="Arial" w:eastAsia="Arial" w:hAnsi="Arial"/>
          <w:sz w:val="18"/>
          <w:szCs w:val="18"/>
          <w:color w:val="auto"/>
        </w:rPr>
        <w:t>. If: (i) Tenant fails to timely deliver an Exercise Notice, or (ii) after the expiration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10 days after Landlord’s delivery to Tenant of a lease amendment for Tenant’s lease of the Expansion Space, no lease amendment for the Expansion Space acceptable to both parties each in their reasonable discretion after using diligent good faith efforts negotiate the same, has been executed, Tenant shall, notwithstanding anything to the contrary contained herein, be deemed to have forever waived its right to lease the Expansion Space.</w:t>
      </w:r>
    </w:p>
    <w:p>
      <w:pPr>
        <w:spacing w:after="0" w:line="176" w:lineRule="exact"/>
        <w:rPr>
          <w:rFonts w:ascii="Arial" w:cs="Arial" w:eastAsia="Arial" w:hAnsi="Arial"/>
          <w:sz w:val="18"/>
          <w:szCs w:val="18"/>
          <w:b w:val="1"/>
          <w:bCs w:val="1"/>
          <w:color w:val="auto"/>
        </w:rPr>
      </w:pPr>
    </w:p>
    <w:p>
      <w:pPr>
        <w:ind w:left="872" w:right="20" w:hanging="8"/>
        <w:spacing w:after="0" w:line="271" w:lineRule="auto"/>
        <w:tabs>
          <w:tab w:leader="none" w:pos="167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Expansion Right Exceptions</w:t>
      </w:r>
      <w:r>
        <w:rPr>
          <w:rFonts w:ascii="Arial" w:cs="Arial" w:eastAsia="Arial" w:hAnsi="Arial"/>
          <w:sz w:val="18"/>
          <w:szCs w:val="18"/>
          <w:color w:val="auto"/>
        </w:rPr>
        <w:t>. Notwithstanding the above, the Expansion Right shall, at Landlord’s option, not be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and may not be exercised by Tenant:</w:t>
      </w:r>
    </w:p>
    <w:p>
      <w:pPr>
        <w:spacing w:after="0" w:line="175" w:lineRule="exact"/>
        <w:rPr>
          <w:rFonts w:ascii="Arial" w:cs="Arial" w:eastAsia="Arial" w:hAnsi="Arial"/>
          <w:sz w:val="18"/>
          <w:szCs w:val="18"/>
          <w:b w:val="1"/>
          <w:bCs w:val="1"/>
          <w:color w:val="auto"/>
        </w:rPr>
      </w:pPr>
    </w:p>
    <w:p>
      <w:pPr>
        <w:ind w:left="1952" w:hanging="8"/>
        <w:spacing w:after="0" w:line="246" w:lineRule="auto"/>
        <w:tabs>
          <w:tab w:leader="none" w:pos="27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during any period of time that there exists an Event of monetary Default under the Lease after the expiration of applicable notice and cure rights; or</w:t>
      </w:r>
    </w:p>
    <w:p>
      <w:pPr>
        <w:spacing w:after="0" w:line="196" w:lineRule="exact"/>
        <w:rPr>
          <w:rFonts w:ascii="Arial" w:cs="Arial" w:eastAsia="Arial" w:hAnsi="Arial"/>
          <w:sz w:val="18"/>
          <w:szCs w:val="18"/>
          <w:color w:val="auto"/>
        </w:rPr>
      </w:pPr>
    </w:p>
    <w:p>
      <w:pPr>
        <w:jc w:val="both"/>
        <w:ind w:left="1952" w:hanging="8"/>
        <w:spacing w:after="0"/>
        <w:tabs>
          <w:tab w:leader="none" w:pos="280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if an Event of monetary Default under the Lease has existed 3 or more times, whether or not the Events of Default are cured, during the 12 month period prior to the date on which Tenant seeks to exercise the Expansion Right.</w:t>
      </w:r>
    </w:p>
    <w:p>
      <w:pPr>
        <w:spacing w:after="0" w:line="180" w:lineRule="exact"/>
        <w:rPr>
          <w:rFonts w:ascii="Arial" w:cs="Arial" w:eastAsia="Arial" w:hAnsi="Arial"/>
          <w:sz w:val="18"/>
          <w:szCs w:val="18"/>
          <w:color w:val="auto"/>
        </w:rPr>
      </w:pPr>
    </w:p>
    <w:p>
      <w:pPr>
        <w:jc w:val="both"/>
        <w:ind w:left="872" w:hanging="8"/>
        <w:spacing w:after="0" w:line="242" w:lineRule="auto"/>
        <w:tabs>
          <w:tab w:leader="none" w:pos="168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Expansion Right Termination</w:t>
      </w:r>
      <w:r>
        <w:rPr>
          <w:rFonts w:ascii="Arial" w:cs="Arial" w:eastAsia="Arial" w:hAnsi="Arial"/>
          <w:sz w:val="18"/>
          <w:szCs w:val="18"/>
          <w:color w:val="auto"/>
        </w:rPr>
        <w:t>. The Expansion Right shall, at Landlord’s option, terminate and be of no further force or</w:t>
      </w:r>
      <w:r>
        <w:rPr>
          <w:rFonts w:ascii="Arial" w:cs="Arial" w:eastAsia="Arial" w:hAnsi="Arial"/>
          <w:sz w:val="18"/>
          <w:szCs w:val="18"/>
          <w:b w:val="1"/>
          <w:bCs w:val="1"/>
          <w:color w:val="auto"/>
        </w:rPr>
        <w:t xml:space="preserve"> </w:t>
      </w:r>
      <w:r>
        <w:rPr>
          <w:rFonts w:ascii="Arial" w:cs="Arial" w:eastAsia="Arial" w:hAnsi="Arial"/>
          <w:sz w:val="18"/>
          <w:szCs w:val="18"/>
          <w:color w:val="auto"/>
        </w:rPr>
        <w:t>effect even after Tenant’s due and timely exercise of the Expansion Right, if, after such exercise, but prior to the commencement date of the lease of the Expansion Space, (i) Tenant fails to timely cure any Event of monetary Default under the Lease; or (ii) an Event of monetary Default under the Lease has existed 3 or more times during the period from the date of the exercise of the Expansion Right to the date of the commencement of the lease of the Expansion Space, whether or not such Events of monetary Default are cured.</w:t>
      </w:r>
    </w:p>
    <w:p>
      <w:pPr>
        <w:spacing w:after="0" w:line="178" w:lineRule="exact"/>
        <w:rPr>
          <w:rFonts w:ascii="Arial" w:cs="Arial" w:eastAsia="Arial" w:hAnsi="Arial"/>
          <w:sz w:val="18"/>
          <w:szCs w:val="18"/>
          <w:b w:val="1"/>
          <w:bCs w:val="1"/>
          <w:color w:val="auto"/>
        </w:rPr>
      </w:pPr>
    </w:p>
    <w:p>
      <w:pPr>
        <w:jc w:val="both"/>
        <w:ind w:left="872" w:hanging="8"/>
        <w:spacing w:after="0" w:line="253" w:lineRule="auto"/>
        <w:tabs>
          <w:tab w:leader="none" w:pos="167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Expansion Rights Personal</w:t>
      </w:r>
      <w:r>
        <w:rPr>
          <w:rFonts w:ascii="Arial" w:cs="Arial" w:eastAsia="Arial" w:hAnsi="Arial"/>
          <w:sz w:val="18"/>
          <w:szCs w:val="18"/>
          <w:color w:val="auto"/>
        </w:rPr>
        <w:t>. The Expansion Right is personal to Tenant and is not assignable without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which may be granted or withheld in Landlord’s sole discretion separate and apart from any consent by Landlord to an assignment of Tenant’s interest in the Lease.</w:t>
      </w:r>
    </w:p>
    <w:p>
      <w:pPr>
        <w:spacing w:after="0" w:line="168" w:lineRule="exact"/>
        <w:rPr>
          <w:rFonts w:ascii="Arial" w:cs="Arial" w:eastAsia="Arial" w:hAnsi="Arial"/>
          <w:sz w:val="18"/>
          <w:szCs w:val="18"/>
          <w:b w:val="1"/>
          <w:bCs w:val="1"/>
          <w:color w:val="auto"/>
        </w:rPr>
      </w:pPr>
    </w:p>
    <w:p>
      <w:pPr>
        <w:ind w:left="872" w:right="20" w:hanging="8"/>
        <w:spacing w:after="0" w:line="271" w:lineRule="auto"/>
        <w:tabs>
          <w:tab w:leader="none" w:pos="163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No Extensions of Expansion Right</w:t>
      </w:r>
      <w:r>
        <w:rPr>
          <w:rFonts w:ascii="Arial" w:cs="Arial" w:eastAsia="Arial" w:hAnsi="Arial"/>
          <w:sz w:val="18"/>
          <w:szCs w:val="18"/>
          <w:color w:val="auto"/>
        </w:rPr>
        <w:t>. The period of time within which the Expansion Right may be exercised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extended or enlarged by reason of Tenant’s inability to exercise the Expansion Right.</w:t>
      </w:r>
    </w:p>
    <w:p>
      <w:pPr>
        <w:spacing w:after="0" w:line="153" w:lineRule="exact"/>
        <w:rPr>
          <w:rFonts w:ascii="Arial" w:cs="Arial" w:eastAsia="Arial" w:hAnsi="Arial"/>
          <w:sz w:val="18"/>
          <w:szCs w:val="18"/>
          <w:b w:val="1"/>
          <w:bCs w:val="1"/>
          <w:color w:val="auto"/>
        </w:rPr>
      </w:pPr>
    </w:p>
    <w:p>
      <w:pPr>
        <w:ind w:left="852" w:hanging="852"/>
        <w:spacing w:after="0"/>
        <w:tabs>
          <w:tab w:leader="none" w:pos="8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i w:val="1"/>
          <w:iCs w:val="1"/>
          <w:color w:val="auto"/>
        </w:rPr>
        <w:t>.</w:t>
      </w:r>
    </w:p>
    <w:p>
      <w:pPr>
        <w:spacing w:after="0" w:line="211" w:lineRule="exact"/>
        <w:rPr>
          <w:rFonts w:ascii="Arial" w:cs="Arial" w:eastAsia="Arial" w:hAnsi="Arial"/>
          <w:sz w:val="18"/>
          <w:szCs w:val="18"/>
          <w:b w:val="1"/>
          <w:bCs w:val="1"/>
          <w:color w:val="auto"/>
        </w:rPr>
      </w:pPr>
    </w:p>
    <w:p>
      <w:pPr>
        <w:jc w:val="both"/>
        <w:ind w:left="872" w:hanging="8"/>
        <w:spacing w:after="0" w:line="239" w:lineRule="auto"/>
        <w:tabs>
          <w:tab w:leader="none" w:pos="1670"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ROFR Generally</w:t>
      </w:r>
      <w:r>
        <w:rPr>
          <w:rFonts w:ascii="Arial" w:cs="Arial" w:eastAsia="Arial" w:hAnsi="Arial"/>
          <w:sz w:val="18"/>
          <w:szCs w:val="18"/>
          <w:color w:val="auto"/>
        </w:rPr>
        <w:t>. 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w:t>
      </w:r>
      <w:r>
        <w:rPr>
          <w:rFonts w:ascii="Arial" w:cs="Arial" w:eastAsia="Arial" w:hAnsi="Arial"/>
          <w:sz w:val="18"/>
          <w:szCs w:val="18"/>
          <w:color w:val="auto"/>
        </w:rPr>
        <w:t>, the first time after the Effective Date that Landlord intends to</w:t>
      </w:r>
      <w:r>
        <w:rPr>
          <w:rFonts w:ascii="Arial" w:cs="Arial" w:eastAsia="Arial" w:hAnsi="Arial"/>
          <w:sz w:val="18"/>
          <w:szCs w:val="18"/>
          <w:b w:val="1"/>
          <w:bCs w:val="1"/>
          <w:color w:val="auto"/>
        </w:rPr>
        <w:t xml:space="preserve"> </w:t>
      </w:r>
      <w:r>
        <w:rPr>
          <w:rFonts w:ascii="Arial" w:cs="Arial" w:eastAsia="Arial" w:hAnsi="Arial"/>
          <w:sz w:val="18"/>
          <w:szCs w:val="18"/>
          <w:color w:val="auto"/>
        </w:rPr>
        <w:t>accept a bona fide written proposal or deliver a counter proposal which Landlord would be willing to accept (the “</w:t>
      </w:r>
      <w:r>
        <w:rPr>
          <w:rFonts w:ascii="Arial" w:cs="Arial" w:eastAsia="Arial" w:hAnsi="Arial"/>
          <w:sz w:val="18"/>
          <w:szCs w:val="18"/>
          <w:b w:val="1"/>
          <w:bCs w:val="1"/>
          <w:color w:val="auto"/>
        </w:rPr>
        <w:t>Pending Deal</w:t>
      </w:r>
      <w:r>
        <w:rPr>
          <w:rFonts w:ascii="Arial" w:cs="Arial" w:eastAsia="Arial" w:hAnsi="Arial"/>
          <w:sz w:val="18"/>
          <w:szCs w:val="18"/>
          <w:color w:val="auto"/>
        </w:rPr>
        <w:t>”) to lease all or a portion the ROFR Space (as hereinafter defined) to a third party, Landlord shall deliver to Tenant written notice (the “</w:t>
      </w:r>
      <w:r>
        <w:rPr>
          <w:rFonts w:ascii="Arial" w:cs="Arial" w:eastAsia="Arial" w:hAnsi="Arial"/>
          <w:sz w:val="18"/>
          <w:szCs w:val="18"/>
          <w:b w:val="1"/>
          <w:bCs w:val="1"/>
          <w:color w:val="auto"/>
        </w:rPr>
        <w:t>Pending Deal Notice</w:t>
      </w:r>
      <w:r>
        <w:rPr>
          <w:rFonts w:ascii="Arial" w:cs="Arial" w:eastAsia="Arial" w:hAnsi="Arial"/>
          <w:sz w:val="18"/>
          <w:szCs w:val="18"/>
          <w:color w:val="auto"/>
        </w:rPr>
        <w:t xml:space="preserve">”) of the existence of such Pending Deal, which Pending Deal Notice shall include the material terms of the Pending Deal. For purposes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w:t>
      </w:r>
      <w:r>
        <w:rPr>
          <w:rFonts w:ascii="Arial" w:cs="Arial" w:eastAsia="Arial" w:hAnsi="Arial"/>
          <w:sz w:val="18"/>
          <w:szCs w:val="18"/>
          <w:b w:val="1"/>
          <w:bCs w:val="1"/>
          <w:color w:val="auto"/>
        </w:rPr>
        <w:t>ROFR Space</w:t>
      </w:r>
      <w:r>
        <w:rPr>
          <w:rFonts w:ascii="Arial" w:cs="Arial" w:eastAsia="Arial" w:hAnsi="Arial"/>
          <w:sz w:val="18"/>
          <w:szCs w:val="18"/>
          <w:color w:val="auto"/>
        </w:rPr>
        <w:t xml:space="preserve">” shall mean all space in the 499 Building which is not occupied by a tenant or which is occupied by an existing tenant whose lease is expiring within 12 months or less and such tenant does not wish to renew (whether or not such tenant has a right to renew) its occupancy of such space. For the avoidance of doubt, Tenant shall be required to exercise its right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with respect to all of the space described in the Pending Deal Notice, including, at Landlord’s option, any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225425</wp:posOffset>
            </wp:positionV>
            <wp:extent cx="2537460" cy="539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96" w:name="page97"/>
    <w:bookmarkEnd w:id="96"/>
    <w:p>
      <w:pPr>
        <w:jc w:val="both"/>
        <w:ind w:left="8"/>
        <w:spacing w:after="0" w:line="235" w:lineRule="auto"/>
        <w:rPr>
          <w:sz w:val="20"/>
          <w:szCs w:val="20"/>
          <w:color w:val="auto"/>
        </w:rPr>
      </w:pPr>
      <w:r>
        <w:rPr>
          <w:rFonts w:ascii="Arial" w:cs="Arial" w:eastAsia="Arial" w:hAnsi="Arial"/>
          <w:sz w:val="18"/>
          <w:szCs w:val="18"/>
          <w:color w:val="auto"/>
        </w:rPr>
        <w:t>in addition to the ROFR Space that is described in the Pending Deal Notice, which additional space shall be deemed to be included as part of the ROFR Space (the “</w:t>
      </w:r>
      <w:r>
        <w:rPr>
          <w:rFonts w:ascii="Arial" w:cs="Arial" w:eastAsia="Arial" w:hAnsi="Arial"/>
          <w:sz w:val="18"/>
          <w:szCs w:val="18"/>
          <w:b w:val="1"/>
          <w:bCs w:val="1"/>
          <w:color w:val="auto"/>
        </w:rPr>
        <w:t>Identified Space</w:t>
      </w:r>
      <w:r>
        <w:rPr>
          <w:rFonts w:ascii="Arial" w:cs="Arial" w:eastAsia="Arial" w:hAnsi="Arial"/>
          <w:sz w:val="18"/>
          <w:szCs w:val="18"/>
          <w:color w:val="auto"/>
        </w:rPr>
        <w:t>”). Within 10 days after Tenant’s receipt of the Pending Deal Notice, Tenant shall deliver to Landlord written notice (the “</w:t>
      </w:r>
      <w:r>
        <w:rPr>
          <w:rFonts w:ascii="Arial" w:cs="Arial" w:eastAsia="Arial" w:hAnsi="Arial"/>
          <w:sz w:val="18"/>
          <w:szCs w:val="18"/>
          <w:b w:val="1"/>
          <w:bCs w:val="1"/>
          <w:color w:val="auto"/>
        </w:rPr>
        <w:t>Acceptance Notice</w:t>
      </w:r>
      <w:r>
        <w:rPr>
          <w:rFonts w:ascii="Arial" w:cs="Arial" w:eastAsia="Arial" w:hAnsi="Arial"/>
          <w:sz w:val="18"/>
          <w:szCs w:val="18"/>
          <w:color w:val="auto"/>
        </w:rPr>
        <w:t xml:space="preserve">”) if Tenant elects to lease the Identified Space. Tenant’s right to receive the Pending Deal Notice and election to lease or not lease the Identified Space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is hereinafter referred to as the “</w:t>
      </w:r>
      <w:r>
        <w:rPr>
          <w:rFonts w:ascii="Arial" w:cs="Arial" w:eastAsia="Arial" w:hAnsi="Arial"/>
          <w:sz w:val="18"/>
          <w:szCs w:val="18"/>
          <w:b w:val="1"/>
          <w:bCs w:val="1"/>
          <w:color w:val="auto"/>
        </w:rPr>
        <w:t>Right of First Refusal</w:t>
      </w:r>
      <w:r>
        <w:rPr>
          <w:rFonts w:ascii="Arial" w:cs="Arial" w:eastAsia="Arial" w:hAnsi="Arial"/>
          <w:sz w:val="18"/>
          <w:szCs w:val="18"/>
          <w:color w:val="auto"/>
        </w:rPr>
        <w:t xml:space="preserve">.” If Tenant elects to lease the Identified Space described in the Pending Deal Notice by delivering the Space Acceptance Notice within the required 10 day period, Tenant shall be deemed to agree to expand the Premises to include the Identified Space and to lease the Identified Space on the same general terms and conditions as the Lease except that the terms of the Lease shall be modified to reflect the terms of the Pending Deal Notice for the rental of the Identified Space. If the Identified Space subject to a Pending Deal Notice does not include all of the ROFR Space, Tenant’s Right of First Refusal shall continue to apply with respect to any remaining portion of the ROFR Space through the Extended Term (subject to the last sentence of this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Tenant acknowledges that the term of the Lease with respect to the Identified Space and the Term of the Lease with respect to the existing Premises may not be co-terminus. Notwithstanding anything to the contrary contained herein, in no event shall the A06 Work Letter apply to the Identified Space. If Tenant fails to deliver an Acceptance Notice to Landlord within the required 10 day period, Tenant shall be deemed to have forever waived its rights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to lease the Identified Space. Tenant’s Right of First Refusal shall be ongoing during the Extended Term; provided, however that Tenant shall have no right to exercise the Right of First Refusal and the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no longer apply after the date that is 18 months prior to the expiration of the Extended Term if Tenant has not exercised its Extension Right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this Sixth Amendment.</w:t>
      </w:r>
    </w:p>
    <w:p>
      <w:pPr>
        <w:spacing w:after="0" w:line="191" w:lineRule="exact"/>
        <w:rPr>
          <w:sz w:val="20"/>
          <w:szCs w:val="20"/>
          <w:color w:val="auto"/>
        </w:rPr>
      </w:pPr>
    </w:p>
    <w:p>
      <w:pPr>
        <w:jc w:val="both"/>
        <w:ind w:left="8" w:hanging="8"/>
        <w:spacing w:after="0" w:line="244" w:lineRule="auto"/>
        <w:tabs>
          <w:tab w:leader="none" w:pos="81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Amended Lease (ROFR)</w:t>
      </w:r>
      <w:r>
        <w:rPr>
          <w:rFonts w:ascii="Arial" w:cs="Arial" w:eastAsia="Arial" w:hAnsi="Arial"/>
          <w:sz w:val="18"/>
          <w:szCs w:val="18"/>
          <w:color w:val="auto"/>
        </w:rPr>
        <w:t>. If: (i) Tenant fails to timely deliver an Acceptance Notice, or (ii) after the expiration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10 days after Landlord’s delivery to Tenant of a lease amendment for Tenant’s lease of the Identified Space, no lease amendment for the Identified Space acceptable to both parties each in their reasonable discretion after using diligent good faith efforts negotiate the same, has been executed, Tenant shall, notwithstanding anything to the contrary contained herein, be deemed to have forever waived its right to lease the ROFR Space.</w:t>
      </w:r>
    </w:p>
    <w:p>
      <w:pPr>
        <w:spacing w:after="0" w:line="176" w:lineRule="exact"/>
        <w:rPr>
          <w:rFonts w:ascii="Arial" w:cs="Arial" w:eastAsia="Arial" w:hAnsi="Arial"/>
          <w:sz w:val="18"/>
          <w:szCs w:val="18"/>
          <w:b w:val="1"/>
          <w:bCs w:val="1"/>
          <w:color w:val="auto"/>
        </w:rPr>
      </w:pPr>
    </w:p>
    <w:p>
      <w:pPr>
        <w:ind w:left="8" w:right="20" w:hanging="8"/>
        <w:spacing w:after="0" w:line="271" w:lineRule="auto"/>
        <w:tabs>
          <w:tab w:leader="none" w:pos="80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ROFR Exceptions</w:t>
      </w:r>
      <w:r>
        <w:rPr>
          <w:rFonts w:ascii="Arial" w:cs="Arial" w:eastAsia="Arial" w:hAnsi="Arial"/>
          <w:sz w:val="18"/>
          <w:szCs w:val="18"/>
          <w:color w:val="auto"/>
        </w:rPr>
        <w:t>. Notwithstanding the above, the Right of First Refusal shall, at Landlord’s option, not be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and may not be exercised by Tenant:</w:t>
      </w:r>
    </w:p>
    <w:p>
      <w:pPr>
        <w:spacing w:after="0" w:line="175" w:lineRule="exact"/>
        <w:rPr>
          <w:rFonts w:ascii="Arial" w:cs="Arial" w:eastAsia="Arial" w:hAnsi="Arial"/>
          <w:sz w:val="18"/>
          <w:szCs w:val="18"/>
          <w:b w:val="1"/>
          <w:bCs w:val="1"/>
          <w:color w:val="auto"/>
        </w:rPr>
      </w:pPr>
    </w:p>
    <w:p>
      <w:pPr>
        <w:ind w:left="1088" w:hanging="8"/>
        <w:spacing w:after="0" w:line="246" w:lineRule="auto"/>
        <w:tabs>
          <w:tab w:leader="none" w:pos="1896" w:val="left"/>
        </w:tabs>
        <w:numPr>
          <w:ilvl w:val="1"/>
          <w:numId w:val="85"/>
        </w:numPr>
        <w:rPr>
          <w:rFonts w:ascii="Arial" w:cs="Arial" w:eastAsia="Arial" w:hAnsi="Arial"/>
          <w:sz w:val="18"/>
          <w:szCs w:val="18"/>
          <w:color w:val="auto"/>
        </w:rPr>
      </w:pPr>
      <w:r>
        <w:rPr>
          <w:rFonts w:ascii="Arial" w:cs="Arial" w:eastAsia="Arial" w:hAnsi="Arial"/>
          <w:sz w:val="18"/>
          <w:szCs w:val="18"/>
          <w:color w:val="auto"/>
        </w:rPr>
        <w:t>during any period of time that there exists an Event of monetary Default under the Lease, after the expiration of applicable notice and cure periods; or</w:t>
      </w:r>
    </w:p>
    <w:p>
      <w:pPr>
        <w:spacing w:after="0" w:line="196" w:lineRule="exact"/>
        <w:rPr>
          <w:rFonts w:ascii="Arial" w:cs="Arial" w:eastAsia="Arial" w:hAnsi="Arial"/>
          <w:sz w:val="18"/>
          <w:szCs w:val="18"/>
          <w:color w:val="auto"/>
        </w:rPr>
      </w:pPr>
    </w:p>
    <w:p>
      <w:pPr>
        <w:jc w:val="both"/>
        <w:ind w:left="1088" w:hanging="8"/>
        <w:spacing w:after="0"/>
        <w:tabs>
          <w:tab w:leader="none" w:pos="19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an Event of monetary Default under the Lease has existed 3 or more times, whether or not the Events of Default are cured, during the 12 month period prior to the date on which Tenant seeks to exercise the Right of First Refusal.</w:t>
      </w:r>
    </w:p>
    <w:p>
      <w:pPr>
        <w:spacing w:after="0" w:line="180" w:lineRule="exact"/>
        <w:rPr>
          <w:rFonts w:ascii="Arial" w:cs="Arial" w:eastAsia="Arial" w:hAnsi="Arial"/>
          <w:sz w:val="18"/>
          <w:szCs w:val="18"/>
          <w:color w:val="auto"/>
        </w:rPr>
      </w:pPr>
    </w:p>
    <w:p>
      <w:pPr>
        <w:jc w:val="both"/>
        <w:ind w:left="8" w:hanging="8"/>
        <w:spacing w:after="0" w:line="242" w:lineRule="auto"/>
        <w:tabs>
          <w:tab w:leader="none" w:pos="81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ROFR</w:t>
      </w:r>
      <w:r>
        <w:rPr>
          <w:rFonts w:ascii="Arial" w:cs="Arial" w:eastAsia="Arial" w:hAnsi="Arial"/>
          <w:sz w:val="18"/>
          <w:szCs w:val="18"/>
          <w:color w:val="auto"/>
        </w:rPr>
        <w:t>. The Right of First Refusal shall, at Landlord’s option, terminate and be of no further force or</w:t>
      </w:r>
      <w:r>
        <w:rPr>
          <w:rFonts w:ascii="Arial" w:cs="Arial" w:eastAsia="Arial" w:hAnsi="Arial"/>
          <w:sz w:val="18"/>
          <w:szCs w:val="18"/>
          <w:b w:val="1"/>
          <w:bCs w:val="1"/>
          <w:color w:val="auto"/>
        </w:rPr>
        <w:t xml:space="preserve"> </w:t>
      </w:r>
      <w:r>
        <w:rPr>
          <w:rFonts w:ascii="Arial" w:cs="Arial" w:eastAsia="Arial" w:hAnsi="Arial"/>
          <w:sz w:val="18"/>
          <w:szCs w:val="18"/>
          <w:color w:val="auto"/>
        </w:rPr>
        <w:t>effect even after Tenant’s due and timely exercise of the Right of First Refusal, if, after such exercise, but prior to the commencement date of the lease of the Identified Space, (i) Tenant fails to timely cure any Event of monetary Default under the Lease; or (ii) an Event of Default under the Lease has existed 3 or more times during the period from the date of the exercise of the Right of First Refusal to the date of the commencement of the lease of the Identified Space, whether or not such Events of monetary Default are cured.</w:t>
      </w:r>
    </w:p>
    <w:p>
      <w:pPr>
        <w:spacing w:after="0" w:line="178" w:lineRule="exact"/>
        <w:rPr>
          <w:rFonts w:ascii="Arial" w:cs="Arial" w:eastAsia="Arial" w:hAnsi="Arial"/>
          <w:sz w:val="18"/>
          <w:szCs w:val="18"/>
          <w:b w:val="1"/>
          <w:bCs w:val="1"/>
          <w:color w:val="auto"/>
        </w:rPr>
      </w:pPr>
    </w:p>
    <w:p>
      <w:pPr>
        <w:jc w:val="both"/>
        <w:ind w:left="8" w:hanging="8"/>
        <w:spacing w:after="0" w:line="253" w:lineRule="auto"/>
        <w:tabs>
          <w:tab w:leader="none" w:pos="80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ROFR Rights Personal</w:t>
      </w:r>
      <w:r>
        <w:rPr>
          <w:rFonts w:ascii="Arial" w:cs="Arial" w:eastAsia="Arial" w:hAnsi="Arial"/>
          <w:sz w:val="18"/>
          <w:szCs w:val="18"/>
          <w:color w:val="auto"/>
        </w:rPr>
        <w:t>. The Right of First Refusal is personal to Tenant and is not assignable without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which may be granted or withheld in Landlord’s sole discretion separate and apart from any consent by Landlord to an assignment of Tenant’s interest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215900</wp:posOffset>
            </wp:positionV>
            <wp:extent cx="2537460" cy="539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147955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55" w:right="339" w:bottom="1440" w:gutter="0" w:footer="0" w:header="0"/>
        </w:sectPr>
      </w:pPr>
    </w:p>
    <w:bookmarkStart w:id="97" w:name="page98"/>
    <w:bookmarkEnd w:id="97"/>
    <w:p>
      <w:pPr>
        <w:ind w:left="872" w:hanging="8"/>
        <w:spacing w:after="0" w:line="271" w:lineRule="auto"/>
        <w:tabs>
          <w:tab w:leader="none" w:pos="1630"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No Extensions of ROFR</w:t>
      </w:r>
      <w:r>
        <w:rPr>
          <w:rFonts w:ascii="Arial" w:cs="Arial" w:eastAsia="Arial" w:hAnsi="Arial"/>
          <w:sz w:val="18"/>
          <w:szCs w:val="18"/>
          <w:color w:val="auto"/>
        </w:rPr>
        <w:t>. The period of time within which the Right of First Refusal may be exercised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or enlarged by reason of Tenant’s inability to exercise the Right of First Refusal.</w:t>
      </w:r>
    </w:p>
    <w:p>
      <w:pPr>
        <w:spacing w:after="0" w:line="153" w:lineRule="exact"/>
        <w:rPr>
          <w:rFonts w:ascii="Arial" w:cs="Arial" w:eastAsia="Arial" w:hAnsi="Arial"/>
          <w:sz w:val="18"/>
          <w:szCs w:val="18"/>
          <w:b w:val="1"/>
          <w:bCs w:val="1"/>
          <w:color w:val="auto"/>
        </w:rPr>
      </w:pPr>
    </w:p>
    <w:p>
      <w:pPr>
        <w:ind w:left="852" w:hanging="852"/>
        <w:spacing w:after="0"/>
        <w:tabs>
          <w:tab w:leader="none" w:pos="85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Offer</w:t>
      </w:r>
      <w:r>
        <w:rPr>
          <w:rFonts w:ascii="Arial" w:cs="Arial" w:eastAsia="Arial" w:hAnsi="Arial"/>
          <w:sz w:val="18"/>
          <w:szCs w:val="18"/>
          <w:i w:val="1"/>
          <w:iCs w:val="1"/>
          <w:color w:val="auto"/>
        </w:rPr>
        <w:t>.</w:t>
      </w:r>
    </w:p>
    <w:p>
      <w:pPr>
        <w:spacing w:after="0" w:line="211" w:lineRule="exact"/>
        <w:rPr>
          <w:rFonts w:ascii="Arial" w:cs="Arial" w:eastAsia="Arial" w:hAnsi="Arial"/>
          <w:sz w:val="18"/>
          <w:szCs w:val="18"/>
          <w:b w:val="1"/>
          <w:bCs w:val="1"/>
          <w:color w:val="auto"/>
        </w:rPr>
      </w:pPr>
    </w:p>
    <w:p>
      <w:pPr>
        <w:jc w:val="both"/>
        <w:ind w:left="872" w:hanging="8"/>
        <w:spacing w:after="0" w:line="236" w:lineRule="auto"/>
        <w:tabs>
          <w:tab w:leader="none" w:pos="1670"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ROFO Generally</w:t>
      </w:r>
      <w:r>
        <w:rPr>
          <w:rFonts w:ascii="Arial" w:cs="Arial" w:eastAsia="Arial" w:hAnsi="Arial"/>
          <w:sz w:val="18"/>
          <w:szCs w:val="18"/>
          <w:color w:val="auto"/>
        </w:rPr>
        <w:t>. 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color w:val="auto"/>
        </w:rPr>
        <w:t>, each time during the Extended Term that all or a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ROFO Space becomes available after the Effective Date, Tenant shall have a right, but not the obligation, subject to the terms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to expand the Premises (the “</w:t>
      </w:r>
      <w:r>
        <w:rPr>
          <w:rFonts w:ascii="Arial" w:cs="Arial" w:eastAsia="Arial" w:hAnsi="Arial"/>
          <w:sz w:val="18"/>
          <w:szCs w:val="18"/>
          <w:b w:val="1"/>
          <w:bCs w:val="1"/>
          <w:color w:val="auto"/>
        </w:rPr>
        <w:t>Right of First Offer</w:t>
      </w:r>
      <w:r>
        <w:rPr>
          <w:rFonts w:ascii="Arial" w:cs="Arial" w:eastAsia="Arial" w:hAnsi="Arial"/>
          <w:sz w:val="18"/>
          <w:szCs w:val="18"/>
          <w:color w:val="auto"/>
        </w:rPr>
        <w:t xml:space="preserve">”) to include the ROFO Space upon the terms and conditions in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w:t>
      </w:r>
      <w:r>
        <w:rPr>
          <w:rFonts w:ascii="Arial" w:cs="Arial" w:eastAsia="Arial" w:hAnsi="Arial"/>
          <w:sz w:val="18"/>
          <w:szCs w:val="18"/>
          <w:b w:val="1"/>
          <w:bCs w:val="1"/>
          <w:color w:val="auto"/>
        </w:rPr>
        <w:t>ROFO Space</w:t>
      </w:r>
      <w:r>
        <w:rPr>
          <w:rFonts w:ascii="Arial" w:cs="Arial" w:eastAsia="Arial" w:hAnsi="Arial"/>
          <w:sz w:val="18"/>
          <w:szCs w:val="18"/>
          <w:color w:val="auto"/>
        </w:rPr>
        <w:t xml:space="preserve">” shall mean that certain space on the second floor of the 499 Building containing approximately 25,957 rentable square feet as more particularly shown on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Second Floor ROFO Space</w:t>
      </w:r>
      <w:r>
        <w:rPr>
          <w:rFonts w:ascii="Arial" w:cs="Arial" w:eastAsia="Arial" w:hAnsi="Arial"/>
          <w:sz w:val="18"/>
          <w:szCs w:val="18"/>
          <w:color w:val="auto"/>
        </w:rPr>
        <w:t xml:space="preserve">”) and the Expansion Space (if Tenant has not previously exercised its Expansion Right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above with respect to the Expansion Space), which is not occupied by a tenant or which is occupied by a then-existing tenant whose lease is expiring within 12 months or less and such tenant does not wish to renew (whether or not such tenant has a right to renew) its occupancy of such space. Each time during the Extended Term that all or a portion of the ROFO Space will become available, Landlord shall, at such time as Landlord shall elect so long as Tenant’s rights hereunder are preserved, deliver to Tenant written notice (the “</w:t>
      </w:r>
      <w:r>
        <w:rPr>
          <w:rFonts w:ascii="Arial" w:cs="Arial" w:eastAsia="Arial" w:hAnsi="Arial"/>
          <w:sz w:val="18"/>
          <w:szCs w:val="18"/>
          <w:b w:val="1"/>
          <w:bCs w:val="1"/>
          <w:color w:val="auto"/>
        </w:rPr>
        <w:t>ROFO Notice</w:t>
      </w:r>
      <w:r>
        <w:rPr>
          <w:rFonts w:ascii="Arial" w:cs="Arial" w:eastAsia="Arial" w:hAnsi="Arial"/>
          <w:sz w:val="18"/>
          <w:szCs w:val="18"/>
          <w:color w:val="auto"/>
        </w:rPr>
        <w:t xml:space="preserve">”) of the availability of such ROFO Space, together with the terms and conditions on which Landlord is prepared to lease Tenant such ROFO Space. Tenant shall be required to exercise its right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with respect to all of the ROFO Space described in the ROFO Notice (the “</w:t>
      </w:r>
      <w:r>
        <w:rPr>
          <w:rFonts w:ascii="Arial" w:cs="Arial" w:eastAsia="Arial" w:hAnsi="Arial"/>
          <w:sz w:val="18"/>
          <w:szCs w:val="18"/>
          <w:b w:val="1"/>
          <w:bCs w:val="1"/>
          <w:color w:val="auto"/>
        </w:rPr>
        <w:t>Identified ROFO Space</w:t>
      </w:r>
      <w:r>
        <w:rPr>
          <w:rFonts w:ascii="Arial" w:cs="Arial" w:eastAsia="Arial" w:hAnsi="Arial"/>
          <w:sz w:val="18"/>
          <w:szCs w:val="18"/>
          <w:color w:val="auto"/>
        </w:rPr>
        <w:t>”). In no event shall the A06 Work Letter apply with respect to the ROFO Space. The Term of the Lease with respect to the ROFO Space must be co-terminus with the Term of the Lease with respect to the then existing Premises. Tenant shall have 10 days following receipt of the ROFO Notice to deliver to Landlord written notification of Tenant’s exercise of its Right of First Offer with respect to the Identified ROFO Space (“</w:t>
      </w:r>
      <w:r>
        <w:rPr>
          <w:rFonts w:ascii="Arial" w:cs="Arial" w:eastAsia="Arial" w:hAnsi="Arial"/>
          <w:sz w:val="18"/>
          <w:szCs w:val="18"/>
          <w:b w:val="1"/>
          <w:bCs w:val="1"/>
          <w:color w:val="auto"/>
        </w:rPr>
        <w:t>ROFO Exercise Notice</w:t>
      </w:r>
      <w:r>
        <w:rPr>
          <w:rFonts w:ascii="Arial" w:cs="Arial" w:eastAsia="Arial" w:hAnsi="Arial"/>
          <w:sz w:val="18"/>
          <w:szCs w:val="18"/>
          <w:color w:val="auto"/>
        </w:rPr>
        <w:t xml:space="preserve">”). If Tenant does not deliver a ROFO Exercise Notice to Landlord within such 10 day period, then Landlord shall have the right to lease the Identified ROFO Space to any third party on any terms and conditions acceptable to Landlord. Tenant’s Right of First Offer shall be ongoing during the Extended Term; provided, however that Tenant shall have no right to exercise the Right of First Offer and 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no longer apply after the date that is 18 months prior to the expiration of the Extended Term if Tenant has not exercised its Extension Right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this Sixth Amendment.</w:t>
      </w:r>
    </w:p>
    <w:p>
      <w:pPr>
        <w:spacing w:after="0" w:line="193" w:lineRule="exact"/>
        <w:rPr>
          <w:rFonts w:ascii="Arial" w:cs="Arial" w:eastAsia="Arial" w:hAnsi="Arial"/>
          <w:sz w:val="18"/>
          <w:szCs w:val="18"/>
          <w:b w:val="1"/>
          <w:bCs w:val="1"/>
          <w:color w:val="auto"/>
        </w:rPr>
      </w:pPr>
    </w:p>
    <w:p>
      <w:pPr>
        <w:jc w:val="both"/>
        <w:ind w:left="872" w:hanging="8"/>
        <w:spacing w:after="0" w:line="244" w:lineRule="auto"/>
        <w:tabs>
          <w:tab w:leader="none" w:pos="1680"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Amended Lease (ROFO)</w:t>
      </w:r>
      <w:r>
        <w:rPr>
          <w:rFonts w:ascii="Arial" w:cs="Arial" w:eastAsia="Arial" w:hAnsi="Arial"/>
          <w:sz w:val="18"/>
          <w:szCs w:val="18"/>
          <w:color w:val="auto"/>
        </w:rPr>
        <w:t>. If: (i) Tenant fails to timely deliver a ROFO Exercise Notice, or (ii) after the expiration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10 days after Landlord’s delivery to Tenant of a lease amendment for Tenant’s lease of such ROFO Space, no lease amendment for the ROFO Space acceptable to both parties each in their reasonable discretion after using diligent good faith efforts negotiate the same, has been executed, Tenant shall, notwithstanding anything to the contrary contained herein, be deemed to have forever waived its right to lease that specific ROFO Space.</w:t>
      </w:r>
    </w:p>
    <w:p>
      <w:pPr>
        <w:spacing w:after="0" w:line="176" w:lineRule="exact"/>
        <w:rPr>
          <w:rFonts w:ascii="Arial" w:cs="Arial" w:eastAsia="Arial" w:hAnsi="Arial"/>
          <w:sz w:val="18"/>
          <w:szCs w:val="18"/>
          <w:b w:val="1"/>
          <w:bCs w:val="1"/>
          <w:color w:val="auto"/>
        </w:rPr>
      </w:pPr>
    </w:p>
    <w:p>
      <w:pPr>
        <w:ind w:left="872" w:hanging="8"/>
        <w:spacing w:after="0" w:line="271" w:lineRule="auto"/>
        <w:tabs>
          <w:tab w:leader="none" w:pos="1670"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ROFO Exceptions</w:t>
      </w:r>
      <w:r>
        <w:rPr>
          <w:rFonts w:ascii="Arial" w:cs="Arial" w:eastAsia="Arial" w:hAnsi="Arial"/>
          <w:sz w:val="18"/>
          <w:szCs w:val="18"/>
          <w:color w:val="auto"/>
        </w:rPr>
        <w:t>. Notwithstanding the above, the Right of First Offer shall, at Landlord’s option, not be in effect and</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be exercised by Tenant:</w:t>
      </w:r>
    </w:p>
    <w:p>
      <w:pPr>
        <w:spacing w:after="0" w:line="175" w:lineRule="exact"/>
        <w:rPr>
          <w:rFonts w:ascii="Arial" w:cs="Arial" w:eastAsia="Arial" w:hAnsi="Arial"/>
          <w:sz w:val="18"/>
          <w:szCs w:val="18"/>
          <w:b w:val="1"/>
          <w:bCs w:val="1"/>
          <w:color w:val="auto"/>
        </w:rPr>
      </w:pPr>
    </w:p>
    <w:p>
      <w:pPr>
        <w:ind w:left="2752" w:hanging="808"/>
        <w:spacing w:after="0"/>
        <w:tabs>
          <w:tab w:leader="none" w:pos="2752" w:val="left"/>
        </w:tabs>
        <w:numPr>
          <w:ilvl w:val="2"/>
          <w:numId w:val="87"/>
        </w:numPr>
        <w:rPr>
          <w:rFonts w:ascii="Arial" w:cs="Arial" w:eastAsia="Arial" w:hAnsi="Arial"/>
          <w:sz w:val="18"/>
          <w:szCs w:val="18"/>
          <w:color w:val="auto"/>
        </w:rPr>
      </w:pPr>
      <w:r>
        <w:rPr>
          <w:rFonts w:ascii="Arial" w:cs="Arial" w:eastAsia="Arial" w:hAnsi="Arial"/>
          <w:sz w:val="18"/>
          <w:szCs w:val="18"/>
          <w:color w:val="auto"/>
        </w:rPr>
        <w:t>during any period of time that there exists an Event of monetary Default under the Lease; or</w:t>
      </w:r>
    </w:p>
    <w:p>
      <w:pPr>
        <w:spacing w:after="0" w:line="211" w:lineRule="exact"/>
        <w:rPr>
          <w:rFonts w:ascii="Arial" w:cs="Arial" w:eastAsia="Arial" w:hAnsi="Arial"/>
          <w:sz w:val="18"/>
          <w:szCs w:val="18"/>
          <w:color w:val="auto"/>
        </w:rPr>
      </w:pPr>
    </w:p>
    <w:p>
      <w:pPr>
        <w:jc w:val="both"/>
        <w:ind w:left="1952" w:hanging="8"/>
        <w:spacing w:after="0"/>
        <w:tabs>
          <w:tab w:leader="none" w:pos="2800" w:val="left"/>
        </w:tabs>
        <w:numPr>
          <w:ilvl w:val="2"/>
          <w:numId w:val="87"/>
        </w:numPr>
        <w:rPr>
          <w:rFonts w:ascii="Arial" w:cs="Arial" w:eastAsia="Arial" w:hAnsi="Arial"/>
          <w:sz w:val="18"/>
          <w:szCs w:val="18"/>
          <w:color w:val="auto"/>
        </w:rPr>
      </w:pPr>
      <w:r>
        <w:rPr>
          <w:rFonts w:ascii="Arial" w:cs="Arial" w:eastAsia="Arial" w:hAnsi="Arial"/>
          <w:sz w:val="18"/>
          <w:szCs w:val="18"/>
          <w:color w:val="auto"/>
        </w:rPr>
        <w:t>if an Event of monetary Default under the Lease has existed 3 or more times, whether or not the Events of Default are cured, during the 12 month period prior to the date on which Tenant seeks to exercise the Right of First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223520</wp:posOffset>
            </wp:positionV>
            <wp:extent cx="2537460" cy="539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98" w:name="page99"/>
    <w:bookmarkEnd w:id="98"/>
    <w:p>
      <w:pPr>
        <w:jc w:val="both"/>
        <w:ind w:left="872" w:hanging="8"/>
        <w:spacing w:after="0" w:line="244" w:lineRule="auto"/>
        <w:tabs>
          <w:tab w:leader="none" w:pos="168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ROFO</w:t>
      </w:r>
      <w:r>
        <w:rPr>
          <w:rFonts w:ascii="Arial" w:cs="Arial" w:eastAsia="Arial" w:hAnsi="Arial"/>
          <w:sz w:val="18"/>
          <w:szCs w:val="18"/>
          <w:color w:val="auto"/>
        </w:rPr>
        <w:t>. The Right of First Offer shall, at Landlord’s option, terminate and be of no further force or effect</w:t>
      </w:r>
      <w:r>
        <w:rPr>
          <w:rFonts w:ascii="Arial" w:cs="Arial" w:eastAsia="Arial" w:hAnsi="Arial"/>
          <w:sz w:val="18"/>
          <w:szCs w:val="18"/>
          <w:b w:val="1"/>
          <w:bCs w:val="1"/>
          <w:color w:val="auto"/>
        </w:rPr>
        <w:t xml:space="preserve"> </w:t>
      </w:r>
      <w:r>
        <w:rPr>
          <w:rFonts w:ascii="Arial" w:cs="Arial" w:eastAsia="Arial" w:hAnsi="Arial"/>
          <w:sz w:val="18"/>
          <w:szCs w:val="18"/>
          <w:color w:val="auto"/>
        </w:rPr>
        <w:t>even after Tenant’s due and timely exercise of the Right of First Offer, if, after such exercise, but prior to the commencement date of the lease of such ROFO Space, (i) Tenant fails to timely cure any Event of monetary Default under the Lease; or (ii) an Event of Default under the Lease has existed 3 or more times during the period from the date of the exercise of the Right of First Offer to the date of the commencement of the lease of such ROFO Space, whether or not such Events of monetary Default are cured.</w:t>
      </w:r>
    </w:p>
    <w:p>
      <w:pPr>
        <w:spacing w:after="0" w:line="176" w:lineRule="exact"/>
        <w:rPr>
          <w:rFonts w:ascii="Arial" w:cs="Arial" w:eastAsia="Arial" w:hAnsi="Arial"/>
          <w:sz w:val="18"/>
          <w:szCs w:val="18"/>
          <w:b w:val="1"/>
          <w:bCs w:val="1"/>
          <w:color w:val="auto"/>
        </w:rPr>
      </w:pPr>
    </w:p>
    <w:p>
      <w:pPr>
        <w:jc w:val="both"/>
        <w:ind w:left="872" w:hanging="8"/>
        <w:spacing w:after="0" w:line="253" w:lineRule="auto"/>
        <w:tabs>
          <w:tab w:leader="none" w:pos="167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ROFO Rights Personal</w:t>
      </w:r>
      <w:r>
        <w:rPr>
          <w:rFonts w:ascii="Arial" w:cs="Arial" w:eastAsia="Arial" w:hAnsi="Arial"/>
          <w:sz w:val="18"/>
          <w:szCs w:val="18"/>
          <w:color w:val="auto"/>
        </w:rPr>
        <w:t>. The Right of First Offer is personal to Tenant and is not assignable without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which may be granted or withheld in Landlord’s sole discretion separate and apart from any consent by Landlord to an assignment of Tenant’s interest in the Lease.</w:t>
      </w:r>
    </w:p>
    <w:p>
      <w:pPr>
        <w:spacing w:after="0" w:line="168" w:lineRule="exact"/>
        <w:rPr>
          <w:rFonts w:ascii="Arial" w:cs="Arial" w:eastAsia="Arial" w:hAnsi="Arial"/>
          <w:sz w:val="18"/>
          <w:szCs w:val="18"/>
          <w:b w:val="1"/>
          <w:bCs w:val="1"/>
          <w:color w:val="auto"/>
        </w:rPr>
      </w:pPr>
    </w:p>
    <w:p>
      <w:pPr>
        <w:ind w:left="872" w:hanging="8"/>
        <w:spacing w:after="0" w:line="271" w:lineRule="auto"/>
        <w:tabs>
          <w:tab w:leader="none" w:pos="163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No Extensions of ROFO</w:t>
      </w:r>
      <w:r>
        <w:rPr>
          <w:rFonts w:ascii="Arial" w:cs="Arial" w:eastAsia="Arial" w:hAnsi="Arial"/>
          <w:sz w:val="18"/>
          <w:szCs w:val="18"/>
          <w:color w:val="auto"/>
        </w:rPr>
        <w:t>. The period of time within which the Right of First Offer may be exercised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or enlarged by reason of Tenant’s inability to exercise the Right of First Offer.</w:t>
      </w:r>
    </w:p>
    <w:p>
      <w:pPr>
        <w:spacing w:after="0" w:line="153" w:lineRule="exact"/>
        <w:rPr>
          <w:rFonts w:ascii="Arial" w:cs="Arial" w:eastAsia="Arial" w:hAnsi="Arial"/>
          <w:sz w:val="18"/>
          <w:szCs w:val="18"/>
          <w:b w:val="1"/>
          <w:bCs w:val="1"/>
          <w:color w:val="auto"/>
        </w:rPr>
      </w:pPr>
    </w:p>
    <w:p>
      <w:pPr>
        <w:jc w:val="both"/>
        <w:ind w:left="852" w:hanging="852"/>
        <w:spacing w:after="0" w:line="253" w:lineRule="auto"/>
        <w:tabs>
          <w:tab w:leader="none" w:pos="8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Third Amendment</w:t>
      </w:r>
      <w:r>
        <w:rPr>
          <w:rFonts w:ascii="Arial" w:cs="Arial" w:eastAsia="Arial" w:hAnsi="Arial"/>
          <w:sz w:val="18"/>
          <w:szCs w:val="18"/>
          <w:color w:val="auto"/>
        </w:rPr>
        <w:t>. Commencing on the Sixth Amendment Commencement Date, Section 2.6(a)(20) of the Lease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Rent”, as added to the Lease by the Third Amendment shall be deleted in its entirety from the Lease and shall be of no further force or effect.</w:t>
      </w:r>
    </w:p>
    <w:p>
      <w:pPr>
        <w:spacing w:after="0" w:line="168" w:lineRule="exact"/>
        <w:rPr>
          <w:rFonts w:ascii="Arial" w:cs="Arial" w:eastAsia="Arial" w:hAnsi="Arial"/>
          <w:sz w:val="18"/>
          <w:szCs w:val="18"/>
          <w:b w:val="1"/>
          <w:bCs w:val="1"/>
          <w:color w:val="auto"/>
        </w:rPr>
      </w:pPr>
    </w:p>
    <w:p>
      <w:pPr>
        <w:jc w:val="both"/>
        <w:ind w:left="852" w:hanging="852"/>
        <w:spacing w:after="0" w:line="236" w:lineRule="auto"/>
        <w:tabs>
          <w:tab w:leader="none" w:pos="8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California Accessibility Disclosure</w:t>
      </w:r>
      <w:r>
        <w:rPr>
          <w:rFonts w:ascii="Arial" w:cs="Arial" w:eastAsia="Arial" w:hAnsi="Arial"/>
          <w:sz w:val="18"/>
          <w:szCs w:val="18"/>
          <w:color w:val="auto"/>
        </w:rPr>
        <w:t>. For purposes of Section 1938(a) of the California Civil Code, Landlord hereby discloses to</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and Tenant hereby acknowledges, that the Complex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and in connection with such notice: (i) Tenant, having read such notice and understanding Tenant’s right to request and obtain a CASp inspection, hereby elects not to obtain such CASp inspection and forever waives its rights to obtain a CASp inspection with respect to the Premises, Building and/or Complex to the extent permitted by Legal Requirements; and (ii) if the waiver set forth in clause (i) hereinabove is not enforceable pursuant to Legal Requirements, then Landlord and Tenant hereby agree as follows (which constitutes the mutual agreement of the parties as to the matters described in the last sentence of the foregoing notice): (A) Tenant shall have the one-time right to request for and obtain a CASp inspection, which request must be made, if at all, in a written notice delivered by Tenant to Landlord; (B) any CASp inspection timely requested by Tenant shall be conducted (1) at a time mutually agreed to by Landlord and Tenant, (2) in a professional manner by a CASp designated by Landlord and without any testing that would damage the Premises, Building or Complex in any way, and (3) at Tenant’s sole cost and expense, including, without limitation, Tenant’s payment of the fee for such CASp inspection, the fee for any reports prepared by the CASp in connection with such CASp inspection (collectively, the “</w:t>
      </w:r>
      <w:r>
        <w:rPr>
          <w:rFonts w:ascii="Arial" w:cs="Arial" w:eastAsia="Arial" w:hAnsi="Arial"/>
          <w:sz w:val="18"/>
          <w:szCs w:val="18"/>
          <w:b w:val="1"/>
          <w:bCs w:val="1"/>
          <w:color w:val="auto"/>
        </w:rPr>
        <w:t>CASp</w:t>
      </w:r>
      <w:r>
        <w:rPr>
          <w:rFonts w:ascii="Arial" w:cs="Arial" w:eastAsia="Arial" w:hAnsi="Arial"/>
          <w:sz w:val="18"/>
          <w:szCs w:val="18"/>
          <w:color w:val="auto"/>
        </w:rPr>
        <w:t xml:space="preserve"> </w:t>
      </w:r>
      <w:r>
        <w:rPr>
          <w:rFonts w:ascii="Arial" w:cs="Arial" w:eastAsia="Arial" w:hAnsi="Arial"/>
          <w:sz w:val="18"/>
          <w:szCs w:val="18"/>
          <w:b w:val="1"/>
          <w:bCs w:val="1"/>
          <w:color w:val="auto"/>
        </w:rPr>
        <w:t>Reports</w:t>
      </w:r>
      <w:r>
        <w:rPr>
          <w:rFonts w:ascii="Arial" w:cs="Arial" w:eastAsia="Arial" w:hAnsi="Arial"/>
          <w:sz w:val="18"/>
          <w:szCs w:val="18"/>
          <w:color w:val="auto"/>
        </w:rPr>
        <w:t>”) and all other costs and expenses in connection therewith; (C) the CASp Reports shall be delivered by the CASp</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to Landlord and Tenant; (D) Tenant, at its sole cost and expense, shall be responsible for making any improvements, alterations, modifications and/or repairs to or within the Premises to correct violations of construction-related accessibility standards including, without limitation, any violations disclosed by such CASp inspection; and (E) if such CASp inspection identifies any improvements,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366395</wp:posOffset>
            </wp:positionV>
            <wp:extent cx="2537460" cy="5397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99" w:name="page100"/>
    <w:bookmarkEnd w:id="99"/>
    <w:p>
      <w:pPr>
        <w:jc w:val="both"/>
        <w:ind w:left="860"/>
        <w:spacing w:after="0" w:line="238" w:lineRule="auto"/>
        <w:rPr>
          <w:sz w:val="20"/>
          <w:szCs w:val="20"/>
          <w:color w:val="auto"/>
        </w:rPr>
      </w:pPr>
      <w:r>
        <w:rPr>
          <w:rFonts w:ascii="Arial" w:cs="Arial" w:eastAsia="Arial" w:hAnsi="Arial"/>
          <w:sz w:val="18"/>
          <w:szCs w:val="18"/>
          <w:color w:val="auto"/>
        </w:rPr>
        <w:t>modifications and/or repairs necessary to correct violations of construction-related accessibility standards relating to those items of the Building and Complex located outside the Premises that are Landlord’s obligation to repair as set forth in the Lease, then Landlord shall perform such improvements, alterations, modifications and/or repairs as and to the extent required by Legal Requirements to correct such violations, and Tenant shall reimburse Landlord for the cost of such improvements, alterations, modifications and/or repairs within 10 business days after Tenant’s receipt of an invoice therefor from Landlord.</w:t>
      </w:r>
    </w:p>
    <w:p>
      <w:pPr>
        <w:spacing w:after="0" w:line="180" w:lineRule="exact"/>
        <w:rPr>
          <w:sz w:val="20"/>
          <w:szCs w:val="20"/>
          <w:color w:val="auto"/>
        </w:rPr>
      </w:pPr>
    </w:p>
    <w:p>
      <w:pPr>
        <w:jc w:val="both"/>
        <w:ind w:left="860" w:hanging="852"/>
        <w:spacing w:after="0" w:line="242" w:lineRule="auto"/>
        <w:tabs>
          <w:tab w:leader="none" w:pos="8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is currently (a) in compliance with and shall at all times during the Term of the Lease remain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78" w:lineRule="exact"/>
        <w:rPr>
          <w:rFonts w:ascii="Arial" w:cs="Arial" w:eastAsia="Arial" w:hAnsi="Arial"/>
          <w:sz w:val="18"/>
          <w:szCs w:val="18"/>
          <w:b w:val="1"/>
          <w:bCs w:val="1"/>
          <w:color w:val="auto"/>
        </w:rPr>
      </w:pPr>
    </w:p>
    <w:p>
      <w:pPr>
        <w:jc w:val="both"/>
        <w:ind w:left="860" w:hanging="852"/>
        <w:spacing w:after="0" w:line="244" w:lineRule="auto"/>
        <w:tabs>
          <w:tab w:leader="none" w:pos="8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each represents and warrants that it has not dealt with any broker, agent or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 Sixth Amendment and that no Broker brought about this Sixth Amendment, other than Jones Lang LaSalle. Landlord and Tenant each hereby agree to indemnify and hold the other harmless from and against any claims by any Broker, other than Jones Lang LaSalle, claiming a commission or other form of compensation by virtue of having dealt with Tenant or Landlord, as applicable, with regard to this Sixth Amendment.</w:t>
      </w:r>
    </w:p>
    <w:p>
      <w:pPr>
        <w:spacing w:after="0" w:line="176" w:lineRule="exact"/>
        <w:rPr>
          <w:rFonts w:ascii="Arial" w:cs="Arial" w:eastAsia="Arial" w:hAnsi="Arial"/>
          <w:sz w:val="18"/>
          <w:szCs w:val="18"/>
          <w:b w:val="1"/>
          <w:bCs w:val="1"/>
          <w:color w:val="auto"/>
        </w:rPr>
      </w:pPr>
    </w:p>
    <w:p>
      <w:pPr>
        <w:ind w:left="860" w:hanging="852"/>
        <w:spacing w:after="0"/>
        <w:tabs>
          <w:tab w:leader="none" w:pos="8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33" w:lineRule="exact"/>
        <w:rPr>
          <w:rFonts w:ascii="Arial" w:cs="Arial" w:eastAsia="Arial" w:hAnsi="Arial"/>
          <w:sz w:val="18"/>
          <w:szCs w:val="18"/>
          <w:b w:val="1"/>
          <w:bCs w:val="1"/>
          <w:color w:val="auto"/>
        </w:rPr>
      </w:pPr>
    </w:p>
    <w:p>
      <w:pPr>
        <w:jc w:val="both"/>
        <w:ind w:left="880" w:hanging="8"/>
        <w:spacing w:after="0"/>
        <w:tabs>
          <w:tab w:leader="none" w:pos="1678"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This Sixth Amendment is the entire agreement between the parties with respect to the subject matter hereof and supersedes all prior and contemporaneous oral and written agreements and discussions. This Sixth Amendment may be amended only by an agreement in writing, signed by the parties hereto.</w:t>
      </w:r>
    </w:p>
    <w:p>
      <w:pPr>
        <w:spacing w:after="0" w:line="202" w:lineRule="exact"/>
        <w:rPr>
          <w:rFonts w:ascii="Arial" w:cs="Arial" w:eastAsia="Arial" w:hAnsi="Arial"/>
          <w:sz w:val="18"/>
          <w:szCs w:val="18"/>
          <w:b w:val="1"/>
          <w:bCs w:val="1"/>
          <w:color w:val="auto"/>
        </w:rPr>
      </w:pPr>
    </w:p>
    <w:p>
      <w:pPr>
        <w:jc w:val="both"/>
        <w:ind w:left="880" w:hanging="8"/>
        <w:spacing w:after="0"/>
        <w:tabs>
          <w:tab w:leader="none" w:pos="1688"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This Sixth Amendment is binding upon and shall inure to the benefit of the parties hereto, their respective agents, employees, representatives, officers, directors, divisions, subsidiaries, affiliates, assigns, heirs, successors in interest and shareholders.</w:t>
      </w:r>
    </w:p>
    <w:p>
      <w:pPr>
        <w:spacing w:after="0" w:line="202" w:lineRule="exact"/>
        <w:rPr>
          <w:rFonts w:ascii="Arial" w:cs="Arial" w:eastAsia="Arial" w:hAnsi="Arial"/>
          <w:sz w:val="18"/>
          <w:szCs w:val="18"/>
          <w:b w:val="1"/>
          <w:bCs w:val="1"/>
          <w:color w:val="auto"/>
        </w:rPr>
      </w:pPr>
    </w:p>
    <w:p>
      <w:pPr>
        <w:jc w:val="both"/>
        <w:ind w:left="880" w:hanging="8"/>
        <w:spacing w:after="0" w:line="237" w:lineRule="auto"/>
        <w:tabs>
          <w:tab w:leader="none" w:pos="1678"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This Sixth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Sixth Amendment and all matters related thereto, with such electronic signatures having the same legal effect as original signatures.</w:t>
      </w:r>
    </w:p>
    <w:p>
      <w:pPr>
        <w:spacing w:after="0" w:line="96" w:lineRule="exact"/>
        <w:rPr>
          <w:rFonts w:ascii="Arial" w:cs="Arial" w:eastAsia="Arial" w:hAnsi="Arial"/>
          <w:sz w:val="18"/>
          <w:szCs w:val="18"/>
          <w:b w:val="1"/>
          <w:bCs w:val="1"/>
          <w:color w:val="auto"/>
        </w:rPr>
      </w:pPr>
    </w:p>
    <w:p>
      <w:pPr>
        <w:jc w:val="both"/>
        <w:ind w:left="880" w:hanging="8"/>
        <w:spacing w:after="0" w:line="238" w:lineRule="auto"/>
        <w:tabs>
          <w:tab w:leader="none" w:pos="1688"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Sixth Amendment, the Lease is hereby ratified and confirmed and all other terms of the Lease shall remain in full force and effect, unaltered and unchanged by this Sixth Amendment. In the event of any conflict between the provisions of this Sixth Amendment and the provisions of the Lease, the provisions of this Sixth Amendment shall prevail. Whether or not specifically amended by this Sixth Amendment, all of the terms and provisions of the Lease are hereby amended to the extent necessary to give effect to the purpose and intent of this Sixth Amendment.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371475</wp:posOffset>
            </wp:positionV>
            <wp:extent cx="2537460" cy="539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IN WITNESS WHEREOF, Landlord and Tenant have executed this Sixth Amendment as of the day and year first above written.</w:t>
      </w:r>
    </w:p>
    <w:p>
      <w:pPr>
        <w:spacing w:after="0" w:line="20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TENANT:</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Enrique Conterno</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ARE- SAN FRANCISCO NO. 43, LLC,</w:t>
      </w:r>
    </w:p>
    <w:p>
      <w:pPr>
        <w:spacing w:after="0" w:line="24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By:ALEXANDRIA REAL ESTATE EQUITIES, L.P.,</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 Delaware limited partnership,</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By:ARE-QRS CORP.,</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Kristen Childs</w:t>
      </w:r>
      <w:r>
        <w:rPr>
          <w:rFonts w:ascii="Arial" w:cs="Arial" w:eastAsia="Arial" w:hAnsi="Arial"/>
          <w:sz w:val="18"/>
          <w:szCs w:val="18"/>
          <w:color w:val="auto"/>
        </w:rPr>
        <w:t>____________</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SVP of 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511810</wp:posOffset>
            </wp:positionV>
            <wp:extent cx="2537460" cy="5397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101" w:name="page102"/>
    <w:bookmarkEnd w:id="101"/>
    <w:p>
      <w:pPr>
        <w:ind w:left="5180"/>
        <w:spacing w:after="0"/>
        <w:rPr>
          <w:sz w:val="20"/>
          <w:szCs w:val="20"/>
          <w:color w:val="auto"/>
        </w:rPr>
      </w:pPr>
      <w:r>
        <w:rPr>
          <w:rFonts w:ascii="Arial" w:cs="Arial" w:eastAsia="Arial" w:hAnsi="Arial"/>
          <w:sz w:val="18"/>
          <w:szCs w:val="18"/>
          <w:b w:val="1"/>
          <w:bCs w:val="1"/>
          <w:color w:val="auto"/>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A06 WORK LETTER</w:t>
      </w:r>
    </w:p>
    <w:p>
      <w:pPr>
        <w:spacing w:after="0" w:line="320"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THIS A06 WORK LETTER dated June 1, 2021 (the “</w:t>
      </w:r>
      <w:r>
        <w:rPr>
          <w:rFonts w:ascii="Arial" w:cs="Arial" w:eastAsia="Arial" w:hAnsi="Arial"/>
          <w:sz w:val="18"/>
          <w:szCs w:val="18"/>
          <w:b w:val="1"/>
          <w:bCs w:val="1"/>
          <w:color w:val="auto"/>
        </w:rPr>
        <w:t>A06 Work Letter</w:t>
      </w:r>
      <w:r>
        <w:rPr>
          <w:rFonts w:ascii="Arial" w:cs="Arial" w:eastAsia="Arial" w:hAnsi="Arial"/>
          <w:sz w:val="18"/>
          <w:szCs w:val="18"/>
          <w:color w:val="auto"/>
        </w:rPr>
        <w:t>”) is incorporated into that certain Lease Agreement dated as of September 22, 2006, as amended by that certain First Amendment to Lease dated as of October 10, 2007, and as further amended by that certain letter agreement dated as of March 21, 2008, that certain Second Amendment to Lease dated as of June 29, 2009, that certain Third Amendment to Lease dated as of May 19, 2011, that certain letter agreement dated as of June 20, 2011, that certain Fourth Amendment to Lease dated as of September 8, 2011, that certain letter agreement dated as of November 15, 2012, that certain Memorandum of Understanding dated as of October 1, 2014, that certain Fifth Amendment to Lease dated as of December 23, 2014, that certain letter agreement dated as of December 23, 2014, that certain letter agreement dated as of December 10, 2015, that certain letter agreement dated as of April 26, 2016, and that certain Sixth Amendment to Lease dated of even date herewith (the “</w:t>
      </w:r>
      <w:r>
        <w:rPr>
          <w:rFonts w:ascii="Arial" w:cs="Arial" w:eastAsia="Arial" w:hAnsi="Arial"/>
          <w:sz w:val="18"/>
          <w:szCs w:val="18"/>
          <w:b w:val="1"/>
          <w:bCs w:val="1"/>
          <w:color w:val="auto"/>
        </w:rPr>
        <w:t>Sixth Amendment</w:t>
      </w:r>
      <w:r>
        <w:rPr>
          <w:rFonts w:ascii="Arial" w:cs="Arial" w:eastAsia="Arial" w:hAnsi="Arial"/>
          <w:sz w:val="18"/>
          <w:szCs w:val="18"/>
          <w:color w:val="auto"/>
        </w:rPr>
        <w:t>”) (as amended,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ARE- SAN FRANCISCO NO. 43,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FIBROGEN,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Any initially capitalized terms used but not defined herein shall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given them in the Lease.</w:t>
      </w:r>
    </w:p>
    <w:p>
      <w:pPr>
        <w:spacing w:after="0" w:line="186" w:lineRule="exact"/>
        <w:rPr>
          <w:sz w:val="20"/>
          <w:szCs w:val="20"/>
          <w:color w:val="auto"/>
        </w:rPr>
      </w:pPr>
    </w:p>
    <w:p>
      <w:pPr>
        <w:ind w:left="1660" w:hanging="788"/>
        <w:spacing w:after="0"/>
        <w:tabs>
          <w:tab w:leader="none" w:pos="16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44" w:lineRule="auto"/>
        <w:tabs>
          <w:tab w:leader="none" w:pos="1731"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Tenant’s Authorized Representative</w:t>
      </w:r>
      <w:r>
        <w:rPr>
          <w:rFonts w:ascii="Arial" w:cs="Arial" w:eastAsia="Arial" w:hAnsi="Arial"/>
          <w:sz w:val="18"/>
          <w:szCs w:val="18"/>
          <w:color w:val="auto"/>
        </w:rPr>
        <w:t>. Tenant designates Catherine Sharpe and Martin Quan (either such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acting alone, “</w:t>
      </w:r>
      <w:r>
        <w:rPr>
          <w:rFonts w:ascii="Arial" w:cs="Arial" w:eastAsia="Arial" w:hAnsi="Arial"/>
          <w:sz w:val="18"/>
          <w:szCs w:val="18"/>
          <w:b w:val="1"/>
          <w:bCs w:val="1"/>
          <w:color w:val="auto"/>
        </w:rPr>
        <w:t>Tenant’s Representative</w:t>
      </w:r>
      <w:r>
        <w:rPr>
          <w:rFonts w:ascii="Arial" w:cs="Arial" w:eastAsia="Arial" w:hAnsi="Arial"/>
          <w:sz w:val="18"/>
          <w:szCs w:val="18"/>
          <w:color w:val="auto"/>
        </w:rPr>
        <w:t>”) as the only persons authorized to act for Tenant pursuant to this A06 Work Letter. Landlord shall not be obligated to respond to or act upon any request, approval, inquiry or other communication (“</w:t>
      </w:r>
      <w:r>
        <w:rPr>
          <w:rFonts w:ascii="Arial" w:cs="Arial" w:eastAsia="Arial" w:hAnsi="Arial"/>
          <w:sz w:val="18"/>
          <w:szCs w:val="18"/>
          <w:b w:val="1"/>
          <w:bCs w:val="1"/>
          <w:color w:val="auto"/>
        </w:rPr>
        <w:t>Communication</w:t>
      </w:r>
      <w:r>
        <w:rPr>
          <w:rFonts w:ascii="Arial" w:cs="Arial" w:eastAsia="Arial" w:hAnsi="Arial"/>
          <w:sz w:val="18"/>
          <w:szCs w:val="18"/>
          <w:color w:val="auto"/>
        </w:rPr>
        <w:t>”) from or on behalf of Tenant in connection with this A06 Work Letter unless such Communication is in writing from Tenant’s Representative. Tenant may change either Tenant’s Representative at any time upon not less than 5 business days advance written notice to Landlord.</w:t>
      </w:r>
    </w:p>
    <w:p>
      <w:pPr>
        <w:spacing w:after="0" w:line="176" w:lineRule="exact"/>
        <w:rPr>
          <w:rFonts w:ascii="Arial" w:cs="Arial" w:eastAsia="Arial" w:hAnsi="Arial"/>
          <w:sz w:val="18"/>
          <w:szCs w:val="18"/>
          <w:color w:val="auto"/>
        </w:rPr>
      </w:pPr>
    </w:p>
    <w:p>
      <w:pPr>
        <w:jc w:val="both"/>
        <w:ind w:firstLine="872"/>
        <w:spacing w:after="0" w:line="244" w:lineRule="auto"/>
        <w:tabs>
          <w:tab w:leader="none" w:pos="1731"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Greg Gehlen and Jeanevy Abata (either such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acting 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A06 Work Letter. Tenant shall not be obligated to respond to or act upon any request, approval, inquiry or other Communication from or on behalf of Landlord in connection with this A06 Work Letter unless such Communication is in writing from Landlord’s Representative. Landlord may change either Landlord’s Representative at any time upon not less than 5 business days advance written notice to Tenant.</w:t>
      </w:r>
    </w:p>
    <w:p>
      <w:pPr>
        <w:spacing w:after="0" w:line="176" w:lineRule="exact"/>
        <w:rPr>
          <w:rFonts w:ascii="Arial" w:cs="Arial" w:eastAsia="Arial" w:hAnsi="Arial"/>
          <w:sz w:val="18"/>
          <w:szCs w:val="18"/>
          <w:color w:val="auto"/>
        </w:rPr>
      </w:pPr>
    </w:p>
    <w:p>
      <w:pPr>
        <w:jc w:val="both"/>
        <w:ind w:firstLine="872"/>
        <w:spacing w:after="0" w:line="242" w:lineRule="auto"/>
        <w:tabs>
          <w:tab w:leader="none" w:pos="1721"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Architects, Consultants and Contractors</w:t>
      </w:r>
      <w:r>
        <w:rPr>
          <w:rFonts w:ascii="Arial" w:cs="Arial" w:eastAsia="Arial" w:hAnsi="Arial"/>
          <w:sz w:val="18"/>
          <w:szCs w:val="18"/>
          <w:color w:val="auto"/>
        </w:rPr>
        <w:t>. The architect (the “</w:t>
      </w:r>
      <w:r>
        <w:rPr>
          <w:rFonts w:ascii="Arial" w:cs="Arial" w:eastAsia="Arial" w:hAnsi="Arial"/>
          <w:sz w:val="18"/>
          <w:szCs w:val="18"/>
          <w:b w:val="1"/>
          <w:bCs w:val="1"/>
          <w:color w:val="auto"/>
        </w:rPr>
        <w:t>TI Architect</w:t>
      </w:r>
      <w:r>
        <w:rPr>
          <w:rFonts w:ascii="Arial" w:cs="Arial" w:eastAsia="Arial" w:hAnsi="Arial"/>
          <w:sz w:val="18"/>
          <w:szCs w:val="18"/>
          <w:color w:val="auto"/>
        </w:rPr>
        <w:t>”) for the Tenant Improvements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below), the general contractor for the Tenant Improvements (the “</w:t>
      </w:r>
      <w:r>
        <w:rPr>
          <w:rFonts w:ascii="Arial" w:cs="Arial" w:eastAsia="Arial" w:hAnsi="Arial"/>
          <w:sz w:val="18"/>
          <w:szCs w:val="18"/>
          <w:b w:val="1"/>
          <w:bCs w:val="1"/>
          <w:color w:val="auto"/>
        </w:rPr>
        <w:t>General Contractor</w:t>
      </w:r>
      <w:r>
        <w:rPr>
          <w:rFonts w:ascii="Arial" w:cs="Arial" w:eastAsia="Arial" w:hAnsi="Arial"/>
          <w:sz w:val="18"/>
          <w:szCs w:val="18"/>
          <w:color w:val="auto"/>
        </w:rPr>
        <w:t>”), and any subcontractors for the Tenant Improvements shall be selected by Tenant, subject to Landlord’s approval, which approval shall not be unreasonably withheld, conditioned or delayed. Landlord hereby agrees to approve Hathaway Dinwiddie as the General Contractor, if requested to do so by Tenant. Landlord shall be named a third party beneficiary of any contract entered into by Tenant with the A06 TI Architect, any consultant, any contractor or any subcontractor, and of any warranty made by any contractor or any subcontractor.</w:t>
      </w:r>
    </w:p>
    <w:p>
      <w:pPr>
        <w:spacing w:after="0" w:line="179" w:lineRule="exact"/>
        <w:rPr>
          <w:sz w:val="20"/>
          <w:szCs w:val="20"/>
          <w:color w:val="auto"/>
        </w:rPr>
      </w:pPr>
    </w:p>
    <w:p>
      <w:pPr>
        <w:ind w:left="1660" w:hanging="788"/>
        <w:spacing w:after="0"/>
        <w:tabs>
          <w:tab w:leader="none" w:pos="166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53" w:lineRule="auto"/>
        <w:tabs>
          <w:tab w:leader="none" w:pos="1731"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Tenant Improvements Defined</w:t>
      </w:r>
      <w:r>
        <w:rPr>
          <w:rFonts w:ascii="Arial" w:cs="Arial" w:eastAsia="Arial" w:hAnsi="Arial"/>
          <w:sz w:val="18"/>
          <w:szCs w:val="18"/>
          <w:color w:val="auto"/>
        </w:rPr>
        <w:t>. As used herein, “</w:t>
      </w:r>
      <w:r>
        <w:rPr>
          <w:rFonts w:ascii="Arial" w:cs="Arial" w:eastAsia="Arial" w:hAnsi="Arial"/>
          <w:sz w:val="18"/>
          <w:szCs w:val="18"/>
          <w:b w:val="1"/>
          <w:bCs w:val="1"/>
          <w:color w:val="auto"/>
        </w:rPr>
        <w:t>Tenant Improvements</w:t>
      </w:r>
      <w:r>
        <w:rPr>
          <w:rFonts w:ascii="Arial" w:cs="Arial" w:eastAsia="Arial" w:hAnsi="Arial"/>
          <w:sz w:val="18"/>
          <w:szCs w:val="18"/>
          <w:color w:val="auto"/>
        </w:rPr>
        <w:t>” shall mean all improvements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desired by Tenant of a fixed and permanent nature. Other than funding the A06 TI Allowance (as defined below) as provided herein, Landlord shall not have any obligation whatsoever with respect to the finishing of the Premises for Tenant’s use and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198755</wp:posOffset>
            </wp:positionV>
            <wp:extent cx="2537460" cy="5397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2" w:name="page103"/>
    <w:bookmarkEnd w:id="102"/>
    <w:p>
      <w:pPr>
        <w:jc w:val="both"/>
        <w:ind w:left="-872" w:firstLine="872"/>
        <w:spacing w:after="0" w:line="244"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Tenant’s Space Plans</w:t>
      </w:r>
      <w:r>
        <w:rPr>
          <w:rFonts w:ascii="Arial" w:cs="Arial" w:eastAsia="Arial" w:hAnsi="Arial"/>
          <w:sz w:val="18"/>
          <w:szCs w:val="18"/>
          <w:color w:val="auto"/>
        </w:rPr>
        <w:t>. Tenant shall deliver to Landlord schematic drawings and outline specifications (the “</w:t>
      </w:r>
      <w:r>
        <w:rPr>
          <w:rFonts w:ascii="Arial" w:cs="Arial" w:eastAsia="Arial" w:hAnsi="Arial"/>
          <w:sz w:val="18"/>
          <w:szCs w:val="18"/>
          <w:b w:val="1"/>
          <w:bCs w:val="1"/>
          <w:color w:val="auto"/>
        </w:rPr>
        <w:t>Space Plans</w:t>
      </w:r>
      <w:r>
        <w:rPr>
          <w:rFonts w:ascii="Arial" w:cs="Arial" w:eastAsia="Arial" w:hAnsi="Arial"/>
          <w:sz w:val="18"/>
          <w:szCs w:val="18"/>
          <w:color w:val="auto"/>
        </w:rPr>
        <w:t>”) detailing Tenant’s requirements for the Tenant Improvements. Not more than 10 days thereafter, Landlord shall deliver to Tenant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reasonable objections, questions or comments of Landlord and the TI Architect with regard to the Space Plans. Tenant shall cause the Space Plans to be revised to address such written comments and shall resubmit said drawings to Landlord for approval thereafter. Such process shall continue until Landlord has approved the Space Plans.</w:t>
      </w:r>
    </w:p>
    <w:p>
      <w:pPr>
        <w:spacing w:after="0" w:line="176" w:lineRule="exact"/>
        <w:rPr>
          <w:rFonts w:ascii="Arial" w:cs="Arial" w:eastAsia="Arial" w:hAnsi="Arial"/>
          <w:sz w:val="18"/>
          <w:szCs w:val="18"/>
          <w:color w:val="auto"/>
        </w:rPr>
      </w:pPr>
    </w:p>
    <w:p>
      <w:pPr>
        <w:jc w:val="both"/>
        <w:ind w:left="-872" w:firstLine="872"/>
        <w:spacing w:after="0" w:line="238" w:lineRule="auto"/>
        <w:tabs>
          <w:tab w:leader="none" w:pos="85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Working Drawings</w:t>
      </w:r>
      <w:r>
        <w:rPr>
          <w:rFonts w:ascii="Arial" w:cs="Arial" w:eastAsia="Arial" w:hAnsi="Arial"/>
          <w:sz w:val="18"/>
          <w:szCs w:val="18"/>
          <w:color w:val="auto"/>
        </w:rPr>
        <w:t>. Not later than 15 business days following the approval of the Space Plans by Landlord,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cause the TI Architect to prepare and deliver to Landlord for review and comment construction plans, specifications and drawings for the Tenant Improvements (“</w:t>
      </w:r>
      <w:r>
        <w:rPr>
          <w:rFonts w:ascii="Arial" w:cs="Arial" w:eastAsia="Arial" w:hAnsi="Arial"/>
          <w:sz w:val="18"/>
          <w:szCs w:val="18"/>
          <w:b w:val="1"/>
          <w:bCs w:val="1"/>
          <w:color w:val="auto"/>
        </w:rPr>
        <w:t>TI Construction Drawings</w:t>
      </w:r>
      <w:r>
        <w:rPr>
          <w:rFonts w:ascii="Arial" w:cs="Arial" w:eastAsia="Arial" w:hAnsi="Arial"/>
          <w:sz w:val="18"/>
          <w:szCs w:val="18"/>
          <w:color w:val="auto"/>
        </w:rPr>
        <w:t xml:space="preserve">”), which TI Construction Drawings shall be prepared substantially in accordance with the Space Plans. Tenant shall be solely responsible for ensuring that the TI Construction Drawings reflect Tenant’s requirements for the Tenant Improvements. Landlord shall deliver its written comments on the TI Construction Drawings to Tenant not later than 10 business days after Landlord’s receipt of the same; provided, however, that Landlord may not disapprove any matter that is consistent with the Space Plans. Tenant and the TI Architect shall consider all such comments in good faith and shall, within 10 business days after receipt, notify Landlord how Tenant proposes to respond to such comments. Any disputes in connection with such comments shall be resolved in accordance with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hereof. Provided that the design reflected in the TI Construction Drawings is consistent with the Space Plans, Landlord shall approve the TI Construction Drawings submitted by Tenant. Once approved by Landlord, subject to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below, Tenant shall not materially modify the TI Construction Drawings except as may be reasonably required in connection with the issuance of the TI Permit (as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below).</w:t>
      </w:r>
    </w:p>
    <w:p>
      <w:pPr>
        <w:spacing w:after="0" w:line="182" w:lineRule="exact"/>
        <w:rPr>
          <w:rFonts w:ascii="Arial" w:cs="Arial" w:eastAsia="Arial" w:hAnsi="Arial"/>
          <w:sz w:val="18"/>
          <w:szCs w:val="18"/>
          <w:color w:val="auto"/>
        </w:rPr>
      </w:pPr>
    </w:p>
    <w:p>
      <w:pPr>
        <w:jc w:val="both"/>
        <w:ind w:left="-872" w:firstLine="872"/>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Approval and Completion</w:t>
      </w:r>
      <w:r>
        <w:rPr>
          <w:rFonts w:ascii="Arial" w:cs="Arial" w:eastAsia="Arial" w:hAnsi="Arial"/>
          <w:sz w:val="18"/>
          <w:szCs w:val="18"/>
          <w:color w:val="auto"/>
        </w:rPr>
        <w:t>. If any dispute regarding the design of the Tenant Improvements is not settled within 10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Allowance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and (iii) Tenant’s decision will not affect the base Building, structural components of the Building or any Building systems (in which case Landlord shall make the final decision). Any changes to the TI Construction Drawings following Landlord’s and Tenant’s approval of same requested by Tenant shall be processed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180" w:lineRule="exact"/>
        <w:rPr>
          <w:sz w:val="20"/>
          <w:szCs w:val="20"/>
          <w:color w:val="auto"/>
        </w:rPr>
      </w:pPr>
    </w:p>
    <w:p>
      <w:pPr>
        <w:ind w:left="788" w:hanging="788"/>
        <w:spacing w:after="0"/>
        <w:tabs>
          <w:tab w:leader="none" w:pos="788"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Performance of the Tenant Improvements</w:t>
      </w:r>
      <w:r>
        <w:rPr>
          <w:rFonts w:ascii="Arial" w:cs="Arial" w:eastAsia="Arial" w:hAnsi="Arial"/>
          <w:sz w:val="18"/>
          <w:szCs w:val="18"/>
          <w:color w:val="auto"/>
        </w:rPr>
        <w:t>.</w:t>
      </w:r>
    </w:p>
    <w:p>
      <w:pPr>
        <w:spacing w:after="0" w:line="212" w:lineRule="exact"/>
        <w:rPr>
          <w:sz w:val="20"/>
          <w:szCs w:val="20"/>
          <w:color w:val="auto"/>
        </w:rPr>
      </w:pPr>
    </w:p>
    <w:p>
      <w:pPr>
        <w:jc w:val="both"/>
        <w:ind w:left="-872" w:firstLine="872"/>
        <w:spacing w:after="0" w:line="239" w:lineRule="auto"/>
        <w:tabs>
          <w:tab w:leader="none" w:pos="8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Commencement and Permitting of the Tenant Improvements</w:t>
      </w:r>
      <w:r>
        <w:rPr>
          <w:rFonts w:ascii="Arial" w:cs="Arial" w:eastAsia="Arial" w:hAnsi="Arial"/>
          <w:sz w:val="18"/>
          <w:szCs w:val="18"/>
          <w:color w:val="auto"/>
        </w:rPr>
        <w:t>. Tenant shall commence construction of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upon obtaining and delivering to Landlord a building permit (the “</w:t>
      </w:r>
      <w:r>
        <w:rPr>
          <w:rFonts w:ascii="Arial" w:cs="Arial" w:eastAsia="Arial" w:hAnsi="Arial"/>
          <w:sz w:val="18"/>
          <w:szCs w:val="18"/>
          <w:b w:val="1"/>
          <w:bCs w:val="1"/>
          <w:color w:val="auto"/>
        </w:rPr>
        <w:t>TI Permit</w:t>
      </w:r>
      <w:r>
        <w:rPr>
          <w:rFonts w:ascii="Arial" w:cs="Arial" w:eastAsia="Arial" w:hAnsi="Arial"/>
          <w:sz w:val="18"/>
          <w:szCs w:val="18"/>
          <w:color w:val="auto"/>
        </w:rPr>
        <w:t>”) authorizing the construction of the Tenant Improvements consistent with the TI Construction Drawings approved by Landlord. The cost of obtaining the TI Permit shall be payable from the TI Allowance. Landlord shall assist Tenant in obtaining the TI Permit. Prior to the commencement of the Tenant Improvements, Tenant shall deliver to Landlord a copy of any contract with Tenant’s contractors (including the TI Architect), subject to commercially reasonable confidentiality requirements, together with a copy of certificates of insurance from any contractor performing any part of the Tenant Improvement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183" w:lineRule="exact"/>
        <w:rPr>
          <w:rFonts w:ascii="Arial" w:cs="Arial" w:eastAsia="Arial" w:hAnsi="Arial"/>
          <w:sz w:val="18"/>
          <w:szCs w:val="18"/>
          <w:color w:val="auto"/>
        </w:rPr>
      </w:pPr>
    </w:p>
    <w:p>
      <w:pPr>
        <w:jc w:val="both"/>
        <w:ind w:left="-872" w:firstLine="872"/>
        <w:spacing w:after="0" w:line="253" w:lineRule="auto"/>
        <w:tabs>
          <w:tab w:leader="none" w:pos="8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Selection of Materials, Etc</w:t>
      </w:r>
      <w:r>
        <w:rPr>
          <w:rFonts w:ascii="Arial" w:cs="Arial" w:eastAsia="Arial" w:hAnsi="Arial"/>
          <w:sz w:val="18"/>
          <w:szCs w:val="18"/>
          <w:color w:val="auto"/>
        </w:rPr>
        <w:t>. Where more than one type of material or structure is indicated on the TI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Drawings approved by Tenant and Landlord, the option will be within Tenant’s reasonable discretion if the matter concerns the Tenant Improvements, and within Landlord’s sole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198755</wp:posOffset>
            </wp:positionV>
            <wp:extent cx="2537460" cy="539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130810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3"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absolute subjective discretion if the matter concerns the structural components of the Building or any Building system.</w:t>
      </w:r>
    </w:p>
    <w:p>
      <w:pPr>
        <w:spacing w:after="0" w:line="190" w:lineRule="exact"/>
        <w:rPr>
          <w:sz w:val="20"/>
          <w:szCs w:val="20"/>
          <w:color w:val="auto"/>
        </w:rPr>
      </w:pPr>
    </w:p>
    <w:p>
      <w:pPr>
        <w:ind w:left="1720" w:hanging="848"/>
        <w:spacing w:after="0"/>
        <w:tabs>
          <w:tab w:leader="none" w:pos="172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Tenant Liability</w:t>
      </w:r>
      <w:r>
        <w:rPr>
          <w:rFonts w:ascii="Arial" w:cs="Arial" w:eastAsia="Arial" w:hAnsi="Arial"/>
          <w:sz w:val="18"/>
          <w:szCs w:val="18"/>
          <w:color w:val="auto"/>
        </w:rPr>
        <w:t>. Tenant shall be responsible for correcting any deficiencies or defects in the Tenant Improvements.</w:t>
      </w:r>
    </w:p>
    <w:p>
      <w:pPr>
        <w:spacing w:after="0" w:line="211" w:lineRule="exact"/>
        <w:rPr>
          <w:rFonts w:ascii="Arial" w:cs="Arial" w:eastAsia="Arial" w:hAnsi="Arial"/>
          <w:sz w:val="18"/>
          <w:szCs w:val="18"/>
          <w:color w:val="auto"/>
        </w:rPr>
      </w:pPr>
    </w:p>
    <w:p>
      <w:pPr>
        <w:jc w:val="both"/>
        <w:ind w:firstLine="872"/>
        <w:spacing w:after="0" w:line="238" w:lineRule="auto"/>
        <w:tabs>
          <w:tab w:leader="none" w:pos="1731"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Substantial Completion</w:t>
      </w:r>
      <w:r>
        <w:rPr>
          <w:rFonts w:ascii="Arial" w:cs="Arial" w:eastAsia="Arial" w:hAnsi="Arial"/>
          <w:sz w:val="18"/>
          <w:szCs w:val="18"/>
          <w:color w:val="auto"/>
        </w:rPr>
        <w:t>. Tenant shall substantially complete or cause to be substantially completed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a good and workmanlike manner, in accordance with the TI Permit subject, in each case, to Minor Variations and normal “punch list” items of a non-material nature which do not interfere with the use of the Premises (“</w:t>
      </w:r>
      <w:r>
        <w:rPr>
          <w:rFonts w:ascii="Arial" w:cs="Arial" w:eastAsia="Arial" w:hAnsi="Arial"/>
          <w:sz w:val="18"/>
          <w:szCs w:val="18"/>
          <w:b w:val="1"/>
          <w:bCs w:val="1"/>
          <w:color w:val="auto"/>
        </w:rPr>
        <w:t>Substantial Completion</w:t>
      </w:r>
      <w:r>
        <w:rPr>
          <w:rFonts w:ascii="Arial" w:cs="Arial" w:eastAsia="Arial" w:hAnsi="Arial"/>
          <w:sz w:val="18"/>
          <w:szCs w:val="18"/>
          <w:color w:val="auto"/>
        </w:rPr>
        <w:t>” or “</w:t>
      </w:r>
      <w:r>
        <w:rPr>
          <w:rFonts w:ascii="Arial" w:cs="Arial" w:eastAsia="Arial" w:hAnsi="Arial"/>
          <w:sz w:val="18"/>
          <w:szCs w:val="18"/>
          <w:b w:val="1"/>
          <w:bCs w:val="1"/>
          <w:color w:val="auto"/>
        </w:rPr>
        <w:t>Substantially</w:t>
      </w:r>
      <w:r>
        <w:rPr>
          <w:rFonts w:ascii="Arial" w:cs="Arial" w:eastAsia="Arial" w:hAnsi="Arial"/>
          <w:sz w:val="18"/>
          <w:szCs w:val="18"/>
          <w:color w:val="auto"/>
        </w:rPr>
        <w:t xml:space="preserve"> </w:t>
      </w:r>
      <w:r>
        <w:rPr>
          <w:rFonts w:ascii="Arial" w:cs="Arial" w:eastAsia="Arial" w:hAnsi="Arial"/>
          <w:sz w:val="18"/>
          <w:szCs w:val="18"/>
          <w:b w:val="1"/>
          <w:bCs w:val="1"/>
          <w:color w:val="auto"/>
        </w:rPr>
        <w:t>Complete</w:t>
      </w:r>
      <w:r>
        <w:rPr>
          <w:rFonts w:ascii="Arial" w:cs="Arial" w:eastAsia="Arial" w:hAnsi="Arial"/>
          <w:sz w:val="18"/>
          <w:szCs w:val="18"/>
          <w:color w:val="auto"/>
        </w:rPr>
        <w:t>”). Upon Substantial Completion of the Tenant Improvements, Tenant shall require the TI Architect and the General Contractor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 deliver, for the benefit of Tenant and Landlord, a Certificate of Substantial Completion in the form of the American Institute of Architects (“</w:t>
      </w:r>
      <w:r>
        <w:rPr>
          <w:rFonts w:ascii="Arial" w:cs="Arial" w:eastAsia="Arial" w:hAnsi="Arial"/>
          <w:sz w:val="18"/>
          <w:szCs w:val="18"/>
          <w:b w:val="1"/>
          <w:bCs w:val="1"/>
          <w:color w:val="auto"/>
        </w:rPr>
        <w:t>AIA</w:t>
      </w:r>
      <w:r>
        <w:rPr>
          <w:rFonts w:ascii="Arial" w:cs="Arial" w:eastAsia="Arial" w:hAnsi="Arial"/>
          <w:sz w:val="18"/>
          <w:szCs w:val="18"/>
          <w:color w:val="auto"/>
        </w:rPr>
        <w:t>”) document G704. For purposes of this A06 Work Letter, “</w:t>
      </w:r>
      <w:r>
        <w:rPr>
          <w:rFonts w:ascii="Arial" w:cs="Arial" w:eastAsia="Arial" w:hAnsi="Arial"/>
          <w:sz w:val="18"/>
          <w:szCs w:val="18"/>
          <w:b w:val="1"/>
          <w:bCs w:val="1"/>
          <w:color w:val="auto"/>
        </w:rPr>
        <w:t>Minor Variations</w:t>
      </w:r>
      <w:r>
        <w:rPr>
          <w:rFonts w:ascii="Arial" w:cs="Arial" w:eastAsia="Arial" w:hAnsi="Arial"/>
          <w:sz w:val="18"/>
          <w:szCs w:val="18"/>
          <w:color w:val="auto"/>
        </w:rPr>
        <w:t>” shall mean any modifications reasonably required: (i) to comply with all applicable Legal Requirements and/or to obtain or to comply with any required permit (including the TI Permit);</w:t>
      </w:r>
    </w:p>
    <w:p>
      <w:pPr>
        <w:spacing w:after="0" w:line="2" w:lineRule="exact"/>
        <w:rPr>
          <w:rFonts w:ascii="Arial" w:cs="Arial" w:eastAsia="Arial" w:hAnsi="Arial"/>
          <w:sz w:val="18"/>
          <w:szCs w:val="18"/>
          <w:color w:val="auto"/>
        </w:rPr>
      </w:pPr>
    </w:p>
    <w:p>
      <w:pPr>
        <w:ind w:firstLine="8"/>
        <w:spacing w:after="0" w:line="246" w:lineRule="auto"/>
        <w:tabs>
          <w:tab w:leader="none" w:pos="26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comport with good design, engineering, and construction practices which are not material; or (iii) to make reasonable adjustments for field deviations or conditions encountered during the construction of the Tenant Improvements.</w:t>
      </w:r>
    </w:p>
    <w:p>
      <w:pPr>
        <w:spacing w:after="0" w:line="175" w:lineRule="exact"/>
        <w:rPr>
          <w:sz w:val="20"/>
          <w:szCs w:val="20"/>
          <w:color w:val="auto"/>
        </w:rPr>
      </w:pPr>
    </w:p>
    <w:p>
      <w:pPr>
        <w:jc w:val="both"/>
        <w:ind w:firstLine="872"/>
        <w:spacing w:after="0" w:line="247" w:lineRule="auto"/>
        <w:tabs>
          <w:tab w:leader="none" w:pos="1662"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material changes estimated by Tenant to cost in excess of $100,000, which are requested by Tenant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Tenant Improvements after the delivery and approval by Landlord of the Space Plans, shall be requested and instituted in accordance 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which approval shall not be unreasonably withheld, conditioned or delayed.</w:t>
      </w:r>
    </w:p>
    <w:p>
      <w:pPr>
        <w:spacing w:after="0" w:line="174" w:lineRule="exact"/>
        <w:rPr>
          <w:sz w:val="20"/>
          <w:szCs w:val="20"/>
          <w:color w:val="auto"/>
        </w:rPr>
      </w:pPr>
    </w:p>
    <w:p>
      <w:pPr>
        <w:jc w:val="both"/>
        <w:ind w:firstLine="872"/>
        <w:spacing w:after="0" w:line="244" w:lineRule="auto"/>
        <w:tabs>
          <w:tab w:leader="none" w:pos="1731"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Tenant’s Right to Request Changes</w:t>
      </w:r>
      <w:r>
        <w:rPr>
          <w:rFonts w:ascii="Arial" w:cs="Arial" w:eastAsia="Arial" w:hAnsi="Arial"/>
          <w:sz w:val="18"/>
          <w:szCs w:val="18"/>
          <w:color w:val="auto"/>
        </w:rPr>
        <w:t>. If Tenant shall request changes (“</w:t>
      </w:r>
      <w:r>
        <w:rPr>
          <w:rFonts w:ascii="Arial" w:cs="Arial" w:eastAsia="Arial" w:hAnsi="Arial"/>
          <w:sz w:val="18"/>
          <w:szCs w:val="18"/>
          <w:b w:val="1"/>
          <w:bCs w:val="1"/>
          <w:color w:val="auto"/>
        </w:rPr>
        <w:t>Changes</w:t>
      </w:r>
      <w:r>
        <w:rPr>
          <w:rFonts w:ascii="Arial" w:cs="Arial" w:eastAsia="Arial" w:hAnsi="Arial"/>
          <w:sz w:val="18"/>
          <w:szCs w:val="18"/>
          <w:color w:val="auto"/>
        </w:rPr>
        <w:t>”), Tenant shall request such</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by notifying Landlord in writing in substantially the same form as the AIA standard change order form (a “</w:t>
      </w:r>
      <w:r>
        <w:rPr>
          <w:rFonts w:ascii="Arial" w:cs="Arial" w:eastAsia="Arial" w:hAnsi="Arial"/>
          <w:sz w:val="18"/>
          <w:szCs w:val="18"/>
          <w:b w:val="1"/>
          <w:bCs w:val="1"/>
          <w:color w:val="auto"/>
        </w:rPr>
        <w:t>Change Request</w:t>
      </w:r>
      <w:r>
        <w:rPr>
          <w:rFonts w:ascii="Arial" w:cs="Arial" w:eastAsia="Arial" w:hAnsi="Arial"/>
          <w:sz w:val="18"/>
          <w:szCs w:val="18"/>
          <w:color w:val="auto"/>
        </w:rPr>
        <w:t>”), which Change Request shall detail the nature and extent of any such Change. Such Change Request must be signed by Tenant’s Representative. Landlord shall review and approve or disapprove such Change Request within 2 business days thereafter, provided that Landlord’s approval shall not be unreasonably withheld, conditioned or delayed.</w:t>
      </w:r>
    </w:p>
    <w:p>
      <w:pPr>
        <w:spacing w:after="0" w:line="176" w:lineRule="exact"/>
        <w:rPr>
          <w:rFonts w:ascii="Arial" w:cs="Arial" w:eastAsia="Arial" w:hAnsi="Arial"/>
          <w:sz w:val="18"/>
          <w:szCs w:val="18"/>
          <w:color w:val="auto"/>
        </w:rPr>
      </w:pPr>
    </w:p>
    <w:p>
      <w:pPr>
        <w:jc w:val="both"/>
        <w:ind w:firstLine="872"/>
        <w:spacing w:after="0" w:line="253" w:lineRule="auto"/>
        <w:tabs>
          <w:tab w:leader="none" w:pos="1731"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Implementation of Changes</w:t>
      </w:r>
      <w:r>
        <w:rPr>
          <w:rFonts w:ascii="Arial" w:cs="Arial" w:eastAsia="Arial" w:hAnsi="Arial"/>
          <w:sz w:val="18"/>
          <w:szCs w:val="18"/>
          <w:color w:val="auto"/>
        </w:rPr>
        <w:t>. If Landlord approves such Change, Tenant may cause the approved Change to be</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instituted. If any TI Permit modification or change is required as a result of such Change, Tenant shall promptly provide Landlord with a copy of such TI Permit modification or change.</w:t>
      </w:r>
    </w:p>
    <w:p>
      <w:pPr>
        <w:spacing w:after="0" w:line="169" w:lineRule="exact"/>
        <w:rPr>
          <w:sz w:val="20"/>
          <w:szCs w:val="20"/>
          <w:color w:val="auto"/>
        </w:rPr>
      </w:pPr>
    </w:p>
    <w:p>
      <w:pPr>
        <w:ind w:left="1660" w:hanging="788"/>
        <w:spacing w:after="0"/>
        <w:tabs>
          <w:tab w:leader="none" w:pos="1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53" w:lineRule="auto"/>
        <w:tabs>
          <w:tab w:leader="none" w:pos="1731"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Before the commencement of construction of the Tenant Improvements,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estimate and deliver to Landlord a Budget for design and construction of the Tenant Improvements (the “</w:t>
      </w:r>
      <w:r>
        <w:rPr>
          <w:rFonts w:ascii="Arial" w:cs="Arial" w:eastAsia="Arial" w:hAnsi="Arial"/>
          <w:sz w:val="18"/>
          <w:szCs w:val="18"/>
          <w:b w:val="1"/>
          <w:bCs w:val="1"/>
          <w:color w:val="auto"/>
        </w:rPr>
        <w:t>Budget</w:t>
      </w:r>
      <w:r>
        <w:rPr>
          <w:rFonts w:ascii="Arial" w:cs="Arial" w:eastAsia="Arial" w:hAnsi="Arial"/>
          <w:sz w:val="18"/>
          <w:szCs w:val="18"/>
          <w:color w:val="auto"/>
        </w:rPr>
        <w:t>”). The Budget shall be based upon the TI Construction Drawings approved by Landlord.</w:t>
      </w:r>
    </w:p>
    <w:p>
      <w:pPr>
        <w:spacing w:after="0" w:line="168" w:lineRule="exact"/>
        <w:rPr>
          <w:rFonts w:ascii="Arial" w:cs="Arial" w:eastAsia="Arial" w:hAnsi="Arial"/>
          <w:sz w:val="18"/>
          <w:szCs w:val="18"/>
          <w:color w:val="auto"/>
        </w:rPr>
      </w:pPr>
    </w:p>
    <w:p>
      <w:pPr>
        <w:ind w:left="1740" w:hanging="868"/>
        <w:spacing w:after="0"/>
        <w:tabs>
          <w:tab w:leader="none" w:pos="174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TI Allowance</w:t>
      </w:r>
      <w:r>
        <w:rPr>
          <w:rFonts w:ascii="Arial" w:cs="Arial" w:eastAsia="Arial" w:hAnsi="Arial"/>
          <w:sz w:val="18"/>
          <w:szCs w:val="18"/>
          <w:color w:val="auto"/>
        </w:rPr>
        <w:t>.  Landlord shall provide to Tenant a tenant improvement allowance (collectively, the “</w:t>
      </w:r>
      <w:r>
        <w:rPr>
          <w:rFonts w:ascii="Arial" w:cs="Arial" w:eastAsia="Arial" w:hAnsi="Arial"/>
          <w:sz w:val="18"/>
          <w:szCs w:val="18"/>
          <w:b w:val="1"/>
          <w:bCs w:val="1"/>
          <w:color w:val="auto"/>
        </w:rPr>
        <w:t>TI Allowance</w:t>
      </w:r>
      <w:r>
        <w:rPr>
          <w:rFonts w:ascii="Arial" w:cs="Arial" w:eastAsia="Arial" w:hAnsi="Arial"/>
          <w:sz w:val="18"/>
          <w:szCs w:val="18"/>
          <w:color w:val="auto"/>
        </w:rPr>
        <w:t>”) as</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follows:</w:t>
      </w:r>
    </w:p>
    <w:p>
      <w:pPr>
        <w:spacing w:after="0" w:line="189" w:lineRule="exact"/>
        <w:rPr>
          <w:rFonts w:ascii="Arial" w:cs="Arial" w:eastAsia="Arial" w:hAnsi="Arial"/>
          <w:sz w:val="18"/>
          <w:szCs w:val="18"/>
          <w:color w:val="auto"/>
        </w:rPr>
      </w:pPr>
    </w:p>
    <w:p>
      <w:pPr>
        <w:ind w:left="1740" w:hanging="5"/>
        <w:spacing w:after="0" w:line="271" w:lineRule="auto"/>
        <w:tabs>
          <w:tab w:leader="none" w:pos="195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Tenant Improvement Allowance”</w:t>
      </w:r>
      <w:r>
        <w:rPr>
          <w:rFonts w:ascii="Arial" w:cs="Arial" w:eastAsia="Arial" w:hAnsi="Arial"/>
          <w:sz w:val="18"/>
          <w:szCs w:val="18"/>
          <w:color w:val="auto"/>
        </w:rPr>
        <w:t xml:space="preserve"> in the maximum amount of $25.00 per rentable square foot in the Premises, which is included in the Minimum Monthly Rent payable during the Extended Term; and</w:t>
      </w:r>
    </w:p>
    <w:p>
      <w:pPr>
        <w:spacing w:after="0" w:line="153" w:lineRule="exact"/>
        <w:rPr>
          <w:rFonts w:ascii="Arial" w:cs="Arial" w:eastAsia="Arial" w:hAnsi="Arial"/>
          <w:sz w:val="18"/>
          <w:szCs w:val="18"/>
          <w:color w:val="auto"/>
        </w:rPr>
      </w:pPr>
    </w:p>
    <w:p>
      <w:pPr>
        <w:ind w:left="1740" w:hanging="5"/>
        <w:spacing w:after="0" w:line="271" w:lineRule="auto"/>
        <w:tabs>
          <w:tab w:leader="none" w:pos="19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Additional Tenant Improvement Allowance</w:t>
      </w:r>
      <w:r>
        <w:rPr>
          <w:rFonts w:ascii="Arial" w:cs="Arial" w:eastAsia="Arial" w:hAnsi="Arial"/>
          <w:sz w:val="18"/>
          <w:szCs w:val="18"/>
          <w:color w:val="auto"/>
        </w:rPr>
        <w:t>” in the maximum amount of $50.00 per rentable square foot in the Premises, which shall, to the extent used, result in Additional TI Rent as set forth in Section 2 of the Sixth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189230</wp:posOffset>
            </wp:positionV>
            <wp:extent cx="2537460" cy="539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4" w:name="page105"/>
    <w:bookmarkEnd w:id="104"/>
    <w:p>
      <w:pPr>
        <w:jc w:val="both"/>
        <w:ind w:firstLine="864"/>
        <w:spacing w:after="0" w:line="246" w:lineRule="auto"/>
        <w:rPr>
          <w:sz w:val="20"/>
          <w:szCs w:val="20"/>
          <w:color w:val="auto"/>
        </w:rPr>
      </w:pPr>
      <w:r>
        <w:rPr>
          <w:rFonts w:ascii="Arial" w:cs="Arial" w:eastAsia="Arial" w:hAnsi="Arial"/>
          <w:sz w:val="18"/>
          <w:szCs w:val="18"/>
          <w:color w:val="auto"/>
        </w:rPr>
        <w:t>In addition to the TI Allowance, Landlord shall pay the TI Architect up to $0.15 per rentable square foot of the Premises for the preparation of test fits.</w:t>
      </w:r>
    </w:p>
    <w:p>
      <w:pPr>
        <w:spacing w:after="0" w:line="197"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Before commencing the Tenant Improvements, Tenant shall notify Landlord how much Additional Tenant Improvement Allowance Tenant has elected to receive from Landlord. Such election shall be final and binding on Tenant, and may not thereafter be modified without Landlord’s consent, which may be granted or withheld in Landlord’s sole and absolute subjective discretion The TI Allowance shall be disbursed in accordance with this Work Letter.</w:t>
      </w:r>
    </w:p>
    <w:p>
      <w:pPr>
        <w:spacing w:after="0" w:line="205" w:lineRule="exact"/>
        <w:rPr>
          <w:sz w:val="20"/>
          <w:szCs w:val="20"/>
          <w:color w:val="auto"/>
        </w:rPr>
      </w:pPr>
    </w:p>
    <w:p>
      <w:pPr>
        <w:jc w:val="both"/>
        <w:ind w:firstLine="872"/>
        <w:spacing w:after="0" w:line="238" w:lineRule="auto"/>
        <w:tabs>
          <w:tab w:leader="none" w:pos="172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Tenant shall have no right to the use or benefit (including any reduction to Minimum Monthly Rent) of any portion of the TI Allowance not required for the construction of (i)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Tenant shall have no right to any portion of the A06 TI Allowance that is not disbursed before the last day of the month that is 18 months after the Sixth Amendment Commencement Date.</w:t>
      </w:r>
    </w:p>
    <w:p>
      <w:pPr>
        <w:spacing w:after="0" w:line="182" w:lineRule="exact"/>
        <w:rPr>
          <w:rFonts w:ascii="Arial" w:cs="Arial" w:eastAsia="Arial" w:hAnsi="Arial"/>
          <w:sz w:val="18"/>
          <w:szCs w:val="18"/>
          <w:color w:val="auto"/>
        </w:rPr>
      </w:pPr>
    </w:p>
    <w:p>
      <w:pPr>
        <w:jc w:val="both"/>
        <w:ind w:firstLine="872"/>
        <w:spacing w:after="0"/>
        <w:tabs>
          <w:tab w:leader="none" w:pos="1731"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Costs Includable in TI Allowance</w:t>
      </w:r>
      <w:r>
        <w:rPr>
          <w:rFonts w:ascii="Arial" w:cs="Arial" w:eastAsia="Arial" w:hAnsi="Arial"/>
          <w:sz w:val="18"/>
          <w:szCs w:val="18"/>
          <w:color w:val="auto"/>
        </w:rPr>
        <w:t>. The TI Allowance shall be used solely for the payment of design, permits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costs in connection with the construction of the Tenant Improvements, including, without limitation, the cost of electrical power and other utilities used in connection with the construction of the Tenant Improvements, the cost of preparing the Space Plans and the TI Construction Drawings, all costs set forth in the Budget and the cost of Changes (collectively, “</w:t>
      </w:r>
      <w:r>
        <w:rPr>
          <w:rFonts w:ascii="Arial" w:cs="Arial" w:eastAsia="Arial" w:hAnsi="Arial"/>
          <w:sz w:val="18"/>
          <w:szCs w:val="18"/>
          <w:b w:val="1"/>
          <w:bCs w:val="1"/>
          <w:color w:val="auto"/>
        </w:rPr>
        <w:t>TI Costs</w:t>
      </w:r>
      <w:r>
        <w:rPr>
          <w:rFonts w:ascii="Arial" w:cs="Arial" w:eastAsia="Arial" w:hAnsi="Arial"/>
          <w:sz w:val="18"/>
          <w:szCs w:val="18"/>
          <w:color w:val="auto"/>
        </w:rPr>
        <w:t>”). Notwithstanding anything to the contrary contained herein, the TI Allowance shall not be used to purchase any furniture, personal property or other non-Building system materials or equipment, including, but not be limited to, Tenant’s voice or data cabling, non-ducted biological safety cabinets and other scientific equipment not incorporated into the Tenant Improvements.</w:t>
      </w:r>
    </w:p>
    <w:p>
      <w:pPr>
        <w:spacing w:after="0" w:line="184" w:lineRule="exact"/>
        <w:rPr>
          <w:rFonts w:ascii="Arial" w:cs="Arial" w:eastAsia="Arial" w:hAnsi="Arial"/>
          <w:sz w:val="18"/>
          <w:szCs w:val="18"/>
          <w:color w:val="auto"/>
        </w:rPr>
      </w:pPr>
    </w:p>
    <w:p>
      <w:pPr>
        <w:ind w:left="1740" w:hanging="868"/>
        <w:spacing w:after="0"/>
        <w:tabs>
          <w:tab w:leader="none" w:pos="174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INTENTIONALLY DELETED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872"/>
        <w:spacing w:after="0" w:line="238" w:lineRule="auto"/>
        <w:tabs>
          <w:tab w:leader="none" w:pos="1681"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Payment for TI Costs</w:t>
      </w:r>
      <w:r>
        <w:rPr>
          <w:rFonts w:ascii="Arial" w:cs="Arial" w:eastAsia="Arial" w:hAnsi="Arial"/>
          <w:sz w:val="18"/>
          <w:szCs w:val="18"/>
          <w:color w:val="auto"/>
        </w:rPr>
        <w:t>. During the course of design and construction of the Tenant Improvements,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 Tenant for TI Costs once a month against a draw request in Landlord's standard form, containing evidence of payment of such TI Costs by Tenant and such certifications, lien waivers (including a conditional lien release for each progress payment and unconditional lien releases for the prior month's progress payments), inspection reports and other matters as Landlord customarily obtains, to the extent of Landlord's approval thereof for payment, no later than 30 days following receipt of such draw request. Upon completion of the Tenant Improvements, Tenant shall deliver to Landlord: (i) sworn statements setting forth the names of all contractors and first tier subcontractors who did the work and final, unconditional lien waivers from all such contractors and first tier subcontractors; (ii) as-built plans (one copy in print format and two copies in electronic CAD format) for such Tenant Improvements; (iii) a certification of substantial completion in Form AIA G704, (iv) a certificate of occupancy for the Premises; and (v) copies of all operation and maintenance manuals and warranties affecting the Premises. Notwithstanding anything to the contrary contained herein, Tenant shall be responsible for the cost of the Tenant Improvements to the extent that the cost of the Tenant Improvements exceed the Tenant Improvement Allowance and any portion of the Additional Tenant Improvement Allowance elected to be used by Tenant</w:t>
      </w:r>
    </w:p>
    <w:p>
      <w:pPr>
        <w:spacing w:after="0" w:line="182" w:lineRule="exact"/>
        <w:rPr>
          <w:rFonts w:ascii="Arial" w:cs="Arial" w:eastAsia="Arial" w:hAnsi="Arial"/>
          <w:sz w:val="18"/>
          <w:szCs w:val="18"/>
          <w:color w:val="auto"/>
        </w:rPr>
      </w:pPr>
    </w:p>
    <w:p>
      <w:pPr>
        <w:jc w:val="both"/>
        <w:ind w:firstLine="872"/>
        <w:spacing w:after="0" w:line="253" w:lineRule="auto"/>
        <w:tabs>
          <w:tab w:leader="none" w:pos="1731"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Tenant Improvement Progress Reports</w:t>
      </w:r>
      <w:r>
        <w:rPr>
          <w:rFonts w:ascii="Arial" w:cs="Arial" w:eastAsia="Arial" w:hAnsi="Arial"/>
          <w:sz w:val="18"/>
          <w:szCs w:val="18"/>
          <w:color w:val="auto"/>
        </w:rPr>
        <w:t>. Upon periodic request by Landlord, Tenant shall deliver to Landlord a Tenant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Improvement progress report in the form of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completed to provide all of the most up-to-date information regarding the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198755</wp:posOffset>
            </wp:positionV>
            <wp:extent cx="2537460" cy="5397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5" w:name="page106"/>
    <w:bookmarkEnd w:id="105"/>
    <w:p>
      <w:pPr>
        <w:ind w:left="788" w:hanging="788"/>
        <w:spacing w:after="0"/>
        <w:tabs>
          <w:tab w:leader="none" w:pos="788"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12" w:lineRule="exact"/>
        <w:rPr>
          <w:sz w:val="20"/>
          <w:szCs w:val="20"/>
          <w:color w:val="auto"/>
        </w:rPr>
      </w:pPr>
    </w:p>
    <w:p>
      <w:pPr>
        <w:ind w:left="-872" w:firstLine="872"/>
        <w:spacing w:after="0" w:line="271" w:lineRule="auto"/>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A06 Work Letter, that party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unreasonably withhold, condition or delay such consent or approval, except as may be expressly set forth herein to the contrary.</w:t>
      </w:r>
    </w:p>
    <w:p>
      <w:pPr>
        <w:spacing w:after="0" w:line="153" w:lineRule="exact"/>
        <w:rPr>
          <w:rFonts w:ascii="Arial" w:cs="Arial" w:eastAsia="Arial" w:hAnsi="Arial"/>
          <w:sz w:val="18"/>
          <w:szCs w:val="18"/>
          <w:color w:val="auto"/>
        </w:rPr>
      </w:pPr>
    </w:p>
    <w:p>
      <w:pPr>
        <w:ind w:left="-872" w:firstLine="872"/>
        <w:spacing w:after="0" w:line="271" w:lineRule="auto"/>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A06 Work Letter or of any of its conditions or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binding upon Landlord or Tenant unless in writing signed by Landlord and Tenant.</w:t>
      </w:r>
    </w:p>
    <w:p>
      <w:pPr>
        <w:spacing w:after="0" w:line="153" w:lineRule="exact"/>
        <w:rPr>
          <w:rFonts w:ascii="Arial" w:cs="Arial" w:eastAsia="Arial" w:hAnsi="Arial"/>
          <w:sz w:val="18"/>
          <w:szCs w:val="18"/>
          <w:color w:val="auto"/>
        </w:rPr>
      </w:pPr>
    </w:p>
    <w:p>
      <w:pPr>
        <w:ind w:left="-872" w:firstLine="872"/>
        <w:spacing w:after="0" w:line="271" w:lineRule="auto"/>
        <w:tabs>
          <w:tab w:leader="none" w:pos="85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No Default Funding</w:t>
      </w:r>
      <w:r>
        <w:rPr>
          <w:rFonts w:ascii="Arial" w:cs="Arial" w:eastAsia="Arial" w:hAnsi="Arial"/>
          <w:sz w:val="18"/>
          <w:szCs w:val="18"/>
          <w:color w:val="auto"/>
        </w:rPr>
        <w:t>. In no event shall Landlord have any obligation to fund any portion of the TI Allowance during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that an Event of Default exists under the Lease.</w:t>
      </w:r>
    </w:p>
    <w:p>
      <w:pPr>
        <w:spacing w:after="0" w:line="153" w:lineRule="exact"/>
        <w:rPr>
          <w:rFonts w:ascii="Arial" w:cs="Arial" w:eastAsia="Arial" w:hAnsi="Arial"/>
          <w:sz w:val="18"/>
          <w:szCs w:val="18"/>
          <w:color w:val="auto"/>
        </w:rPr>
      </w:pPr>
    </w:p>
    <w:p>
      <w:pPr>
        <w:jc w:val="both"/>
        <w:ind w:left="-872" w:firstLine="872"/>
        <w:spacing w:after="0" w:line="247" w:lineRule="auto"/>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Infectious Conditions</w:t>
      </w:r>
      <w:r>
        <w:rPr>
          <w:rFonts w:ascii="Arial" w:cs="Arial" w:eastAsia="Arial" w:hAnsi="Arial"/>
          <w:sz w:val="18"/>
          <w:szCs w:val="18"/>
          <w:color w:val="auto"/>
        </w:rPr>
        <w:t>. Tenant shall require the General Contractor, TI Architect and any consultants,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 and all other service and materials providers entering the Complex during the construction of the Tenant Improvements to perform services or provide materials in connection with the Tenant Improvements to comply with all criteria recommended by the Centers for Disease Control and Prevention and applicable governmental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467995</wp:posOffset>
            </wp:positionV>
            <wp:extent cx="2537460" cy="540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253746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130810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3"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0" w:type="dxa"/>
            <w:vAlign w:val="bottom"/>
            <w:gridSpan w:val="2"/>
          </w:tcPr>
          <w:p>
            <w:pPr>
              <w:jc w:val="right"/>
              <w:ind w:right="2860"/>
              <w:spacing w:after="0"/>
              <w:rPr>
                <w:sz w:val="20"/>
                <w:szCs w:val="20"/>
                <w:color w:val="auto"/>
              </w:rPr>
            </w:pPr>
            <w:r>
              <w:rPr>
                <w:rFonts w:ascii="Arial" w:cs="Arial" w:eastAsia="Arial" w:hAnsi="Arial"/>
                <w:sz w:val="18"/>
                <w:szCs w:val="18"/>
                <w:b w:val="1"/>
                <w:bCs w:val="1"/>
                <w:color w:val="auto"/>
              </w:rPr>
              <w:t>Schedule 1</w:t>
            </w:r>
          </w:p>
        </w:tc>
      </w:tr>
      <w:tr>
        <w:trPr>
          <w:trHeight w:val="378"/>
        </w:trPr>
        <w:tc>
          <w:tcPr>
            <w:tcW w:w="1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Tenant Improvement Progress Report</w:t>
            </w:r>
          </w:p>
        </w:tc>
        <w:tc>
          <w:tcPr>
            <w:tcW w:w="1720" w:type="dxa"/>
            <w:vAlign w:val="bottom"/>
          </w:tcPr>
          <w:p>
            <w:pPr>
              <w:spacing w:after="0"/>
              <w:rPr>
                <w:sz w:val="24"/>
                <w:szCs w:val="24"/>
                <w:color w:val="auto"/>
              </w:rPr>
            </w:pPr>
          </w:p>
        </w:tc>
      </w:tr>
      <w:tr>
        <w:trPr>
          <w:trHeight w:val="588"/>
        </w:trPr>
        <w:tc>
          <w:tcPr>
            <w:tcW w:w="4760" w:type="dxa"/>
            <w:vAlign w:val="bottom"/>
            <w:gridSpan w:val="3"/>
          </w:tcPr>
          <w:p>
            <w:pPr>
              <w:spacing w:after="0"/>
              <w:rPr>
                <w:sz w:val="20"/>
                <w:szCs w:val="20"/>
                <w:color w:val="auto"/>
              </w:rPr>
            </w:pPr>
            <w:r>
              <w:rPr>
                <w:rFonts w:ascii="Arial" w:cs="Arial" w:eastAsia="Arial" w:hAnsi="Arial"/>
                <w:sz w:val="18"/>
                <w:szCs w:val="18"/>
                <w:color w:val="auto"/>
              </w:rPr>
              <w:t>Building Address: _____________________________</w:t>
            </w:r>
          </w:p>
        </w:tc>
        <w:tc>
          <w:tcPr>
            <w:tcW w:w="24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8"/>
        </w:trPr>
        <w:tc>
          <w:tcPr>
            <w:tcW w:w="4760" w:type="dxa"/>
            <w:vAlign w:val="bottom"/>
            <w:gridSpan w:val="3"/>
          </w:tcPr>
          <w:p>
            <w:pPr>
              <w:spacing w:after="0"/>
              <w:rPr>
                <w:sz w:val="20"/>
                <w:szCs w:val="20"/>
                <w:color w:val="auto"/>
              </w:rPr>
            </w:pPr>
            <w:r>
              <w:rPr>
                <w:rFonts w:ascii="Arial" w:cs="Arial" w:eastAsia="Arial" w:hAnsi="Arial"/>
                <w:sz w:val="18"/>
                <w:szCs w:val="18"/>
                <w:color w:val="auto"/>
              </w:rPr>
              <w:t>Certification Period: ______________</w:t>
            </w:r>
          </w:p>
        </w:tc>
        <w:tc>
          <w:tcPr>
            <w:tcW w:w="24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1"/>
        </w:trPr>
        <w:tc>
          <w:tcPr>
            <w:tcW w:w="18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Original Project Budget</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$__________________</w:t>
            </w:r>
          </w:p>
        </w:tc>
      </w:tr>
      <w:tr>
        <w:trPr>
          <w:trHeight w:val="351"/>
        </w:trPr>
        <w:tc>
          <w:tcPr>
            <w:tcW w:w="180" w:type="dxa"/>
            <w:vAlign w:val="bottom"/>
          </w:tcPr>
          <w:p>
            <w:pPr>
              <w:spacing w:after="0"/>
              <w:rPr>
                <w:sz w:val="20"/>
                <w:szCs w:val="20"/>
                <w:color w:val="auto"/>
              </w:rPr>
            </w:pPr>
            <w:r>
              <w:rPr>
                <w:rFonts w:ascii="Arial" w:cs="Arial" w:eastAsia="Arial" w:hAnsi="Arial"/>
                <w:sz w:val="18"/>
                <w:szCs w:val="18"/>
                <w:color w:val="auto"/>
              </w:rPr>
              <w:t>2.</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Net change by Change Orders/Update to budget</w:t>
            </w:r>
          </w:p>
        </w:tc>
        <w:tc>
          <w:tcPr>
            <w:tcW w:w="4200" w:type="dxa"/>
            <w:vAlign w:val="bottom"/>
            <w:gridSpan w:val="2"/>
          </w:tcPr>
          <w:p>
            <w:pPr>
              <w:jc w:val="right"/>
              <w:ind w:right="280"/>
              <w:spacing w:after="0"/>
              <w:rPr>
                <w:sz w:val="20"/>
                <w:szCs w:val="20"/>
                <w:color w:val="auto"/>
              </w:rPr>
            </w:pPr>
            <w:r>
              <w:rPr>
                <w:rFonts w:ascii="Arial" w:cs="Arial" w:eastAsia="Arial" w:hAnsi="Arial"/>
                <w:sz w:val="18"/>
                <w:szCs w:val="18"/>
                <w:color w:val="auto"/>
              </w:rPr>
              <w:t>$__________________</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3.</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Current budget to date (Line 1 ± 2)</w:t>
            </w:r>
          </w:p>
        </w:tc>
        <w:tc>
          <w:tcPr>
            <w:tcW w:w="4200" w:type="dxa"/>
            <w:vAlign w:val="bottom"/>
            <w:gridSpan w:val="2"/>
          </w:tcPr>
          <w:p>
            <w:pPr>
              <w:jc w:val="right"/>
              <w:ind w:right="200"/>
              <w:spacing w:after="0"/>
              <w:rPr>
                <w:sz w:val="20"/>
                <w:szCs w:val="20"/>
                <w:color w:val="auto"/>
              </w:rPr>
            </w:pPr>
            <w:r>
              <w:rPr>
                <w:rFonts w:ascii="Arial" w:cs="Arial" w:eastAsia="Arial" w:hAnsi="Arial"/>
                <w:sz w:val="18"/>
                <w:szCs w:val="18"/>
                <w:color w:val="auto"/>
              </w:rPr>
              <w:t>$__________________</w:t>
            </w:r>
          </w:p>
        </w:tc>
      </w:tr>
      <w:tr>
        <w:trPr>
          <w:trHeight w:val="351"/>
        </w:trPr>
        <w:tc>
          <w:tcPr>
            <w:tcW w:w="180" w:type="dxa"/>
            <w:vAlign w:val="bottom"/>
          </w:tcPr>
          <w:p>
            <w:pPr>
              <w:spacing w:after="0"/>
              <w:rPr>
                <w:sz w:val="20"/>
                <w:szCs w:val="20"/>
                <w:color w:val="auto"/>
              </w:rPr>
            </w:pPr>
            <w:r>
              <w:rPr>
                <w:rFonts w:ascii="Arial" w:cs="Arial" w:eastAsia="Arial" w:hAnsi="Arial"/>
                <w:sz w:val="18"/>
                <w:szCs w:val="18"/>
                <w:color w:val="auto"/>
              </w:rPr>
              <w:t>4.</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Total costs incurred to date</w:t>
            </w:r>
          </w:p>
        </w:tc>
        <w:tc>
          <w:tcPr>
            <w:tcW w:w="4200" w:type="dxa"/>
            <w:vAlign w:val="bottom"/>
            <w:gridSpan w:val="2"/>
          </w:tcPr>
          <w:p>
            <w:pPr>
              <w:jc w:val="right"/>
              <w:ind w:right="100"/>
              <w:spacing w:after="0"/>
              <w:rPr>
                <w:sz w:val="20"/>
                <w:szCs w:val="20"/>
                <w:color w:val="auto"/>
              </w:rPr>
            </w:pPr>
            <w:r>
              <w:rPr>
                <w:rFonts w:ascii="Arial" w:cs="Arial" w:eastAsia="Arial" w:hAnsi="Arial"/>
                <w:sz w:val="18"/>
                <w:szCs w:val="18"/>
                <w:color w:val="auto"/>
              </w:rPr>
              <w:t>$__________________</w:t>
            </w:r>
          </w:p>
        </w:tc>
      </w:tr>
      <w:tr>
        <w:trPr>
          <w:trHeight w:val="351"/>
        </w:trPr>
        <w:tc>
          <w:tcPr>
            <w:tcW w:w="180" w:type="dxa"/>
            <w:vAlign w:val="bottom"/>
          </w:tcPr>
          <w:p>
            <w:pPr>
              <w:spacing w:after="0"/>
              <w:rPr>
                <w:sz w:val="20"/>
                <w:szCs w:val="20"/>
                <w:color w:val="auto"/>
              </w:rPr>
            </w:pPr>
            <w:r>
              <w:rPr>
                <w:rFonts w:ascii="Arial" w:cs="Arial" w:eastAsia="Arial" w:hAnsi="Arial"/>
                <w:sz w:val="18"/>
                <w:szCs w:val="18"/>
                <w:color w:val="auto"/>
              </w:rPr>
              <w:t>5.</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Remaining balance to budget (Line 3 less Line 4)</w:t>
            </w:r>
          </w:p>
        </w:tc>
        <w:tc>
          <w:tcPr>
            <w:tcW w:w="4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$__________________</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signature: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717550</wp:posOffset>
            </wp:positionV>
            <wp:extent cx="2537460" cy="539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25374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EXHIBIT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EXPANSION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95885</wp:posOffset>
            </wp:positionV>
            <wp:extent cx="5871845" cy="74669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5871845" cy="746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130810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SECOND FLOOR ROFO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95885</wp:posOffset>
            </wp:positionV>
            <wp:extent cx="5871845" cy="7389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5871845" cy="738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130810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EXHIBIT 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A06 MINIMUM MONTHLY RENT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361950</wp:posOffset>
            </wp:positionV>
            <wp:extent cx="4877435" cy="24174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48774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9019"/>
          </w:cols>
          <w:pgMar w:left="1440" w:top="549"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7" w:lineRule="exact"/>
        <w:rPr>
          <w:sz w:val="20"/>
          <w:szCs w:val="20"/>
          <w:color w:val="auto"/>
        </w:rPr>
      </w:pPr>
    </w:p>
    <w:p>
      <w:pPr>
        <w:ind w:right="320" w:firstLine="8"/>
        <w:spacing w:after="0" w:line="267" w:lineRule="auto"/>
        <w:tabs>
          <w:tab w:leader="none" w:pos="280" w:val="left"/>
        </w:tabs>
        <w:numPr>
          <w:ilvl w:val="0"/>
          <w:numId w:val="107"/>
        </w:numPr>
        <w:rPr>
          <w:rFonts w:ascii="Arial" w:cs="Arial" w:eastAsia="Arial" w:hAnsi="Arial"/>
          <w:sz w:val="20"/>
          <w:szCs w:val="20"/>
          <w:b w:val="1"/>
          <w:bCs w:val="1"/>
          <w:color w:val="auto"/>
          <w:highlight w:val="yellow"/>
        </w:rPr>
      </w:pPr>
      <w:r>
        <w:rPr>
          <w:rFonts w:ascii="Arial" w:cs="Arial" w:eastAsia="Arial" w:hAnsi="Arial"/>
          <w:sz w:val="20"/>
          <w:szCs w:val="20"/>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159" w:lineRule="exact"/>
        <w:rPr>
          <w:sz w:val="20"/>
          <w:szCs w:val="20"/>
          <w:color w:val="auto"/>
        </w:rPr>
      </w:pPr>
    </w:p>
    <w:p>
      <w:pPr>
        <w:ind w:left="10120"/>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EXCLUSIVE LICENSE AND OPTION AGREEMENT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IBRO</w:t>
      </w:r>
      <w:r>
        <w:rPr>
          <w:rFonts w:ascii="Arial" w:cs="Arial" w:eastAsia="Arial" w:hAnsi="Arial"/>
          <w:sz w:val="20"/>
          <w:szCs w:val="20"/>
          <w:b w:val="1"/>
          <w:bCs w:val="1"/>
          <w:color w:val="auto"/>
        </w:rPr>
        <w:t>G</w:t>
      </w:r>
      <w:r>
        <w:rPr>
          <w:rFonts w:ascii="Arial" w:cs="Arial" w:eastAsia="Arial" w:hAnsi="Arial"/>
          <w:sz w:val="13"/>
          <w:szCs w:val="13"/>
          <w:b w:val="1"/>
          <w:bCs w:val="1"/>
          <w:color w:val="auto"/>
        </w:rPr>
        <w:t>EN</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w:t>
      </w:r>
      <w:r>
        <w:rPr>
          <w:rFonts w:ascii="Arial" w:cs="Arial" w:eastAsia="Arial" w:hAnsi="Arial"/>
          <w:sz w:val="13"/>
          <w:szCs w:val="13"/>
          <w:b w:val="1"/>
          <w:bCs w:val="1"/>
          <w:color w:val="auto"/>
        </w:rPr>
        <w:t>I</w:t>
      </w:r>
      <w:r>
        <w:rPr>
          <w:rFonts w:ascii="Arial" w:cs="Arial" w:eastAsia="Arial" w:hAnsi="Arial"/>
          <w:sz w:val="20"/>
          <w:szCs w:val="20"/>
          <w:b w:val="1"/>
          <w:bCs w:val="1"/>
          <w:color w:val="auto"/>
        </w:rPr>
        <w:t>F</w:t>
      </w:r>
      <w:r>
        <w:rPr>
          <w:rFonts w:ascii="Arial" w:cs="Arial" w:eastAsia="Arial" w:hAnsi="Arial"/>
          <w:sz w:val="13"/>
          <w:szCs w:val="13"/>
          <w:b w:val="1"/>
          <w:bCs w:val="1"/>
          <w:color w:val="auto"/>
        </w:rPr>
        <w:t>I</w:t>
      </w:r>
      <w:r>
        <w:rPr>
          <w:rFonts w:ascii="Arial" w:cs="Arial" w:eastAsia="Arial" w:hAnsi="Arial"/>
          <w:sz w:val="20"/>
          <w:szCs w:val="20"/>
          <w:b w:val="1"/>
          <w:bCs w:val="1"/>
          <w:color w:val="auto"/>
        </w:rPr>
        <w:t>B</w:t>
      </w:r>
      <w:r>
        <w:rPr>
          <w:rFonts w:ascii="Arial" w:cs="Arial" w:eastAsia="Arial" w:hAnsi="Arial"/>
          <w:sz w:val="13"/>
          <w:szCs w:val="13"/>
          <w:b w:val="1"/>
          <w:bCs w:val="1"/>
          <w:color w:val="auto"/>
        </w:rPr>
        <w:t>I</w:t>
      </w:r>
      <w:r>
        <w:rPr>
          <w:rFonts w:ascii="Arial" w:cs="Arial" w:eastAsia="Arial" w:hAnsi="Arial"/>
          <w:sz w:val="20"/>
          <w:szCs w:val="20"/>
          <w:b w:val="1"/>
          <w:bCs w:val="1"/>
          <w:color w:val="auto"/>
        </w:rPr>
        <w:t>O (HK) L</w:t>
      </w:r>
      <w:r>
        <w:rPr>
          <w:rFonts w:ascii="Arial" w:cs="Arial" w:eastAsia="Arial" w:hAnsi="Arial"/>
          <w:sz w:val="13"/>
          <w:szCs w:val="13"/>
          <w:b w:val="1"/>
          <w:bCs w:val="1"/>
          <w:color w:val="auto"/>
        </w:rPr>
        <w:t>IMITED</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D</w:t>
      </w:r>
      <w:r>
        <w:rPr>
          <w:rFonts w:ascii="Arial" w:cs="Arial" w:eastAsia="Arial" w:hAnsi="Arial"/>
          <w:sz w:val="20"/>
          <w:szCs w:val="20"/>
          <w:b w:val="1"/>
          <w:bCs w:val="1"/>
          <w:color w:val="auto"/>
        </w:rPr>
        <w:t>.</w:t>
      </w:r>
      <w:r>
        <w:rPr>
          <w:rFonts w:ascii="Arial" w:cs="Arial" w:eastAsia="Arial" w:hAnsi="Arial"/>
          <w:sz w:val="13"/>
          <w:szCs w:val="13"/>
          <w:b w:val="1"/>
          <w:bCs w:val="1"/>
          <w:color w:val="auto"/>
        </w:rPr>
        <w:t>B</w:t>
      </w:r>
      <w:r>
        <w:rPr>
          <w:rFonts w:ascii="Arial" w:cs="Arial" w:eastAsia="Arial" w:hAnsi="Arial"/>
          <w:sz w:val="20"/>
          <w:szCs w:val="20"/>
          <w:b w:val="1"/>
          <w:bCs w:val="1"/>
          <w:color w:val="auto"/>
        </w:rPr>
        <w:t>.</w:t>
      </w:r>
      <w:r>
        <w:rPr>
          <w:rFonts w:ascii="Arial" w:cs="Arial" w:eastAsia="Arial" w:hAnsi="Arial"/>
          <w:sz w:val="13"/>
          <w:szCs w:val="13"/>
          <w:b w:val="1"/>
          <w:bCs w:val="1"/>
          <w:color w:val="auto"/>
        </w:rPr>
        <w:t>A</w:t>
      </w:r>
      <w:r>
        <w:rPr>
          <w:rFonts w:ascii="Arial" w:cs="Arial" w:eastAsia="Arial" w:hAnsi="Arial"/>
          <w:sz w:val="20"/>
          <w:szCs w:val="20"/>
          <w:b w:val="1"/>
          <w:bCs w:val="1"/>
          <w:color w:val="auto"/>
        </w:rPr>
        <w:t>. H</w:t>
      </w:r>
      <w:r>
        <w:rPr>
          <w:rFonts w:ascii="Arial" w:cs="Arial" w:eastAsia="Arial" w:hAnsi="Arial"/>
          <w:sz w:val="13"/>
          <w:szCs w:val="13"/>
          <w:b w:val="1"/>
          <w:bCs w:val="1"/>
          <w:color w:val="auto"/>
        </w:rPr>
        <w:t>I</w:t>
      </w:r>
      <w:r>
        <w:rPr>
          <w:rFonts w:ascii="Arial" w:cs="Arial" w:eastAsia="Arial" w:hAnsi="Arial"/>
          <w:sz w:val="20"/>
          <w:szCs w:val="20"/>
          <w:b w:val="1"/>
          <w:bCs w:val="1"/>
          <w:color w:val="auto"/>
        </w:rPr>
        <w:t>F</w:t>
      </w:r>
      <w:r>
        <w:rPr>
          <w:rFonts w:ascii="Arial" w:cs="Arial" w:eastAsia="Arial" w:hAnsi="Arial"/>
          <w:sz w:val="13"/>
          <w:szCs w:val="13"/>
          <w:b w:val="1"/>
          <w:bCs w:val="1"/>
          <w:color w:val="auto"/>
        </w:rPr>
        <w:t>I</w:t>
      </w:r>
      <w:r>
        <w:rPr>
          <w:rFonts w:ascii="Arial" w:cs="Arial" w:eastAsia="Arial" w:hAnsi="Arial"/>
          <w:sz w:val="20"/>
          <w:szCs w:val="20"/>
          <w:b w:val="1"/>
          <w:bCs w:val="1"/>
          <w:color w:val="auto"/>
        </w:rPr>
        <w:t>B</w:t>
      </w:r>
      <w:r>
        <w:rPr>
          <w:rFonts w:ascii="Arial" w:cs="Arial" w:eastAsia="Arial" w:hAnsi="Arial"/>
          <w:sz w:val="13"/>
          <w:szCs w:val="13"/>
          <w:b w:val="1"/>
          <w:bCs w:val="1"/>
          <w:color w:val="auto"/>
        </w:rPr>
        <w:t>I</w:t>
      </w:r>
      <w:r>
        <w:rPr>
          <w:rFonts w:ascii="Arial" w:cs="Arial" w:eastAsia="Arial" w:hAnsi="Arial"/>
          <w:sz w:val="20"/>
          <w:szCs w:val="20"/>
          <w:b w:val="1"/>
          <w:bCs w:val="1"/>
          <w:color w:val="auto"/>
        </w:rPr>
        <w:t>O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ATED AS OF</w:t>
      </w:r>
      <w:r>
        <w:rPr>
          <w:rFonts w:ascii="Arial" w:cs="Arial" w:eastAsia="Arial" w:hAnsi="Arial"/>
          <w:sz w:val="20"/>
          <w:szCs w:val="20"/>
          <w:b w:val="1"/>
          <w:bCs w:val="1"/>
          <w:color w:val="auto"/>
        </w:rPr>
        <w:t xml:space="preserve"> J</w:t>
      </w:r>
      <w:r>
        <w:rPr>
          <w:rFonts w:ascii="Arial" w:cs="Arial" w:eastAsia="Arial" w:hAnsi="Arial"/>
          <w:sz w:val="13"/>
          <w:szCs w:val="13"/>
          <w:b w:val="1"/>
          <w:bCs w:val="1"/>
          <w:color w:val="auto"/>
        </w:rPr>
        <w:t>UNE</w:t>
      </w:r>
      <w:r>
        <w:rPr>
          <w:rFonts w:ascii="Arial" w:cs="Arial" w:eastAsia="Arial" w:hAnsi="Arial"/>
          <w:sz w:val="20"/>
          <w:szCs w:val="20"/>
          <w:b w:val="1"/>
          <w:bCs w:val="1"/>
          <w:color w:val="auto"/>
        </w:rPr>
        <w:t xml:space="preserv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56"/>
        </w:trPr>
        <w:tc>
          <w:tcPr>
            <w:tcW w:w="7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6780" w:type="dxa"/>
            <w:vAlign w:val="bottom"/>
          </w:tcPr>
          <w:p>
            <w:pPr>
              <w:jc w:val="right"/>
              <w:ind w:right="4461"/>
              <w:spacing w:after="0"/>
              <w:rPr>
                <w:sz w:val="20"/>
                <w:szCs w:val="20"/>
                <w:color w:val="auto"/>
              </w:rPr>
            </w:pPr>
            <w:r>
              <w:rPr>
                <w:rFonts w:ascii="Arial" w:cs="Arial" w:eastAsia="Arial" w:hAnsi="Arial"/>
                <w:sz w:val="20"/>
                <w:szCs w:val="20"/>
                <w:b w:val="1"/>
                <w:bCs w:val="1"/>
                <w:color w:val="auto"/>
              </w:rPr>
              <w:t>TABLE OF CONTENTS</w:t>
            </w:r>
          </w:p>
        </w:tc>
      </w:tr>
      <w:tr>
        <w:trPr>
          <w:trHeight w:val="445"/>
        </w:trPr>
        <w:tc>
          <w:tcPr>
            <w:tcW w:w="446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1 </w:t>
            </w:r>
            <w:r>
              <w:rPr>
                <w:rFonts w:ascii="Arial" w:cs="Arial" w:eastAsia="Arial" w:hAnsi="Arial"/>
                <w:sz w:val="20"/>
                <w:szCs w:val="20"/>
                <w:color w:val="auto"/>
              </w:rPr>
              <w:t>DEFINITIONS</w:t>
            </w:r>
          </w:p>
        </w:tc>
        <w:tc>
          <w:tcPr>
            <w:tcW w:w="67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24"/>
        </w:trPr>
        <w:tc>
          <w:tcPr>
            <w:tcW w:w="446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2 </w:t>
            </w:r>
            <w:r>
              <w:rPr>
                <w:rFonts w:ascii="Arial" w:cs="Arial" w:eastAsia="Arial" w:hAnsi="Arial"/>
                <w:sz w:val="20"/>
                <w:szCs w:val="20"/>
                <w:color w:val="auto"/>
              </w:rPr>
              <w:t>LICENSES AND EXCLUSIVITY</w:t>
            </w:r>
          </w:p>
        </w:tc>
        <w:tc>
          <w:tcPr>
            <w:tcW w:w="67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2.1</w:t>
            </w:r>
          </w:p>
        </w:tc>
        <w:tc>
          <w:tcPr>
            <w:tcW w:w="3680" w:type="dxa"/>
            <w:vAlign w:val="bottom"/>
          </w:tcPr>
          <w:p>
            <w:pPr>
              <w:ind w:left="360"/>
              <w:spacing w:after="0"/>
              <w:rPr>
                <w:sz w:val="20"/>
                <w:szCs w:val="20"/>
                <w:color w:val="auto"/>
              </w:rPr>
            </w:pPr>
            <w:r>
              <w:rPr>
                <w:rFonts w:ascii="Arial" w:cs="Arial" w:eastAsia="Arial" w:hAnsi="Arial"/>
                <w:sz w:val="20"/>
                <w:szCs w:val="20"/>
                <w:color w:val="auto"/>
              </w:rPr>
              <w:t>License to FibroGen</w:t>
            </w:r>
          </w:p>
        </w:tc>
        <w:tc>
          <w:tcPr>
            <w:tcW w:w="67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2.2</w:t>
            </w:r>
          </w:p>
        </w:tc>
        <w:tc>
          <w:tcPr>
            <w:tcW w:w="3680" w:type="dxa"/>
            <w:vAlign w:val="bottom"/>
          </w:tcPr>
          <w:p>
            <w:pPr>
              <w:ind w:left="360"/>
              <w:spacing w:after="0"/>
              <w:rPr>
                <w:sz w:val="20"/>
                <w:szCs w:val="20"/>
                <w:color w:val="auto"/>
              </w:rPr>
            </w:pPr>
            <w:r>
              <w:rPr>
                <w:rFonts w:ascii="Arial" w:cs="Arial" w:eastAsia="Arial" w:hAnsi="Arial"/>
                <w:sz w:val="20"/>
                <w:szCs w:val="20"/>
                <w:color w:val="auto"/>
              </w:rPr>
              <w:t>License to HFB</w:t>
            </w:r>
          </w:p>
        </w:tc>
        <w:tc>
          <w:tcPr>
            <w:tcW w:w="67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2.3</w:t>
            </w:r>
          </w:p>
        </w:tc>
        <w:tc>
          <w:tcPr>
            <w:tcW w:w="3680" w:type="dxa"/>
            <w:vAlign w:val="bottom"/>
          </w:tcPr>
          <w:p>
            <w:pPr>
              <w:ind w:left="360"/>
              <w:spacing w:after="0"/>
              <w:rPr>
                <w:sz w:val="20"/>
                <w:szCs w:val="20"/>
                <w:color w:val="auto"/>
              </w:rPr>
            </w:pPr>
            <w:r>
              <w:rPr>
                <w:rFonts w:ascii="Arial" w:cs="Arial" w:eastAsia="Arial" w:hAnsi="Arial"/>
                <w:sz w:val="20"/>
                <w:szCs w:val="20"/>
                <w:color w:val="auto"/>
              </w:rPr>
              <w:t>Sublicensing</w:t>
            </w:r>
          </w:p>
        </w:tc>
        <w:tc>
          <w:tcPr>
            <w:tcW w:w="67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2.4</w:t>
            </w:r>
          </w:p>
        </w:tc>
        <w:tc>
          <w:tcPr>
            <w:tcW w:w="3680" w:type="dxa"/>
            <w:vAlign w:val="bottom"/>
          </w:tcPr>
          <w:p>
            <w:pPr>
              <w:ind w:left="360"/>
              <w:spacing w:after="0"/>
              <w:rPr>
                <w:sz w:val="20"/>
                <w:szCs w:val="20"/>
                <w:color w:val="auto"/>
              </w:rPr>
            </w:pPr>
            <w:r>
              <w:rPr>
                <w:rFonts w:ascii="Arial" w:cs="Arial" w:eastAsia="Arial" w:hAnsi="Arial"/>
                <w:sz w:val="20"/>
                <w:szCs w:val="20"/>
                <w:color w:val="auto"/>
              </w:rPr>
              <w:t>Subcontractors</w:t>
            </w:r>
          </w:p>
        </w:tc>
        <w:tc>
          <w:tcPr>
            <w:tcW w:w="67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2.5</w:t>
            </w:r>
          </w:p>
        </w:tc>
        <w:tc>
          <w:tcPr>
            <w:tcW w:w="3680" w:type="dxa"/>
            <w:vAlign w:val="bottom"/>
          </w:tcPr>
          <w:p>
            <w:pPr>
              <w:ind w:left="360"/>
              <w:spacing w:after="0"/>
              <w:rPr>
                <w:sz w:val="20"/>
                <w:szCs w:val="20"/>
                <w:color w:val="auto"/>
              </w:rPr>
            </w:pPr>
            <w:r>
              <w:rPr>
                <w:rFonts w:ascii="Arial" w:cs="Arial" w:eastAsia="Arial" w:hAnsi="Arial"/>
                <w:sz w:val="20"/>
                <w:szCs w:val="20"/>
                <w:color w:val="auto"/>
                <w:w w:val="98"/>
              </w:rPr>
              <w:t>No Implied Licenses; Retained Rights</w:t>
            </w:r>
          </w:p>
        </w:tc>
        <w:tc>
          <w:tcPr>
            <w:tcW w:w="67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2.6</w:t>
            </w:r>
          </w:p>
        </w:tc>
        <w:tc>
          <w:tcPr>
            <w:tcW w:w="3680" w:type="dxa"/>
            <w:vAlign w:val="bottom"/>
          </w:tcPr>
          <w:p>
            <w:pPr>
              <w:ind w:left="360"/>
              <w:spacing w:after="0"/>
              <w:rPr>
                <w:sz w:val="20"/>
                <w:szCs w:val="20"/>
                <w:color w:val="auto"/>
              </w:rPr>
            </w:pPr>
            <w:r>
              <w:rPr>
                <w:rFonts w:ascii="Arial" w:cs="Arial" w:eastAsia="Arial" w:hAnsi="Arial"/>
                <w:sz w:val="20"/>
                <w:szCs w:val="20"/>
                <w:color w:val="auto"/>
              </w:rPr>
              <w:t>Third Party In-Licenses</w:t>
            </w:r>
          </w:p>
        </w:tc>
        <w:tc>
          <w:tcPr>
            <w:tcW w:w="67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2.7</w:t>
            </w:r>
          </w:p>
        </w:tc>
        <w:tc>
          <w:tcPr>
            <w:tcW w:w="3680" w:type="dxa"/>
            <w:vAlign w:val="bottom"/>
          </w:tcPr>
          <w:p>
            <w:pPr>
              <w:ind w:left="360"/>
              <w:spacing w:after="0"/>
              <w:rPr>
                <w:sz w:val="20"/>
                <w:szCs w:val="20"/>
                <w:color w:val="auto"/>
              </w:rPr>
            </w:pPr>
            <w:r>
              <w:rPr>
                <w:rFonts w:ascii="Arial" w:cs="Arial" w:eastAsia="Arial" w:hAnsi="Arial"/>
                <w:sz w:val="20"/>
                <w:szCs w:val="20"/>
                <w:color w:val="auto"/>
              </w:rPr>
              <w:t>Technology Transfer</w:t>
            </w:r>
          </w:p>
        </w:tc>
        <w:tc>
          <w:tcPr>
            <w:tcW w:w="67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2.8</w:t>
            </w:r>
          </w:p>
        </w:tc>
        <w:tc>
          <w:tcPr>
            <w:tcW w:w="3680" w:type="dxa"/>
            <w:vAlign w:val="bottom"/>
          </w:tcPr>
          <w:p>
            <w:pPr>
              <w:ind w:left="360"/>
              <w:spacing w:after="0"/>
              <w:rPr>
                <w:sz w:val="20"/>
                <w:szCs w:val="20"/>
                <w:color w:val="auto"/>
              </w:rPr>
            </w:pPr>
            <w:r>
              <w:rPr>
                <w:rFonts w:ascii="Arial" w:cs="Arial" w:eastAsia="Arial" w:hAnsi="Arial"/>
                <w:sz w:val="20"/>
                <w:szCs w:val="20"/>
                <w:color w:val="auto"/>
              </w:rPr>
              <w:t>Exclusivity</w:t>
            </w:r>
          </w:p>
        </w:tc>
        <w:tc>
          <w:tcPr>
            <w:tcW w:w="67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2.9</w:t>
            </w:r>
          </w:p>
        </w:tc>
        <w:tc>
          <w:tcPr>
            <w:tcW w:w="3680" w:type="dxa"/>
            <w:vAlign w:val="bottom"/>
          </w:tcPr>
          <w:p>
            <w:pPr>
              <w:ind w:left="360"/>
              <w:spacing w:after="0"/>
              <w:rPr>
                <w:sz w:val="20"/>
                <w:szCs w:val="20"/>
                <w:color w:val="auto"/>
              </w:rPr>
            </w:pPr>
            <w:r>
              <w:rPr>
                <w:rFonts w:ascii="Arial" w:cs="Arial" w:eastAsia="Arial" w:hAnsi="Arial"/>
                <w:sz w:val="20"/>
                <w:szCs w:val="20"/>
                <w:color w:val="auto"/>
              </w:rPr>
              <w:t>FibroGen License Options</w:t>
            </w:r>
          </w:p>
        </w:tc>
        <w:tc>
          <w:tcPr>
            <w:tcW w:w="67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24"/>
        </w:trPr>
        <w:tc>
          <w:tcPr>
            <w:tcW w:w="446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3 </w:t>
            </w:r>
            <w:r>
              <w:rPr>
                <w:rFonts w:ascii="Arial" w:cs="Arial" w:eastAsia="Arial" w:hAnsi="Arial"/>
                <w:sz w:val="20"/>
                <w:szCs w:val="20"/>
                <w:color w:val="auto"/>
              </w:rPr>
              <w:t>GOVERNANCE</w:t>
            </w:r>
          </w:p>
        </w:tc>
        <w:tc>
          <w:tcPr>
            <w:tcW w:w="67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3.1</w:t>
            </w:r>
          </w:p>
        </w:tc>
        <w:tc>
          <w:tcPr>
            <w:tcW w:w="3680" w:type="dxa"/>
            <w:vAlign w:val="bottom"/>
          </w:tcPr>
          <w:p>
            <w:pPr>
              <w:ind w:left="360"/>
              <w:spacing w:after="0"/>
              <w:rPr>
                <w:sz w:val="20"/>
                <w:szCs w:val="20"/>
                <w:color w:val="auto"/>
              </w:rPr>
            </w:pPr>
            <w:r>
              <w:rPr>
                <w:rFonts w:ascii="Arial" w:cs="Arial" w:eastAsia="Arial" w:hAnsi="Arial"/>
                <w:sz w:val="20"/>
                <w:szCs w:val="20"/>
                <w:color w:val="auto"/>
              </w:rPr>
              <w:t>Alliance Manager</w:t>
            </w:r>
          </w:p>
        </w:tc>
        <w:tc>
          <w:tcPr>
            <w:tcW w:w="67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3.2</w:t>
            </w:r>
          </w:p>
        </w:tc>
        <w:tc>
          <w:tcPr>
            <w:tcW w:w="3680" w:type="dxa"/>
            <w:vAlign w:val="bottom"/>
          </w:tcPr>
          <w:p>
            <w:pPr>
              <w:ind w:left="360"/>
              <w:spacing w:after="0"/>
              <w:rPr>
                <w:sz w:val="20"/>
                <w:szCs w:val="20"/>
                <w:color w:val="auto"/>
              </w:rPr>
            </w:pPr>
            <w:r>
              <w:rPr>
                <w:rFonts w:ascii="Arial" w:cs="Arial" w:eastAsia="Arial" w:hAnsi="Arial"/>
                <w:sz w:val="20"/>
                <w:szCs w:val="20"/>
                <w:color w:val="auto"/>
              </w:rPr>
              <w:t>Joint Steering Committee</w:t>
            </w:r>
          </w:p>
        </w:tc>
        <w:tc>
          <w:tcPr>
            <w:tcW w:w="67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3.3</w:t>
            </w:r>
          </w:p>
        </w:tc>
        <w:tc>
          <w:tcPr>
            <w:tcW w:w="3680" w:type="dxa"/>
            <w:vAlign w:val="bottom"/>
          </w:tcPr>
          <w:p>
            <w:pPr>
              <w:ind w:left="360"/>
              <w:spacing w:after="0"/>
              <w:rPr>
                <w:sz w:val="20"/>
                <w:szCs w:val="20"/>
                <w:color w:val="auto"/>
              </w:rPr>
            </w:pPr>
            <w:r>
              <w:rPr>
                <w:rFonts w:ascii="Arial" w:cs="Arial" w:eastAsia="Arial" w:hAnsi="Arial"/>
                <w:sz w:val="20"/>
                <w:szCs w:val="20"/>
                <w:color w:val="auto"/>
              </w:rPr>
              <w:t>Resolution of JSC Disputes</w:t>
            </w:r>
          </w:p>
        </w:tc>
        <w:tc>
          <w:tcPr>
            <w:tcW w:w="67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3.4</w:t>
            </w:r>
          </w:p>
        </w:tc>
        <w:tc>
          <w:tcPr>
            <w:tcW w:w="3680" w:type="dxa"/>
            <w:vAlign w:val="bottom"/>
          </w:tcPr>
          <w:p>
            <w:pPr>
              <w:ind w:left="360"/>
              <w:spacing w:after="0"/>
              <w:rPr>
                <w:sz w:val="20"/>
                <w:szCs w:val="20"/>
                <w:color w:val="auto"/>
              </w:rPr>
            </w:pPr>
            <w:r>
              <w:rPr>
                <w:rFonts w:ascii="Arial" w:cs="Arial" w:eastAsia="Arial" w:hAnsi="Arial"/>
                <w:sz w:val="20"/>
                <w:szCs w:val="20"/>
                <w:color w:val="auto"/>
              </w:rPr>
              <w:t>Dissolution of JSC</w:t>
            </w:r>
          </w:p>
        </w:tc>
        <w:tc>
          <w:tcPr>
            <w:tcW w:w="67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24"/>
        </w:trPr>
        <w:tc>
          <w:tcPr>
            <w:tcW w:w="446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4 </w:t>
            </w:r>
            <w:r>
              <w:rPr>
                <w:rFonts w:ascii="Arial" w:cs="Arial" w:eastAsia="Arial" w:hAnsi="Arial"/>
                <w:sz w:val="20"/>
                <w:szCs w:val="20"/>
                <w:color w:val="auto"/>
              </w:rPr>
              <w:t>DEVELOPMENT</w:t>
            </w:r>
          </w:p>
        </w:tc>
        <w:tc>
          <w:tcPr>
            <w:tcW w:w="67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4.1</w:t>
            </w:r>
          </w:p>
        </w:tc>
        <w:tc>
          <w:tcPr>
            <w:tcW w:w="3680" w:type="dxa"/>
            <w:vAlign w:val="bottom"/>
          </w:tcPr>
          <w:p>
            <w:pPr>
              <w:ind w:left="360"/>
              <w:spacing w:after="0"/>
              <w:rPr>
                <w:sz w:val="20"/>
                <w:szCs w:val="20"/>
                <w:color w:val="auto"/>
              </w:rPr>
            </w:pPr>
            <w:r>
              <w:rPr>
                <w:rFonts w:ascii="Arial" w:cs="Arial" w:eastAsia="Arial" w:hAnsi="Arial"/>
                <w:sz w:val="20"/>
                <w:szCs w:val="20"/>
                <w:color w:val="auto"/>
              </w:rPr>
              <w:t>Development Plans</w:t>
            </w:r>
          </w:p>
        </w:tc>
        <w:tc>
          <w:tcPr>
            <w:tcW w:w="67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4.2</w:t>
            </w:r>
          </w:p>
        </w:tc>
        <w:tc>
          <w:tcPr>
            <w:tcW w:w="3680" w:type="dxa"/>
            <w:vAlign w:val="bottom"/>
          </w:tcPr>
          <w:p>
            <w:pPr>
              <w:ind w:left="360"/>
              <w:spacing w:after="0"/>
              <w:rPr>
                <w:sz w:val="20"/>
                <w:szCs w:val="20"/>
                <w:color w:val="auto"/>
              </w:rPr>
            </w:pPr>
            <w:r>
              <w:rPr>
                <w:rFonts w:ascii="Arial" w:cs="Arial" w:eastAsia="Arial" w:hAnsi="Arial"/>
                <w:sz w:val="20"/>
                <w:szCs w:val="20"/>
                <w:color w:val="auto"/>
              </w:rPr>
              <w:t>Work Plans</w:t>
            </w:r>
          </w:p>
        </w:tc>
        <w:tc>
          <w:tcPr>
            <w:tcW w:w="67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4.3</w:t>
            </w:r>
          </w:p>
        </w:tc>
        <w:tc>
          <w:tcPr>
            <w:tcW w:w="3680" w:type="dxa"/>
            <w:vAlign w:val="bottom"/>
          </w:tcPr>
          <w:p>
            <w:pPr>
              <w:ind w:left="360"/>
              <w:spacing w:after="0"/>
              <w:rPr>
                <w:sz w:val="20"/>
                <w:szCs w:val="20"/>
                <w:color w:val="auto"/>
              </w:rPr>
            </w:pPr>
            <w:r>
              <w:rPr>
                <w:rFonts w:ascii="Arial" w:cs="Arial" w:eastAsia="Arial" w:hAnsi="Arial"/>
                <w:sz w:val="20"/>
                <w:szCs w:val="20"/>
                <w:color w:val="auto"/>
                <w:w w:val="93"/>
              </w:rPr>
              <w:t>FibroGen Development Responsibilities</w:t>
            </w:r>
          </w:p>
        </w:tc>
        <w:tc>
          <w:tcPr>
            <w:tcW w:w="67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4.4</w:t>
            </w:r>
          </w:p>
        </w:tc>
        <w:tc>
          <w:tcPr>
            <w:tcW w:w="3680" w:type="dxa"/>
            <w:vAlign w:val="bottom"/>
          </w:tcPr>
          <w:p>
            <w:pPr>
              <w:ind w:left="360"/>
              <w:spacing w:after="0"/>
              <w:rPr>
                <w:sz w:val="20"/>
                <w:szCs w:val="20"/>
                <w:color w:val="auto"/>
              </w:rPr>
            </w:pPr>
            <w:r>
              <w:rPr>
                <w:rFonts w:ascii="Arial" w:cs="Arial" w:eastAsia="Arial" w:hAnsi="Arial"/>
                <w:sz w:val="20"/>
                <w:szCs w:val="20"/>
                <w:color w:val="auto"/>
              </w:rPr>
              <w:t>Development Diligence Obligations</w:t>
            </w:r>
          </w:p>
        </w:tc>
        <w:tc>
          <w:tcPr>
            <w:tcW w:w="67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4.5</w:t>
            </w:r>
          </w:p>
        </w:tc>
        <w:tc>
          <w:tcPr>
            <w:tcW w:w="3680" w:type="dxa"/>
            <w:vAlign w:val="bottom"/>
          </w:tcPr>
          <w:p>
            <w:pPr>
              <w:ind w:left="360"/>
              <w:spacing w:after="0"/>
              <w:rPr>
                <w:sz w:val="20"/>
                <w:szCs w:val="20"/>
                <w:color w:val="auto"/>
              </w:rPr>
            </w:pPr>
            <w:r>
              <w:rPr>
                <w:rFonts w:ascii="Arial" w:cs="Arial" w:eastAsia="Arial" w:hAnsi="Arial"/>
                <w:sz w:val="20"/>
                <w:szCs w:val="20"/>
                <w:color w:val="auto"/>
              </w:rPr>
              <w:t>HFB Development Responsibilities</w:t>
            </w:r>
          </w:p>
        </w:tc>
        <w:tc>
          <w:tcPr>
            <w:tcW w:w="67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4.6</w:t>
            </w:r>
          </w:p>
        </w:tc>
        <w:tc>
          <w:tcPr>
            <w:tcW w:w="3680" w:type="dxa"/>
            <w:vAlign w:val="bottom"/>
          </w:tcPr>
          <w:p>
            <w:pPr>
              <w:ind w:left="360"/>
              <w:spacing w:after="0"/>
              <w:rPr>
                <w:sz w:val="20"/>
                <w:szCs w:val="20"/>
                <w:color w:val="auto"/>
              </w:rPr>
            </w:pPr>
            <w:r>
              <w:rPr>
                <w:rFonts w:ascii="Arial" w:cs="Arial" w:eastAsia="Arial" w:hAnsi="Arial"/>
                <w:sz w:val="20"/>
                <w:szCs w:val="20"/>
                <w:color w:val="auto"/>
              </w:rPr>
              <w:t>Development Records</w:t>
            </w:r>
          </w:p>
        </w:tc>
        <w:tc>
          <w:tcPr>
            <w:tcW w:w="67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4.7</w:t>
            </w:r>
          </w:p>
        </w:tc>
        <w:tc>
          <w:tcPr>
            <w:tcW w:w="3680" w:type="dxa"/>
            <w:vAlign w:val="bottom"/>
          </w:tcPr>
          <w:p>
            <w:pPr>
              <w:ind w:left="360"/>
              <w:spacing w:after="0"/>
              <w:rPr>
                <w:sz w:val="20"/>
                <w:szCs w:val="20"/>
                <w:color w:val="auto"/>
              </w:rPr>
            </w:pPr>
            <w:r>
              <w:rPr>
                <w:rFonts w:ascii="Arial" w:cs="Arial" w:eastAsia="Arial" w:hAnsi="Arial"/>
                <w:sz w:val="20"/>
                <w:szCs w:val="20"/>
                <w:color w:val="auto"/>
              </w:rPr>
              <w:t>Development Reports</w:t>
            </w:r>
          </w:p>
        </w:tc>
        <w:tc>
          <w:tcPr>
            <w:tcW w:w="67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24"/>
        </w:trPr>
        <w:tc>
          <w:tcPr>
            <w:tcW w:w="446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5 </w:t>
            </w:r>
            <w:r>
              <w:rPr>
                <w:rFonts w:ascii="Arial" w:cs="Arial" w:eastAsia="Arial" w:hAnsi="Arial"/>
                <w:sz w:val="20"/>
                <w:szCs w:val="20"/>
                <w:color w:val="auto"/>
              </w:rPr>
              <w:t>REGULATORY</w:t>
            </w:r>
          </w:p>
        </w:tc>
        <w:tc>
          <w:tcPr>
            <w:tcW w:w="6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5.1</w:t>
            </w:r>
          </w:p>
        </w:tc>
        <w:tc>
          <w:tcPr>
            <w:tcW w:w="3680" w:type="dxa"/>
            <w:vAlign w:val="bottom"/>
          </w:tcPr>
          <w:p>
            <w:pPr>
              <w:ind w:left="360"/>
              <w:spacing w:after="0"/>
              <w:rPr>
                <w:sz w:val="20"/>
                <w:szCs w:val="20"/>
                <w:color w:val="auto"/>
              </w:rPr>
            </w:pPr>
            <w:r>
              <w:rPr>
                <w:rFonts w:ascii="Arial" w:cs="Arial" w:eastAsia="Arial" w:hAnsi="Arial"/>
                <w:sz w:val="20"/>
                <w:szCs w:val="20"/>
                <w:color w:val="auto"/>
              </w:rPr>
              <w:t>Regulatory Responsibilities</w:t>
            </w:r>
          </w:p>
        </w:tc>
        <w:tc>
          <w:tcPr>
            <w:tcW w:w="6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5.2</w:t>
            </w:r>
          </w:p>
        </w:tc>
        <w:tc>
          <w:tcPr>
            <w:tcW w:w="3680" w:type="dxa"/>
            <w:vAlign w:val="bottom"/>
          </w:tcPr>
          <w:p>
            <w:pPr>
              <w:ind w:left="360"/>
              <w:spacing w:after="0"/>
              <w:rPr>
                <w:sz w:val="20"/>
                <w:szCs w:val="20"/>
                <w:color w:val="auto"/>
              </w:rPr>
            </w:pPr>
            <w:r>
              <w:rPr>
                <w:rFonts w:ascii="Arial" w:cs="Arial" w:eastAsia="Arial" w:hAnsi="Arial"/>
                <w:sz w:val="20"/>
                <w:szCs w:val="20"/>
                <w:color w:val="auto"/>
              </w:rPr>
              <w:t>Regulatory Filings; Ownership</w:t>
            </w:r>
          </w:p>
        </w:tc>
        <w:tc>
          <w:tcPr>
            <w:tcW w:w="6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5.3</w:t>
            </w:r>
          </w:p>
        </w:tc>
        <w:tc>
          <w:tcPr>
            <w:tcW w:w="3680" w:type="dxa"/>
            <w:vAlign w:val="bottom"/>
          </w:tcPr>
          <w:p>
            <w:pPr>
              <w:ind w:left="360"/>
              <w:spacing w:after="0"/>
              <w:rPr>
                <w:sz w:val="20"/>
                <w:szCs w:val="20"/>
                <w:color w:val="auto"/>
              </w:rPr>
            </w:pPr>
            <w:r>
              <w:rPr>
                <w:rFonts w:ascii="Arial" w:cs="Arial" w:eastAsia="Arial" w:hAnsi="Arial"/>
                <w:sz w:val="20"/>
                <w:szCs w:val="20"/>
                <w:color w:val="auto"/>
                <w:w w:val="95"/>
              </w:rPr>
              <w:t>Interactions with Regulatory Authorities</w:t>
            </w:r>
          </w:p>
        </w:tc>
        <w:tc>
          <w:tcPr>
            <w:tcW w:w="6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5.4</w:t>
            </w:r>
          </w:p>
        </w:tc>
        <w:tc>
          <w:tcPr>
            <w:tcW w:w="3680" w:type="dxa"/>
            <w:vAlign w:val="bottom"/>
          </w:tcPr>
          <w:p>
            <w:pPr>
              <w:ind w:left="360"/>
              <w:spacing w:after="0"/>
              <w:rPr>
                <w:sz w:val="20"/>
                <w:szCs w:val="20"/>
                <w:color w:val="auto"/>
              </w:rPr>
            </w:pPr>
            <w:r>
              <w:rPr>
                <w:rFonts w:ascii="Arial" w:cs="Arial" w:eastAsia="Arial" w:hAnsi="Arial"/>
                <w:sz w:val="20"/>
                <w:szCs w:val="20"/>
                <w:color w:val="auto"/>
              </w:rPr>
              <w:t>Option Programs</w:t>
            </w:r>
          </w:p>
        </w:tc>
        <w:tc>
          <w:tcPr>
            <w:tcW w:w="6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24"/>
        </w:trPr>
        <w:tc>
          <w:tcPr>
            <w:tcW w:w="446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6 </w:t>
            </w:r>
            <w:r>
              <w:rPr>
                <w:rFonts w:ascii="Arial" w:cs="Arial" w:eastAsia="Arial" w:hAnsi="Arial"/>
                <w:sz w:val="20"/>
                <w:szCs w:val="20"/>
                <w:color w:val="auto"/>
              </w:rPr>
              <w:t>MANUFACTURING</w:t>
            </w:r>
          </w:p>
        </w:tc>
        <w:tc>
          <w:tcPr>
            <w:tcW w:w="67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24"/>
        </w:trPr>
        <w:tc>
          <w:tcPr>
            <w:tcW w:w="780" w:type="dxa"/>
            <w:vAlign w:val="bottom"/>
          </w:tcPr>
          <w:p>
            <w:pPr>
              <w:jc w:val="right"/>
              <w:ind w:right="241"/>
              <w:spacing w:after="0"/>
              <w:rPr>
                <w:sz w:val="20"/>
                <w:szCs w:val="20"/>
                <w:color w:val="auto"/>
              </w:rPr>
            </w:pPr>
            <w:r>
              <w:rPr>
                <w:rFonts w:ascii="Arial" w:cs="Arial" w:eastAsia="Arial" w:hAnsi="Arial"/>
                <w:sz w:val="20"/>
                <w:szCs w:val="20"/>
                <w:color w:val="auto"/>
              </w:rPr>
              <w:t>6.1</w:t>
            </w:r>
          </w:p>
        </w:tc>
        <w:tc>
          <w:tcPr>
            <w:tcW w:w="3680" w:type="dxa"/>
            <w:vAlign w:val="bottom"/>
          </w:tcPr>
          <w:p>
            <w:pPr>
              <w:ind w:left="360"/>
              <w:spacing w:after="0"/>
              <w:rPr>
                <w:sz w:val="20"/>
                <w:szCs w:val="20"/>
                <w:color w:val="auto"/>
              </w:rPr>
            </w:pPr>
            <w:r>
              <w:rPr>
                <w:rFonts w:ascii="Arial" w:cs="Arial" w:eastAsia="Arial" w:hAnsi="Arial"/>
                <w:sz w:val="20"/>
                <w:szCs w:val="20"/>
                <w:color w:val="auto"/>
              </w:rPr>
              <w:t>Manufacturing</w:t>
            </w:r>
          </w:p>
        </w:tc>
        <w:tc>
          <w:tcPr>
            <w:tcW w:w="6780" w:type="dxa"/>
            <w:vAlign w:val="bottom"/>
          </w:tcPr>
          <w:p>
            <w:pPr>
              <w:jc w:val="right"/>
              <w:spacing w:after="0"/>
              <w:rPr>
                <w:sz w:val="20"/>
                <w:szCs w:val="20"/>
                <w:color w:val="auto"/>
              </w:rPr>
            </w:pPr>
            <w:r>
              <w:rPr>
                <w:rFonts w:ascii="Arial" w:cs="Arial" w:eastAsia="Arial" w:hAnsi="Arial"/>
                <w:sz w:val="20"/>
                <w:szCs w:val="20"/>
                <w:color w:val="auto"/>
              </w:rPr>
              <w:t>24</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11" w:lineRule="exact"/>
        <w:rPr>
          <w:sz w:val="20"/>
          <w:szCs w:val="20"/>
          <w:color w:val="auto"/>
        </w:rPr>
      </w:pPr>
    </w:p>
    <w:p>
      <w:pPr>
        <w:ind w:right="320" w:firstLine="8"/>
        <w:spacing w:after="0" w:line="244" w:lineRule="auto"/>
        <w:tabs>
          <w:tab w:leader="none" w:pos="280" w:val="left"/>
        </w:tabs>
        <w:numPr>
          <w:ilvl w:val="0"/>
          <w:numId w:val="108"/>
        </w:numPr>
        <w:rPr>
          <w:rFonts w:ascii="Arial" w:cs="Arial" w:eastAsia="Arial" w:hAnsi="Arial"/>
          <w:sz w:val="20"/>
          <w:szCs w:val="20"/>
          <w:b w:val="1"/>
          <w:bCs w:val="1"/>
          <w:color w:val="auto"/>
          <w:highlight w:val="yellow"/>
        </w:rPr>
      </w:pPr>
      <w:r>
        <w:rPr>
          <w:rFonts w:ascii="Arial" w:cs="Arial" w:eastAsia="Arial" w:hAnsi="Arial"/>
          <w:sz w:val="20"/>
          <w:szCs w:val="20"/>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56"/>
        </w:trPr>
        <w:tc>
          <w:tcPr>
            <w:tcW w:w="860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7 </w:t>
            </w:r>
            <w:r>
              <w:rPr>
                <w:rFonts w:ascii="Arial" w:cs="Arial" w:eastAsia="Arial" w:hAnsi="Arial"/>
                <w:sz w:val="20"/>
                <w:szCs w:val="20"/>
                <w:color w:val="auto"/>
              </w:rPr>
              <w:t>COMMERCIALIZATION</w:t>
            </w:r>
          </w:p>
        </w:tc>
        <w:tc>
          <w:tcPr>
            <w:tcW w:w="26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7.1</w:t>
            </w:r>
          </w:p>
        </w:tc>
        <w:tc>
          <w:tcPr>
            <w:tcW w:w="7760" w:type="dxa"/>
            <w:vAlign w:val="bottom"/>
          </w:tcPr>
          <w:p>
            <w:pPr>
              <w:ind w:left="300"/>
              <w:spacing w:after="0"/>
              <w:rPr>
                <w:sz w:val="20"/>
                <w:szCs w:val="20"/>
                <w:color w:val="auto"/>
              </w:rPr>
            </w:pPr>
            <w:r>
              <w:rPr>
                <w:rFonts w:ascii="Arial" w:cs="Arial" w:eastAsia="Arial" w:hAnsi="Arial"/>
                <w:sz w:val="20"/>
                <w:szCs w:val="20"/>
                <w:color w:val="auto"/>
              </w:rPr>
              <w:t>Commercialization Responsibilities</w:t>
            </w:r>
          </w:p>
        </w:tc>
        <w:tc>
          <w:tcPr>
            <w:tcW w:w="26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7.2</w:t>
            </w:r>
          </w:p>
        </w:tc>
        <w:tc>
          <w:tcPr>
            <w:tcW w:w="7760" w:type="dxa"/>
            <w:vAlign w:val="bottom"/>
          </w:tcPr>
          <w:p>
            <w:pPr>
              <w:ind w:left="300"/>
              <w:spacing w:after="0"/>
              <w:rPr>
                <w:sz w:val="20"/>
                <w:szCs w:val="20"/>
                <w:color w:val="auto"/>
              </w:rPr>
            </w:pPr>
            <w:r>
              <w:rPr>
                <w:rFonts w:ascii="Arial" w:cs="Arial" w:eastAsia="Arial" w:hAnsi="Arial"/>
                <w:sz w:val="20"/>
                <w:szCs w:val="20"/>
                <w:color w:val="auto"/>
              </w:rPr>
              <w:t>Commercialization Diligence Obligations</w:t>
            </w:r>
          </w:p>
        </w:tc>
        <w:tc>
          <w:tcPr>
            <w:tcW w:w="26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7.3</w:t>
            </w:r>
          </w:p>
        </w:tc>
        <w:tc>
          <w:tcPr>
            <w:tcW w:w="7760" w:type="dxa"/>
            <w:vAlign w:val="bottom"/>
          </w:tcPr>
          <w:p>
            <w:pPr>
              <w:ind w:left="300"/>
              <w:spacing w:after="0"/>
              <w:rPr>
                <w:sz w:val="20"/>
                <w:szCs w:val="20"/>
                <w:color w:val="auto"/>
              </w:rPr>
            </w:pPr>
            <w:r>
              <w:rPr>
                <w:rFonts w:ascii="Arial" w:cs="Arial" w:eastAsia="Arial" w:hAnsi="Arial"/>
                <w:sz w:val="20"/>
                <w:szCs w:val="20"/>
                <w:color w:val="auto"/>
              </w:rPr>
              <w:t>Commercialization Report</w:t>
            </w:r>
          </w:p>
        </w:tc>
        <w:tc>
          <w:tcPr>
            <w:tcW w:w="26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24"/>
        </w:trPr>
        <w:tc>
          <w:tcPr>
            <w:tcW w:w="860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8 </w:t>
            </w:r>
            <w:r>
              <w:rPr>
                <w:rFonts w:ascii="Arial" w:cs="Arial" w:eastAsia="Arial" w:hAnsi="Arial"/>
                <w:sz w:val="20"/>
                <w:szCs w:val="20"/>
                <w:color w:val="auto"/>
              </w:rPr>
              <w:t>FINANCIALS</w:t>
            </w:r>
          </w:p>
        </w:tc>
        <w:tc>
          <w:tcPr>
            <w:tcW w:w="26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8.1</w:t>
            </w:r>
          </w:p>
        </w:tc>
        <w:tc>
          <w:tcPr>
            <w:tcW w:w="7760" w:type="dxa"/>
            <w:vAlign w:val="bottom"/>
          </w:tcPr>
          <w:p>
            <w:pPr>
              <w:ind w:left="300"/>
              <w:spacing w:after="0"/>
              <w:rPr>
                <w:sz w:val="20"/>
                <w:szCs w:val="20"/>
                <w:color w:val="auto"/>
              </w:rPr>
            </w:pPr>
            <w:r>
              <w:rPr>
                <w:rFonts w:ascii="Arial" w:cs="Arial" w:eastAsia="Arial" w:hAnsi="Arial"/>
                <w:sz w:val="20"/>
                <w:szCs w:val="20"/>
                <w:color w:val="auto"/>
              </w:rPr>
              <w:t>Upfront Payment</w:t>
            </w:r>
          </w:p>
        </w:tc>
        <w:tc>
          <w:tcPr>
            <w:tcW w:w="26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8.2</w:t>
            </w:r>
          </w:p>
        </w:tc>
        <w:tc>
          <w:tcPr>
            <w:tcW w:w="7760" w:type="dxa"/>
            <w:vAlign w:val="bottom"/>
          </w:tcPr>
          <w:p>
            <w:pPr>
              <w:ind w:left="300"/>
              <w:spacing w:after="0"/>
              <w:rPr>
                <w:sz w:val="20"/>
                <w:szCs w:val="20"/>
                <w:color w:val="auto"/>
              </w:rPr>
            </w:pPr>
            <w:r>
              <w:rPr>
                <w:rFonts w:ascii="Arial" w:cs="Arial" w:eastAsia="Arial" w:hAnsi="Arial"/>
                <w:sz w:val="20"/>
                <w:szCs w:val="20"/>
                <w:color w:val="auto"/>
              </w:rPr>
              <w:t>Option Exercise Payment</w:t>
            </w:r>
          </w:p>
        </w:tc>
        <w:tc>
          <w:tcPr>
            <w:tcW w:w="26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8.3</w:t>
            </w:r>
          </w:p>
        </w:tc>
        <w:tc>
          <w:tcPr>
            <w:tcW w:w="7760" w:type="dxa"/>
            <w:vAlign w:val="bottom"/>
          </w:tcPr>
          <w:p>
            <w:pPr>
              <w:ind w:left="300"/>
              <w:spacing w:after="0"/>
              <w:rPr>
                <w:sz w:val="20"/>
                <w:szCs w:val="20"/>
                <w:color w:val="auto"/>
              </w:rPr>
            </w:pPr>
            <w:r>
              <w:rPr>
                <w:rFonts w:ascii="Arial" w:cs="Arial" w:eastAsia="Arial" w:hAnsi="Arial"/>
                <w:sz w:val="20"/>
                <w:szCs w:val="20"/>
                <w:color w:val="auto"/>
              </w:rPr>
              <w:t>Milestone Payments</w:t>
            </w:r>
          </w:p>
        </w:tc>
        <w:tc>
          <w:tcPr>
            <w:tcW w:w="26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8.4</w:t>
            </w:r>
          </w:p>
        </w:tc>
        <w:tc>
          <w:tcPr>
            <w:tcW w:w="7760" w:type="dxa"/>
            <w:vAlign w:val="bottom"/>
          </w:tcPr>
          <w:p>
            <w:pPr>
              <w:ind w:left="300"/>
              <w:spacing w:after="0"/>
              <w:rPr>
                <w:sz w:val="20"/>
                <w:szCs w:val="20"/>
                <w:color w:val="auto"/>
              </w:rPr>
            </w:pPr>
            <w:r>
              <w:rPr>
                <w:rFonts w:ascii="Arial" w:cs="Arial" w:eastAsia="Arial" w:hAnsi="Arial"/>
                <w:sz w:val="20"/>
                <w:szCs w:val="20"/>
                <w:color w:val="auto"/>
              </w:rPr>
              <w:t>Royalties</w:t>
            </w:r>
          </w:p>
        </w:tc>
        <w:tc>
          <w:tcPr>
            <w:tcW w:w="26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8.5</w:t>
            </w:r>
          </w:p>
        </w:tc>
        <w:tc>
          <w:tcPr>
            <w:tcW w:w="7760" w:type="dxa"/>
            <w:vAlign w:val="bottom"/>
          </w:tcPr>
          <w:p>
            <w:pPr>
              <w:ind w:left="300"/>
              <w:spacing w:after="0"/>
              <w:rPr>
                <w:sz w:val="20"/>
                <w:szCs w:val="20"/>
                <w:color w:val="auto"/>
              </w:rPr>
            </w:pPr>
            <w:r>
              <w:rPr>
                <w:rFonts w:ascii="Arial" w:cs="Arial" w:eastAsia="Arial" w:hAnsi="Arial"/>
                <w:sz w:val="20"/>
                <w:szCs w:val="20"/>
                <w:color w:val="auto"/>
              </w:rPr>
              <w:t>Sublicense Revenue</w:t>
            </w:r>
          </w:p>
        </w:tc>
        <w:tc>
          <w:tcPr>
            <w:tcW w:w="26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8.6</w:t>
            </w:r>
          </w:p>
        </w:tc>
        <w:tc>
          <w:tcPr>
            <w:tcW w:w="7760" w:type="dxa"/>
            <w:vAlign w:val="bottom"/>
          </w:tcPr>
          <w:p>
            <w:pPr>
              <w:ind w:left="300"/>
              <w:spacing w:after="0"/>
              <w:rPr>
                <w:sz w:val="20"/>
                <w:szCs w:val="20"/>
                <w:color w:val="auto"/>
              </w:rPr>
            </w:pPr>
            <w:r>
              <w:rPr>
                <w:rFonts w:ascii="Arial" w:cs="Arial" w:eastAsia="Arial" w:hAnsi="Arial"/>
                <w:sz w:val="20"/>
                <w:szCs w:val="20"/>
                <w:color w:val="auto"/>
              </w:rPr>
              <w:t>Upstream License Costs</w:t>
            </w:r>
          </w:p>
        </w:tc>
        <w:tc>
          <w:tcPr>
            <w:tcW w:w="26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8.7</w:t>
            </w:r>
          </w:p>
        </w:tc>
        <w:tc>
          <w:tcPr>
            <w:tcW w:w="7760" w:type="dxa"/>
            <w:vAlign w:val="bottom"/>
          </w:tcPr>
          <w:p>
            <w:pPr>
              <w:ind w:left="300"/>
              <w:spacing w:after="0"/>
              <w:rPr>
                <w:sz w:val="20"/>
                <w:szCs w:val="20"/>
                <w:color w:val="auto"/>
              </w:rPr>
            </w:pPr>
            <w:r>
              <w:rPr>
                <w:rFonts w:ascii="Arial" w:cs="Arial" w:eastAsia="Arial" w:hAnsi="Arial"/>
                <w:sz w:val="20"/>
                <w:szCs w:val="20"/>
                <w:color w:val="auto"/>
              </w:rPr>
              <w:t>Books and Records; Audit Rights</w:t>
            </w:r>
          </w:p>
        </w:tc>
        <w:tc>
          <w:tcPr>
            <w:tcW w:w="26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8.8</w:t>
            </w:r>
          </w:p>
        </w:tc>
        <w:tc>
          <w:tcPr>
            <w:tcW w:w="7760" w:type="dxa"/>
            <w:vAlign w:val="bottom"/>
          </w:tcPr>
          <w:p>
            <w:pPr>
              <w:ind w:left="300"/>
              <w:spacing w:after="0"/>
              <w:rPr>
                <w:sz w:val="20"/>
                <w:szCs w:val="20"/>
                <w:color w:val="auto"/>
              </w:rPr>
            </w:pPr>
            <w:r>
              <w:rPr>
                <w:rFonts w:ascii="Arial" w:cs="Arial" w:eastAsia="Arial" w:hAnsi="Arial"/>
                <w:sz w:val="20"/>
                <w:szCs w:val="20"/>
                <w:color w:val="auto"/>
              </w:rPr>
              <w:t>Taxes</w:t>
            </w:r>
          </w:p>
        </w:tc>
        <w:tc>
          <w:tcPr>
            <w:tcW w:w="26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24"/>
        </w:trPr>
        <w:tc>
          <w:tcPr>
            <w:tcW w:w="860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9 </w:t>
            </w:r>
            <w:r>
              <w:rPr>
                <w:rFonts w:ascii="Arial" w:cs="Arial" w:eastAsia="Arial" w:hAnsi="Arial"/>
                <w:sz w:val="20"/>
                <w:szCs w:val="20"/>
                <w:color w:val="auto"/>
              </w:rPr>
              <w:t>INTELLECTUAL PROPERTY</w:t>
            </w:r>
          </w:p>
        </w:tc>
        <w:tc>
          <w:tcPr>
            <w:tcW w:w="26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9.1</w:t>
            </w:r>
          </w:p>
        </w:tc>
        <w:tc>
          <w:tcPr>
            <w:tcW w:w="7760" w:type="dxa"/>
            <w:vAlign w:val="bottom"/>
          </w:tcPr>
          <w:p>
            <w:pPr>
              <w:ind w:left="300"/>
              <w:spacing w:after="0"/>
              <w:rPr>
                <w:sz w:val="20"/>
                <w:szCs w:val="20"/>
                <w:color w:val="auto"/>
              </w:rPr>
            </w:pPr>
            <w:r>
              <w:rPr>
                <w:rFonts w:ascii="Arial" w:cs="Arial" w:eastAsia="Arial" w:hAnsi="Arial"/>
                <w:sz w:val="20"/>
                <w:szCs w:val="20"/>
                <w:color w:val="auto"/>
              </w:rPr>
              <w:t>Background Technology</w:t>
            </w:r>
          </w:p>
        </w:tc>
        <w:tc>
          <w:tcPr>
            <w:tcW w:w="26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9.2</w:t>
            </w:r>
          </w:p>
        </w:tc>
        <w:tc>
          <w:tcPr>
            <w:tcW w:w="7760" w:type="dxa"/>
            <w:vAlign w:val="bottom"/>
          </w:tcPr>
          <w:p>
            <w:pPr>
              <w:ind w:left="300"/>
              <w:spacing w:after="0"/>
              <w:rPr>
                <w:sz w:val="20"/>
                <w:szCs w:val="20"/>
                <w:color w:val="auto"/>
              </w:rPr>
            </w:pPr>
            <w:r>
              <w:rPr>
                <w:rFonts w:ascii="Arial" w:cs="Arial" w:eastAsia="Arial" w:hAnsi="Arial"/>
                <w:sz w:val="20"/>
                <w:szCs w:val="20"/>
                <w:color w:val="auto"/>
              </w:rPr>
              <w:t>Ownership</w:t>
            </w:r>
          </w:p>
        </w:tc>
        <w:tc>
          <w:tcPr>
            <w:tcW w:w="26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9.3</w:t>
            </w:r>
          </w:p>
        </w:tc>
        <w:tc>
          <w:tcPr>
            <w:tcW w:w="7760" w:type="dxa"/>
            <w:vAlign w:val="bottom"/>
          </w:tcPr>
          <w:p>
            <w:pPr>
              <w:ind w:left="300"/>
              <w:spacing w:after="0"/>
              <w:rPr>
                <w:sz w:val="20"/>
                <w:szCs w:val="20"/>
                <w:color w:val="auto"/>
              </w:rPr>
            </w:pPr>
            <w:r>
              <w:rPr>
                <w:rFonts w:ascii="Arial" w:cs="Arial" w:eastAsia="Arial" w:hAnsi="Arial"/>
                <w:sz w:val="20"/>
                <w:szCs w:val="20"/>
                <w:color w:val="auto"/>
              </w:rPr>
              <w:t>Prosecution, Maintenance &amp; Enforcement</w:t>
            </w:r>
          </w:p>
        </w:tc>
        <w:tc>
          <w:tcPr>
            <w:tcW w:w="26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9.4</w:t>
            </w:r>
          </w:p>
        </w:tc>
        <w:tc>
          <w:tcPr>
            <w:tcW w:w="7760" w:type="dxa"/>
            <w:vAlign w:val="bottom"/>
          </w:tcPr>
          <w:p>
            <w:pPr>
              <w:ind w:left="300"/>
              <w:spacing w:after="0"/>
              <w:rPr>
                <w:sz w:val="20"/>
                <w:szCs w:val="20"/>
                <w:color w:val="auto"/>
              </w:rPr>
            </w:pPr>
            <w:r>
              <w:rPr>
                <w:rFonts w:ascii="Arial" w:cs="Arial" w:eastAsia="Arial" w:hAnsi="Arial"/>
                <w:sz w:val="20"/>
                <w:szCs w:val="20"/>
                <w:color w:val="auto"/>
              </w:rPr>
              <w:t>Defense and Settlement of Third Party Claims</w:t>
            </w:r>
          </w:p>
        </w:tc>
        <w:tc>
          <w:tcPr>
            <w:tcW w:w="26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9.5</w:t>
            </w:r>
          </w:p>
        </w:tc>
        <w:tc>
          <w:tcPr>
            <w:tcW w:w="7760" w:type="dxa"/>
            <w:vAlign w:val="bottom"/>
          </w:tcPr>
          <w:p>
            <w:pPr>
              <w:ind w:left="300"/>
              <w:spacing w:after="0"/>
              <w:rPr>
                <w:sz w:val="20"/>
                <w:szCs w:val="20"/>
                <w:color w:val="auto"/>
              </w:rPr>
            </w:pPr>
            <w:r>
              <w:rPr>
                <w:rFonts w:ascii="Arial" w:cs="Arial" w:eastAsia="Arial" w:hAnsi="Arial"/>
                <w:sz w:val="20"/>
                <w:szCs w:val="20"/>
                <w:color w:val="auto"/>
              </w:rPr>
              <w:t>Enforcement</w:t>
            </w:r>
          </w:p>
        </w:tc>
        <w:tc>
          <w:tcPr>
            <w:tcW w:w="26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9.6</w:t>
            </w:r>
          </w:p>
        </w:tc>
        <w:tc>
          <w:tcPr>
            <w:tcW w:w="7760" w:type="dxa"/>
            <w:vAlign w:val="bottom"/>
          </w:tcPr>
          <w:p>
            <w:pPr>
              <w:ind w:left="300"/>
              <w:spacing w:after="0"/>
              <w:rPr>
                <w:sz w:val="20"/>
                <w:szCs w:val="20"/>
                <w:color w:val="auto"/>
              </w:rPr>
            </w:pPr>
            <w:r>
              <w:rPr>
                <w:rFonts w:ascii="Arial" w:cs="Arial" w:eastAsia="Arial" w:hAnsi="Arial"/>
                <w:sz w:val="20"/>
                <w:szCs w:val="20"/>
                <w:color w:val="auto"/>
              </w:rPr>
              <w:t>Trademarks</w:t>
            </w:r>
          </w:p>
        </w:tc>
        <w:tc>
          <w:tcPr>
            <w:tcW w:w="26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9.7</w:t>
            </w:r>
          </w:p>
        </w:tc>
        <w:tc>
          <w:tcPr>
            <w:tcW w:w="7760" w:type="dxa"/>
            <w:vAlign w:val="bottom"/>
          </w:tcPr>
          <w:p>
            <w:pPr>
              <w:ind w:left="300"/>
              <w:spacing w:after="0"/>
              <w:rPr>
                <w:sz w:val="20"/>
                <w:szCs w:val="20"/>
                <w:color w:val="auto"/>
              </w:rPr>
            </w:pPr>
            <w:r>
              <w:rPr>
                <w:rFonts w:ascii="Arial" w:cs="Arial" w:eastAsia="Arial" w:hAnsi="Arial"/>
                <w:sz w:val="20"/>
                <w:szCs w:val="20"/>
                <w:color w:val="auto"/>
              </w:rPr>
              <w:t>CREATE Act</w:t>
            </w:r>
          </w:p>
        </w:tc>
        <w:tc>
          <w:tcPr>
            <w:tcW w:w="26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9.8</w:t>
            </w:r>
          </w:p>
        </w:tc>
        <w:tc>
          <w:tcPr>
            <w:tcW w:w="7760" w:type="dxa"/>
            <w:vAlign w:val="bottom"/>
          </w:tcPr>
          <w:p>
            <w:pPr>
              <w:ind w:left="300"/>
              <w:spacing w:after="0"/>
              <w:rPr>
                <w:sz w:val="20"/>
                <w:szCs w:val="20"/>
                <w:color w:val="auto"/>
              </w:rPr>
            </w:pPr>
            <w:r>
              <w:rPr>
                <w:rFonts w:ascii="Arial" w:cs="Arial" w:eastAsia="Arial" w:hAnsi="Arial"/>
                <w:sz w:val="20"/>
                <w:szCs w:val="20"/>
                <w:color w:val="auto"/>
              </w:rPr>
              <w:t>Patent Right Extensions; Regulatory Exclusivity</w:t>
            </w:r>
          </w:p>
        </w:tc>
        <w:tc>
          <w:tcPr>
            <w:tcW w:w="26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24"/>
        </w:trPr>
        <w:tc>
          <w:tcPr>
            <w:tcW w:w="860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10 </w:t>
            </w:r>
            <w:r>
              <w:rPr>
                <w:rFonts w:ascii="Arial" w:cs="Arial" w:eastAsia="Arial" w:hAnsi="Arial"/>
                <w:sz w:val="20"/>
                <w:szCs w:val="20"/>
                <w:color w:val="auto"/>
              </w:rPr>
              <w:t>REPRESENTATIONS, WARRANTIES, AND COVENANTS</w:t>
            </w:r>
          </w:p>
        </w:tc>
        <w:tc>
          <w:tcPr>
            <w:tcW w:w="26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10.1</w:t>
            </w:r>
          </w:p>
        </w:tc>
        <w:tc>
          <w:tcPr>
            <w:tcW w:w="7760" w:type="dxa"/>
            <w:vAlign w:val="bottom"/>
          </w:tcPr>
          <w:p>
            <w:pPr>
              <w:ind w:left="300"/>
              <w:spacing w:after="0"/>
              <w:rPr>
                <w:sz w:val="20"/>
                <w:szCs w:val="20"/>
                <w:color w:val="auto"/>
              </w:rPr>
            </w:pPr>
            <w:r>
              <w:rPr>
                <w:rFonts w:ascii="Arial" w:cs="Arial" w:eastAsia="Arial" w:hAnsi="Arial"/>
                <w:sz w:val="20"/>
                <w:szCs w:val="20"/>
                <w:color w:val="auto"/>
              </w:rPr>
              <w:t>Mutual Representations, Warranties, and Covenants</w:t>
            </w:r>
          </w:p>
        </w:tc>
        <w:tc>
          <w:tcPr>
            <w:tcW w:w="26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10.2</w:t>
            </w:r>
          </w:p>
        </w:tc>
        <w:tc>
          <w:tcPr>
            <w:tcW w:w="7760" w:type="dxa"/>
            <w:vAlign w:val="bottom"/>
          </w:tcPr>
          <w:p>
            <w:pPr>
              <w:ind w:left="300"/>
              <w:spacing w:after="0"/>
              <w:rPr>
                <w:sz w:val="20"/>
                <w:szCs w:val="20"/>
                <w:color w:val="auto"/>
              </w:rPr>
            </w:pPr>
            <w:r>
              <w:rPr>
                <w:rFonts w:ascii="Arial" w:cs="Arial" w:eastAsia="Arial" w:hAnsi="Arial"/>
                <w:sz w:val="20"/>
                <w:szCs w:val="20"/>
                <w:color w:val="auto"/>
              </w:rPr>
              <w:t>Representations and Warranties by HFB</w:t>
            </w:r>
          </w:p>
        </w:tc>
        <w:tc>
          <w:tcPr>
            <w:tcW w:w="26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10.3</w:t>
            </w:r>
          </w:p>
        </w:tc>
        <w:tc>
          <w:tcPr>
            <w:tcW w:w="7760" w:type="dxa"/>
            <w:vAlign w:val="bottom"/>
          </w:tcPr>
          <w:p>
            <w:pPr>
              <w:ind w:left="300"/>
              <w:spacing w:after="0"/>
              <w:rPr>
                <w:sz w:val="20"/>
                <w:szCs w:val="20"/>
                <w:color w:val="auto"/>
              </w:rPr>
            </w:pPr>
            <w:r>
              <w:rPr>
                <w:rFonts w:ascii="Arial" w:cs="Arial" w:eastAsia="Arial" w:hAnsi="Arial"/>
                <w:sz w:val="20"/>
                <w:szCs w:val="20"/>
                <w:color w:val="auto"/>
              </w:rPr>
              <w:t>HFB Covenants</w:t>
            </w:r>
          </w:p>
        </w:tc>
        <w:tc>
          <w:tcPr>
            <w:tcW w:w="26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10.4</w:t>
            </w:r>
          </w:p>
        </w:tc>
        <w:tc>
          <w:tcPr>
            <w:tcW w:w="7760" w:type="dxa"/>
            <w:vAlign w:val="bottom"/>
          </w:tcPr>
          <w:p>
            <w:pPr>
              <w:ind w:left="300"/>
              <w:spacing w:after="0"/>
              <w:rPr>
                <w:sz w:val="20"/>
                <w:szCs w:val="20"/>
                <w:color w:val="auto"/>
              </w:rPr>
            </w:pPr>
            <w:r>
              <w:rPr>
                <w:rFonts w:ascii="Arial" w:cs="Arial" w:eastAsia="Arial" w:hAnsi="Arial"/>
                <w:sz w:val="20"/>
                <w:szCs w:val="20"/>
                <w:color w:val="auto"/>
              </w:rPr>
              <w:t>Mutual Covenants</w:t>
            </w:r>
          </w:p>
        </w:tc>
        <w:tc>
          <w:tcPr>
            <w:tcW w:w="26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10.5</w:t>
            </w:r>
          </w:p>
        </w:tc>
        <w:tc>
          <w:tcPr>
            <w:tcW w:w="7760" w:type="dxa"/>
            <w:vAlign w:val="bottom"/>
          </w:tcPr>
          <w:p>
            <w:pPr>
              <w:ind w:left="300"/>
              <w:spacing w:after="0"/>
              <w:rPr>
                <w:sz w:val="20"/>
                <w:szCs w:val="20"/>
                <w:color w:val="auto"/>
              </w:rPr>
            </w:pPr>
            <w:r>
              <w:rPr>
                <w:rFonts w:ascii="Arial" w:cs="Arial" w:eastAsia="Arial" w:hAnsi="Arial"/>
                <w:sz w:val="20"/>
                <w:szCs w:val="20"/>
                <w:color w:val="auto"/>
              </w:rPr>
              <w:t>NO OTHER REPRESENTATIONS OR WARRANTIES</w:t>
            </w:r>
          </w:p>
        </w:tc>
        <w:tc>
          <w:tcPr>
            <w:tcW w:w="26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24"/>
        </w:trPr>
        <w:tc>
          <w:tcPr>
            <w:tcW w:w="860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11 </w:t>
            </w:r>
            <w:r>
              <w:rPr>
                <w:rFonts w:ascii="Arial" w:cs="Arial" w:eastAsia="Arial" w:hAnsi="Arial"/>
                <w:sz w:val="20"/>
                <w:szCs w:val="20"/>
                <w:color w:val="auto"/>
              </w:rPr>
              <w:t>INDEMNIFICATION</w:t>
            </w:r>
          </w:p>
        </w:tc>
        <w:tc>
          <w:tcPr>
            <w:tcW w:w="26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11.1</w:t>
            </w:r>
          </w:p>
        </w:tc>
        <w:tc>
          <w:tcPr>
            <w:tcW w:w="7760" w:type="dxa"/>
            <w:vAlign w:val="bottom"/>
          </w:tcPr>
          <w:p>
            <w:pPr>
              <w:ind w:left="300"/>
              <w:spacing w:after="0"/>
              <w:rPr>
                <w:sz w:val="20"/>
                <w:szCs w:val="20"/>
                <w:color w:val="auto"/>
              </w:rPr>
            </w:pPr>
            <w:r>
              <w:rPr>
                <w:rFonts w:ascii="Arial" w:cs="Arial" w:eastAsia="Arial" w:hAnsi="Arial"/>
                <w:sz w:val="20"/>
                <w:szCs w:val="20"/>
                <w:color w:val="auto"/>
              </w:rPr>
              <w:t>Indemnification by HFB</w:t>
            </w:r>
          </w:p>
        </w:tc>
        <w:tc>
          <w:tcPr>
            <w:tcW w:w="26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11.2</w:t>
            </w:r>
          </w:p>
        </w:tc>
        <w:tc>
          <w:tcPr>
            <w:tcW w:w="7760" w:type="dxa"/>
            <w:vAlign w:val="bottom"/>
          </w:tcPr>
          <w:p>
            <w:pPr>
              <w:ind w:left="300"/>
              <w:spacing w:after="0"/>
              <w:rPr>
                <w:sz w:val="20"/>
                <w:szCs w:val="20"/>
                <w:color w:val="auto"/>
              </w:rPr>
            </w:pPr>
            <w:r>
              <w:rPr>
                <w:rFonts w:ascii="Arial" w:cs="Arial" w:eastAsia="Arial" w:hAnsi="Arial"/>
                <w:sz w:val="20"/>
                <w:szCs w:val="20"/>
                <w:color w:val="auto"/>
              </w:rPr>
              <w:t>Indemnification by FibroGen</w:t>
            </w:r>
          </w:p>
        </w:tc>
        <w:tc>
          <w:tcPr>
            <w:tcW w:w="26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11.3</w:t>
            </w:r>
          </w:p>
        </w:tc>
        <w:tc>
          <w:tcPr>
            <w:tcW w:w="7760" w:type="dxa"/>
            <w:vAlign w:val="bottom"/>
          </w:tcPr>
          <w:p>
            <w:pPr>
              <w:ind w:left="300"/>
              <w:spacing w:after="0"/>
              <w:rPr>
                <w:sz w:val="20"/>
                <w:szCs w:val="20"/>
                <w:color w:val="auto"/>
              </w:rPr>
            </w:pPr>
            <w:r>
              <w:rPr>
                <w:rFonts w:ascii="Arial" w:cs="Arial" w:eastAsia="Arial" w:hAnsi="Arial"/>
                <w:sz w:val="20"/>
                <w:szCs w:val="20"/>
                <w:color w:val="auto"/>
              </w:rPr>
              <w:t>Indemnification Procedures</w:t>
            </w:r>
          </w:p>
        </w:tc>
        <w:tc>
          <w:tcPr>
            <w:tcW w:w="26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24"/>
        </w:trPr>
        <w:tc>
          <w:tcPr>
            <w:tcW w:w="840" w:type="dxa"/>
            <w:vAlign w:val="bottom"/>
          </w:tcPr>
          <w:p>
            <w:pPr>
              <w:ind w:left="180"/>
              <w:spacing w:after="0"/>
              <w:rPr>
                <w:sz w:val="20"/>
                <w:szCs w:val="20"/>
                <w:color w:val="auto"/>
              </w:rPr>
            </w:pPr>
            <w:r>
              <w:rPr>
                <w:rFonts w:ascii="Arial" w:cs="Arial" w:eastAsia="Arial" w:hAnsi="Arial"/>
                <w:sz w:val="20"/>
                <w:szCs w:val="20"/>
                <w:color w:val="auto"/>
              </w:rPr>
              <w:t>11.4</w:t>
            </w:r>
          </w:p>
        </w:tc>
        <w:tc>
          <w:tcPr>
            <w:tcW w:w="7760" w:type="dxa"/>
            <w:vAlign w:val="bottom"/>
          </w:tcPr>
          <w:p>
            <w:pPr>
              <w:ind w:left="300"/>
              <w:spacing w:after="0"/>
              <w:rPr>
                <w:sz w:val="20"/>
                <w:szCs w:val="20"/>
                <w:color w:val="auto"/>
              </w:rPr>
            </w:pPr>
            <w:r>
              <w:rPr>
                <w:rFonts w:ascii="Arial" w:cs="Arial" w:eastAsia="Arial" w:hAnsi="Arial"/>
                <w:sz w:val="20"/>
                <w:szCs w:val="20"/>
                <w:color w:val="auto"/>
              </w:rPr>
              <w:t>Limitation of Liability</w:t>
            </w:r>
          </w:p>
        </w:tc>
        <w:tc>
          <w:tcPr>
            <w:tcW w:w="2640" w:type="dxa"/>
            <w:vAlign w:val="bottom"/>
          </w:tcPr>
          <w:p>
            <w:pPr>
              <w:jc w:val="right"/>
              <w:spacing w:after="0"/>
              <w:rPr>
                <w:sz w:val="20"/>
                <w:szCs w:val="20"/>
                <w:color w:val="auto"/>
              </w:rPr>
            </w:pPr>
            <w:r>
              <w:rPr>
                <w:rFonts w:ascii="Arial" w:cs="Arial" w:eastAsia="Arial" w:hAnsi="Arial"/>
                <w:sz w:val="20"/>
                <w:szCs w:val="20"/>
                <w:color w:val="auto"/>
              </w:rPr>
              <w:t>43</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11" w:lineRule="exact"/>
        <w:rPr>
          <w:sz w:val="20"/>
          <w:szCs w:val="20"/>
          <w:color w:val="auto"/>
        </w:rPr>
      </w:pPr>
    </w:p>
    <w:p>
      <w:pPr>
        <w:ind w:right="320" w:firstLine="8"/>
        <w:spacing w:after="0" w:line="244" w:lineRule="auto"/>
        <w:tabs>
          <w:tab w:leader="none" w:pos="280" w:val="left"/>
        </w:tabs>
        <w:numPr>
          <w:ilvl w:val="0"/>
          <w:numId w:val="109"/>
        </w:numPr>
        <w:rPr>
          <w:rFonts w:ascii="Arial" w:cs="Arial" w:eastAsia="Arial" w:hAnsi="Arial"/>
          <w:sz w:val="20"/>
          <w:szCs w:val="20"/>
          <w:b w:val="1"/>
          <w:bCs w:val="1"/>
          <w:color w:val="auto"/>
          <w:highlight w:val="yellow"/>
        </w:rPr>
      </w:pPr>
      <w:r>
        <w:rPr>
          <w:rFonts w:ascii="Arial" w:cs="Arial" w:eastAsia="Arial" w:hAnsi="Arial"/>
          <w:sz w:val="20"/>
          <w:szCs w:val="20"/>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50"/>
        </w:trPr>
        <w:tc>
          <w:tcPr>
            <w:tcW w:w="880" w:type="dxa"/>
            <w:vAlign w:val="bottom"/>
          </w:tcPr>
          <w:p>
            <w:pPr>
              <w:ind w:left="180"/>
              <w:spacing w:after="0"/>
              <w:rPr>
                <w:sz w:val="20"/>
                <w:szCs w:val="20"/>
                <w:color w:val="auto"/>
              </w:rPr>
            </w:pPr>
            <w:r>
              <w:rPr>
                <w:rFonts w:ascii="Arial" w:cs="Arial" w:eastAsia="Arial" w:hAnsi="Arial"/>
                <w:sz w:val="20"/>
                <w:szCs w:val="20"/>
                <w:color w:val="auto"/>
              </w:rPr>
              <w:t>11.5</w:t>
            </w:r>
          </w:p>
        </w:tc>
        <w:tc>
          <w:tcPr>
            <w:tcW w:w="6540" w:type="dxa"/>
            <w:vAlign w:val="bottom"/>
          </w:tcPr>
          <w:p>
            <w:pPr>
              <w:ind w:left="260"/>
              <w:spacing w:after="0"/>
              <w:rPr>
                <w:sz w:val="20"/>
                <w:szCs w:val="20"/>
                <w:color w:val="auto"/>
              </w:rPr>
            </w:pPr>
            <w:r>
              <w:rPr>
                <w:rFonts w:ascii="Arial" w:cs="Arial" w:eastAsia="Arial" w:hAnsi="Arial"/>
                <w:sz w:val="20"/>
                <w:szCs w:val="20"/>
                <w:color w:val="auto"/>
              </w:rPr>
              <w:t>Insurance</w:t>
            </w:r>
          </w:p>
        </w:tc>
        <w:tc>
          <w:tcPr>
            <w:tcW w:w="38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24"/>
        </w:trPr>
        <w:tc>
          <w:tcPr>
            <w:tcW w:w="742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12 </w:t>
            </w:r>
            <w:r>
              <w:rPr>
                <w:rFonts w:ascii="Arial" w:cs="Arial" w:eastAsia="Arial" w:hAnsi="Arial"/>
                <w:sz w:val="20"/>
                <w:szCs w:val="20"/>
                <w:color w:val="auto"/>
              </w:rPr>
              <w:t>CONFIDENTIALITY</w:t>
            </w:r>
          </w:p>
        </w:tc>
        <w:tc>
          <w:tcPr>
            <w:tcW w:w="38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12.1</w:t>
            </w:r>
          </w:p>
        </w:tc>
        <w:tc>
          <w:tcPr>
            <w:tcW w:w="6540" w:type="dxa"/>
            <w:vAlign w:val="bottom"/>
          </w:tcPr>
          <w:p>
            <w:pPr>
              <w:ind w:left="260"/>
              <w:spacing w:after="0"/>
              <w:rPr>
                <w:sz w:val="20"/>
                <w:szCs w:val="20"/>
                <w:color w:val="auto"/>
              </w:rPr>
            </w:pPr>
            <w:r>
              <w:rPr>
                <w:rFonts w:ascii="Arial" w:cs="Arial" w:eastAsia="Arial" w:hAnsi="Arial"/>
                <w:sz w:val="20"/>
                <w:szCs w:val="20"/>
                <w:color w:val="auto"/>
              </w:rPr>
              <w:t>Confidentiality; Exceptions</w:t>
            </w:r>
          </w:p>
        </w:tc>
        <w:tc>
          <w:tcPr>
            <w:tcW w:w="38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12.2</w:t>
            </w:r>
          </w:p>
        </w:tc>
        <w:tc>
          <w:tcPr>
            <w:tcW w:w="6540" w:type="dxa"/>
            <w:vAlign w:val="bottom"/>
          </w:tcPr>
          <w:p>
            <w:pPr>
              <w:ind w:left="260"/>
              <w:spacing w:after="0"/>
              <w:rPr>
                <w:sz w:val="20"/>
                <w:szCs w:val="20"/>
                <w:color w:val="auto"/>
              </w:rPr>
            </w:pPr>
            <w:r>
              <w:rPr>
                <w:rFonts w:ascii="Arial" w:cs="Arial" w:eastAsia="Arial" w:hAnsi="Arial"/>
                <w:sz w:val="20"/>
                <w:szCs w:val="20"/>
                <w:color w:val="auto"/>
              </w:rPr>
              <w:t>Authorized Disclosure</w:t>
            </w:r>
          </w:p>
        </w:tc>
        <w:tc>
          <w:tcPr>
            <w:tcW w:w="38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12.3</w:t>
            </w:r>
          </w:p>
        </w:tc>
        <w:tc>
          <w:tcPr>
            <w:tcW w:w="6540" w:type="dxa"/>
            <w:vAlign w:val="bottom"/>
          </w:tcPr>
          <w:p>
            <w:pPr>
              <w:ind w:left="260"/>
              <w:spacing w:after="0"/>
              <w:rPr>
                <w:sz w:val="20"/>
                <w:szCs w:val="20"/>
                <w:color w:val="auto"/>
              </w:rPr>
            </w:pPr>
            <w:r>
              <w:rPr>
                <w:rFonts w:ascii="Arial" w:cs="Arial" w:eastAsia="Arial" w:hAnsi="Arial"/>
                <w:sz w:val="20"/>
                <w:szCs w:val="20"/>
                <w:color w:val="auto"/>
              </w:rPr>
              <w:t>Prior Agreement</w:t>
            </w:r>
          </w:p>
        </w:tc>
        <w:tc>
          <w:tcPr>
            <w:tcW w:w="38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12.4</w:t>
            </w:r>
          </w:p>
        </w:tc>
        <w:tc>
          <w:tcPr>
            <w:tcW w:w="6540" w:type="dxa"/>
            <w:vAlign w:val="bottom"/>
          </w:tcPr>
          <w:p>
            <w:pPr>
              <w:ind w:left="260"/>
              <w:spacing w:after="0"/>
              <w:rPr>
                <w:sz w:val="20"/>
                <w:szCs w:val="20"/>
                <w:color w:val="auto"/>
              </w:rPr>
            </w:pPr>
            <w:r>
              <w:rPr>
                <w:rFonts w:ascii="Arial" w:cs="Arial" w:eastAsia="Arial" w:hAnsi="Arial"/>
                <w:sz w:val="20"/>
                <w:szCs w:val="20"/>
                <w:color w:val="auto"/>
              </w:rPr>
              <w:t>Residual Knowledge</w:t>
            </w:r>
          </w:p>
        </w:tc>
        <w:tc>
          <w:tcPr>
            <w:tcW w:w="38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12.5</w:t>
            </w:r>
          </w:p>
        </w:tc>
        <w:tc>
          <w:tcPr>
            <w:tcW w:w="6540" w:type="dxa"/>
            <w:vAlign w:val="bottom"/>
          </w:tcPr>
          <w:p>
            <w:pPr>
              <w:ind w:left="260"/>
              <w:spacing w:after="0"/>
              <w:rPr>
                <w:sz w:val="20"/>
                <w:szCs w:val="20"/>
                <w:color w:val="auto"/>
              </w:rPr>
            </w:pPr>
            <w:r>
              <w:rPr>
                <w:rFonts w:ascii="Arial" w:cs="Arial" w:eastAsia="Arial" w:hAnsi="Arial"/>
                <w:sz w:val="20"/>
                <w:szCs w:val="20"/>
                <w:color w:val="auto"/>
              </w:rPr>
              <w:t>Publications</w:t>
            </w:r>
          </w:p>
        </w:tc>
        <w:tc>
          <w:tcPr>
            <w:tcW w:w="38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24"/>
        </w:trPr>
        <w:tc>
          <w:tcPr>
            <w:tcW w:w="742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13 </w:t>
            </w:r>
            <w:r>
              <w:rPr>
                <w:rFonts w:ascii="Arial" w:cs="Arial" w:eastAsia="Arial" w:hAnsi="Arial"/>
                <w:sz w:val="20"/>
                <w:szCs w:val="20"/>
                <w:color w:val="auto"/>
              </w:rPr>
              <w:t>TERM AND TERMINATION</w:t>
            </w:r>
          </w:p>
        </w:tc>
        <w:tc>
          <w:tcPr>
            <w:tcW w:w="38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13.1</w:t>
            </w:r>
          </w:p>
        </w:tc>
        <w:tc>
          <w:tcPr>
            <w:tcW w:w="6540" w:type="dxa"/>
            <w:vAlign w:val="bottom"/>
          </w:tcPr>
          <w:p>
            <w:pPr>
              <w:ind w:left="260"/>
              <w:spacing w:after="0"/>
              <w:rPr>
                <w:sz w:val="20"/>
                <w:szCs w:val="20"/>
                <w:color w:val="auto"/>
              </w:rPr>
            </w:pPr>
            <w:r>
              <w:rPr>
                <w:rFonts w:ascii="Arial" w:cs="Arial" w:eastAsia="Arial" w:hAnsi="Arial"/>
                <w:sz w:val="20"/>
                <w:szCs w:val="20"/>
                <w:color w:val="auto"/>
              </w:rPr>
              <w:t>Term</w:t>
            </w:r>
          </w:p>
        </w:tc>
        <w:tc>
          <w:tcPr>
            <w:tcW w:w="38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13.2</w:t>
            </w:r>
          </w:p>
        </w:tc>
        <w:tc>
          <w:tcPr>
            <w:tcW w:w="6540" w:type="dxa"/>
            <w:vAlign w:val="bottom"/>
          </w:tcPr>
          <w:p>
            <w:pPr>
              <w:ind w:left="260"/>
              <w:spacing w:after="0"/>
              <w:rPr>
                <w:sz w:val="20"/>
                <w:szCs w:val="20"/>
                <w:color w:val="auto"/>
              </w:rPr>
            </w:pPr>
            <w:r>
              <w:rPr>
                <w:rFonts w:ascii="Arial" w:cs="Arial" w:eastAsia="Arial" w:hAnsi="Arial"/>
                <w:sz w:val="20"/>
                <w:szCs w:val="20"/>
                <w:color w:val="auto"/>
              </w:rPr>
              <w:t>Termination by FibroGen</w:t>
            </w:r>
          </w:p>
        </w:tc>
        <w:tc>
          <w:tcPr>
            <w:tcW w:w="38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13.3</w:t>
            </w:r>
          </w:p>
        </w:tc>
        <w:tc>
          <w:tcPr>
            <w:tcW w:w="6540" w:type="dxa"/>
            <w:vAlign w:val="bottom"/>
          </w:tcPr>
          <w:p>
            <w:pPr>
              <w:ind w:left="260"/>
              <w:spacing w:after="0"/>
              <w:rPr>
                <w:sz w:val="20"/>
                <w:szCs w:val="20"/>
                <w:color w:val="auto"/>
              </w:rPr>
            </w:pPr>
            <w:r>
              <w:rPr>
                <w:rFonts w:ascii="Arial" w:cs="Arial" w:eastAsia="Arial" w:hAnsi="Arial"/>
                <w:sz w:val="20"/>
                <w:szCs w:val="20"/>
                <w:color w:val="auto"/>
              </w:rPr>
              <w:t>Termination for Cause</w:t>
            </w:r>
          </w:p>
        </w:tc>
        <w:tc>
          <w:tcPr>
            <w:tcW w:w="38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13.5</w:t>
            </w:r>
          </w:p>
        </w:tc>
        <w:tc>
          <w:tcPr>
            <w:tcW w:w="6540" w:type="dxa"/>
            <w:vAlign w:val="bottom"/>
          </w:tcPr>
          <w:p>
            <w:pPr>
              <w:ind w:left="260"/>
              <w:spacing w:after="0"/>
              <w:rPr>
                <w:sz w:val="20"/>
                <w:szCs w:val="20"/>
                <w:color w:val="auto"/>
              </w:rPr>
            </w:pPr>
            <w:r>
              <w:rPr>
                <w:rFonts w:ascii="Arial" w:cs="Arial" w:eastAsia="Arial" w:hAnsi="Arial"/>
                <w:sz w:val="20"/>
                <w:szCs w:val="20"/>
                <w:color w:val="auto"/>
              </w:rPr>
              <w:t>Termination for Patent Challenge</w:t>
            </w:r>
          </w:p>
        </w:tc>
        <w:tc>
          <w:tcPr>
            <w:tcW w:w="38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13.6</w:t>
            </w:r>
          </w:p>
        </w:tc>
        <w:tc>
          <w:tcPr>
            <w:tcW w:w="6540" w:type="dxa"/>
            <w:vAlign w:val="bottom"/>
          </w:tcPr>
          <w:p>
            <w:pPr>
              <w:ind w:left="260"/>
              <w:spacing w:after="0"/>
              <w:rPr>
                <w:sz w:val="20"/>
                <w:szCs w:val="20"/>
                <w:color w:val="auto"/>
              </w:rPr>
            </w:pPr>
            <w:r>
              <w:rPr>
                <w:rFonts w:ascii="Arial" w:cs="Arial" w:eastAsia="Arial" w:hAnsi="Arial"/>
                <w:sz w:val="20"/>
                <w:szCs w:val="20"/>
                <w:color w:val="auto"/>
              </w:rPr>
              <w:t>Effects of Termination</w:t>
            </w:r>
          </w:p>
        </w:tc>
        <w:tc>
          <w:tcPr>
            <w:tcW w:w="38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13.7</w:t>
            </w:r>
          </w:p>
        </w:tc>
        <w:tc>
          <w:tcPr>
            <w:tcW w:w="6540" w:type="dxa"/>
            <w:vAlign w:val="bottom"/>
          </w:tcPr>
          <w:p>
            <w:pPr>
              <w:ind w:left="260"/>
              <w:spacing w:after="0"/>
              <w:rPr>
                <w:sz w:val="20"/>
                <w:szCs w:val="20"/>
                <w:color w:val="auto"/>
              </w:rPr>
            </w:pPr>
            <w:r>
              <w:rPr>
                <w:rFonts w:ascii="Arial" w:cs="Arial" w:eastAsia="Arial" w:hAnsi="Arial"/>
                <w:sz w:val="20"/>
                <w:szCs w:val="20"/>
                <w:color w:val="auto"/>
              </w:rPr>
              <w:t>Survival</w:t>
            </w:r>
          </w:p>
        </w:tc>
        <w:tc>
          <w:tcPr>
            <w:tcW w:w="382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324"/>
        </w:trPr>
        <w:tc>
          <w:tcPr>
            <w:tcW w:w="742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14 </w:t>
            </w:r>
            <w:r>
              <w:rPr>
                <w:rFonts w:ascii="Arial" w:cs="Arial" w:eastAsia="Arial" w:hAnsi="Arial"/>
                <w:sz w:val="20"/>
                <w:szCs w:val="20"/>
                <w:color w:val="auto"/>
              </w:rPr>
              <w:t>DISPUTE RESOLUTION</w:t>
            </w:r>
          </w:p>
        </w:tc>
        <w:tc>
          <w:tcPr>
            <w:tcW w:w="38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14.1</w:t>
            </w:r>
          </w:p>
        </w:tc>
        <w:tc>
          <w:tcPr>
            <w:tcW w:w="6540" w:type="dxa"/>
            <w:vAlign w:val="bottom"/>
          </w:tcPr>
          <w:p>
            <w:pPr>
              <w:ind w:left="260"/>
              <w:spacing w:after="0"/>
              <w:rPr>
                <w:sz w:val="20"/>
                <w:szCs w:val="20"/>
                <w:color w:val="auto"/>
              </w:rPr>
            </w:pPr>
            <w:r>
              <w:rPr>
                <w:rFonts w:ascii="Arial" w:cs="Arial" w:eastAsia="Arial" w:hAnsi="Arial"/>
                <w:sz w:val="20"/>
                <w:szCs w:val="20"/>
                <w:color w:val="auto"/>
              </w:rPr>
              <w:t>Dispute Resolution</w:t>
            </w:r>
          </w:p>
        </w:tc>
        <w:tc>
          <w:tcPr>
            <w:tcW w:w="38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14.2</w:t>
            </w:r>
          </w:p>
        </w:tc>
        <w:tc>
          <w:tcPr>
            <w:tcW w:w="6540" w:type="dxa"/>
            <w:vAlign w:val="bottom"/>
          </w:tcPr>
          <w:p>
            <w:pPr>
              <w:ind w:left="260"/>
              <w:spacing w:after="0"/>
              <w:rPr>
                <w:sz w:val="20"/>
                <w:szCs w:val="20"/>
                <w:color w:val="auto"/>
              </w:rPr>
            </w:pPr>
            <w:r>
              <w:rPr>
                <w:rFonts w:ascii="Arial" w:cs="Arial" w:eastAsia="Arial" w:hAnsi="Arial"/>
                <w:sz w:val="20"/>
                <w:szCs w:val="20"/>
                <w:color w:val="auto"/>
              </w:rPr>
              <w:t>Injunctive Relief</w:t>
            </w:r>
          </w:p>
        </w:tc>
        <w:tc>
          <w:tcPr>
            <w:tcW w:w="38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324"/>
        </w:trPr>
        <w:tc>
          <w:tcPr>
            <w:tcW w:w="742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15 </w:t>
            </w:r>
            <w:r>
              <w:rPr>
                <w:rFonts w:ascii="Arial" w:cs="Arial" w:eastAsia="Arial" w:hAnsi="Arial"/>
                <w:sz w:val="20"/>
                <w:szCs w:val="20"/>
                <w:color w:val="auto"/>
              </w:rPr>
              <w:t>MISCELLANEOUS</w:t>
            </w:r>
          </w:p>
        </w:tc>
        <w:tc>
          <w:tcPr>
            <w:tcW w:w="38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15.1</w:t>
            </w:r>
          </w:p>
        </w:tc>
        <w:tc>
          <w:tcPr>
            <w:tcW w:w="6540" w:type="dxa"/>
            <w:vAlign w:val="bottom"/>
          </w:tcPr>
          <w:p>
            <w:pPr>
              <w:ind w:left="260"/>
              <w:spacing w:after="0"/>
              <w:rPr>
                <w:sz w:val="20"/>
                <w:szCs w:val="20"/>
                <w:color w:val="auto"/>
              </w:rPr>
            </w:pPr>
            <w:r>
              <w:rPr>
                <w:rFonts w:ascii="Arial" w:cs="Arial" w:eastAsia="Arial" w:hAnsi="Arial"/>
                <w:sz w:val="20"/>
                <w:szCs w:val="20"/>
                <w:color w:val="auto"/>
              </w:rPr>
              <w:t>Entire Agreement; Amendment</w:t>
            </w:r>
          </w:p>
        </w:tc>
        <w:tc>
          <w:tcPr>
            <w:tcW w:w="38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15.2</w:t>
            </w:r>
          </w:p>
        </w:tc>
        <w:tc>
          <w:tcPr>
            <w:tcW w:w="6540" w:type="dxa"/>
            <w:vAlign w:val="bottom"/>
          </w:tcPr>
          <w:p>
            <w:pPr>
              <w:ind w:left="260"/>
              <w:spacing w:after="0"/>
              <w:rPr>
                <w:sz w:val="20"/>
                <w:szCs w:val="20"/>
                <w:color w:val="auto"/>
              </w:rPr>
            </w:pPr>
            <w:r>
              <w:rPr>
                <w:rFonts w:ascii="Arial" w:cs="Arial" w:eastAsia="Arial" w:hAnsi="Arial"/>
                <w:sz w:val="20"/>
                <w:szCs w:val="20"/>
                <w:color w:val="auto"/>
              </w:rPr>
              <w:t>Force Majeure</w:t>
            </w:r>
          </w:p>
        </w:tc>
        <w:tc>
          <w:tcPr>
            <w:tcW w:w="38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15.3</w:t>
            </w:r>
          </w:p>
        </w:tc>
        <w:tc>
          <w:tcPr>
            <w:tcW w:w="6540" w:type="dxa"/>
            <w:vAlign w:val="bottom"/>
          </w:tcPr>
          <w:p>
            <w:pPr>
              <w:ind w:left="260"/>
              <w:spacing w:after="0"/>
              <w:rPr>
                <w:sz w:val="20"/>
                <w:szCs w:val="20"/>
                <w:color w:val="auto"/>
              </w:rPr>
            </w:pPr>
            <w:r>
              <w:rPr>
                <w:rFonts w:ascii="Arial" w:cs="Arial" w:eastAsia="Arial" w:hAnsi="Arial"/>
                <w:sz w:val="20"/>
                <w:szCs w:val="20"/>
                <w:color w:val="auto"/>
              </w:rPr>
              <w:t>Notices</w:t>
            </w:r>
          </w:p>
        </w:tc>
        <w:tc>
          <w:tcPr>
            <w:tcW w:w="38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15.4</w:t>
            </w:r>
          </w:p>
        </w:tc>
        <w:tc>
          <w:tcPr>
            <w:tcW w:w="6540" w:type="dxa"/>
            <w:vAlign w:val="bottom"/>
          </w:tcPr>
          <w:p>
            <w:pPr>
              <w:ind w:left="260"/>
              <w:spacing w:after="0"/>
              <w:rPr>
                <w:sz w:val="20"/>
                <w:szCs w:val="20"/>
                <w:color w:val="auto"/>
              </w:rPr>
            </w:pPr>
            <w:r>
              <w:rPr>
                <w:rFonts w:ascii="Arial" w:cs="Arial" w:eastAsia="Arial" w:hAnsi="Arial"/>
                <w:sz w:val="20"/>
                <w:szCs w:val="20"/>
                <w:color w:val="auto"/>
              </w:rPr>
              <w:t>No Strict Construction; Headings</w:t>
            </w:r>
          </w:p>
        </w:tc>
        <w:tc>
          <w:tcPr>
            <w:tcW w:w="38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15.5</w:t>
            </w:r>
          </w:p>
        </w:tc>
        <w:tc>
          <w:tcPr>
            <w:tcW w:w="6540" w:type="dxa"/>
            <w:vAlign w:val="bottom"/>
          </w:tcPr>
          <w:p>
            <w:pPr>
              <w:ind w:left="260"/>
              <w:spacing w:after="0"/>
              <w:rPr>
                <w:sz w:val="20"/>
                <w:szCs w:val="20"/>
                <w:color w:val="auto"/>
              </w:rPr>
            </w:pPr>
            <w:r>
              <w:rPr>
                <w:rFonts w:ascii="Arial" w:cs="Arial" w:eastAsia="Arial" w:hAnsi="Arial"/>
                <w:sz w:val="20"/>
                <w:szCs w:val="20"/>
                <w:color w:val="auto"/>
              </w:rPr>
              <w:t>Interpretation</w:t>
            </w:r>
          </w:p>
        </w:tc>
        <w:tc>
          <w:tcPr>
            <w:tcW w:w="38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15.6</w:t>
            </w:r>
          </w:p>
        </w:tc>
        <w:tc>
          <w:tcPr>
            <w:tcW w:w="6540" w:type="dxa"/>
            <w:vAlign w:val="bottom"/>
          </w:tcPr>
          <w:p>
            <w:pPr>
              <w:ind w:left="260"/>
              <w:spacing w:after="0"/>
              <w:rPr>
                <w:sz w:val="20"/>
                <w:szCs w:val="20"/>
                <w:color w:val="auto"/>
              </w:rPr>
            </w:pPr>
            <w:r>
              <w:rPr>
                <w:rFonts w:ascii="Arial" w:cs="Arial" w:eastAsia="Arial" w:hAnsi="Arial"/>
                <w:sz w:val="20"/>
                <w:szCs w:val="20"/>
                <w:color w:val="auto"/>
              </w:rPr>
              <w:t>Assignment</w:t>
            </w:r>
          </w:p>
        </w:tc>
        <w:tc>
          <w:tcPr>
            <w:tcW w:w="38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15.7</w:t>
            </w:r>
          </w:p>
        </w:tc>
        <w:tc>
          <w:tcPr>
            <w:tcW w:w="6540" w:type="dxa"/>
            <w:vAlign w:val="bottom"/>
          </w:tcPr>
          <w:p>
            <w:pPr>
              <w:ind w:left="260"/>
              <w:spacing w:after="0"/>
              <w:rPr>
                <w:sz w:val="20"/>
                <w:szCs w:val="20"/>
                <w:color w:val="auto"/>
              </w:rPr>
            </w:pPr>
            <w:r>
              <w:rPr>
                <w:rFonts w:ascii="Arial" w:cs="Arial" w:eastAsia="Arial" w:hAnsi="Arial"/>
                <w:sz w:val="20"/>
                <w:szCs w:val="20"/>
                <w:color w:val="auto"/>
              </w:rPr>
              <w:t>Change of Control</w:t>
            </w:r>
          </w:p>
        </w:tc>
        <w:tc>
          <w:tcPr>
            <w:tcW w:w="38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15.8</w:t>
            </w:r>
          </w:p>
        </w:tc>
        <w:tc>
          <w:tcPr>
            <w:tcW w:w="6540" w:type="dxa"/>
            <w:vAlign w:val="bottom"/>
          </w:tcPr>
          <w:p>
            <w:pPr>
              <w:ind w:left="260"/>
              <w:spacing w:after="0"/>
              <w:rPr>
                <w:sz w:val="20"/>
                <w:szCs w:val="20"/>
                <w:color w:val="auto"/>
              </w:rPr>
            </w:pPr>
            <w:r>
              <w:rPr>
                <w:rFonts w:ascii="Arial" w:cs="Arial" w:eastAsia="Arial" w:hAnsi="Arial"/>
                <w:sz w:val="20"/>
                <w:szCs w:val="20"/>
                <w:color w:val="auto"/>
              </w:rPr>
              <w:t>Performance by Affiliates</w:t>
            </w:r>
          </w:p>
        </w:tc>
        <w:tc>
          <w:tcPr>
            <w:tcW w:w="38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15.9</w:t>
            </w:r>
          </w:p>
        </w:tc>
        <w:tc>
          <w:tcPr>
            <w:tcW w:w="6540" w:type="dxa"/>
            <w:vAlign w:val="bottom"/>
          </w:tcPr>
          <w:p>
            <w:pPr>
              <w:ind w:left="260"/>
              <w:spacing w:after="0"/>
              <w:rPr>
                <w:sz w:val="20"/>
                <w:szCs w:val="20"/>
                <w:color w:val="auto"/>
              </w:rPr>
            </w:pPr>
            <w:r>
              <w:rPr>
                <w:rFonts w:ascii="Arial" w:cs="Arial" w:eastAsia="Arial" w:hAnsi="Arial"/>
                <w:sz w:val="20"/>
                <w:szCs w:val="20"/>
                <w:color w:val="auto"/>
              </w:rPr>
              <w:t>Further Actions</w:t>
            </w:r>
          </w:p>
        </w:tc>
        <w:tc>
          <w:tcPr>
            <w:tcW w:w="38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15.10</w:t>
            </w:r>
          </w:p>
        </w:tc>
        <w:tc>
          <w:tcPr>
            <w:tcW w:w="6540" w:type="dxa"/>
            <w:vAlign w:val="bottom"/>
          </w:tcPr>
          <w:p>
            <w:pPr>
              <w:ind w:left="260"/>
              <w:spacing w:after="0"/>
              <w:rPr>
                <w:sz w:val="20"/>
                <w:szCs w:val="20"/>
                <w:color w:val="auto"/>
              </w:rPr>
            </w:pPr>
            <w:r>
              <w:rPr>
                <w:rFonts w:ascii="Arial" w:cs="Arial" w:eastAsia="Arial" w:hAnsi="Arial"/>
                <w:sz w:val="20"/>
                <w:szCs w:val="20"/>
                <w:color w:val="auto"/>
              </w:rPr>
              <w:t>Severability</w:t>
            </w:r>
          </w:p>
        </w:tc>
        <w:tc>
          <w:tcPr>
            <w:tcW w:w="38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15.11</w:t>
            </w:r>
          </w:p>
        </w:tc>
        <w:tc>
          <w:tcPr>
            <w:tcW w:w="6540" w:type="dxa"/>
            <w:vAlign w:val="bottom"/>
          </w:tcPr>
          <w:p>
            <w:pPr>
              <w:ind w:left="260"/>
              <w:spacing w:after="0"/>
              <w:rPr>
                <w:sz w:val="20"/>
                <w:szCs w:val="20"/>
                <w:color w:val="auto"/>
              </w:rPr>
            </w:pPr>
            <w:r>
              <w:rPr>
                <w:rFonts w:ascii="Arial" w:cs="Arial" w:eastAsia="Arial" w:hAnsi="Arial"/>
                <w:sz w:val="20"/>
                <w:szCs w:val="20"/>
                <w:color w:val="auto"/>
              </w:rPr>
              <w:t>No Waiver</w:t>
            </w:r>
          </w:p>
        </w:tc>
        <w:tc>
          <w:tcPr>
            <w:tcW w:w="38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15.12</w:t>
            </w:r>
          </w:p>
        </w:tc>
        <w:tc>
          <w:tcPr>
            <w:tcW w:w="6540" w:type="dxa"/>
            <w:vAlign w:val="bottom"/>
          </w:tcPr>
          <w:p>
            <w:pPr>
              <w:ind w:left="260"/>
              <w:spacing w:after="0"/>
              <w:rPr>
                <w:sz w:val="20"/>
                <w:szCs w:val="20"/>
                <w:color w:val="auto"/>
              </w:rPr>
            </w:pPr>
            <w:r>
              <w:rPr>
                <w:rFonts w:ascii="Arial" w:cs="Arial" w:eastAsia="Arial" w:hAnsi="Arial"/>
                <w:sz w:val="20"/>
                <w:szCs w:val="20"/>
                <w:color w:val="auto"/>
              </w:rPr>
              <w:t>Independent Contractors</w:t>
            </w:r>
          </w:p>
        </w:tc>
        <w:tc>
          <w:tcPr>
            <w:tcW w:w="38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15.13</w:t>
            </w:r>
          </w:p>
        </w:tc>
        <w:tc>
          <w:tcPr>
            <w:tcW w:w="6540" w:type="dxa"/>
            <w:vAlign w:val="bottom"/>
          </w:tcPr>
          <w:p>
            <w:pPr>
              <w:ind w:left="260"/>
              <w:spacing w:after="0"/>
              <w:rPr>
                <w:sz w:val="20"/>
                <w:szCs w:val="20"/>
                <w:color w:val="auto"/>
              </w:rPr>
            </w:pPr>
            <w:r>
              <w:rPr>
                <w:rFonts w:ascii="Arial" w:cs="Arial" w:eastAsia="Arial" w:hAnsi="Arial"/>
                <w:sz w:val="20"/>
                <w:szCs w:val="20"/>
                <w:color w:val="auto"/>
              </w:rPr>
              <w:t>Counterparts</w:t>
            </w:r>
          </w:p>
        </w:tc>
        <w:tc>
          <w:tcPr>
            <w:tcW w:w="38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24"/>
        </w:trPr>
        <w:tc>
          <w:tcPr>
            <w:tcW w:w="880" w:type="dxa"/>
            <w:vAlign w:val="bottom"/>
          </w:tcPr>
          <w:p>
            <w:pPr>
              <w:ind w:left="180"/>
              <w:spacing w:after="0"/>
              <w:rPr>
                <w:sz w:val="20"/>
                <w:szCs w:val="20"/>
                <w:color w:val="auto"/>
              </w:rPr>
            </w:pPr>
            <w:r>
              <w:rPr>
                <w:rFonts w:ascii="Arial" w:cs="Arial" w:eastAsia="Arial" w:hAnsi="Arial"/>
                <w:sz w:val="20"/>
                <w:szCs w:val="20"/>
                <w:color w:val="auto"/>
              </w:rPr>
              <w:t>15.14</w:t>
            </w:r>
          </w:p>
        </w:tc>
        <w:tc>
          <w:tcPr>
            <w:tcW w:w="6540" w:type="dxa"/>
            <w:vAlign w:val="bottom"/>
          </w:tcPr>
          <w:p>
            <w:pPr>
              <w:ind w:left="260"/>
              <w:spacing w:after="0"/>
              <w:rPr>
                <w:sz w:val="20"/>
                <w:szCs w:val="20"/>
                <w:color w:val="auto"/>
              </w:rPr>
            </w:pPr>
            <w:r>
              <w:rPr>
                <w:rFonts w:ascii="Arial" w:cs="Arial" w:eastAsia="Arial" w:hAnsi="Arial"/>
                <w:sz w:val="20"/>
                <w:szCs w:val="20"/>
                <w:color w:val="auto"/>
              </w:rPr>
              <w:t>Choice of Law</w:t>
            </w:r>
          </w:p>
        </w:tc>
        <w:tc>
          <w:tcPr>
            <w:tcW w:w="3820" w:type="dxa"/>
            <w:vAlign w:val="bottom"/>
          </w:tcPr>
          <w:p>
            <w:pPr>
              <w:jc w:val="right"/>
              <w:spacing w:after="0"/>
              <w:rPr>
                <w:sz w:val="20"/>
                <w:szCs w:val="20"/>
                <w:color w:val="auto"/>
              </w:rPr>
            </w:pPr>
            <w:r>
              <w:rPr>
                <w:rFonts w:ascii="Arial" w:cs="Arial" w:eastAsia="Arial" w:hAnsi="Arial"/>
                <w:sz w:val="20"/>
                <w:szCs w:val="20"/>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11" w:lineRule="exact"/>
        <w:rPr>
          <w:sz w:val="20"/>
          <w:szCs w:val="20"/>
          <w:color w:val="auto"/>
        </w:rPr>
      </w:pPr>
    </w:p>
    <w:p>
      <w:pPr>
        <w:ind w:right="320" w:firstLine="8"/>
        <w:spacing w:after="0" w:line="244" w:lineRule="auto"/>
        <w:tabs>
          <w:tab w:leader="none" w:pos="280" w:val="left"/>
        </w:tabs>
        <w:numPr>
          <w:ilvl w:val="0"/>
          <w:numId w:val="110"/>
        </w:numPr>
        <w:rPr>
          <w:rFonts w:ascii="Arial" w:cs="Arial" w:eastAsia="Arial" w:hAnsi="Arial"/>
          <w:sz w:val="20"/>
          <w:szCs w:val="20"/>
          <w:b w:val="1"/>
          <w:bCs w:val="1"/>
          <w:color w:val="auto"/>
          <w:highlight w:val="yellow"/>
        </w:rPr>
      </w:pPr>
      <w:r>
        <w:rPr>
          <w:rFonts w:ascii="Arial" w:cs="Arial" w:eastAsia="Arial" w:hAnsi="Arial"/>
          <w:sz w:val="20"/>
          <w:szCs w:val="20"/>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EXCLUSIVE LICENSE AND OPTION AGREEMENT</w:t>
      </w:r>
    </w:p>
    <w:p>
      <w:pPr>
        <w:spacing w:after="0" w:line="108"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b w:val="1"/>
          <w:bCs w:val="1"/>
          <w:color w:val="auto"/>
        </w:rPr>
        <w:t xml:space="preserve">THIS EXCLUSIVE LICENSE AND OPTION AGREEMENT </w:t>
      </w:r>
      <w:r>
        <w:rPr>
          <w:rFonts w:ascii="Arial" w:cs="Arial" w:eastAsia="Arial" w:hAnsi="Arial"/>
          <w:sz w:val="19"/>
          <w:szCs w:val="19"/>
          <w:color w:val="auto"/>
        </w:rPr>
        <w:t>(this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June 16, 2021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by and among HiFiBiO (HK) Limited (d.b.a. HiFiBiO Therapeutics), a limited company organized and existing under the laws of Hong Kong, with a registered address at Room 303, Third Floor, St. George’s Building, 2 Ice House Street, Central, Hong Kong (“</w:t>
      </w:r>
      <w:r>
        <w:rPr>
          <w:rFonts w:ascii="Arial" w:cs="Arial" w:eastAsia="Arial" w:hAnsi="Arial"/>
          <w:sz w:val="19"/>
          <w:szCs w:val="19"/>
          <w:b w:val="1"/>
          <w:bCs w:val="1"/>
          <w:color w:val="auto"/>
        </w:rPr>
        <w:t>HFB</w:t>
      </w:r>
      <w:r>
        <w:rPr>
          <w:rFonts w:ascii="Arial" w:cs="Arial" w:eastAsia="Arial" w:hAnsi="Arial"/>
          <w:sz w:val="19"/>
          <w:szCs w:val="19"/>
          <w:color w:val="auto"/>
        </w:rPr>
        <w:t xml:space="preserve">”), and </w:t>
      </w:r>
      <w:r>
        <w:rPr>
          <w:rFonts w:ascii="Arial" w:cs="Arial" w:eastAsia="Arial" w:hAnsi="Arial"/>
          <w:sz w:val="19"/>
          <w:szCs w:val="19"/>
          <w:b w:val="1"/>
          <w:bCs w:val="1"/>
          <w:color w:val="auto"/>
        </w:rPr>
        <w:t>FibroGen, Inc.</w:t>
      </w:r>
      <w:r>
        <w:rPr>
          <w:rFonts w:ascii="Arial" w:cs="Arial" w:eastAsia="Arial" w:hAnsi="Arial"/>
          <w:sz w:val="19"/>
          <w:szCs w:val="19"/>
          <w:color w:val="auto"/>
        </w:rPr>
        <w:t>, a Delaware corporation having its principal place of business at 409 Illinois St., San Francisco, CA 94158 (“</w:t>
      </w:r>
      <w:r>
        <w:rPr>
          <w:rFonts w:ascii="Arial" w:cs="Arial" w:eastAsia="Arial" w:hAnsi="Arial"/>
          <w:sz w:val="19"/>
          <w:szCs w:val="19"/>
          <w:b w:val="1"/>
          <w:bCs w:val="1"/>
          <w:color w:val="auto"/>
        </w:rPr>
        <w:t>FibroGen</w:t>
      </w:r>
      <w:r>
        <w:rPr>
          <w:rFonts w:ascii="Arial" w:cs="Arial" w:eastAsia="Arial" w:hAnsi="Arial"/>
          <w:sz w:val="19"/>
          <w:szCs w:val="19"/>
          <w:color w:val="auto"/>
        </w:rPr>
        <w:t>”). HFB and FibroGen are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HFB and its Affiliates Control certain Patent Rights and Know-How relating to the Gal-9 Licensed Program;</w:t>
      </w:r>
    </w:p>
    <w:p>
      <w:pPr>
        <w:spacing w:after="0" w:line="108"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HFB and its Affiliates Control certain Patent Rights and Know-How relating to, and are conducting research and</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with respect to, compounds and products directed to CCR8, CXCR5, and other targets.</w:t>
      </w:r>
    </w:p>
    <w:p>
      <w:pPr>
        <w:spacing w:after="0" w:line="55"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HFB desires to grant, and FibroGen desires to receive, an exclusive license under such Patent Rights and Know-How to permit FibroGen to Exploit Licensed Compounds and Licensed Products directed to Gal-9 in the Territory.</w:t>
      </w:r>
    </w:p>
    <w:p>
      <w:pPr>
        <w:spacing w:after="0" w:line="5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HFB desires to grant, and FibroGen desires to receive, an exclusive option to receive an exclusive license to Exploit</w:t>
      </w:r>
    </w:p>
    <w:p>
      <w:pPr>
        <w:spacing w:after="0" w:line="45" w:lineRule="exact"/>
        <w:rPr>
          <w:sz w:val="20"/>
          <w:szCs w:val="20"/>
          <w:color w:val="auto"/>
        </w:rPr>
      </w:pPr>
    </w:p>
    <w:p>
      <w:pPr>
        <w:ind w:left="280" w:hanging="272"/>
        <w:spacing w:after="0"/>
        <w:tabs>
          <w:tab w:leader="none" w:pos="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Licensed Compounds and Licensed Products directed to CCR8, (b) Licensed Compounds and Licensed Products directed to CXCR5 or,</w:t>
      </w:r>
    </w:p>
    <w:p>
      <w:pPr>
        <w:spacing w:after="0" w:line="22" w:lineRule="exact"/>
        <w:rPr>
          <w:rFonts w:ascii="Arial" w:cs="Arial" w:eastAsia="Arial" w:hAnsi="Arial"/>
          <w:sz w:val="18"/>
          <w:szCs w:val="18"/>
          <w:color w:val="auto"/>
        </w:rPr>
      </w:pPr>
    </w:p>
    <w:p>
      <w:pPr>
        <w:ind w:right="20" w:firstLine="8"/>
        <w:spacing w:after="0" w:line="244" w:lineRule="auto"/>
        <w:tabs>
          <w:tab w:leader="none" w:pos="27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 the event FibroGen does not wish to exercise such option with respect to (a) or (b), Licensed Compounds and Licensed Products that are directed to a target that is the subject of another program Controlled by HFB and selected by the Parties.</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agree as follows: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86" w:lineRule="exact"/>
        <w:rPr>
          <w:sz w:val="20"/>
          <w:szCs w:val="20"/>
          <w:color w:val="auto"/>
        </w:rPr>
      </w:pPr>
    </w:p>
    <w:p>
      <w:pPr>
        <w:jc w:val="both"/>
        <w:ind w:left="860" w:hanging="849"/>
        <w:spacing w:after="0" w:line="262" w:lineRule="auto"/>
        <w:tabs>
          <w:tab w:leader="none" w:pos="8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Acceptance</w:t>
      </w:r>
      <w:r>
        <w:rPr>
          <w:rFonts w:ascii="Arial" w:cs="Arial" w:eastAsia="Arial" w:hAnsi="Arial"/>
          <w:sz w:val="19"/>
          <w:szCs w:val="19"/>
          <w:color w:val="auto"/>
        </w:rPr>
        <w:t>” means, (a) with respect to an IND in the United States, the later of (i) the occurrence of [*] following the FDA’s receipt of such IND if the FDA does not place a clinical hold with respect to such IND filing in such [*] period or (ii) if the FDA places a clinical hold with respect to such IND during such [*] period, the FDA’s notification of the lifting of such clinical hold and (b) with respect to an IND in a country other than the United States, the clearance of such IND in accordance with applicable law such that the Clinical Trial may be Initiated based on such IND in such jurisdiction.</w:t>
      </w:r>
    </w:p>
    <w:p>
      <w:pPr>
        <w:spacing w:after="0" w:line="63"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Accounting Standards</w:t>
      </w:r>
      <w:r>
        <w:rPr>
          <w:rFonts w:ascii="Arial" w:cs="Arial" w:eastAsia="Arial" w:hAnsi="Arial"/>
          <w:sz w:val="20"/>
          <w:szCs w:val="20"/>
          <w:color w:val="auto"/>
        </w:rPr>
        <w:t>” means International Financial Reporting Standards (IFRS) or U.S. Generally Accepted Accounting Principles (GAAP), as generally and consistently applied throughout a Party’s organization.</w:t>
      </w:r>
    </w:p>
    <w:p>
      <w:pPr>
        <w:spacing w:after="0" w:line="5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Additional Third Party IP</w:t>
      </w:r>
      <w:r>
        <w:rPr>
          <w:rFonts w:ascii="Arial" w:cs="Arial" w:eastAsia="Arial" w:hAnsi="Arial"/>
          <w:sz w:val="18"/>
          <w:szCs w:val="18"/>
          <w:color w:val="auto"/>
        </w:rPr>
        <w:t>” has the meaning set forth in Section 2.6 (Third Party In-Licenses).</w:t>
      </w:r>
    </w:p>
    <w:p>
      <w:pPr>
        <w:spacing w:after="0" w:line="108"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 Party, a Person that controls, is controlled by, controlling or is under common control with such Party, but only for so long as such control will continue. For the purposes of this definition, the word “control” (including, with correlative meaning, the terms “controlled by”, “controlling” or “under the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7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w:t>
      </w:r>
    </w:p>
    <w:p>
      <w:pPr>
        <w:spacing w:after="0" w:line="332" w:lineRule="exact"/>
        <w:rPr>
          <w:sz w:val="20"/>
          <w:szCs w:val="20"/>
          <w:color w:val="auto"/>
        </w:rPr>
      </w:pPr>
    </w:p>
    <w:p>
      <w:pPr>
        <w:ind w:right="220" w:firstLine="8"/>
        <w:spacing w:after="0" w:line="277" w:lineRule="auto"/>
        <w:tabs>
          <w:tab w:leader="none" w:pos="255" w:val="left"/>
        </w:tabs>
        <w:numPr>
          <w:ilvl w:val="0"/>
          <w:numId w:val="113"/>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5" w:name="page116"/>
    <w:bookmarkEnd w:id="115"/>
    <w:p>
      <w:pPr>
        <w:spacing w:after="0"/>
        <w:tabs>
          <w:tab w:leader="none" w:pos="8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3.1 (Alliance Manager).</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Arbitration Forum</w:t>
      </w:r>
      <w:r>
        <w:rPr>
          <w:rFonts w:ascii="Arial" w:cs="Arial" w:eastAsia="Arial" w:hAnsi="Arial"/>
          <w:sz w:val="18"/>
          <w:szCs w:val="18"/>
          <w:color w:val="auto"/>
        </w:rPr>
        <w:t>” has the meaning set forth in Section 14.1(b) (Dispute Resolution).</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Arising Know-How</w:t>
      </w:r>
      <w:r>
        <w:rPr>
          <w:rFonts w:ascii="Arial" w:cs="Arial" w:eastAsia="Arial" w:hAnsi="Arial"/>
          <w:sz w:val="18"/>
          <w:szCs w:val="18"/>
          <w:color w:val="auto"/>
        </w:rPr>
        <w:t>” has the meaning set forth in Section 9.2(a)(i) (Arising Technology).</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Arising Patent Rights</w:t>
      </w:r>
      <w:r>
        <w:rPr>
          <w:rFonts w:ascii="Arial" w:cs="Arial" w:eastAsia="Arial" w:hAnsi="Arial"/>
          <w:sz w:val="18"/>
          <w:szCs w:val="18"/>
          <w:color w:val="auto"/>
        </w:rPr>
        <w:t>” has the meaning set forth in Section 9.2(a)(i) (Arising Technology).</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Arising Technology</w:t>
      </w:r>
      <w:r>
        <w:rPr>
          <w:rFonts w:ascii="Arial" w:cs="Arial" w:eastAsia="Arial" w:hAnsi="Arial"/>
          <w:sz w:val="18"/>
          <w:szCs w:val="18"/>
          <w:color w:val="auto"/>
        </w:rPr>
        <w:t>” has the meaning set forth in Section 9.2(a)(i) (Arising Technology).</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has the meaning set forth in Section 13.4 (Termination for Bankruptcy).</w:t>
      </w:r>
    </w:p>
    <w:p>
      <w:pPr>
        <w:spacing w:after="0" w:line="108" w:lineRule="exact"/>
        <w:rPr>
          <w:sz w:val="20"/>
          <w:szCs w:val="20"/>
          <w:color w:val="auto"/>
        </w:rPr>
      </w:pPr>
    </w:p>
    <w:p>
      <w:pPr>
        <w:jc w:val="both"/>
        <w:ind w:left="860" w:hanging="849"/>
        <w:spacing w:after="0" w:line="244" w:lineRule="auto"/>
        <w:tabs>
          <w:tab w:leader="none" w:pos="8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Bankruptcy Event</w:t>
      </w:r>
      <w:r>
        <w:rPr>
          <w:rFonts w:ascii="Arial" w:cs="Arial" w:eastAsia="Arial" w:hAnsi="Arial"/>
          <w:sz w:val="20"/>
          <w:szCs w:val="20"/>
          <w:color w:val="auto"/>
        </w:rPr>
        <w:t>” means, with respect to a Person, such person makes a general assignment for the benefit of creditors, admits in writing its inability to pay its debts generally as they become due, files or consents to the filing of a petition for bankruptcy or insolvency, the appointment of any receiver, liquidator, trustee or similar officer to liquidate or conserve its business or any substantial part of its assets, or files a petition or answer or consent seeking under the laws of any jurisdiction any proceeding for its insolvency, bankruptcy, reorganization, adjustment of debt, arrangement, dissolution, liquidation, or any case or action is taken against such Person by a third person in furtherance of any of the foregoing and such case or action by a third person is not dismissed within [*].</w:t>
      </w:r>
    </w:p>
    <w:p>
      <w:pPr>
        <w:spacing w:after="0" w:line="7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Bankruptcy Laws</w:t>
      </w:r>
      <w:r>
        <w:rPr>
          <w:rFonts w:ascii="Arial" w:cs="Arial" w:eastAsia="Arial" w:hAnsi="Arial"/>
          <w:sz w:val="18"/>
          <w:szCs w:val="18"/>
          <w:color w:val="auto"/>
        </w:rPr>
        <w:t>” has the meaning set forth in Section 13.4 (Termination for Bankruptcy).</w:t>
      </w:r>
    </w:p>
    <w:p>
      <w:pPr>
        <w:spacing w:after="0" w:line="108"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Biosimilar Product</w:t>
      </w:r>
      <w:r>
        <w:rPr>
          <w:rFonts w:ascii="Arial" w:cs="Arial" w:eastAsia="Arial" w:hAnsi="Arial"/>
          <w:sz w:val="19"/>
          <w:szCs w:val="19"/>
          <w:color w:val="auto"/>
        </w:rPr>
        <w:t>” means, with respect to a particular Licensed Product in a particular country, a product on the market in such country commercialized by any Third Party that is not an Affiliate or Sublicensee of FibroGen and that did not purchase such product in a chain of distribution that included any of FibroGen or its Affiliates or Sublicensees, that (a) is approved by the applicable Regulatory Authority, under any then-existing laws and regulations in the applicable country pertaining to approval of products with no clinically meaningful differences as a “generic”, “biosimilar”, or “interchangeable” version (or terms of similar meaning) of such Licensed Product, which approval uses such Licensed Product as a reference product and relies on or references any information in the approval application for such Licensed Product, or (b) is otherwise recognized by the applicable Regulatory Authority as a “generic”, “biosimilar” or “interchangeable” product (or other term of similar meaning) with no clinically meaningful differences to such Licensed Product.</w:t>
      </w:r>
    </w:p>
    <w:p>
      <w:pPr>
        <w:spacing w:after="0" w:line="68"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BLA</w:t>
      </w:r>
      <w:r>
        <w:rPr>
          <w:rFonts w:ascii="Arial" w:cs="Arial" w:eastAsia="Arial" w:hAnsi="Arial"/>
          <w:sz w:val="20"/>
          <w:szCs w:val="20"/>
          <w:color w:val="auto"/>
        </w:rPr>
        <w:t>” means a Biologics License Application submitted to the FDA pursuant to Section 351 of the Public Health Service Act, 42 U.S.C. § 262, and 21 C.F.R § 601.2 as these provisions may be amended from time-to-time (or its successor statute or regulation), for purposes of obtaining Regulatory Approval for a biological product in the United States, or any equivalent filing in a country or regulatory jurisdiction other than the United States.</w:t>
      </w:r>
    </w:p>
    <w:p>
      <w:pPr>
        <w:spacing w:after="0" w:line="75"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Sunday, or a day on which banking institutions in San Francisco, CA or Hong Kong are required by applicable law to remain closed.</w:t>
      </w:r>
    </w:p>
    <w:p>
      <w:pPr>
        <w:spacing w:after="0" w:line="55"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Calendar Quarter</w:t>
      </w:r>
      <w:r>
        <w:rPr>
          <w:rFonts w:ascii="Arial" w:cs="Arial" w:eastAsia="Arial" w:hAnsi="Arial"/>
          <w:sz w:val="20"/>
          <w:szCs w:val="20"/>
          <w:color w:val="auto"/>
        </w:rPr>
        <w:t>” means a period of three consecutive months ending on the last day of March, June, September, or December, respectively, except that the first Calendar Quarter of the Term shall commence on the Effective Date and end on the first to occur of March 31, June 30, September 30 or December 31 after the Effective Date, and the last Calendar Quarter shall end on the last day of the applicable Royalty Term or the Term, as applicable.</w:t>
      </w:r>
    </w:p>
    <w:p>
      <w:pPr>
        <w:spacing w:after="0" w:line="75"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Calendar Year</w:t>
      </w:r>
      <w:r>
        <w:rPr>
          <w:rFonts w:ascii="Arial" w:cs="Arial" w:eastAsia="Arial" w:hAnsi="Arial"/>
          <w:sz w:val="20"/>
          <w:szCs w:val="20"/>
          <w:color w:val="auto"/>
        </w:rPr>
        <w:t>” means a period of 12 consecutive months beginning on January 1 and ending on December 31, except that the first Calendar Year of the Term shall commence on the Effective Date and end on December 31 of the year in which the Effective Date occurs, and the last Calendar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19" w:lineRule="exact"/>
        <w:rPr>
          <w:sz w:val="20"/>
          <w:szCs w:val="20"/>
          <w:color w:val="auto"/>
        </w:rPr>
      </w:pPr>
    </w:p>
    <w:p>
      <w:pPr>
        <w:ind w:right="220" w:firstLine="8"/>
        <w:spacing w:after="0" w:line="277" w:lineRule="auto"/>
        <w:tabs>
          <w:tab w:leader="none" w:pos="255" w:val="left"/>
        </w:tabs>
        <w:numPr>
          <w:ilvl w:val="0"/>
          <w:numId w:val="114"/>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16" w:name="page117"/>
    <w:bookmarkEnd w:id="116"/>
    <w:p>
      <w:pPr>
        <w:ind w:left="860"/>
        <w:spacing w:after="0"/>
        <w:rPr>
          <w:sz w:val="20"/>
          <w:szCs w:val="20"/>
          <w:color w:val="auto"/>
        </w:rPr>
      </w:pPr>
      <w:r>
        <w:rPr>
          <w:rFonts w:ascii="Arial" w:cs="Arial" w:eastAsia="Arial" w:hAnsi="Arial"/>
          <w:sz w:val="18"/>
          <w:szCs w:val="18"/>
          <w:color w:val="auto"/>
        </w:rPr>
        <w:t>Year shall commence on January 1 of the year, end on the last day, of the applicable Royalty Term or the Term, as applicable.</w:t>
      </w:r>
    </w:p>
    <w:p>
      <w:pPr>
        <w:spacing w:after="0" w:line="12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CCR8</w:t>
      </w:r>
      <w:r>
        <w:rPr>
          <w:rFonts w:ascii="Arial" w:cs="Arial" w:eastAsia="Arial" w:hAnsi="Arial"/>
          <w:sz w:val="19"/>
          <w:szCs w:val="19"/>
          <w:color w:val="auto"/>
        </w:rPr>
        <w:t>” means [*].</w:t>
      </w:r>
    </w:p>
    <w:p>
      <w:pPr>
        <w:spacing w:after="0" w:line="108"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CCR8 Option Program</w:t>
      </w:r>
      <w:r>
        <w:rPr>
          <w:rFonts w:ascii="Arial" w:cs="Arial" w:eastAsia="Arial" w:hAnsi="Arial"/>
          <w:sz w:val="20"/>
          <w:szCs w:val="20"/>
          <w:color w:val="auto"/>
        </w:rPr>
        <w:t>” means the program of Development of the Option Compounds and Option Products Directed To CCR8.</w:t>
      </w:r>
    </w:p>
    <w:p>
      <w:pPr>
        <w:spacing w:after="0" w:line="55" w:lineRule="exact"/>
        <w:rPr>
          <w:sz w:val="20"/>
          <w:szCs w:val="20"/>
          <w:color w:val="auto"/>
        </w:rPr>
      </w:pPr>
    </w:p>
    <w:p>
      <w:pPr>
        <w:jc w:val="both"/>
        <w:ind w:left="860" w:hanging="849"/>
        <w:spacing w:after="0" w:line="285" w:lineRule="auto"/>
        <w:tabs>
          <w:tab w:leader="none" w:pos="8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 means applicable current Good Manufacturing Practices, including, as applicable, (a) the principles detailed in the U.S. Current Good Manufacturing Practices, 21 C.F.R. Parts 4, 210, 211, 601, 610 and 820, (b) European Directive 2003/94/EC and Eudralex 4, (c) the principles detailed in the International Conference on Harmonization’s Q7 guidelines, and (d) the applicable laws the Territory corresponding to (a) through (c) above, each as may be amended and applicable from time to time.</w:t>
      </w:r>
    </w:p>
    <w:p>
      <w:pPr>
        <w:spacing w:after="0" w:line="4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Chairperson</w:t>
      </w:r>
      <w:r>
        <w:rPr>
          <w:rFonts w:ascii="Arial" w:cs="Arial" w:eastAsia="Arial" w:hAnsi="Arial"/>
          <w:sz w:val="18"/>
          <w:szCs w:val="18"/>
          <w:color w:val="auto"/>
        </w:rPr>
        <w:t>” has the meaning set forth in Section 3.2(a) (Joint Development Committee).</w:t>
      </w:r>
    </w:p>
    <w:p>
      <w:pPr>
        <w:spacing w:after="0" w:line="108"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more than 50% of the total voting power of all of the then outstanding voting securities of such Party; (b) a merger, consolidation, recapitalization, or reorganization of such Party is consummated that would result in shareholders or equity holders of any Third Party immediately prior to such transaction, owning more than 50% of the outstanding voting securities of the surviving entity (or its parent entity) immediately following such transaction; or (c) there is a sale or transfer to a Third Party of all or substantially all of such Party’s consolidated assets taken as a whole, in each of (a) through (c) through one or more related transactions.</w:t>
      </w:r>
    </w:p>
    <w:p>
      <w:pPr>
        <w:spacing w:after="0" w:line="5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has the meaning set forth in Section 11.3 (Indemnification Procedures).</w:t>
      </w:r>
    </w:p>
    <w:p>
      <w:pPr>
        <w:spacing w:after="0" w:line="108"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Clinical Trial</w:t>
      </w:r>
      <w:r>
        <w:rPr>
          <w:rFonts w:ascii="Arial" w:cs="Arial" w:eastAsia="Arial" w:hAnsi="Arial"/>
          <w:sz w:val="20"/>
          <w:szCs w:val="20"/>
          <w:color w:val="auto"/>
        </w:rPr>
        <w:t>” means a study in humans to obtain information regarding a product, including information relating to the safety, tolerability, pharmacological activity, pharmacokinetics, dose ranging or efficacy of such product, including a Phase I Clinical Trial, Phase II Clinical Trial, and Phase III Clinical Trial.</w:t>
      </w:r>
    </w:p>
    <w:p>
      <w:pPr>
        <w:spacing w:after="0" w:line="6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CMO</w:t>
      </w:r>
      <w:r>
        <w:rPr>
          <w:rFonts w:ascii="Arial" w:cs="Arial" w:eastAsia="Arial" w:hAnsi="Arial"/>
          <w:sz w:val="18"/>
          <w:szCs w:val="18"/>
          <w:color w:val="auto"/>
        </w:rPr>
        <w:t>” means a contract manufacturing organization.</w:t>
      </w:r>
    </w:p>
    <w:p>
      <w:pPr>
        <w:spacing w:after="0" w:line="108" w:lineRule="exact"/>
        <w:rPr>
          <w:sz w:val="20"/>
          <w:szCs w:val="20"/>
          <w:color w:val="auto"/>
        </w:rPr>
      </w:pPr>
    </w:p>
    <w:p>
      <w:pPr>
        <w:jc w:val="both"/>
        <w:ind w:left="860" w:hanging="849"/>
        <w:spacing w:after="0" w:line="277" w:lineRule="auto"/>
        <w:tabs>
          <w:tab w:leader="none" w:pos="8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Licensed Product that is sold for a single invoice price and is either (a) approved by the applicable Regulatory Authority to be sold in the form of a combination that contains or comprises a Licensed Compound together with one or more other therapeutically active pharmaceutical agents (whether coformulated or copackaged or otherwise sold for a single invoice price), or (b) together with any (i) [*] or (ii) [*] related to a Licensed Compound, but excluding any of (i) or (ii) for which [*] of an independent Licensed Product (such additional therapeutically active pharmaceutical agent and each of (i) and (ii), an “</w:t>
      </w:r>
      <w:r>
        <w:rPr>
          <w:rFonts w:ascii="Arial" w:cs="Arial" w:eastAsia="Arial" w:hAnsi="Arial"/>
          <w:sz w:val="18"/>
          <w:szCs w:val="18"/>
          <w:b w:val="1"/>
          <w:bCs w:val="1"/>
          <w:color w:val="auto"/>
        </w:rPr>
        <w:t>Other Component</w:t>
      </w:r>
      <w:r>
        <w:rPr>
          <w:rFonts w:ascii="Arial" w:cs="Arial" w:eastAsia="Arial" w:hAnsi="Arial"/>
          <w:sz w:val="18"/>
          <w:szCs w:val="18"/>
          <w:color w:val="auto"/>
        </w:rPr>
        <w:t>”); or (c) defined as a “combination product” under 21 C.F.R. §3.2(e) or its foreign equivalent.</w:t>
      </w:r>
    </w:p>
    <w:p>
      <w:pPr>
        <w:spacing w:after="0" w:line="52" w:lineRule="exact"/>
        <w:rPr>
          <w:sz w:val="20"/>
          <w:szCs w:val="20"/>
          <w:color w:val="auto"/>
        </w:rPr>
      </w:pPr>
    </w:p>
    <w:p>
      <w:pPr>
        <w:jc w:val="both"/>
        <w:ind w:left="860" w:hanging="849"/>
        <w:spacing w:after="0" w:line="285" w:lineRule="auto"/>
        <w:tabs>
          <w:tab w:leader="none" w:pos="84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Commercialization</w:t>
      </w:r>
      <w:r>
        <w:rPr>
          <w:rFonts w:ascii="Arial" w:cs="Arial" w:eastAsia="Arial" w:hAnsi="Arial"/>
          <w:sz w:val="18"/>
          <w:szCs w:val="18"/>
          <w:color w:val="auto"/>
        </w:rPr>
        <w:t>,” “</w:t>
      </w:r>
      <w:r>
        <w:rPr>
          <w:rFonts w:ascii="Arial" w:cs="Arial" w:eastAsia="Arial" w:hAnsi="Arial"/>
          <w:sz w:val="18"/>
          <w:szCs w:val="18"/>
          <w:b w:val="1"/>
          <w:bCs w:val="1"/>
          <w:color w:val="auto"/>
        </w:rPr>
        <w:t>Commercializing</w:t>
      </w:r>
      <w:r>
        <w:rPr>
          <w:rFonts w:ascii="Arial" w:cs="Arial" w:eastAsia="Arial" w:hAnsi="Arial"/>
          <w:sz w:val="18"/>
          <w:szCs w:val="18"/>
          <w:color w:val="auto"/>
        </w:rPr>
        <w:t>,” or “</w:t>
      </w:r>
      <w:r>
        <w:rPr>
          <w:rFonts w:ascii="Arial" w:cs="Arial" w:eastAsia="Arial" w:hAnsi="Arial"/>
          <w:sz w:val="18"/>
          <w:szCs w:val="18"/>
          <w:b w:val="1"/>
          <w:bCs w:val="1"/>
          <w:color w:val="auto"/>
        </w:rPr>
        <w:t>Commercialize</w:t>
      </w:r>
      <w:r>
        <w:rPr>
          <w:rFonts w:ascii="Arial" w:cs="Arial" w:eastAsia="Arial" w:hAnsi="Arial"/>
          <w:sz w:val="18"/>
          <w:szCs w:val="18"/>
          <w:color w:val="auto"/>
        </w:rPr>
        <w:t>” means any and all activities directed to the marketing, promotion, medical affairs, distribution, offering for sale, sale, having sold, importing, having imported, exporting, having exported, or other commercialization of a pharmaceutical or biological product, but excluding activities directed to Manufacturing or Development. “</w:t>
      </w:r>
      <w:r>
        <w:rPr>
          <w:rFonts w:ascii="Arial" w:cs="Arial" w:eastAsia="Arial" w:hAnsi="Arial"/>
          <w:sz w:val="18"/>
          <w:szCs w:val="18"/>
          <w:b w:val="1"/>
          <w:bCs w:val="1"/>
          <w:color w:val="auto"/>
        </w:rPr>
        <w:t>Commercialize</w:t>
      </w:r>
      <w:r>
        <w:rPr>
          <w:rFonts w:ascii="Arial" w:cs="Arial" w:eastAsia="Arial" w:hAnsi="Arial"/>
          <w:sz w:val="18"/>
          <w:szCs w:val="18"/>
          <w:color w:val="auto"/>
        </w:rPr>
        <w:t>,” “</w:t>
      </w:r>
      <w:r>
        <w:rPr>
          <w:rFonts w:ascii="Arial" w:cs="Arial" w:eastAsia="Arial" w:hAnsi="Arial"/>
          <w:sz w:val="18"/>
          <w:szCs w:val="18"/>
          <w:b w:val="1"/>
          <w:bCs w:val="1"/>
          <w:color w:val="auto"/>
        </w:rPr>
        <w:t>Commercializing</w:t>
      </w:r>
      <w:r>
        <w:rPr>
          <w:rFonts w:ascii="Arial" w:cs="Arial" w:eastAsia="Arial" w:hAnsi="Arial"/>
          <w:sz w:val="18"/>
          <w:szCs w:val="18"/>
          <w:color w:val="auto"/>
        </w:rPr>
        <w:t>,” and “</w:t>
      </w:r>
      <w:r>
        <w:rPr>
          <w:rFonts w:ascii="Arial" w:cs="Arial" w:eastAsia="Arial" w:hAnsi="Arial"/>
          <w:sz w:val="18"/>
          <w:szCs w:val="18"/>
          <w:b w:val="1"/>
          <w:bCs w:val="1"/>
          <w:color w:val="auto"/>
        </w:rPr>
        <w:t>Commercialized</w:t>
      </w:r>
      <w:r>
        <w:rPr>
          <w:rFonts w:ascii="Arial" w:cs="Arial" w:eastAsia="Arial" w:hAnsi="Arial"/>
          <w:sz w:val="18"/>
          <w:szCs w:val="18"/>
          <w:color w:val="auto"/>
        </w:rPr>
        <w:t>” will be construed accordingly.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19" w:lineRule="exact"/>
        <w:rPr>
          <w:sz w:val="20"/>
          <w:szCs w:val="20"/>
          <w:color w:val="auto"/>
        </w:rPr>
      </w:pPr>
    </w:p>
    <w:p>
      <w:pPr>
        <w:ind w:right="220" w:firstLine="8"/>
        <w:spacing w:after="0" w:line="277" w:lineRule="auto"/>
        <w:tabs>
          <w:tab w:leader="none" w:pos="255" w:val="left"/>
        </w:tabs>
        <w:numPr>
          <w:ilvl w:val="0"/>
          <w:numId w:val="115"/>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7" w:name="page118"/>
    <w:bookmarkEnd w:id="117"/>
    <w:p>
      <w:pPr>
        <w:jc w:val="both"/>
        <w:ind w:left="860" w:hanging="849"/>
        <w:spacing w:after="0" w:line="273" w:lineRule="auto"/>
        <w:tabs>
          <w:tab w:leader="none" w:pos="84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the efforts to be expended by a Party or its Affiliate with respect to any Development or Commercialization objective, obligation, activity, or goal related to a Licensed Product under this Agreement, those efforts and resources that a [*] would normally devote to accomplishing such objective, obligation, activity or goal, based on the specific product and conditions then prevailing and taking into account efficacy, safety, product labeling, profitability, supply chain considerations, the competitiveness of alternative products sold by Third Parties in the marketplace, the patent and other proprietary position of the product, the likelihood of regulatory approval given the regulatory structure involved, and all other relevant factors, including technical, financial, legal, scientific and/or medical factors and, in any case, that such Party shall assign a budget and responsibility for such task or obligation to employees or contractors of such Party who are held accountable for executing such task or obligation and for monitoring such budget and progress on an ongoing basis. [*]</w:t>
      </w:r>
    </w:p>
    <w:p>
      <w:pPr>
        <w:spacing w:after="0" w:line="5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Competitive Activities</w:t>
      </w:r>
      <w:r>
        <w:rPr>
          <w:rFonts w:ascii="Arial" w:cs="Arial" w:eastAsia="Arial" w:hAnsi="Arial"/>
          <w:sz w:val="18"/>
          <w:szCs w:val="18"/>
          <w:color w:val="auto"/>
        </w:rPr>
        <w:t>” has the meaning set forth in Section 2.8(a) (Exclusivity Covenant).</w:t>
      </w:r>
    </w:p>
    <w:p>
      <w:pPr>
        <w:spacing w:after="0" w:line="108"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Competitive Product</w:t>
      </w:r>
      <w:r>
        <w:rPr>
          <w:rFonts w:ascii="Arial" w:cs="Arial" w:eastAsia="Arial" w:hAnsi="Arial"/>
          <w:sz w:val="20"/>
          <w:szCs w:val="20"/>
          <w:color w:val="auto"/>
        </w:rPr>
        <w:t xml:space="preserve">” means, with respect to HFB, any [*], and, with respect to FibroGen, any [*], or in the event of the Replacement Option Election, the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(i) FibroGen does not provide an Option Exercise Notice in respect of a given Option Program prior to the expiration of the Option Term for such Option Program or (ii) a Licensed Program becomes a Terminated Licensed Program, then “Competitive Products” will cease to include any [*] that is the subject of such Option Program or Terminated Licensed Program.</w:t>
      </w:r>
    </w:p>
    <w:p>
      <w:pPr>
        <w:spacing w:after="0" w:line="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12.1 (Confidentiality; Exceptions).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Continuing Technology Transfer</w:t>
      </w:r>
      <w:r>
        <w:rPr>
          <w:rFonts w:ascii="Arial" w:cs="Arial" w:eastAsia="Arial" w:hAnsi="Arial"/>
          <w:sz w:val="18"/>
          <w:szCs w:val="18"/>
          <w:color w:val="auto"/>
        </w:rPr>
        <w:t>” has the meaning set forth in Section 2.7(b) (Continuing Technology Transfer).</w:t>
      </w:r>
    </w:p>
    <w:p>
      <w:pPr>
        <w:spacing w:after="0" w:line="108" w:lineRule="exact"/>
        <w:rPr>
          <w:sz w:val="20"/>
          <w:szCs w:val="20"/>
          <w:color w:val="auto"/>
        </w:rPr>
      </w:pPr>
    </w:p>
    <w:p>
      <w:pPr>
        <w:jc w:val="both"/>
        <w:ind w:left="860" w:hanging="849"/>
        <w:spacing w:after="0" w:line="270" w:lineRule="auto"/>
        <w:tabs>
          <w:tab w:leader="none" w:pos="8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(a) the possession by a Party (whether by ownership, license, or otherwise other than pursuant to this Agreement) of, (i) with respect to any tangible Know-How, the legal authority or right to physical possession of such tangible Know-How, with the right to provide such tangible Know-How to the other Party on the terms set forth herein, or (ii) with respect to Patent Right, Regulatory Approvals, Regulatory Materials, intangible Know-How, or other intellectual property rights, the legal authority or right to grant a license, sublicense, access, or right to use (as applicable) to the other Party under such Patent Right, Regulatory Approvals, Regulatory Materials, intangible Know-How, or other intellectual property rights on the terms set forth herein, in each case ((i) and (ii)), without breaching or otherwise violating the terms of any arrangement or agreement with a Third Party or incurring any additional payment obligations to a Third Party unless the other Party agrees in writing to be bound by the applicable portion of such payment obligation; and (b) with respect to any product, the possession by a Party of the ability (whether by sole or joint ownership, license or otherwise, other than pursuant to this Agreement) to grant a license or sublicense of Patent Rights that claim such product or proprietary Know-How that is used in connection with the Exploitation of such product. Notwithstanding the foregoing, a Party and its Affiliates will not be deemed to “Control” any Patent Rights, Know-How, or product that, prior to the consummation of a Change of Control of such Party, are owned or in-licensed by a Third Party that becomes an Affiliate of such acquired Party or that merges or consolidates with such Party after the Effective Date as a result of such Change of Control.</w:t>
      </w:r>
    </w:p>
    <w:p>
      <w:pPr>
        <w:spacing w:after="0" w:line="58"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Cover</w:t>
      </w:r>
      <w:r>
        <w:rPr>
          <w:rFonts w:ascii="Arial" w:cs="Arial" w:eastAsia="Arial" w:hAnsi="Arial"/>
          <w:sz w:val="20"/>
          <w:szCs w:val="20"/>
          <w:color w:val="auto"/>
        </w:rPr>
        <w:t>,” “</w:t>
      </w:r>
      <w:r>
        <w:rPr>
          <w:rFonts w:ascii="Arial" w:cs="Arial" w:eastAsia="Arial" w:hAnsi="Arial"/>
          <w:sz w:val="20"/>
          <w:szCs w:val="20"/>
          <w:b w:val="1"/>
          <w:bCs w:val="1"/>
          <w:color w:val="auto"/>
        </w:rPr>
        <w:t>Covering</w:t>
      </w:r>
      <w:r>
        <w:rPr>
          <w:rFonts w:ascii="Arial" w:cs="Arial" w:eastAsia="Arial" w:hAnsi="Arial"/>
          <w:sz w:val="20"/>
          <w:szCs w:val="20"/>
          <w:color w:val="auto"/>
        </w:rPr>
        <w:t>,” or “</w:t>
      </w:r>
      <w:r>
        <w:rPr>
          <w:rFonts w:ascii="Arial" w:cs="Arial" w:eastAsia="Arial" w:hAnsi="Arial"/>
          <w:sz w:val="20"/>
          <w:szCs w:val="20"/>
          <w:b w:val="1"/>
          <w:bCs w:val="1"/>
          <w:color w:val="auto"/>
        </w:rPr>
        <w:t>Covered</w:t>
      </w:r>
      <w:r>
        <w:rPr>
          <w:rFonts w:ascii="Arial" w:cs="Arial" w:eastAsia="Arial" w:hAnsi="Arial"/>
          <w:sz w:val="20"/>
          <w:szCs w:val="20"/>
          <w:color w:val="auto"/>
        </w:rPr>
        <w:t>” means, when used to refer to the relationship between a particular Patent Right and particular subject matter, that the manufacture, use, sale, offer for sale, or importation of such subject matter would fall within the scope of one or more claims in, or is otherwise claimed by, such Patent Right.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19" w:lineRule="exact"/>
        <w:rPr>
          <w:sz w:val="20"/>
          <w:szCs w:val="20"/>
          <w:color w:val="auto"/>
        </w:rPr>
      </w:pPr>
    </w:p>
    <w:p>
      <w:pPr>
        <w:ind w:right="220" w:firstLine="8"/>
        <w:spacing w:after="0" w:line="277" w:lineRule="auto"/>
        <w:tabs>
          <w:tab w:leader="none" w:pos="255" w:val="left"/>
        </w:tabs>
        <w:numPr>
          <w:ilvl w:val="0"/>
          <w:numId w:val="116"/>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8" w:name="page119"/>
    <w:bookmarkEnd w:id="118"/>
    <w:p>
      <w:pPr>
        <w:spacing w:after="0"/>
        <w:tabs>
          <w:tab w:leader="none" w:pos="84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CPA Firm</w:t>
      </w:r>
      <w:r>
        <w:rPr>
          <w:rFonts w:ascii="Arial" w:cs="Arial" w:eastAsia="Arial" w:hAnsi="Arial"/>
          <w:sz w:val="18"/>
          <w:szCs w:val="18"/>
          <w:color w:val="auto"/>
        </w:rPr>
        <w:t>” has the meaning set forth in Section 8.7(a) (Books and Records; Audit Rights).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CREATE Act</w:t>
      </w:r>
      <w:r>
        <w:rPr>
          <w:rFonts w:ascii="Arial" w:cs="Arial" w:eastAsia="Arial" w:hAnsi="Arial"/>
          <w:sz w:val="18"/>
          <w:szCs w:val="18"/>
          <w:color w:val="auto"/>
        </w:rPr>
        <w:t>” means the Cooperative Research and Technology Enhancement Act of 2004, 35 U.S.C. § 103(c)(2)-(c)(3).</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CXCR5</w:t>
      </w:r>
      <w:r>
        <w:rPr>
          <w:rFonts w:ascii="Arial" w:cs="Arial" w:eastAsia="Arial" w:hAnsi="Arial"/>
          <w:sz w:val="19"/>
          <w:szCs w:val="19"/>
          <w:color w:val="auto"/>
        </w:rPr>
        <w:t>” means [*].</w:t>
      </w:r>
    </w:p>
    <w:p>
      <w:pPr>
        <w:spacing w:after="0" w:line="108"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CXCR5 Option Program</w:t>
      </w:r>
      <w:r>
        <w:rPr>
          <w:rFonts w:ascii="Arial" w:cs="Arial" w:eastAsia="Arial" w:hAnsi="Arial"/>
          <w:sz w:val="20"/>
          <w:szCs w:val="20"/>
          <w:color w:val="auto"/>
        </w:rPr>
        <w:t>” means the program of Development of the Option Compounds and Option Products Directed To CXCR5.</w:t>
      </w:r>
    </w:p>
    <w:p>
      <w:pPr>
        <w:spacing w:after="0" w:line="5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Defaulting Party</w:t>
      </w:r>
      <w:r>
        <w:rPr>
          <w:rFonts w:ascii="Arial" w:cs="Arial" w:eastAsia="Arial" w:hAnsi="Arial"/>
          <w:sz w:val="18"/>
          <w:szCs w:val="18"/>
          <w:color w:val="auto"/>
        </w:rPr>
        <w:t>” has the meaning set forth in Section 13.3(c) (Disputes Regarding Material Breach).</w:t>
      </w:r>
    </w:p>
    <w:p>
      <w:pPr>
        <w:spacing w:after="0" w:line="108" w:lineRule="exact"/>
        <w:rPr>
          <w:sz w:val="20"/>
          <w:szCs w:val="20"/>
          <w:color w:val="auto"/>
        </w:rPr>
      </w:pPr>
    </w:p>
    <w:p>
      <w:pPr>
        <w:jc w:val="both"/>
        <w:ind w:left="860" w:hanging="849"/>
        <w:spacing w:after="0" w:line="270" w:lineRule="auto"/>
        <w:tabs>
          <w:tab w:leader="none" w:pos="8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w:t>
      </w:r>
      <w:r>
        <w:rPr>
          <w:rFonts w:ascii="Arial" w:cs="Arial" w:eastAsia="Arial" w:hAnsi="Arial"/>
          <w:sz w:val="18"/>
          <w:szCs w:val="18"/>
          <w:color w:val="auto"/>
        </w:rPr>
        <w:t>” or “</w:t>
      </w:r>
      <w:r>
        <w:rPr>
          <w:rFonts w:ascii="Arial" w:cs="Arial" w:eastAsia="Arial" w:hAnsi="Arial"/>
          <w:sz w:val="18"/>
          <w:szCs w:val="18"/>
          <w:b w:val="1"/>
          <w:bCs w:val="1"/>
          <w:color w:val="auto"/>
        </w:rPr>
        <w:t>Development</w:t>
      </w:r>
      <w:r>
        <w:rPr>
          <w:rFonts w:ascii="Arial" w:cs="Arial" w:eastAsia="Arial" w:hAnsi="Arial"/>
          <w:sz w:val="18"/>
          <w:szCs w:val="18"/>
          <w:color w:val="auto"/>
        </w:rPr>
        <w:t>” means all internal and external research, development, and regulatory activities related to pharmaceutical or biological products, including (a) research, non-clinical testing, toxicology, testing and studies, non-clinical and preclinical activities, and Clinical Trials, and (b) preparation, submission, review, and development of data or information for the purpose of submission to a Regulatory Authority to obtain authorization to conduct Clinical Trials and to obtain, support, or maintain Regulatory Approval of a pharmaceutical or biological product and interacting with Regulatory Authorities following receipt of Regulatory Approval in the applicable country or region for such pharmaceutical or biological product regarding the foregoing, but excluding activities directed to Manufacturing or Commercialization. Development will include development and regulatory activities for additional forms, formulations, or indications for a pharmaceutical or biological product after receipt of Regulatory Approval of such product (including label expansion), including Clinical Trials initiated following receipt of Regulatory Approval or any Clinical Trial to be conducted after receipt of Regulatory Approval that was mandated by the applicable Regulatory Authority as a condition of such Regulatory Approval with respect to an approved formulation or indication (such as post-marketing studies, observational studies, implementation and management of registries and analysis thereof, in each case, if required by any Regulatory Authority in any region in the Territory to support or maintain Regulatory Approval for a pharmaceutical or biological product in such region). “</w:t>
      </w:r>
      <w:r>
        <w:rPr>
          <w:rFonts w:ascii="Arial" w:cs="Arial" w:eastAsia="Arial" w:hAnsi="Arial"/>
          <w:sz w:val="18"/>
          <w:szCs w:val="18"/>
          <w:b w:val="1"/>
          <w:bCs w:val="1"/>
          <w:color w:val="auto"/>
        </w:rPr>
        <w:t>Develop</w:t>
      </w:r>
      <w:r>
        <w:rPr>
          <w:rFonts w:ascii="Arial" w:cs="Arial" w:eastAsia="Arial" w:hAnsi="Arial"/>
          <w:sz w:val="18"/>
          <w:szCs w:val="18"/>
          <w:color w:val="auto"/>
        </w:rPr>
        <w:t>,” “</w:t>
      </w:r>
      <w:r>
        <w:rPr>
          <w:rFonts w:ascii="Arial" w:cs="Arial" w:eastAsia="Arial" w:hAnsi="Arial"/>
          <w:sz w:val="18"/>
          <w:szCs w:val="18"/>
          <w:b w:val="1"/>
          <w:bCs w:val="1"/>
          <w:color w:val="auto"/>
        </w:rPr>
        <w:t>Developing</w:t>
      </w:r>
      <w:r>
        <w:rPr>
          <w:rFonts w:ascii="Arial" w:cs="Arial" w:eastAsia="Arial" w:hAnsi="Arial"/>
          <w:sz w:val="18"/>
          <w:szCs w:val="18"/>
          <w:color w:val="auto"/>
        </w:rPr>
        <w:t>,” and “</w:t>
      </w:r>
      <w:r>
        <w:rPr>
          <w:rFonts w:ascii="Arial" w:cs="Arial" w:eastAsia="Arial" w:hAnsi="Arial"/>
          <w:sz w:val="18"/>
          <w:szCs w:val="18"/>
          <w:b w:val="1"/>
          <w:bCs w:val="1"/>
          <w:color w:val="auto"/>
        </w:rPr>
        <w:t>Developed</w:t>
      </w:r>
      <w:r>
        <w:rPr>
          <w:rFonts w:ascii="Arial" w:cs="Arial" w:eastAsia="Arial" w:hAnsi="Arial"/>
          <w:sz w:val="18"/>
          <w:szCs w:val="18"/>
          <w:color w:val="auto"/>
        </w:rPr>
        <w:t>” will be construed accordingly.</w:t>
      </w:r>
    </w:p>
    <w:p>
      <w:pPr>
        <w:spacing w:after="0" w:line="6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 has the meaning set forth in Section 4.1 (Development Plan).</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Diligence Milestone</w:t>
      </w:r>
      <w:r>
        <w:rPr>
          <w:rFonts w:ascii="Arial" w:cs="Arial" w:eastAsia="Arial" w:hAnsi="Arial"/>
          <w:sz w:val="18"/>
          <w:szCs w:val="18"/>
          <w:color w:val="auto"/>
        </w:rPr>
        <w:t>” has the meaning set forth in Section 4.4 (Development Diligence Obligations).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Directed To</w:t>
      </w:r>
      <w:r>
        <w:rPr>
          <w:rFonts w:ascii="Arial" w:cs="Arial" w:eastAsia="Arial" w:hAnsi="Arial"/>
          <w:sz w:val="16"/>
          <w:szCs w:val="16"/>
          <w:color w:val="auto"/>
        </w:rPr>
        <w:t>” means, as used with respect to a given compound or product and a given target, [*].</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Disclosure Letter</w:t>
      </w:r>
      <w:r>
        <w:rPr>
          <w:rFonts w:ascii="Arial" w:cs="Arial" w:eastAsia="Arial" w:hAnsi="Arial"/>
          <w:sz w:val="16"/>
          <w:szCs w:val="16"/>
          <w:color w:val="auto"/>
        </w:rPr>
        <w:t>” has the meaning set forth in Section 10.2 (Representations and Warranties by HFB).</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the Preamble.</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means the European Medicines Agency and any successor agency thereto.</w:t>
      </w:r>
    </w:p>
    <w:p>
      <w:pPr>
        <w:spacing w:after="0" w:line="108" w:lineRule="exact"/>
        <w:rPr>
          <w:sz w:val="20"/>
          <w:szCs w:val="20"/>
          <w:color w:val="auto"/>
        </w:rPr>
      </w:pPr>
    </w:p>
    <w:p>
      <w:pPr>
        <w:jc w:val="both"/>
        <w:ind w:left="860" w:hanging="849"/>
        <w:spacing w:after="0" w:line="294" w:lineRule="auto"/>
        <w:tabs>
          <w:tab w:leader="none" w:pos="84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Exclusive Target</w:t>
      </w:r>
      <w:r>
        <w:rPr>
          <w:rFonts w:ascii="Arial" w:cs="Arial" w:eastAsia="Arial" w:hAnsi="Arial"/>
          <w:sz w:val="18"/>
          <w:szCs w:val="18"/>
          <w:color w:val="auto"/>
        </w:rPr>
        <w:t>” means each of (a) Gal-9 and (b) after the Option Exercise Date with respect thereto: (i) CXCR5 Option Program, CXCR5; (ii) CCR8 Option Program, CCR8; and (iii) in the event of the Replacement Option Election, Replacement Option Program, the Replacement Target, except for a target to which a Terminated Licensed Program was Directed To.</w:t>
      </w:r>
    </w:p>
    <w:p>
      <w:pPr>
        <w:spacing w:after="0" w:line="3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Executive Officer</w:t>
      </w:r>
      <w:r>
        <w:rPr>
          <w:rFonts w:ascii="Arial" w:cs="Arial" w:eastAsia="Arial" w:hAnsi="Arial"/>
          <w:sz w:val="20"/>
          <w:szCs w:val="20"/>
          <w:color w:val="auto"/>
        </w:rPr>
        <w:t>” means (a) in the case of FibroGen, the chief executive officer of FibroGen, and (b) in the case of HFB, the chief executive officer of HFB, neither of whom will be a member of the JSC.</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19" w:lineRule="exact"/>
        <w:rPr>
          <w:sz w:val="20"/>
          <w:szCs w:val="20"/>
          <w:color w:val="auto"/>
        </w:rPr>
      </w:pPr>
    </w:p>
    <w:p>
      <w:pPr>
        <w:ind w:right="220" w:firstLine="8"/>
        <w:spacing w:after="0" w:line="277" w:lineRule="auto"/>
        <w:tabs>
          <w:tab w:leader="none" w:pos="255" w:val="left"/>
        </w:tabs>
        <w:numPr>
          <w:ilvl w:val="0"/>
          <w:numId w:val="117"/>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9" w:name="page120"/>
    <w:bookmarkEnd w:id="119"/>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Existing Nondisclosure Agreement</w:t>
      </w:r>
      <w:r>
        <w:rPr>
          <w:rFonts w:ascii="Arial" w:cs="Arial" w:eastAsia="Arial" w:hAnsi="Arial"/>
          <w:sz w:val="20"/>
          <w:szCs w:val="20"/>
          <w:color w:val="auto"/>
        </w:rPr>
        <w:t>” means the Amended and Restated Mutual Confidential Disclosure Agreement entered into by FibroGen, HFB, and HiFiBiO Inc., effective as of [*].</w:t>
      </w:r>
    </w:p>
    <w:p>
      <w:pPr>
        <w:spacing w:after="0" w:line="5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Existing Patent Rights</w:t>
      </w:r>
      <w:r>
        <w:rPr>
          <w:rFonts w:ascii="Arial" w:cs="Arial" w:eastAsia="Arial" w:hAnsi="Arial"/>
          <w:sz w:val="18"/>
          <w:szCs w:val="18"/>
          <w:color w:val="auto"/>
        </w:rPr>
        <w:t>” has the meaning set forth in the definition of Licensed Patent Rights.</w:t>
      </w:r>
    </w:p>
    <w:p>
      <w:pPr>
        <w:spacing w:after="0" w:line="108" w:lineRule="exact"/>
        <w:rPr>
          <w:sz w:val="20"/>
          <w:szCs w:val="20"/>
          <w:color w:val="auto"/>
        </w:rPr>
      </w:pPr>
    </w:p>
    <w:p>
      <w:pPr>
        <w:jc w:val="both"/>
        <w:ind w:left="860" w:right="20" w:hanging="849"/>
        <w:spacing w:after="0" w:line="253" w:lineRule="auto"/>
        <w:tabs>
          <w:tab w:leader="none" w:pos="8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Exploit</w:t>
      </w:r>
      <w:r>
        <w:rPr>
          <w:rFonts w:ascii="Arial" w:cs="Arial" w:eastAsia="Arial" w:hAnsi="Arial"/>
          <w:sz w:val="20"/>
          <w:szCs w:val="20"/>
          <w:color w:val="auto"/>
        </w:rPr>
        <w:t>” and “</w:t>
      </w:r>
      <w:r>
        <w:rPr>
          <w:rFonts w:ascii="Arial" w:cs="Arial" w:eastAsia="Arial" w:hAnsi="Arial"/>
          <w:sz w:val="20"/>
          <w:szCs w:val="20"/>
          <w:b w:val="1"/>
          <w:bCs w:val="1"/>
          <w:color w:val="auto"/>
        </w:rPr>
        <w:t>Exploitation</w:t>
      </w:r>
      <w:r>
        <w:rPr>
          <w:rFonts w:ascii="Arial" w:cs="Arial" w:eastAsia="Arial" w:hAnsi="Arial"/>
          <w:sz w:val="20"/>
          <w:szCs w:val="20"/>
          <w:color w:val="auto"/>
        </w:rPr>
        <w:t>” means Develop, have Developed, make, have made, use, have used, offer for sale, have offered for sale, sell, have sold, export, have exported, import, have imported, Manufacture, have Manufactured, Commercialize, have Commercialized or otherwise exploit. “</w:t>
      </w:r>
      <w:r>
        <w:rPr>
          <w:rFonts w:ascii="Arial" w:cs="Arial" w:eastAsia="Arial" w:hAnsi="Arial"/>
          <w:sz w:val="20"/>
          <w:szCs w:val="20"/>
          <w:b w:val="1"/>
          <w:bCs w:val="1"/>
          <w:color w:val="auto"/>
        </w:rPr>
        <w:t>Exploiting</w:t>
      </w:r>
      <w:r>
        <w:rPr>
          <w:rFonts w:ascii="Arial" w:cs="Arial" w:eastAsia="Arial" w:hAnsi="Arial"/>
          <w:sz w:val="20"/>
          <w:szCs w:val="20"/>
          <w:color w:val="auto"/>
        </w:rPr>
        <w:t>” will be construed accordingly.</w:t>
      </w:r>
    </w:p>
    <w:p>
      <w:pPr>
        <w:spacing w:after="0" w:line="6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FD&amp;C Act</w:t>
      </w:r>
      <w:r>
        <w:rPr>
          <w:rFonts w:ascii="Arial" w:cs="Arial" w:eastAsia="Arial" w:hAnsi="Arial"/>
          <w:sz w:val="18"/>
          <w:szCs w:val="18"/>
          <w:color w:val="auto"/>
        </w:rPr>
        <w:t>” has the meaning set forth in Section 1.76 (IND).</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agency thereto.</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FibroGen</w:t>
      </w:r>
      <w:r>
        <w:rPr>
          <w:rFonts w:ascii="Arial" w:cs="Arial" w:eastAsia="Arial" w:hAnsi="Arial"/>
          <w:sz w:val="18"/>
          <w:szCs w:val="18"/>
          <w:color w:val="auto"/>
        </w:rPr>
        <w:t>” has the meaning set forth in the Preamble.</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FibroGen Arising Patent Rights</w:t>
      </w:r>
      <w:r>
        <w:rPr>
          <w:rFonts w:ascii="Arial" w:cs="Arial" w:eastAsia="Arial" w:hAnsi="Arial"/>
          <w:sz w:val="18"/>
          <w:szCs w:val="18"/>
          <w:color w:val="auto"/>
        </w:rPr>
        <w:t>” has the meaning set forth in Section 9.2(a)(i) (Arising Technology).</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FibroGen Background Technology</w:t>
      </w:r>
      <w:r>
        <w:rPr>
          <w:rFonts w:ascii="Arial" w:cs="Arial" w:eastAsia="Arial" w:hAnsi="Arial"/>
          <w:sz w:val="16"/>
          <w:szCs w:val="16"/>
          <w:color w:val="auto"/>
        </w:rPr>
        <w:t>” has the meaning set forth in Section 9.1 (Background Technology).</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FibroGen CMO</w:t>
      </w:r>
      <w:r>
        <w:rPr>
          <w:rFonts w:ascii="Arial" w:cs="Arial" w:eastAsia="Arial" w:hAnsi="Arial"/>
          <w:sz w:val="18"/>
          <w:szCs w:val="18"/>
          <w:color w:val="auto"/>
        </w:rPr>
        <w:t>” has the meaning set forth in Section 2.7(a) (Initial Technology Transfer).</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FibroGen Indemnitees</w:t>
      </w:r>
      <w:r>
        <w:rPr>
          <w:rFonts w:ascii="Arial" w:cs="Arial" w:eastAsia="Arial" w:hAnsi="Arial"/>
          <w:sz w:val="18"/>
          <w:szCs w:val="18"/>
          <w:color w:val="auto"/>
        </w:rPr>
        <w:t>” has the meaning set forth in Section 11.1 (Indemnification by HFB).</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means any and all uses.</w:t>
      </w:r>
    </w:p>
    <w:p>
      <w:pPr>
        <w:spacing w:after="0" w:line="108"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First Commercial Sale</w:t>
      </w:r>
      <w:r>
        <w:rPr>
          <w:rFonts w:ascii="Arial" w:cs="Arial" w:eastAsia="Arial" w:hAnsi="Arial"/>
          <w:sz w:val="20"/>
          <w:szCs w:val="20"/>
          <w:color w:val="auto"/>
        </w:rPr>
        <w:t>” means, with respect to a Licensed Product in a country or region in the Territory, the first sale to a Third Party of such Licensed Product in such country or region after receipt of Regulatory Approval and, [*]. First Commercial Sale excludes any sale or other distribution of a Licensed Product for promotional or advertising purposes, Clinical Trials, preclinical trials, or other Development purposes, free samples, named patient use, compassionate use, patient assistance, expanded access, or charitable use.</w:t>
      </w:r>
    </w:p>
    <w:p>
      <w:pPr>
        <w:spacing w:after="0" w:line="77"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FTE Rate</w:t>
      </w:r>
      <w:r>
        <w:rPr>
          <w:rFonts w:ascii="Arial" w:cs="Arial" w:eastAsia="Arial" w:hAnsi="Arial"/>
          <w:sz w:val="20"/>
          <w:szCs w:val="20"/>
          <w:color w:val="auto"/>
        </w:rPr>
        <w:t>” means beginning on the Effective Date, [*] per year. The FTE Rate is subject to annual increases beginning on January 1, 2022 to reflect percentage increase in the Consumer Price Index for the US City Average (all items) for the prior Calendar Year and similarly calculated year to year for each subsequent Calendar Year.</w:t>
      </w:r>
    </w:p>
    <w:p>
      <w:pPr>
        <w:spacing w:after="0" w:line="6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Gal-9</w:t>
      </w:r>
      <w:r>
        <w:rPr>
          <w:rFonts w:ascii="Arial" w:cs="Arial" w:eastAsia="Arial" w:hAnsi="Arial"/>
          <w:sz w:val="19"/>
          <w:szCs w:val="19"/>
          <w:color w:val="auto"/>
        </w:rPr>
        <w:t>” means [*].</w:t>
      </w:r>
    </w:p>
    <w:p>
      <w:pPr>
        <w:spacing w:after="0" w:line="108" w:lineRule="exact"/>
        <w:rPr>
          <w:sz w:val="20"/>
          <w:szCs w:val="20"/>
          <w:color w:val="auto"/>
        </w:rPr>
      </w:pPr>
    </w:p>
    <w:p>
      <w:pPr>
        <w:jc w:val="both"/>
        <w:ind w:left="860" w:right="20" w:hanging="849"/>
        <w:spacing w:after="0" w:line="267" w:lineRule="auto"/>
        <w:tabs>
          <w:tab w:leader="none" w:pos="8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Gal-9 Licensed Program</w:t>
      </w:r>
      <w:r>
        <w:rPr>
          <w:rFonts w:ascii="Arial" w:cs="Arial" w:eastAsia="Arial" w:hAnsi="Arial"/>
          <w:sz w:val="20"/>
          <w:szCs w:val="20"/>
          <w:color w:val="auto"/>
        </w:rPr>
        <w:t>” means the program of Development and Commercialization of the Licensed Compounds and Licensed Products Directed To Gal-9.</w:t>
      </w:r>
    </w:p>
    <w:p>
      <w:pPr>
        <w:spacing w:after="0" w:line="55"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GCP</w:t>
      </w:r>
      <w:r>
        <w:rPr>
          <w:rFonts w:ascii="Arial" w:cs="Arial" w:eastAsia="Arial" w:hAnsi="Arial"/>
          <w:sz w:val="19"/>
          <w:szCs w:val="19"/>
          <w:color w:val="auto"/>
        </w:rPr>
        <w:t>” means all applicable Good Clinical Practice standards for the design, conduct, performance, monitoring, auditing, recording, analyses and reporting of Clinical Trials, including, as applicable (a) as set forth in the International Conference on Harmonization of Technical Requirements for Registration of Pharmaceuticals for Human Use Harmonized Tripartite Guideline for Good Clinical Practice (CPMP/ICH/135/95) (the “</w:t>
      </w:r>
      <w:r>
        <w:rPr>
          <w:rFonts w:ascii="Arial" w:cs="Arial" w:eastAsia="Arial" w:hAnsi="Arial"/>
          <w:sz w:val="19"/>
          <w:szCs w:val="19"/>
          <w:b w:val="1"/>
          <w:bCs w:val="1"/>
          <w:color w:val="auto"/>
        </w:rPr>
        <w:t>ICH Guidelines</w:t>
      </w:r>
      <w:r>
        <w:rPr>
          <w:rFonts w:ascii="Arial" w:cs="Arial" w:eastAsia="Arial" w:hAnsi="Arial"/>
          <w:sz w:val="19"/>
          <w:szCs w:val="19"/>
          <w:color w:val="auto"/>
        </w:rPr>
        <w:t>”) and any other guidelines for good clinical practice for trials on medicinal products in the Territory, (b) the Declaration of Helsinki (2004) as last amended at the 52nd World Medical Association in October 2000 and any further amendments or clarifications thereto, (c) U.S. Code of Federal Regulations Title 21, Parts 50 (Protection of Human Subjects), 54 (Financial Disclosure of Clinical Investigators), 56 (Institutional Review Boards) and 312 (Investigational New Drug Application), as may be amended from time to time, and (d) the equivalent applicable laws in the region in the Territory, each as may be amended and applicable from time to time and in each case, that provide for, among other things, assurance that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19" w:lineRule="exact"/>
        <w:rPr>
          <w:sz w:val="20"/>
          <w:szCs w:val="20"/>
          <w:color w:val="auto"/>
        </w:rPr>
      </w:pPr>
    </w:p>
    <w:p>
      <w:pPr>
        <w:ind w:right="220" w:firstLine="8"/>
        <w:spacing w:after="0" w:line="277" w:lineRule="auto"/>
        <w:tabs>
          <w:tab w:leader="none" w:pos="255" w:val="left"/>
        </w:tabs>
        <w:numPr>
          <w:ilvl w:val="0"/>
          <w:numId w:val="118"/>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0" w:name="page121"/>
    <w:bookmarkEnd w:id="120"/>
    <w:p>
      <w:pPr>
        <w:ind w:left="860"/>
        <w:spacing w:after="0"/>
        <w:rPr>
          <w:sz w:val="20"/>
          <w:szCs w:val="20"/>
          <w:color w:val="auto"/>
        </w:rPr>
      </w:pPr>
      <w:r>
        <w:rPr>
          <w:rFonts w:ascii="Arial" w:cs="Arial" w:eastAsia="Arial" w:hAnsi="Arial"/>
          <w:sz w:val="18"/>
          <w:szCs w:val="18"/>
          <w:color w:val="auto"/>
        </w:rPr>
        <w:t>the clinical data and reported results are credible and accurate and protect the rights, integrity, and confidentiality of trial subjects.</w:t>
      </w:r>
    </w:p>
    <w:p>
      <w:pPr>
        <w:spacing w:after="0" w:line="125" w:lineRule="exact"/>
        <w:rPr>
          <w:sz w:val="20"/>
          <w:szCs w:val="20"/>
          <w:color w:val="auto"/>
        </w:rPr>
      </w:pPr>
    </w:p>
    <w:p>
      <w:pPr>
        <w:jc w:val="both"/>
        <w:ind w:left="860" w:hanging="849"/>
        <w:spacing w:after="0" w:line="294" w:lineRule="auto"/>
        <w:tabs>
          <w:tab w:leader="none" w:pos="84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GLP</w:t>
      </w:r>
      <w:r>
        <w:rPr>
          <w:rFonts w:ascii="Arial" w:cs="Arial" w:eastAsia="Arial" w:hAnsi="Arial"/>
          <w:sz w:val="18"/>
          <w:szCs w:val="18"/>
          <w:color w:val="auto"/>
        </w:rPr>
        <w:t>” means all applicable Good Laboratory Practice standards for nonclinical studies, including, as set forth in the then-current good laboratory practice standards promulgated or endorsed by the U.S. Food and Drug Administration, as set forth in 21 C.F.R. Part 58, and the equivalent applicable laws in the Territory, each as may be amended and applicable from time to time.</w:t>
      </w:r>
    </w:p>
    <w:p>
      <w:pPr>
        <w:spacing w:after="0" w:line="3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HFB</w:t>
      </w:r>
      <w:r>
        <w:rPr>
          <w:rFonts w:ascii="Arial" w:cs="Arial" w:eastAsia="Arial" w:hAnsi="Arial"/>
          <w:sz w:val="18"/>
          <w:szCs w:val="18"/>
          <w:color w:val="auto"/>
        </w:rPr>
        <w:t>” has the meaning set forth in the Preamble.</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HFB Arising Patent Rights</w:t>
      </w:r>
      <w:r>
        <w:rPr>
          <w:rFonts w:ascii="Arial" w:cs="Arial" w:eastAsia="Arial" w:hAnsi="Arial"/>
          <w:sz w:val="18"/>
          <w:szCs w:val="18"/>
          <w:color w:val="auto"/>
        </w:rPr>
        <w:t>” has the meaning set forth in Section 9.2(a)(i) (Arising Technology).</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HFB Arising Technology</w:t>
      </w:r>
      <w:r>
        <w:rPr>
          <w:rFonts w:ascii="Arial" w:cs="Arial" w:eastAsia="Arial" w:hAnsi="Arial"/>
          <w:sz w:val="18"/>
          <w:szCs w:val="18"/>
          <w:color w:val="auto"/>
        </w:rPr>
        <w:t>” has the meaning set forth in Section 9.2(a)(i) (Arising Technology).</w:t>
      </w:r>
    </w:p>
    <w:p>
      <w:pPr>
        <w:spacing w:after="0" w:line="108"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HFB Background Technology</w:t>
      </w:r>
      <w:r>
        <w:rPr>
          <w:rFonts w:ascii="Arial" w:cs="Arial" w:eastAsia="Arial" w:hAnsi="Arial"/>
          <w:sz w:val="20"/>
          <w:szCs w:val="20"/>
          <w:color w:val="auto"/>
        </w:rPr>
        <w:t>” has the meaning set forth in Section 9.1 (Background Technology). For clarity, HFB Background Technology includes [*].</w:t>
      </w:r>
    </w:p>
    <w:p>
      <w:pPr>
        <w:spacing w:after="0" w:line="5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HFB Screening Know-How</w:t>
      </w:r>
      <w:r>
        <w:rPr>
          <w:rFonts w:ascii="Arial" w:cs="Arial" w:eastAsia="Arial" w:hAnsi="Arial"/>
          <w:sz w:val="18"/>
          <w:szCs w:val="18"/>
          <w:color w:val="auto"/>
        </w:rPr>
        <w:t>” means Know-How owned or Controlled by HFB prior to or during the Term relating to HFB’s [*].</w:t>
      </w:r>
    </w:p>
    <w:p>
      <w:pPr>
        <w:spacing w:after="0" w:line="108"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HFB Screening Patent Rights</w:t>
      </w:r>
      <w:r>
        <w:rPr>
          <w:rFonts w:ascii="Arial" w:cs="Arial" w:eastAsia="Arial" w:hAnsi="Arial"/>
          <w:sz w:val="20"/>
          <w:szCs w:val="20"/>
          <w:color w:val="auto"/>
        </w:rPr>
        <w:t>” means all Patent Rights owned or Controlled by HFB prior to or during the Term claiming, in whole or in part, any HFB Screening Know-How.</w:t>
      </w:r>
    </w:p>
    <w:p>
      <w:pPr>
        <w:spacing w:after="0" w:line="5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HFB Screening Technology</w:t>
      </w:r>
      <w:r>
        <w:rPr>
          <w:rFonts w:ascii="Arial" w:cs="Arial" w:eastAsia="Arial" w:hAnsi="Arial"/>
          <w:sz w:val="18"/>
          <w:szCs w:val="18"/>
          <w:color w:val="auto"/>
        </w:rPr>
        <w:t>” means HFB Screening Know-How and HFB Screening Patent Rights.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HFB Indemnitees</w:t>
      </w:r>
      <w:r>
        <w:rPr>
          <w:rFonts w:ascii="Arial" w:cs="Arial" w:eastAsia="Arial" w:hAnsi="Arial"/>
          <w:sz w:val="18"/>
          <w:szCs w:val="18"/>
          <w:color w:val="auto"/>
        </w:rPr>
        <w:t>” has the meaning set forth in Section 11.2 (Indemnification by FibroGen).</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has the meaning set forth in Section 14.1(b) (Dispute Resolution).</w:t>
      </w:r>
    </w:p>
    <w:p>
      <w:pPr>
        <w:spacing w:after="0" w:line="108" w:lineRule="exact"/>
        <w:rPr>
          <w:sz w:val="20"/>
          <w:szCs w:val="20"/>
          <w:color w:val="auto"/>
        </w:rPr>
      </w:pPr>
    </w:p>
    <w:p>
      <w:pPr>
        <w:jc w:val="both"/>
        <w:ind w:left="860" w:hanging="849"/>
        <w:spacing w:after="0" w:line="278" w:lineRule="auto"/>
        <w:tabs>
          <w:tab w:leader="none" w:pos="84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 an Investigational New Drug Application as defined in the United States Federal Food, Drug and Cosmetic Act, as amended (and any successor regulation) (the “</w:t>
      </w:r>
      <w:r>
        <w:rPr>
          <w:rFonts w:ascii="Arial" w:cs="Arial" w:eastAsia="Arial" w:hAnsi="Arial"/>
          <w:sz w:val="18"/>
          <w:szCs w:val="18"/>
          <w:b w:val="1"/>
          <w:bCs w:val="1"/>
          <w:color w:val="auto"/>
        </w:rPr>
        <w:t>FD&amp;C Act</w:t>
      </w:r>
      <w:r>
        <w:rPr>
          <w:rFonts w:ascii="Arial" w:cs="Arial" w:eastAsia="Arial" w:hAnsi="Arial"/>
          <w:sz w:val="18"/>
          <w:szCs w:val="18"/>
          <w:color w:val="auto"/>
        </w:rPr>
        <w:t>”) and applicable regulations promulgated thereunder by the FDA, or</w:t>
      </w:r>
    </w:p>
    <w:p>
      <w:pPr>
        <w:spacing w:after="0" w:line="1" w:lineRule="exact"/>
        <w:rPr>
          <w:sz w:val="20"/>
          <w:szCs w:val="20"/>
          <w:color w:val="auto"/>
        </w:rPr>
      </w:pPr>
    </w:p>
    <w:p>
      <w:pPr>
        <w:jc w:val="both"/>
        <w:ind w:left="860" w:hanging="2"/>
        <w:spacing w:after="0" w:line="241" w:lineRule="auto"/>
        <w:tabs>
          <w:tab w:leader="none" w:pos="116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an equivalent application or other authority pursuant to the laws and regulations of equivalent Regulatory Authority in any other regulatory jurisdiction, which is necessary to initiate or conduct Clinical Trials of a pharmaceutical or biological product in humans in such jurisdiction.</w:t>
      </w:r>
    </w:p>
    <w:p>
      <w:pPr>
        <w:spacing w:after="0" w:line="8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11.3 (Indemnification Procedures).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set forth in Section 11.3 (Indemnification Procedures).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1.79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Technology Transfer</w:t>
      </w:r>
      <w:r>
        <w:rPr>
          <w:rFonts w:ascii="Arial" w:cs="Arial" w:eastAsia="Arial" w:hAnsi="Arial"/>
          <w:sz w:val="18"/>
          <w:szCs w:val="18"/>
          <w:color w:val="auto"/>
        </w:rPr>
        <w:t>” has the meaning set forth in Section 2.7(a) (Initial Technology Transfer).</w:t>
      </w:r>
    </w:p>
    <w:p>
      <w:pPr>
        <w:spacing w:after="0" w:line="108"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1.80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Initiation</w:t>
      </w:r>
      <w:r>
        <w:rPr>
          <w:rFonts w:ascii="Arial" w:cs="Arial" w:eastAsia="Arial" w:hAnsi="Arial"/>
          <w:sz w:val="20"/>
          <w:szCs w:val="20"/>
          <w:color w:val="auto"/>
        </w:rPr>
        <w:t>” or “</w:t>
      </w:r>
      <w:r>
        <w:rPr>
          <w:rFonts w:ascii="Arial" w:cs="Arial" w:eastAsia="Arial" w:hAnsi="Arial"/>
          <w:sz w:val="20"/>
          <w:szCs w:val="20"/>
          <w:b w:val="1"/>
          <w:bCs w:val="1"/>
          <w:color w:val="auto"/>
        </w:rPr>
        <w:t>Initiated</w:t>
      </w:r>
      <w:r>
        <w:rPr>
          <w:rFonts w:ascii="Arial" w:cs="Arial" w:eastAsia="Arial" w:hAnsi="Arial"/>
          <w:sz w:val="20"/>
          <w:szCs w:val="20"/>
          <w:color w:val="auto"/>
        </w:rPr>
        <w:t>” means, with respect to a Clinical Trial of a product, the first dosing of the first human subject pursuant to the applicable protocol for such Clinical Trial.</w:t>
      </w:r>
    </w:p>
    <w:p>
      <w:pPr>
        <w:spacing w:after="0" w:line="5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Arising Know-How</w:t>
      </w:r>
      <w:r>
        <w:rPr>
          <w:rFonts w:ascii="Arial" w:cs="Arial" w:eastAsia="Arial" w:hAnsi="Arial"/>
          <w:sz w:val="18"/>
          <w:szCs w:val="18"/>
          <w:color w:val="auto"/>
        </w:rPr>
        <w:t>” has the meaning set forth in Section 9.2(a) (Arising Technology).</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Arising Patent Rights</w:t>
      </w:r>
      <w:r>
        <w:rPr>
          <w:rFonts w:ascii="Arial" w:cs="Arial" w:eastAsia="Arial" w:hAnsi="Arial"/>
          <w:sz w:val="18"/>
          <w:szCs w:val="18"/>
          <w:color w:val="auto"/>
        </w:rPr>
        <w:t>” has the meaning set forth in Section 9.2(a)(i) (Arising Technology).</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Arising Technology</w:t>
      </w:r>
      <w:r>
        <w:rPr>
          <w:rFonts w:ascii="Arial" w:cs="Arial" w:eastAsia="Arial" w:hAnsi="Arial"/>
          <w:sz w:val="18"/>
          <w:szCs w:val="18"/>
          <w:color w:val="auto"/>
        </w:rPr>
        <w:t>” has the meaning set forth in Section 9.2(a)(i) (Arising Technology).</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Steering Committee</w:t>
      </w:r>
      <w:r>
        <w:rPr>
          <w:rFonts w:ascii="Arial" w:cs="Arial" w:eastAsia="Arial" w:hAnsi="Arial"/>
          <w:sz w:val="18"/>
          <w:szCs w:val="18"/>
          <w:color w:val="auto"/>
        </w:rPr>
        <w:t>” and “</w:t>
      </w:r>
      <w:r>
        <w:rPr>
          <w:rFonts w:ascii="Arial" w:cs="Arial" w:eastAsia="Arial" w:hAnsi="Arial"/>
          <w:sz w:val="18"/>
          <w:szCs w:val="18"/>
          <w:b w:val="1"/>
          <w:bCs w:val="1"/>
          <w:color w:val="auto"/>
        </w:rPr>
        <w:t>JSC</w:t>
      </w:r>
      <w:r>
        <w:rPr>
          <w:rFonts w:ascii="Arial" w:cs="Arial" w:eastAsia="Arial" w:hAnsi="Arial"/>
          <w:sz w:val="18"/>
          <w:szCs w:val="18"/>
          <w:color w:val="auto"/>
        </w:rPr>
        <w:t>” have the meaning set forth in Section 3.2(a) (Formation; Composition).</w:t>
      </w:r>
    </w:p>
    <w:p>
      <w:pPr>
        <w:spacing w:after="0" w:line="108"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means any data, results, and information not generally known to the public of any type whatsoever, in any tangible or intangible form, including trade secrets, practices, techniques, methods, processes, inventions, discoveries, developments, specifications, formulations, formulae,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19" w:lineRule="exact"/>
        <w:rPr>
          <w:sz w:val="20"/>
          <w:szCs w:val="20"/>
          <w:color w:val="auto"/>
        </w:rPr>
      </w:pPr>
    </w:p>
    <w:p>
      <w:pPr>
        <w:ind w:right="220" w:firstLine="8"/>
        <w:spacing w:after="0" w:line="277" w:lineRule="auto"/>
        <w:tabs>
          <w:tab w:leader="none" w:pos="255" w:val="left"/>
        </w:tabs>
        <w:numPr>
          <w:ilvl w:val="0"/>
          <w:numId w:val="120"/>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1" w:name="page122"/>
    <w:bookmarkEnd w:id="121"/>
    <w:p>
      <w:pPr>
        <w:jc w:val="both"/>
        <w:ind w:left="860"/>
        <w:spacing w:after="0" w:line="244" w:lineRule="auto"/>
        <w:rPr>
          <w:sz w:val="20"/>
          <w:szCs w:val="20"/>
          <w:color w:val="auto"/>
        </w:rPr>
      </w:pPr>
      <w:r>
        <w:rPr>
          <w:rFonts w:ascii="Arial" w:cs="Arial" w:eastAsia="Arial" w:hAnsi="Arial"/>
          <w:sz w:val="20"/>
          <w:szCs w:val="20"/>
          <w:color w:val="auto"/>
        </w:rPr>
        <w:t>materials or compositions of matter of any type or kind (patentable or otherwise), software, algorithms, marketing reports, clinical and non-clinical study reports, clinical and non-clinical data, regulatory filings and regulatory submission documents and summaries, technology, test data including pharmacological, biological, chemical, biochemical, toxicological, and clinical test data, analytical and quality control data, stability data, studies and procedures and any other know-how, and any physical embodiments of any of the foregoing.</w:t>
      </w:r>
    </w:p>
    <w:p>
      <w:pPr>
        <w:spacing w:after="0" w:line="8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 Option</w:t>
      </w:r>
      <w:r>
        <w:rPr>
          <w:rFonts w:ascii="Arial" w:cs="Arial" w:eastAsia="Arial" w:hAnsi="Arial"/>
          <w:sz w:val="18"/>
          <w:szCs w:val="18"/>
          <w:color w:val="auto"/>
        </w:rPr>
        <w:t>” has the meaning set forth in Section 2.9(a) (Grant of Options).</w:t>
      </w:r>
    </w:p>
    <w:p>
      <w:pPr>
        <w:spacing w:after="0" w:line="108"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Licensed Compound</w:t>
      </w:r>
      <w:r>
        <w:rPr>
          <w:rFonts w:ascii="Arial" w:cs="Arial" w:eastAsia="Arial" w:hAnsi="Arial"/>
          <w:sz w:val="20"/>
          <w:szCs w:val="20"/>
          <w:color w:val="auto"/>
        </w:rPr>
        <w:t>” means (a) the compound designated by HFB internally as [*], and any other compound Controlled by HFB or its Affiliates that is Directed To Gal-9, (b) after the Option Exercise Date for each Option Program, all compounds that are Directed To the Exclusive Target that is the subject of such Option Program, and (c) any [*] the compounds set forth in the foregoing clause (a) or (b) that is Directed To the applicable Exclusive Target.</w:t>
      </w:r>
    </w:p>
    <w:p>
      <w:pPr>
        <w:spacing w:after="0" w:line="7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w:t>
      </w:r>
    </w:p>
    <w:p>
      <w:pPr>
        <w:spacing w:after="0" w:line="108"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Licensed Patent Rights</w:t>
      </w:r>
      <w:r>
        <w:rPr>
          <w:rFonts w:ascii="Arial" w:cs="Arial" w:eastAsia="Arial" w:hAnsi="Arial"/>
          <w:sz w:val="20"/>
          <w:szCs w:val="20"/>
          <w:color w:val="auto"/>
        </w:rPr>
        <w:t>” means any and all Patent Rights, [*], Controlled by HFB or any of its Affiliates [*] that are [*] to Exploit any Licensed Compound or Licensed Product in the Field in the Territory, [</w:t>
      </w:r>
      <w:r>
        <w:rPr>
          <w:rFonts w:ascii="Arial" w:cs="Arial" w:eastAsia="Arial" w:hAnsi="Arial"/>
          <w:sz w:val="20"/>
          <w:szCs w:val="20"/>
          <w:i w:val="1"/>
          <w:iCs w:val="1"/>
          <w:color w:val="auto"/>
        </w:rPr>
        <w:t>*</w:t>
      </w:r>
      <w:r>
        <w:rPr>
          <w:rFonts w:ascii="Arial" w:cs="Arial" w:eastAsia="Arial" w:hAnsi="Arial"/>
          <w:sz w:val="20"/>
          <w:szCs w:val="20"/>
          <w:color w:val="auto"/>
        </w:rPr>
        <w:t>]. All Licensed Patent Rights existing [*] are listed on Schedule 1.89 (Existing Patent Rights) (the “</w:t>
      </w:r>
      <w:r>
        <w:rPr>
          <w:rFonts w:ascii="Arial" w:cs="Arial" w:eastAsia="Arial" w:hAnsi="Arial"/>
          <w:sz w:val="20"/>
          <w:szCs w:val="20"/>
          <w:b w:val="1"/>
          <w:bCs w:val="1"/>
          <w:color w:val="auto"/>
        </w:rPr>
        <w:t>Existing Patent Rights</w:t>
      </w:r>
      <w:r>
        <w:rPr>
          <w:rFonts w:ascii="Arial" w:cs="Arial" w:eastAsia="Arial" w:hAnsi="Arial"/>
          <w:sz w:val="20"/>
          <w:szCs w:val="20"/>
          <w:color w:val="auto"/>
        </w:rPr>
        <w:t>”).</w:t>
      </w:r>
    </w:p>
    <w:p>
      <w:pPr>
        <w:spacing w:after="0" w:line="69"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color w:val="auto"/>
        </w:rPr>
        <w:t>1.90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Licensed Product</w:t>
      </w:r>
      <w:r>
        <w:rPr>
          <w:rFonts w:ascii="Arial" w:cs="Arial" w:eastAsia="Arial" w:hAnsi="Arial"/>
          <w:sz w:val="20"/>
          <w:szCs w:val="20"/>
          <w:color w:val="auto"/>
        </w:rPr>
        <w:t>” means any product that contains a Licensed Compound, alone or in combination with one or more therapeutically active pharmaceutical or biological ingredients, in all forms, presentations, compositions, dosages, and formulations. A Licensed Product will be deemed the same Licensed Product if it contains all the same therapeutically active pharmaceutical or biological ingredients.</w:t>
      </w:r>
    </w:p>
    <w:p>
      <w:pPr>
        <w:spacing w:after="0" w:line="75"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Licensed Program</w:t>
      </w:r>
      <w:r>
        <w:rPr>
          <w:rFonts w:ascii="Arial" w:cs="Arial" w:eastAsia="Arial" w:hAnsi="Arial"/>
          <w:sz w:val="20"/>
          <w:szCs w:val="20"/>
          <w:color w:val="auto"/>
        </w:rPr>
        <w:t>” means the Gal-9 Licensed Program and, after the Option Exercise Date for each Option Program, the CCR8 Option Program, CXCR5 Option Program, and in the event of the Replacement Option Election, the Replacement Option Program, as applicable, but not a Terminated Licensed Program.</w:t>
      </w:r>
    </w:p>
    <w:p>
      <w:pPr>
        <w:spacing w:after="0" w:line="69" w:lineRule="exact"/>
        <w:rPr>
          <w:sz w:val="20"/>
          <w:szCs w:val="20"/>
          <w:color w:val="auto"/>
        </w:rPr>
      </w:pPr>
    </w:p>
    <w:p>
      <w:pPr>
        <w:jc w:val="both"/>
        <w:ind w:left="860" w:right="20" w:hanging="849"/>
        <w:spacing w:after="0" w:line="267" w:lineRule="auto"/>
        <w:tabs>
          <w:tab w:leader="none" w:pos="84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Licensed Technology</w:t>
      </w:r>
      <w:r>
        <w:rPr>
          <w:rFonts w:ascii="Arial" w:cs="Arial" w:eastAsia="Arial" w:hAnsi="Arial"/>
          <w:sz w:val="20"/>
          <w:szCs w:val="20"/>
          <w:color w:val="auto"/>
        </w:rPr>
        <w:t>” means Licensed Know-How, Licensed Patent Rights, and HFB’s and its Affiliates’ interest in the Joint Arising Technology.</w:t>
      </w:r>
    </w:p>
    <w:p>
      <w:pPr>
        <w:spacing w:after="0" w:line="55"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Loss of Market Exclusivity</w:t>
      </w:r>
      <w:r>
        <w:rPr>
          <w:rFonts w:ascii="Arial" w:cs="Arial" w:eastAsia="Arial" w:hAnsi="Arial"/>
          <w:sz w:val="20"/>
          <w:szCs w:val="20"/>
          <w:color w:val="auto"/>
        </w:rPr>
        <w:t>” means, on a Licensed Product-by-Licensed Product and country-by-country basis, (a) one or more Biosimilar Products for which such Licensed Product is the reference product have obtained Regulatory Approval and are being legally marketed in such country; and (b) such Biosimilar Products sold in such country achieve, on an aggregate basis, at least [*].</w:t>
      </w:r>
    </w:p>
    <w:p>
      <w:pPr>
        <w:spacing w:after="0" w:line="7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Major Market Country</w:t>
      </w:r>
      <w:r>
        <w:rPr>
          <w:rFonts w:ascii="Arial" w:cs="Arial" w:eastAsia="Arial" w:hAnsi="Arial"/>
          <w:sz w:val="18"/>
          <w:szCs w:val="18"/>
          <w:color w:val="auto"/>
        </w:rPr>
        <w:t>” means any one of the following countries: [*].</w:t>
      </w:r>
    </w:p>
    <w:p>
      <w:pPr>
        <w:spacing w:after="0" w:line="108" w:lineRule="exact"/>
        <w:rPr>
          <w:sz w:val="20"/>
          <w:szCs w:val="20"/>
          <w:color w:val="auto"/>
        </w:rPr>
      </w:pPr>
    </w:p>
    <w:p>
      <w:pPr>
        <w:jc w:val="both"/>
        <w:ind w:left="860" w:hanging="849"/>
        <w:spacing w:after="0" w:line="277" w:lineRule="auto"/>
        <w:tabs>
          <w:tab w:leader="none" w:pos="840"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Manufacture</w:t>
      </w:r>
      <w:r>
        <w:rPr>
          <w:rFonts w:ascii="Arial" w:cs="Arial" w:eastAsia="Arial" w:hAnsi="Arial"/>
          <w:sz w:val="18"/>
          <w:szCs w:val="18"/>
          <w:color w:val="auto"/>
        </w:rPr>
        <w:t>” or “</w:t>
      </w:r>
      <w:r>
        <w:rPr>
          <w:rFonts w:ascii="Arial" w:cs="Arial" w:eastAsia="Arial" w:hAnsi="Arial"/>
          <w:sz w:val="18"/>
          <w:szCs w:val="18"/>
          <w:b w:val="1"/>
          <w:bCs w:val="1"/>
          <w:color w:val="auto"/>
        </w:rPr>
        <w:t>Manufacturing</w:t>
      </w:r>
      <w:r>
        <w:rPr>
          <w:rFonts w:ascii="Arial" w:cs="Arial" w:eastAsia="Arial" w:hAnsi="Arial"/>
          <w:sz w:val="18"/>
          <w:szCs w:val="18"/>
          <w:color w:val="auto"/>
        </w:rPr>
        <w:t>” means activities directed to manufacturing, processing, packaging, labeling, filling, finishing, assembly, quality assurance, quality control, testing, release for distribution, shipping, or storage of any pharmaceutical or biological product (or any components or process steps involving any product or any companion diagnostic), placebo, or comparator agent, as the case may be, including process development, qualification, and validation, scale-up, pre-clinical, clinical, and commercial manufacture and analytic development, product characterization, and stability testing, but excluding activities directed to Development or Commercialization. “</w:t>
      </w:r>
      <w:r>
        <w:rPr>
          <w:rFonts w:ascii="Arial" w:cs="Arial" w:eastAsia="Arial" w:hAnsi="Arial"/>
          <w:sz w:val="18"/>
          <w:szCs w:val="18"/>
          <w:b w:val="1"/>
          <w:bCs w:val="1"/>
          <w:color w:val="auto"/>
        </w:rPr>
        <w:t>Manufacturing</w:t>
      </w:r>
      <w:r>
        <w:rPr>
          <w:rFonts w:ascii="Arial" w:cs="Arial" w:eastAsia="Arial" w:hAnsi="Arial"/>
          <w:sz w:val="18"/>
          <w:szCs w:val="18"/>
          <w:color w:val="auto"/>
        </w:rPr>
        <w:t>” will be construed accordingly.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19" w:lineRule="exact"/>
        <w:rPr>
          <w:sz w:val="20"/>
          <w:szCs w:val="20"/>
          <w:color w:val="auto"/>
        </w:rPr>
      </w:pPr>
    </w:p>
    <w:p>
      <w:pPr>
        <w:ind w:right="220" w:firstLine="8"/>
        <w:spacing w:after="0" w:line="277" w:lineRule="auto"/>
        <w:tabs>
          <w:tab w:leader="none" w:pos="255" w:val="left"/>
        </w:tabs>
        <w:numPr>
          <w:ilvl w:val="0"/>
          <w:numId w:val="121"/>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2" w:name="page123"/>
    <w:bookmarkEnd w:id="122"/>
    <w:p>
      <w:pPr>
        <w:spacing w:after="0"/>
        <w:tabs>
          <w:tab w:leader="none" w:pos="840" w:val="left"/>
        </w:tabs>
        <w:rPr>
          <w:sz w:val="20"/>
          <w:szCs w:val="20"/>
          <w:color w:val="auto"/>
        </w:rPr>
      </w:pPr>
      <w:r>
        <w:rPr>
          <w:rFonts w:ascii="Arial" w:cs="Arial" w:eastAsia="Arial" w:hAnsi="Arial"/>
          <w:sz w:val="20"/>
          <w:szCs w:val="20"/>
          <w:color w:val="auto"/>
        </w:rPr>
        <w:t>1.96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submitted to the FDA pursuant to section 505(b)(1) of the FD&amp;C Act, 21 U.S.C. 355(B)</w:t>
      </w:r>
    </w:p>
    <w:p>
      <w:pPr>
        <w:spacing w:after="0" w:line="22" w:lineRule="exact"/>
        <w:rPr>
          <w:sz w:val="20"/>
          <w:szCs w:val="20"/>
          <w:color w:val="auto"/>
        </w:rPr>
      </w:pPr>
    </w:p>
    <w:p>
      <w:pPr>
        <w:jc w:val="both"/>
        <w:ind w:left="860"/>
        <w:spacing w:after="0" w:line="241" w:lineRule="auto"/>
        <w:rPr>
          <w:sz w:val="20"/>
          <w:szCs w:val="20"/>
          <w:color w:val="auto"/>
        </w:rPr>
      </w:pPr>
      <w:r>
        <w:rPr>
          <w:rFonts w:ascii="Arial" w:cs="Arial" w:eastAsia="Arial" w:hAnsi="Arial"/>
          <w:sz w:val="20"/>
          <w:szCs w:val="20"/>
          <w:color w:val="auto"/>
        </w:rPr>
        <w:t>(1), and 21 C.F.R.§ 314.50 as these provisions may be amended from time-to-time (or its successor statute or regulation), for purposes of obtaining Regulatory Approval for a pharmaceutical product in the United States, or any equivalent filing in a country or regulatory jurisdiction other than the United States.</w:t>
      </w:r>
    </w:p>
    <w:p>
      <w:pPr>
        <w:spacing w:after="0" w:line="82" w:lineRule="exact"/>
        <w:rPr>
          <w:sz w:val="20"/>
          <w:szCs w:val="20"/>
          <w:color w:val="auto"/>
        </w:rPr>
      </w:pPr>
    </w:p>
    <w:p>
      <w:pPr>
        <w:ind w:left="860" w:right="5440" w:hanging="863"/>
        <w:spacing w:after="0" w:line="355" w:lineRule="auto"/>
        <w:tabs>
          <w:tab w:leader="none" w:pos="840" w:val="left"/>
        </w:tabs>
        <w:rPr>
          <w:sz w:val="20"/>
          <w:szCs w:val="20"/>
          <w:color w:val="auto"/>
        </w:rPr>
      </w:pPr>
      <w:r>
        <w:rPr>
          <w:rFonts w:ascii="Arial" w:cs="Arial" w:eastAsia="Arial" w:hAnsi="Arial"/>
          <w:sz w:val="20"/>
          <w:szCs w:val="20"/>
          <w:color w:val="auto"/>
        </w:rPr>
        <w:t>1.97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Net Sales</w:t>
      </w:r>
      <w:r>
        <w:rPr>
          <w:rFonts w:ascii="Arial" w:cs="Arial" w:eastAsia="Arial" w:hAnsi="Arial"/>
          <w:sz w:val="20"/>
          <w:szCs w:val="20"/>
          <w:color w:val="auto"/>
        </w:rPr>
        <w:t>” means, with respect to a Licensed Product and [*] For the avoidance of doubt, [*]</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 the case of any [*]</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on a country-by-country basis [*]</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on a country-by-country basis [*</w:t>
      </w:r>
      <w:r>
        <w:rPr>
          <w:rFonts w:ascii="Arial" w:cs="Arial" w:eastAsia="Arial" w:hAnsi="Arial"/>
          <w:sz w:val="21"/>
          <w:szCs w:val="21"/>
          <w:color w:val="auto"/>
        </w:rPr>
        <w:t>].</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License Agreement</w:t>
      </w:r>
      <w:r>
        <w:rPr>
          <w:rFonts w:ascii="Arial" w:cs="Arial" w:eastAsia="Arial" w:hAnsi="Arial"/>
          <w:sz w:val="16"/>
          <w:szCs w:val="16"/>
          <w:color w:val="auto"/>
        </w:rPr>
        <w:t>” has the meaning set forth in Section 2.3(b) (Survival of Sublicenses).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Non-Defaulting Party</w:t>
      </w:r>
      <w:r>
        <w:rPr>
          <w:rFonts w:ascii="Arial" w:cs="Arial" w:eastAsia="Arial" w:hAnsi="Arial"/>
          <w:sz w:val="18"/>
          <w:szCs w:val="18"/>
          <w:color w:val="auto"/>
        </w:rPr>
        <w:t>” has the meaning set forth in Section 13.3(c) (Disputes Regarding Material Breach).</w:t>
      </w:r>
    </w:p>
    <w:p>
      <w:pPr>
        <w:spacing w:after="0" w:line="108"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auto"/>
        </w:rPr>
        <w:t>1.100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Option Compound</w:t>
      </w:r>
      <w:r>
        <w:rPr>
          <w:rFonts w:ascii="Arial" w:cs="Arial" w:eastAsia="Arial" w:hAnsi="Arial"/>
          <w:sz w:val="20"/>
          <w:szCs w:val="20"/>
          <w:color w:val="auto"/>
        </w:rPr>
        <w:t>” means (a) any compound Controlled by HFB or its Affiliates Directed To CCR8, (b) any compound Controlled by HFB or its Affiliates Directed To CXCR5, and (c) following the Replacement Option Election, any compound Controlled by HFB or its Affiliates Directed To the Replacement Target.</w:t>
      </w:r>
    </w:p>
    <w:p>
      <w:pPr>
        <w:spacing w:after="0" w:line="69"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Option Data Package</w:t>
      </w:r>
      <w:r>
        <w:rPr>
          <w:rFonts w:ascii="Arial" w:cs="Arial" w:eastAsia="Arial" w:hAnsi="Arial"/>
          <w:sz w:val="20"/>
          <w:szCs w:val="20"/>
          <w:color w:val="auto"/>
        </w:rPr>
        <w:t>” means, with respect to each Option Program, the information and materials set forth on Schedule 1.101 (Option Data Package).</w:t>
      </w:r>
    </w:p>
    <w:p>
      <w:pPr>
        <w:spacing w:after="0" w:line="5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Exercise Date</w:t>
      </w:r>
      <w:r>
        <w:rPr>
          <w:rFonts w:ascii="Arial" w:cs="Arial" w:eastAsia="Arial" w:hAnsi="Arial"/>
          <w:sz w:val="18"/>
          <w:szCs w:val="18"/>
          <w:color w:val="auto"/>
        </w:rPr>
        <w:t>” has the meaning set forth in Section 2.9(e) (Exercise of a License Option).</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Exercise Notice</w:t>
      </w:r>
      <w:r>
        <w:rPr>
          <w:rFonts w:ascii="Arial" w:cs="Arial" w:eastAsia="Arial" w:hAnsi="Arial"/>
          <w:sz w:val="16"/>
          <w:szCs w:val="16"/>
          <w:color w:val="auto"/>
        </w:rPr>
        <w:t>” has the meaning set forth in Section 2.9(e) (Exercise of a License Option).</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Exercise Payment</w:t>
      </w:r>
      <w:r>
        <w:rPr>
          <w:rFonts w:ascii="Arial" w:cs="Arial" w:eastAsia="Arial" w:hAnsi="Arial"/>
          <w:sz w:val="16"/>
          <w:szCs w:val="16"/>
          <w:color w:val="auto"/>
        </w:rPr>
        <w:t>” has the meaning set forth in Section 8.2 (Option Exercise Payment).</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Option Know-How</w:t>
      </w:r>
      <w:r>
        <w:rPr>
          <w:rFonts w:ascii="Arial" w:cs="Arial" w:eastAsia="Arial" w:hAnsi="Arial"/>
          <w:sz w:val="19"/>
          <w:szCs w:val="19"/>
          <w:color w:val="auto"/>
        </w:rPr>
        <w:t>” [*]</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Notice</w:t>
      </w:r>
      <w:r>
        <w:rPr>
          <w:rFonts w:ascii="Arial" w:cs="Arial" w:eastAsia="Arial" w:hAnsi="Arial"/>
          <w:sz w:val="18"/>
          <w:szCs w:val="18"/>
          <w:color w:val="auto"/>
        </w:rPr>
        <w:t>” has the meaning set forth in Section 2.9(c)(i) (Delivery).</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Notice Delivery Date</w:t>
      </w:r>
      <w:r>
        <w:rPr>
          <w:rFonts w:ascii="Arial" w:cs="Arial" w:eastAsia="Arial" w:hAnsi="Arial"/>
          <w:sz w:val="16"/>
          <w:szCs w:val="16"/>
          <w:color w:val="auto"/>
        </w:rPr>
        <w:t>” has the meaning set forth in Section 10.2 (Representations and Warranties by HFB).</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Patent Rights</w:t>
      </w:r>
      <w:r>
        <w:rPr>
          <w:rFonts w:ascii="Arial" w:cs="Arial" w:eastAsia="Arial" w:hAnsi="Arial"/>
          <w:sz w:val="18"/>
          <w:szCs w:val="18"/>
          <w:color w:val="auto"/>
        </w:rPr>
        <w:t>” has the meaning set forth in Section 10.2(f) (Option Technology).</w:t>
      </w:r>
    </w:p>
    <w:p>
      <w:pPr>
        <w:spacing w:after="0" w:line="108" w:lineRule="exact"/>
        <w:rPr>
          <w:sz w:val="20"/>
          <w:szCs w:val="20"/>
          <w:color w:val="auto"/>
        </w:rPr>
      </w:pPr>
    </w:p>
    <w:p>
      <w:pPr>
        <w:jc w:val="both"/>
        <w:ind w:left="860" w:right="20" w:hanging="849"/>
        <w:spacing w:after="0" w:line="293" w:lineRule="auto"/>
        <w:tabs>
          <w:tab w:leader="none" w:pos="84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Option Product</w:t>
      </w:r>
      <w:r>
        <w:rPr>
          <w:rFonts w:ascii="Arial" w:cs="Arial" w:eastAsia="Arial" w:hAnsi="Arial"/>
          <w:sz w:val="19"/>
          <w:szCs w:val="19"/>
          <w:color w:val="auto"/>
        </w:rPr>
        <w:t>” means any product that contains an Option Compound, alone or in combination with one or more therapeutically active pharmaceutical ingredients, in all forms, presentations, compositions, dosages, and formulations.</w:t>
      </w:r>
    </w:p>
    <w:p>
      <w:pPr>
        <w:spacing w:after="0" w:line="34"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Option Program</w:t>
      </w:r>
      <w:r>
        <w:rPr>
          <w:rFonts w:ascii="Arial" w:cs="Arial" w:eastAsia="Arial" w:hAnsi="Arial"/>
          <w:sz w:val="20"/>
          <w:szCs w:val="20"/>
          <w:color w:val="auto"/>
        </w:rPr>
        <w:t>” means the CCR8 Option Program, CXCR5 Option Program, or following the Replacement Option Election, the elected Replacement Option Program, as applicable.</w:t>
      </w:r>
    </w:p>
    <w:p>
      <w:pPr>
        <w:spacing w:after="0" w:line="5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Technology</w:t>
      </w:r>
      <w:r>
        <w:rPr>
          <w:rFonts w:ascii="Arial" w:cs="Arial" w:eastAsia="Arial" w:hAnsi="Arial"/>
          <w:sz w:val="18"/>
          <w:szCs w:val="18"/>
          <w:color w:val="auto"/>
        </w:rPr>
        <w:t>” means Option Know-How and Option Patent Rights.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Term</w:t>
      </w:r>
      <w:r>
        <w:rPr>
          <w:rFonts w:ascii="Arial" w:cs="Arial" w:eastAsia="Arial" w:hAnsi="Arial"/>
          <w:sz w:val="18"/>
          <w:szCs w:val="18"/>
          <w:color w:val="auto"/>
        </w:rPr>
        <w:t>” has the meaning set forth in Section 2.9(e) (Exercise of a License Option)</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Other Component</w:t>
      </w:r>
      <w:r>
        <w:rPr>
          <w:rFonts w:ascii="Arial" w:cs="Arial" w:eastAsia="Arial" w:hAnsi="Arial"/>
          <w:sz w:val="18"/>
          <w:szCs w:val="18"/>
          <w:color w:val="auto"/>
        </w:rPr>
        <w:t>” has the meaning set forth in Section 1.27 (Other Component).</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have the meaning set forth in the Preamble.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19" w:lineRule="exact"/>
        <w:rPr>
          <w:sz w:val="20"/>
          <w:szCs w:val="20"/>
          <w:color w:val="auto"/>
        </w:rPr>
      </w:pPr>
    </w:p>
    <w:p>
      <w:pPr>
        <w:ind w:right="220" w:firstLine="8"/>
        <w:spacing w:after="0" w:line="277" w:lineRule="auto"/>
        <w:tabs>
          <w:tab w:leader="none" w:pos="255" w:val="left"/>
        </w:tabs>
        <w:numPr>
          <w:ilvl w:val="0"/>
          <w:numId w:val="122"/>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3" w:name="page124"/>
    <w:bookmarkEnd w:id="123"/>
    <w:p>
      <w:pPr>
        <w:jc w:val="both"/>
        <w:ind w:left="860" w:hanging="849"/>
        <w:spacing w:after="0" w:line="271" w:lineRule="auto"/>
        <w:tabs>
          <w:tab w:leader="none" w:pos="84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Challenge</w:t>
      </w:r>
      <w:r>
        <w:rPr>
          <w:rFonts w:ascii="Arial" w:cs="Arial" w:eastAsia="Arial" w:hAnsi="Arial"/>
          <w:sz w:val="18"/>
          <w:szCs w:val="18"/>
          <w:color w:val="auto"/>
        </w:rPr>
        <w:t xml:space="preserve">” means any challenge to the validity or enforceability of a Licensed Patent Right or HFB Screening Patent Right used to generate any Licensed Compound, including by (a) filing a declaratory judgment action in which the applicable Licensed Patent Right or HFB Screening Patent Right is alleged to be invalid or unenforceable, (b) becoming party to an interference with the applicable Licensed Patent Right or HFB Screening Patent Right pursuant to 35 U.S.C. §135 or (c) filing or commencing any re-examination, opposition, cancellation, nullity or similar proceedings against the applicable Licensed Patent Right or HFB Screening Patent Right, or petitioning for any form of administrative or judicial (or arbitration) review of the applicable Licensed Patent Right or HFB Screening Patent Right,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opposition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Patent Challenge shall not include a response to a claim or allegation that FibroGen, its Affiliates or Sublicensees infringes or may infringe any Patent Rights owned or Controlled by HFB, any of its Affiliates, or any of their respective successors or assigns, including in </w:t>
      </w:r>
      <w:r>
        <w:rPr>
          <w:rFonts w:ascii="Arial" w:cs="Arial" w:eastAsia="Arial" w:hAnsi="Arial"/>
          <w:sz w:val="18"/>
          <w:szCs w:val="18"/>
          <w:i w:val="1"/>
          <w:iCs w:val="1"/>
          <w:color w:val="auto"/>
        </w:rPr>
        <w:t>inter partes</w:t>
      </w:r>
      <w:r>
        <w:rPr>
          <w:rFonts w:ascii="Arial" w:cs="Arial" w:eastAsia="Arial" w:hAnsi="Arial"/>
          <w:sz w:val="18"/>
          <w:szCs w:val="18"/>
          <w:color w:val="auto"/>
        </w:rPr>
        <w:t>, post grant review proceedings, oppositions, nullity proceedings, reissue proceedings, reexamination proceedings, and other similar proceedings before the U.S. Patent &amp; Trademark Office or other agency or tribunal in any jurisdiction, or in any arbitration or litigation.</w:t>
      </w:r>
    </w:p>
    <w:p>
      <w:pPr>
        <w:spacing w:after="0" w:line="57"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Arial" w:cs="Arial" w:eastAsia="Arial" w:hAnsi="Arial"/>
          <w:sz w:val="20"/>
          <w:szCs w:val="20"/>
          <w:color w:val="auto"/>
        </w:rPr>
        <w:t>1.116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Right</w:t>
      </w:r>
      <w:r>
        <w:rPr>
          <w:rFonts w:ascii="Arial" w:cs="Arial" w:eastAsia="Arial" w:hAnsi="Arial"/>
          <w:sz w:val="18"/>
          <w:szCs w:val="18"/>
          <w:color w:val="auto"/>
        </w:rPr>
        <w:t>” means (a) any national, regional, or international patent or patent application, including any provisional patent application, (b) any patent application filed either from such a patent, patent application, or provisional application or from an application claiming priority from any of these, including any divisional, continuation, continuation-in-part, provisional, converted provisional, and continued prosecution application, (c) any patent that has issued or in the future issues from any of the foregoing patent applications ((a) and (b)), including any utility model, petty patent, design patent, and certificate of invention, (d) any extension or restoration by existing or future extension or restoration mechanisms, including any revalidation, reissue, re-examination, and extension (including any supplementary protection certificate and the like) of any of the foregoing patents or patent applications ((a), (b), and (c)), and (e) any similar rights, or any importation, revalidation, confirmation or introduction patent, or registration patent or patent of additions to any such foregoing patent application or patent.</w:t>
      </w:r>
    </w:p>
    <w:p>
      <w:pPr>
        <w:spacing w:after="0" w:line="54" w:lineRule="exact"/>
        <w:rPr>
          <w:sz w:val="20"/>
          <w:szCs w:val="20"/>
          <w:color w:val="auto"/>
        </w:rPr>
      </w:pPr>
    </w:p>
    <w:p>
      <w:pPr>
        <w:jc w:val="both"/>
        <w:ind w:left="860" w:hanging="849"/>
        <w:spacing w:after="0" w:line="293" w:lineRule="auto"/>
        <w:tabs>
          <w:tab w:leader="none" w:pos="84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partnership, joint venture, limited liability company, corporation, firm, trust, association, unincorporated organization, Regulatory Authority, or any other entity not specifically listed in this definition.</w:t>
      </w:r>
    </w:p>
    <w:p>
      <w:pPr>
        <w:spacing w:after="0" w:line="34" w:lineRule="exact"/>
        <w:rPr>
          <w:sz w:val="20"/>
          <w:szCs w:val="20"/>
          <w:color w:val="auto"/>
        </w:rPr>
      </w:pPr>
    </w:p>
    <w:p>
      <w:pPr>
        <w:jc w:val="both"/>
        <w:ind w:left="860" w:hanging="849"/>
        <w:spacing w:after="0" w:line="262" w:lineRule="auto"/>
        <w:tabs>
          <w:tab w:leader="none" w:pos="84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Phase I Clinical Trial</w:t>
      </w:r>
      <w:r>
        <w:rPr>
          <w:rFonts w:ascii="Arial" w:cs="Arial" w:eastAsia="Arial" w:hAnsi="Arial"/>
          <w:sz w:val="19"/>
          <w:szCs w:val="19"/>
          <w:color w:val="auto"/>
        </w:rPr>
        <w:t>” means a clinical trial in humans conducted under an IND that generally provides for the first introduction into humans, whether healthy volunteers or patients, of a pharmaceutical or biological product with the primary objectives of evaluating safety, metabolism, pharmacokinetic properties, or clinical pharmacology of such product, in a manner that is generally consistent with 21 C.F.R. § 312.21(a), as amended (or its successor regulation), or, with respect to any other country or region, the equivalent of such a clinical trial in such other country or region.</w:t>
      </w:r>
    </w:p>
    <w:p>
      <w:pPr>
        <w:spacing w:after="0" w:line="63" w:lineRule="exact"/>
        <w:rPr>
          <w:sz w:val="20"/>
          <w:szCs w:val="20"/>
          <w:color w:val="auto"/>
        </w:rPr>
      </w:pPr>
    </w:p>
    <w:p>
      <w:pPr>
        <w:jc w:val="both"/>
        <w:ind w:left="860" w:hanging="849"/>
        <w:spacing w:after="0" w:line="260" w:lineRule="auto"/>
        <w:tabs>
          <w:tab w:leader="none" w:pos="84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Phase II Clinical Trial</w:t>
      </w:r>
      <w:r>
        <w:rPr>
          <w:rFonts w:ascii="Arial" w:cs="Arial" w:eastAsia="Arial" w:hAnsi="Arial"/>
          <w:sz w:val="19"/>
          <w:szCs w:val="19"/>
          <w:color w:val="auto"/>
        </w:rPr>
        <w:t>” means a clinical trial in humans conducted under an IND that is intended to explore the safety, dose ranging, or preliminary efficacy of a pharmaceutical or biological product that is designed to generate sufficient data to commence a Phase III Clinical Trial for a particular indication(s) in patients with the disease or condition for which such product is intended, in a manner that is generally consistent with 21 C.F.R. § 312.21(b), as amended (or its successor regulation), or, with respect to any other country or region, the equivalent of such a clinical trial in such other country or region. Notwithstanding anything to the contrary set forth in this Agreement, treatment of patients as part of [*].</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19" w:lineRule="exact"/>
        <w:rPr>
          <w:sz w:val="20"/>
          <w:szCs w:val="20"/>
          <w:color w:val="auto"/>
        </w:rPr>
      </w:pPr>
    </w:p>
    <w:p>
      <w:pPr>
        <w:ind w:right="220" w:firstLine="8"/>
        <w:spacing w:after="0" w:line="277" w:lineRule="auto"/>
        <w:tabs>
          <w:tab w:leader="none" w:pos="255" w:val="left"/>
        </w:tabs>
        <w:numPr>
          <w:ilvl w:val="0"/>
          <w:numId w:val="123"/>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24" w:name="page125"/>
    <w:bookmarkEnd w:id="124"/>
    <w:p>
      <w:pPr>
        <w:jc w:val="both"/>
        <w:ind w:left="860" w:hanging="849"/>
        <w:spacing w:after="0" w:line="243" w:lineRule="auto"/>
        <w:tabs>
          <w:tab w:leader="none" w:pos="84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Phase III Clinical Trial</w:t>
      </w:r>
      <w:r>
        <w:rPr>
          <w:rFonts w:ascii="Arial" w:cs="Arial" w:eastAsia="Arial" w:hAnsi="Arial"/>
          <w:sz w:val="20"/>
          <w:szCs w:val="20"/>
          <w:color w:val="auto"/>
        </w:rPr>
        <w:t>” means a clinical trial in humans of a pharmaceutical or biological product conducted under an IND that is performed to gain evidence with statistical significance of the efficacy of such product for particular indication(s) in patients with the disease or condition for which the product is intended, and to obtain expanded evidence of safety for such product that is needed to evaluate the overall benefit-risk relationship of such product, to form the basis for approval of a BLA by a Regulatory Authority and to provide an adequate basis for physician labeling, in a manner that is generally consistent with 21 C.F.R. § 312.21(c), as amended (or its successor regulation), or, with respect to any other country or region, the equivalent of such a clinical trial in such other country or region. Notwithstanding anything to the contrary set forth in this Agreement, treatment of patients as part of [*].</w:t>
      </w:r>
    </w:p>
    <w:p>
      <w:pPr>
        <w:spacing w:after="0" w:line="81" w:lineRule="exact"/>
        <w:rPr>
          <w:sz w:val="20"/>
          <w:szCs w:val="20"/>
          <w:color w:val="auto"/>
        </w:rPr>
      </w:pPr>
    </w:p>
    <w:p>
      <w:pPr>
        <w:jc w:val="both"/>
        <w:ind w:left="860" w:hanging="849"/>
        <w:spacing w:after="0" w:line="260" w:lineRule="auto"/>
        <w:tabs>
          <w:tab w:leader="none" w:pos="84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Pricing and Reimbursement Approval</w:t>
      </w:r>
      <w:r>
        <w:rPr>
          <w:rFonts w:ascii="Arial" w:cs="Arial" w:eastAsia="Arial" w:hAnsi="Arial"/>
          <w:sz w:val="19"/>
          <w:szCs w:val="19"/>
          <w:color w:val="auto"/>
        </w:rPr>
        <w:t>” means the later of (a) the approval, agreement, determination, or governmental decision establishing a price for a pharmaceutical or biological product that can be legally charged to consumers, if required in a given jurisdiction or country for the Commercialization of such pharmaceutical or biological product in such jurisdiction or country; and (b) the approval, agreement, determination, or governmental decision establishing the level of reimbursement for a pharmaceutical or biological product that will be reimbursed by governmental authorities, in the case of either (a) or (b) if [*] of such pharmaceutical or biological product in such jurisdiction or country.</w:t>
      </w:r>
    </w:p>
    <w:p>
      <w:pPr>
        <w:spacing w:after="0" w:line="6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 Marks</w:t>
      </w:r>
      <w:r>
        <w:rPr>
          <w:rFonts w:ascii="Arial" w:cs="Arial" w:eastAsia="Arial" w:hAnsi="Arial"/>
          <w:sz w:val="18"/>
          <w:szCs w:val="18"/>
          <w:color w:val="auto"/>
        </w:rPr>
        <w:t>” has the meaning set forth in Section 9.6 (Trademarks).</w:t>
      </w:r>
    </w:p>
    <w:p>
      <w:pPr>
        <w:spacing w:after="0" w:line="108"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auto"/>
        </w:rPr>
        <w:t>1.123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Approval</w:t>
      </w:r>
      <w:r>
        <w:rPr>
          <w:rFonts w:ascii="Arial" w:cs="Arial" w:eastAsia="Arial" w:hAnsi="Arial"/>
          <w:sz w:val="20"/>
          <w:szCs w:val="20"/>
          <w:color w:val="auto"/>
        </w:rPr>
        <w:t>” means all approvals necessary for the sale of a product for one or more indications in a country or regulatory jurisdiction, which may include satisfaction of all applicable regulatory and notification requirements. Regulatory Approvals include approvals by Regulatory Authorities of [*], NDAs and BLAs and all [*].</w:t>
      </w:r>
    </w:p>
    <w:p>
      <w:pPr>
        <w:spacing w:after="0" w:line="69"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auto"/>
        </w:rPr>
        <w:t>1.124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in a particular country or regulatory jurisdiction, any applicable governmental authority involved in granting Regulatory Approval or, to the extent required in such country or regulatory jurisdiction, Pricing and Reimbursement Approval of a product in such country or regulatory jurisdiction.</w:t>
      </w:r>
    </w:p>
    <w:p>
      <w:pPr>
        <w:spacing w:after="0" w:line="69"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color w:val="auto"/>
        </w:rPr>
        <w:t>1.125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Exclusivity</w:t>
      </w:r>
      <w:r>
        <w:rPr>
          <w:rFonts w:ascii="Arial" w:cs="Arial" w:eastAsia="Arial" w:hAnsi="Arial"/>
          <w:sz w:val="20"/>
          <w:szCs w:val="20"/>
          <w:color w:val="auto"/>
        </w:rPr>
        <w:t>” means any exclusive marketing rights or data exclusivity rights conferred by any Regulatory Authority with respect to a Licensed Product other than Patent Rights, including rights conferred in the U.S. under the FD&amp;C Act, the Public Health Service Act, and the Biologics Price Competition and Innovation Act, including pediatric exclusivity and orphan drug exclusivity, or rights similar thereto outside the U.S.</w:t>
      </w:r>
    </w:p>
    <w:p>
      <w:pPr>
        <w:spacing w:after="0" w:line="75"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auto"/>
        </w:rPr>
        <w:t>1.126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Materials</w:t>
      </w:r>
      <w:r>
        <w:rPr>
          <w:rFonts w:ascii="Arial" w:cs="Arial" w:eastAsia="Arial" w:hAnsi="Arial"/>
          <w:sz w:val="20"/>
          <w:szCs w:val="20"/>
          <w:color w:val="auto"/>
        </w:rPr>
        <w:t>” means regulatory applications, submissions, notifications, registrations, or other filings made to or with a Regulatory Authority, and documents and records required by such Regulatory Authority to be maintained or held for inspection, that are necessary in order to Develop, Manufacture, market, sell, or otherwise Commercialize a Licensed Compound or Licensed Product in a particular country or regulatory jurisdiction. Regulatory Materials include INDs, NDAs and BLAs (as applications, but not the approvals with respect thereto).</w:t>
      </w:r>
    </w:p>
    <w:p>
      <w:pPr>
        <w:spacing w:after="0" w:line="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Replacement Option Election</w:t>
      </w:r>
      <w:r>
        <w:rPr>
          <w:rFonts w:ascii="Arial" w:cs="Arial" w:eastAsia="Arial" w:hAnsi="Arial"/>
          <w:sz w:val="18"/>
          <w:szCs w:val="18"/>
          <w:color w:val="auto"/>
        </w:rPr>
        <w:t>” has the meaning set forth in Section 2.9(g)(i) (In Connection with FibroGen Non-Exercise).</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Replacement Option Program</w:t>
      </w:r>
      <w:r>
        <w:rPr>
          <w:rFonts w:ascii="Arial" w:cs="Arial" w:eastAsia="Arial" w:hAnsi="Arial"/>
          <w:sz w:val="18"/>
          <w:szCs w:val="18"/>
          <w:color w:val="auto"/>
        </w:rPr>
        <w:t>” has the meaning set forth in Section 2.9(g) (Replacement Option Program).</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Replacement Target</w:t>
      </w:r>
      <w:r>
        <w:rPr>
          <w:rFonts w:ascii="Arial" w:cs="Arial" w:eastAsia="Arial" w:hAnsi="Arial"/>
          <w:sz w:val="16"/>
          <w:szCs w:val="16"/>
          <w:color w:val="auto"/>
        </w:rPr>
        <w:t>” has the meaning set forth in Section 2.9(g) (Replacement Option Program).</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w:t>
      </w:r>
      <w:r>
        <w:rPr>
          <w:rFonts w:ascii="Arial" w:cs="Arial" w:eastAsia="Arial" w:hAnsi="Arial"/>
          <w:sz w:val="18"/>
          <w:szCs w:val="18"/>
          <w:color w:val="auto"/>
        </w:rPr>
        <w:t>” has the meaning set forth in Section 8.4 (Royalties).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19" w:lineRule="exact"/>
        <w:rPr>
          <w:sz w:val="20"/>
          <w:szCs w:val="20"/>
          <w:color w:val="auto"/>
        </w:rPr>
      </w:pPr>
    </w:p>
    <w:p>
      <w:pPr>
        <w:ind w:right="220" w:firstLine="8"/>
        <w:spacing w:after="0" w:line="277" w:lineRule="auto"/>
        <w:tabs>
          <w:tab w:leader="none" w:pos="255" w:val="left"/>
        </w:tabs>
        <w:numPr>
          <w:ilvl w:val="0"/>
          <w:numId w:val="124"/>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5" w:name="page126"/>
    <w:bookmarkEnd w:id="125"/>
    <w:p>
      <w:pPr>
        <w:spacing w:after="0"/>
        <w:tabs>
          <w:tab w:leader="none" w:pos="84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and Net Sales Report</w:t>
      </w:r>
      <w:r>
        <w:rPr>
          <w:rFonts w:ascii="Arial" w:cs="Arial" w:eastAsia="Arial" w:hAnsi="Arial"/>
          <w:sz w:val="16"/>
          <w:szCs w:val="16"/>
          <w:color w:val="auto"/>
        </w:rPr>
        <w:t>” has the meaning set forth in Section 8.4(b) (Reports; Payment).</w:t>
      </w:r>
    </w:p>
    <w:p>
      <w:pPr>
        <w:spacing w:after="0" w:line="108"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auto"/>
        </w:rPr>
        <w:t>1.132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Royalty Term</w:t>
      </w:r>
      <w:r>
        <w:rPr>
          <w:rFonts w:ascii="Arial" w:cs="Arial" w:eastAsia="Arial" w:hAnsi="Arial"/>
          <w:sz w:val="20"/>
          <w:szCs w:val="20"/>
          <w:color w:val="auto"/>
        </w:rPr>
        <w:t>” means, on a country-by-country and Licensed Product-by-Licensed Product basis, the period commencing upon the First Commercial Sale of a Licensed Product in a country, and ending upon the later to occur of (a) the expiration in such country of the last to expire of any Valid Claim of a [*] of the Licensed Compound contained in such Licensed Product in such country; (b) [*] after the First Commercial Sale in such country of such Licensed Product; or (c) expiration of [*] for such Licensed Product in such country.</w:t>
      </w:r>
    </w:p>
    <w:p>
      <w:pPr>
        <w:spacing w:after="0" w:line="77"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1.133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9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has the meaning set forth in Section 12.2(b) (Disclosure to SEC).</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Standby Letter</w:t>
      </w:r>
      <w:r>
        <w:rPr>
          <w:rFonts w:ascii="Arial" w:cs="Arial" w:eastAsia="Arial" w:hAnsi="Arial"/>
          <w:sz w:val="18"/>
          <w:szCs w:val="18"/>
          <w:color w:val="auto"/>
        </w:rPr>
        <w:t>” has the meaning set forth in Section 2.1 (License to FibroGen).</w:t>
      </w:r>
    </w:p>
    <w:p>
      <w:pPr>
        <w:spacing w:after="0" w:line="108" w:lineRule="exact"/>
        <w:rPr>
          <w:sz w:val="20"/>
          <w:szCs w:val="20"/>
          <w:color w:val="auto"/>
        </w:rPr>
      </w:pPr>
    </w:p>
    <w:p>
      <w:pPr>
        <w:jc w:val="both"/>
        <w:ind w:left="860" w:hanging="849"/>
        <w:spacing w:after="0" w:line="243" w:lineRule="auto"/>
        <w:tabs>
          <w:tab w:leader="none" w:pos="840" w:val="left"/>
        </w:tabs>
        <w:rPr>
          <w:sz w:val="20"/>
          <w:szCs w:val="20"/>
          <w:color w:val="auto"/>
        </w:rPr>
      </w:pPr>
      <w:r>
        <w:rPr>
          <w:rFonts w:ascii="Arial" w:cs="Arial" w:eastAsia="Arial" w:hAnsi="Arial"/>
          <w:sz w:val="20"/>
          <w:szCs w:val="20"/>
          <w:color w:val="auto"/>
        </w:rPr>
        <w:t>1.136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Sublicense Revenue</w:t>
      </w:r>
      <w:r>
        <w:rPr>
          <w:rFonts w:ascii="Arial" w:cs="Arial" w:eastAsia="Arial" w:hAnsi="Arial"/>
          <w:sz w:val="20"/>
          <w:szCs w:val="20"/>
          <w:color w:val="auto"/>
        </w:rPr>
        <w:t>” means, non-refundable sublicense upfront fees and sublicense milestone payments made by Sublicensees to FibroGen or any of its Affiliates in consideration of a grant of a sublicense under the rights licensed to FibroGen pursuant to Article 2 (Licenses and Exclusivity) hereof. Notwithstanding the foregoing, and for the avoidance of doubt, it is understood and agreed that Sublicense Revenue shall exclude (a) royalties, (b) amounts received from any Third Party for the purchase of equity (except for equity premiums), reimbursement for research and development performed by FibroGen or by FibroGen’s subcontractor or delegates (specifically designated in a plan for research and/or development by its agreement with Sublicensee) or by Sublicensee, (c) [*], debt financing, (d) reimbursement for patent costs or other patent related expenses, and (e) [*], (f) [*], and (g)[*].</w:t>
      </w:r>
    </w:p>
    <w:p>
      <w:pPr>
        <w:spacing w:after="0" w:line="8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any Third Party granted a sublicense by FibroGen under the rights licensed to FibroGen pursuant to Article</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2 (Licenses and Exclusivity) hereof.</w:t>
      </w:r>
    </w:p>
    <w:p>
      <w:pPr>
        <w:spacing w:after="0" w:line="8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Technology Transfer</w:t>
      </w:r>
      <w:r>
        <w:rPr>
          <w:rFonts w:ascii="Arial" w:cs="Arial" w:eastAsia="Arial" w:hAnsi="Arial"/>
          <w:sz w:val="18"/>
          <w:szCs w:val="18"/>
          <w:color w:val="auto"/>
        </w:rPr>
        <w:t>” has the meaning set forth in Section 2.7(b) (Continuing Technology Transfer).</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13.1 (Term).</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all countries of the world and all territories and possessions thereof.</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Termination for Convenience Notice Period</w:t>
      </w:r>
      <w:r>
        <w:rPr>
          <w:rFonts w:ascii="Arial" w:cs="Arial" w:eastAsia="Arial" w:hAnsi="Arial"/>
          <w:sz w:val="18"/>
          <w:szCs w:val="18"/>
          <w:color w:val="auto"/>
        </w:rPr>
        <w:t>” has the meaning set forth in Section 13.2 (Termination by FibroGen).</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Terminated Licensed Product</w:t>
      </w:r>
      <w:r>
        <w:rPr>
          <w:rFonts w:ascii="Arial" w:cs="Arial" w:eastAsia="Arial" w:hAnsi="Arial"/>
          <w:sz w:val="18"/>
          <w:szCs w:val="18"/>
          <w:color w:val="auto"/>
        </w:rPr>
        <w:t>” has the meaning set forth in Section 13.6 (Effects of Termination).</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Terminated Licensed Program</w:t>
      </w:r>
      <w:r>
        <w:rPr>
          <w:rFonts w:ascii="Arial" w:cs="Arial" w:eastAsia="Arial" w:hAnsi="Arial"/>
          <w:sz w:val="18"/>
          <w:szCs w:val="18"/>
          <w:color w:val="auto"/>
        </w:rPr>
        <w:t>” has the meaning set forth in Section 13.2 (Termination by FibroGen).</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entity other than HFB or FibroGen or their respective Affiliates.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 License</w:t>
      </w:r>
      <w:r>
        <w:rPr>
          <w:rFonts w:ascii="Arial" w:cs="Arial" w:eastAsia="Arial" w:hAnsi="Arial"/>
          <w:sz w:val="18"/>
          <w:szCs w:val="18"/>
          <w:color w:val="auto"/>
        </w:rPr>
        <w:t>” has the meaning set forth in Section 2.6 (Third Party In-Licenses).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all of its territories and possessions.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Upfront Payment</w:t>
      </w:r>
      <w:r>
        <w:rPr>
          <w:rFonts w:ascii="Arial" w:cs="Arial" w:eastAsia="Arial" w:hAnsi="Arial"/>
          <w:sz w:val="18"/>
          <w:szCs w:val="18"/>
          <w:color w:val="auto"/>
        </w:rPr>
        <w:t>” has the meaning set forth in Section 8.1 (Upfront Payment).</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Upstream License</w:t>
      </w:r>
      <w:r>
        <w:rPr>
          <w:rFonts w:ascii="Arial" w:cs="Arial" w:eastAsia="Arial" w:hAnsi="Arial"/>
          <w:sz w:val="18"/>
          <w:szCs w:val="18"/>
          <w:color w:val="auto"/>
        </w:rPr>
        <w:t>” means any of that certain Sub-License Agreement [*].</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Upstream License Costs</w:t>
      </w:r>
      <w:r>
        <w:rPr>
          <w:rFonts w:ascii="Arial" w:cs="Arial" w:eastAsia="Arial" w:hAnsi="Arial"/>
          <w:sz w:val="16"/>
          <w:szCs w:val="16"/>
          <w:color w:val="auto"/>
        </w:rPr>
        <w:t>” has the meaning set forth in Section 8.6 (Upstream License Costs).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19" w:lineRule="exact"/>
        <w:rPr>
          <w:sz w:val="20"/>
          <w:szCs w:val="20"/>
          <w:color w:val="auto"/>
        </w:rPr>
      </w:pPr>
    </w:p>
    <w:p>
      <w:pPr>
        <w:ind w:right="220" w:firstLine="8"/>
        <w:spacing w:after="0" w:line="277" w:lineRule="auto"/>
        <w:tabs>
          <w:tab w:leader="none" w:pos="255" w:val="left"/>
        </w:tabs>
        <w:numPr>
          <w:ilvl w:val="0"/>
          <w:numId w:val="125"/>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26" w:name="page127"/>
    <w:bookmarkEnd w:id="126"/>
    <w:p>
      <w:pPr>
        <w:jc w:val="both"/>
        <w:ind w:left="860" w:hanging="849"/>
        <w:spacing w:after="0" w:line="259" w:lineRule="auto"/>
        <w:tabs>
          <w:tab w:leader="none" w:pos="840" w:val="left"/>
        </w:tabs>
        <w:rPr>
          <w:sz w:val="20"/>
          <w:szCs w:val="20"/>
          <w:color w:val="auto"/>
        </w:rPr>
      </w:pPr>
      <w:r>
        <w:rPr>
          <w:rFonts w:ascii="Arial" w:cs="Arial" w:eastAsia="Arial" w:hAnsi="Arial"/>
          <w:sz w:val="20"/>
          <w:szCs w:val="20"/>
          <w:color w:val="auto"/>
        </w:rPr>
        <w:t>1.150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xml:space="preserve">” means a claim of (a) an issued, unexpired, and in-force patent, which claim has not been held invalid or unenforceable by a court or other government agency of competent jurisdiction from which no appeal can be or has been taken and has not been held or admitted to be invalid or unenforceable through re-examination,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post grant review or disclaimer, opposition procedure, nullity suit, or otherwise, or (b) a pending patent application that has not been finally abandoned, finally rejected, or expired;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 claim of a pending patent application has not issued [*] after the first substantive patent office action considering the patentability of such claim, then such claim will not constitute a Valid Claim for the purposes of this Agreement unless and until a patent issues with such claim.</w:t>
      </w:r>
    </w:p>
    <w:p>
      <w:pPr>
        <w:spacing w:after="0" w:line="6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1.151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has the meaning set forth in Section 8.8(e) (VAT).</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Work Plan</w:t>
      </w:r>
      <w:r>
        <w:rPr>
          <w:rFonts w:ascii="Arial" w:cs="Arial" w:eastAsia="Arial" w:hAnsi="Arial"/>
          <w:sz w:val="18"/>
          <w:szCs w:val="18"/>
          <w:color w:val="auto"/>
        </w:rPr>
        <w:t>” has the meaning set forth in Section 4.2 (Work Plans).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LICENSES AND EXCLUSIVITY</w:t>
      </w:r>
    </w:p>
    <w:p>
      <w:pPr>
        <w:spacing w:after="0" w:line="87"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0"/>
          <w:szCs w:val="20"/>
          <w:color w:val="010000"/>
        </w:rPr>
        <w:t>2.1</w:t>
      </w:r>
      <w:r>
        <w:rPr>
          <w:sz w:val="20"/>
          <w:szCs w:val="20"/>
          <w:color w:val="auto"/>
        </w:rPr>
        <w:tab/>
      </w:r>
      <w:r>
        <w:rPr>
          <w:rFonts w:ascii="Arial" w:cs="Arial" w:eastAsia="Arial" w:hAnsi="Arial"/>
          <w:sz w:val="20"/>
          <w:szCs w:val="20"/>
          <w:b w:val="1"/>
          <w:bCs w:val="1"/>
          <w:color w:val="auto"/>
        </w:rPr>
        <w:t>License to FibroGen</w:t>
      </w:r>
      <w:r>
        <w:rPr>
          <w:rFonts w:ascii="Arial" w:cs="Arial" w:eastAsia="Arial" w:hAnsi="Arial"/>
          <w:sz w:val="21"/>
          <w:szCs w:val="21"/>
          <w:color w:val="010000"/>
        </w:rPr>
        <w:t>. Subject to the terms and conditions of this Agreement, HFB hereby grants to FibroGen an</w:t>
      </w:r>
      <w:r>
        <w:rPr>
          <w:rFonts w:ascii="Arial" w:cs="Arial" w:eastAsia="Arial" w:hAnsi="Arial"/>
          <w:sz w:val="20"/>
          <w:szCs w:val="20"/>
          <w:b w:val="1"/>
          <w:bCs w:val="1"/>
          <w:color w:val="auto"/>
        </w:rPr>
        <w:t xml:space="preserve"> </w:t>
      </w:r>
      <w:r>
        <w:rPr>
          <w:rFonts w:ascii="Arial" w:cs="Arial" w:eastAsia="Arial" w:hAnsi="Arial"/>
          <w:sz w:val="21"/>
          <w:szCs w:val="21"/>
          <w:color w:val="010000"/>
        </w:rPr>
        <w:t>exclusive (even as to HFB and each of its Affiliates), transferable (as permitted in accordance with Section 15.6 (Assignment)) license, with the right to sublicense (as permitted in accordance with Section 2.3 (Sublicensing)), under the Licensed Technology, to Exploit the Licensed Compounds and Licensed Products in the Field in the Territory. FibroGen acknowledges that, subject to and except as set forth in the Standby Letter entered into contemporaneously with this Agreement by and among FibroGen, HFB and [*] (the “</w:t>
      </w:r>
      <w:r>
        <w:rPr>
          <w:rFonts w:ascii="Arial" w:cs="Arial" w:eastAsia="Arial" w:hAnsi="Arial"/>
          <w:sz w:val="21"/>
          <w:szCs w:val="21"/>
          <w:b w:val="1"/>
          <w:bCs w:val="1"/>
          <w:color w:val="010000"/>
        </w:rPr>
        <w:t>Standby Letter</w:t>
      </w:r>
      <w:r>
        <w:rPr>
          <w:rFonts w:ascii="Arial" w:cs="Arial" w:eastAsia="Arial" w:hAnsi="Arial"/>
          <w:sz w:val="21"/>
          <w:szCs w:val="21"/>
          <w:color w:val="010000"/>
        </w:rPr>
        <w:t>”), termination of the Upstream License will result in the automatic termination of the license under this Section 2.1 (License to FibroGen) with respect to the Licensed Patent Rights that are licensed to HFB under the Upstream License. FibroGen may, within [*] of termination of the Upstream License, provide written notice to [*] of its willingness to continue Exploiting Licensed Products.</w:t>
      </w:r>
    </w:p>
    <w:p>
      <w:pPr>
        <w:spacing w:after="0" w:line="167" w:lineRule="exact"/>
        <w:rPr>
          <w:sz w:val="20"/>
          <w:szCs w:val="20"/>
          <w:color w:val="auto"/>
        </w:rPr>
      </w:pPr>
    </w:p>
    <w:p>
      <w:pPr>
        <w:jc w:val="both"/>
        <w:ind w:left="860" w:hanging="849"/>
        <w:spacing w:after="0" w:line="249" w:lineRule="auto"/>
        <w:tabs>
          <w:tab w:leader="none" w:pos="840" w:val="left"/>
        </w:tabs>
        <w:rPr>
          <w:sz w:val="20"/>
          <w:szCs w:val="20"/>
          <w:color w:val="auto"/>
        </w:rPr>
      </w:pPr>
      <w:r>
        <w:rPr>
          <w:rFonts w:ascii="Arial" w:cs="Arial" w:eastAsia="Arial" w:hAnsi="Arial"/>
          <w:sz w:val="20"/>
          <w:szCs w:val="20"/>
          <w:color w:val="010000"/>
        </w:rPr>
        <w:t>2.2</w:t>
      </w:r>
      <w:r>
        <w:rPr>
          <w:sz w:val="20"/>
          <w:szCs w:val="20"/>
          <w:color w:val="auto"/>
        </w:rPr>
        <w:tab/>
      </w:r>
      <w:r>
        <w:rPr>
          <w:rFonts w:ascii="Arial" w:cs="Arial" w:eastAsia="Arial" w:hAnsi="Arial"/>
          <w:sz w:val="20"/>
          <w:szCs w:val="20"/>
          <w:b w:val="1"/>
          <w:bCs w:val="1"/>
          <w:color w:val="auto"/>
        </w:rPr>
        <w:t>License to HFB</w:t>
      </w:r>
      <w:r>
        <w:rPr>
          <w:rFonts w:ascii="Arial" w:cs="Arial" w:eastAsia="Arial" w:hAnsi="Arial"/>
          <w:sz w:val="21"/>
          <w:szCs w:val="21"/>
          <w:color w:val="auto"/>
        </w:rPr>
        <w:t>. Subject to the terms and conditions of this Agreement, FibroGen hereby grants to HFB, a non-exclusive, non-transferable (except as permitted as permitted in accordance with Section 15.6 (Assignment)) license, with no right to sublicense, under the Licensed Technology, solely to perform the Development activities that are allocated to HFB under each Work Plan, provided that HFB shall have the right to subcontract Development activities as permitted in Section 2.4 (Subcontractors).</w:t>
      </w:r>
    </w:p>
    <w:p>
      <w:pPr>
        <w:spacing w:after="0" w:line="16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2.3</w:t>
      </w:r>
      <w:r>
        <w:rPr>
          <w:sz w:val="20"/>
          <w:szCs w:val="20"/>
          <w:color w:val="auto"/>
        </w:rPr>
        <w:tab/>
      </w:r>
      <w:r>
        <w:rPr>
          <w:rFonts w:ascii="Arial" w:cs="Arial" w:eastAsia="Arial" w:hAnsi="Arial"/>
          <w:sz w:val="17"/>
          <w:szCs w:val="17"/>
          <w:b w:val="1"/>
          <w:bCs w:val="1"/>
          <w:color w:val="auto"/>
        </w:rPr>
        <w:t>Sublicensing</w:t>
      </w:r>
      <w:r>
        <w:rPr>
          <w:rFonts w:ascii="Arial" w:cs="Arial" w:eastAsia="Arial" w:hAnsi="Arial"/>
          <w:sz w:val="18"/>
          <w:szCs w:val="18"/>
          <w:color w:val="auto"/>
        </w:rPr>
        <w:t>.</w:t>
      </w:r>
    </w:p>
    <w:p>
      <w:pPr>
        <w:spacing w:after="0" w:line="214" w:lineRule="exact"/>
        <w:rPr>
          <w:sz w:val="20"/>
          <w:szCs w:val="20"/>
          <w:color w:val="auto"/>
        </w:rPr>
      </w:pPr>
    </w:p>
    <w:p>
      <w:pPr>
        <w:jc w:val="both"/>
        <w:ind w:left="1700" w:hanging="842"/>
        <w:spacing w:after="0" w:line="246" w:lineRule="auto"/>
        <w:tabs>
          <w:tab w:leader="none" w:pos="1700" w:val="left"/>
        </w:tabs>
        <w:numPr>
          <w:ilvl w:val="0"/>
          <w:numId w:val="126"/>
        </w:numPr>
        <w:rPr>
          <w:rFonts w:ascii="Arial" w:cs="Arial" w:eastAsia="Arial" w:hAnsi="Arial"/>
          <w:sz w:val="20"/>
          <w:szCs w:val="20"/>
          <w:color w:val="010000"/>
        </w:rPr>
      </w:pPr>
      <w:r>
        <w:rPr>
          <w:rFonts w:ascii="Arial" w:cs="Arial" w:eastAsia="Arial" w:hAnsi="Arial"/>
          <w:sz w:val="20"/>
          <w:szCs w:val="20"/>
          <w:b w:val="1"/>
          <w:bCs w:val="1"/>
          <w:color w:val="auto"/>
        </w:rPr>
        <w:t>Sublicensing Rights</w:t>
      </w:r>
      <w:r>
        <w:rPr>
          <w:rFonts w:ascii="Arial" w:cs="Arial" w:eastAsia="Arial" w:hAnsi="Arial"/>
          <w:sz w:val="20"/>
          <w:szCs w:val="20"/>
          <w:color w:val="auto"/>
        </w:rPr>
        <w:t>. FibroGen may grant sublicenses of the rights granted to it under Section 2.1 (License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FibroGen) through multiple tiers to any of its Affiliates and to one or more Sublicensees. Within [*] of entering into any sublicense, FibroGen shall provide a fully-executed copy of such sublicense;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FibroGen may redact confidential terms of such sublicense that are not necessary for HFB to monitor compliance with the terms and conditions of this Agreement. [*]</w:t>
      </w:r>
    </w:p>
    <w:p>
      <w:pPr>
        <w:spacing w:after="0" w:line="76" w:lineRule="exact"/>
        <w:rPr>
          <w:rFonts w:ascii="Arial" w:cs="Arial" w:eastAsia="Arial" w:hAnsi="Arial"/>
          <w:sz w:val="20"/>
          <w:szCs w:val="20"/>
          <w:color w:val="010000"/>
        </w:rPr>
      </w:pPr>
    </w:p>
    <w:p>
      <w:pPr>
        <w:jc w:val="both"/>
        <w:ind w:left="1700" w:hanging="842"/>
        <w:spacing w:after="0" w:line="294" w:lineRule="auto"/>
        <w:tabs>
          <w:tab w:leader="none" w:pos="1700" w:val="left"/>
        </w:tabs>
        <w:numPr>
          <w:ilvl w:val="0"/>
          <w:numId w:val="126"/>
        </w:numPr>
        <w:rPr>
          <w:rFonts w:ascii="Arial" w:cs="Arial" w:eastAsia="Arial" w:hAnsi="Arial"/>
          <w:sz w:val="18"/>
          <w:szCs w:val="18"/>
          <w:color w:val="010000"/>
        </w:rPr>
      </w:pPr>
      <w:r>
        <w:rPr>
          <w:rFonts w:ascii="Arial" w:cs="Arial" w:eastAsia="Arial" w:hAnsi="Arial"/>
          <w:sz w:val="18"/>
          <w:szCs w:val="18"/>
          <w:b w:val="1"/>
          <w:bCs w:val="1"/>
          <w:color w:val="auto"/>
        </w:rPr>
        <w:t>Survival of Sublicenses</w:t>
      </w:r>
      <w:r>
        <w:rPr>
          <w:rFonts w:ascii="Arial" w:cs="Arial" w:eastAsia="Arial" w:hAnsi="Arial"/>
          <w:sz w:val="18"/>
          <w:szCs w:val="18"/>
          <w:color w:val="auto"/>
        </w:rPr>
        <w:t>. Upon termination of this Agreement for any reason, for each Sublicensee not then in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sublicense agreement or the terms of this Agreement applicable to such Sublicensee, HFB will enter into a direct license with such Sublicensee on the same applicable terms as this Agreement, taking into account any difference in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119" w:lineRule="exact"/>
        <w:rPr>
          <w:sz w:val="20"/>
          <w:szCs w:val="20"/>
          <w:color w:val="auto"/>
        </w:rPr>
      </w:pPr>
    </w:p>
    <w:p>
      <w:pPr>
        <w:ind w:right="220" w:firstLine="8"/>
        <w:spacing w:after="0" w:line="277" w:lineRule="auto"/>
        <w:tabs>
          <w:tab w:leader="none" w:pos="255" w:val="left"/>
        </w:tabs>
        <w:numPr>
          <w:ilvl w:val="0"/>
          <w:numId w:val="127"/>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27" w:name="page128"/>
    <w:bookmarkEnd w:id="127"/>
    <w:p>
      <w:pPr>
        <w:jc w:val="both"/>
        <w:ind w:left="1700"/>
        <w:spacing w:after="0" w:line="262" w:lineRule="auto"/>
        <w:rPr>
          <w:sz w:val="20"/>
          <w:szCs w:val="20"/>
          <w:color w:val="auto"/>
        </w:rPr>
      </w:pPr>
      <w:r>
        <w:rPr>
          <w:rFonts w:ascii="Arial" w:cs="Arial" w:eastAsia="Arial" w:hAnsi="Arial"/>
          <w:sz w:val="19"/>
          <w:szCs w:val="19"/>
          <w:color w:val="auto"/>
        </w:rPr>
        <w:t>license scope, territory, and duration of sublicense grant (each a “</w:t>
      </w:r>
      <w:r>
        <w:rPr>
          <w:rFonts w:ascii="Arial" w:cs="Arial" w:eastAsia="Arial" w:hAnsi="Arial"/>
          <w:sz w:val="19"/>
          <w:szCs w:val="19"/>
          <w:b w:val="1"/>
          <w:bCs w:val="1"/>
          <w:color w:val="auto"/>
        </w:rPr>
        <w:t>New License Agreement</w:t>
      </w:r>
      <w:r>
        <w:rPr>
          <w:rFonts w:ascii="Arial" w:cs="Arial" w:eastAsia="Arial" w:hAnsi="Arial"/>
          <w:sz w:val="19"/>
          <w:szCs w:val="19"/>
          <w:color w:val="auto"/>
        </w:rPr>
        <w:t xml:space="preserve">”). Under any New License Agreement between HFB and such former Sublicensee, HFB will not have any obligations under the New License Agreement beyond the obligations contained in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HFB will receive the same amounts in consideration under a New License Agreement as HFB would have otherwise received from FibroGen pursuant to this Agreement based on the former Sublicensee’s Exploitation of the Licensed Products.</w:t>
      </w:r>
    </w:p>
    <w:p>
      <w:pPr>
        <w:spacing w:after="0" w:line="64"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2.4</w:t>
      </w:r>
      <w:r>
        <w:rPr>
          <w:sz w:val="20"/>
          <w:szCs w:val="20"/>
          <w:color w:val="auto"/>
        </w:rPr>
        <w:tab/>
      </w:r>
      <w:r>
        <w:rPr>
          <w:rFonts w:ascii="Arial" w:cs="Arial" w:eastAsia="Arial" w:hAnsi="Arial"/>
          <w:sz w:val="19"/>
          <w:szCs w:val="19"/>
          <w:b w:val="1"/>
          <w:bCs w:val="1"/>
          <w:color w:val="auto"/>
        </w:rPr>
        <w:t>Subcontractors</w:t>
      </w:r>
      <w:r>
        <w:rPr>
          <w:rFonts w:ascii="Arial" w:cs="Arial" w:eastAsia="Arial" w:hAnsi="Arial"/>
          <w:sz w:val="20"/>
          <w:szCs w:val="20"/>
          <w:color w:val="auto"/>
        </w:rPr>
        <w:t>. Each Party may perform any of its obligations under this Agreement through one or more</w:t>
      </w:r>
      <w:r>
        <w:rPr>
          <w:rFonts w:ascii="Arial" w:cs="Arial" w:eastAsia="Arial" w:hAnsi="Arial"/>
          <w:sz w:val="19"/>
          <w:szCs w:val="19"/>
          <w:b w:val="1"/>
          <w:bCs w:val="1"/>
          <w:color w:val="auto"/>
        </w:rPr>
        <w:t xml:space="preserve"> </w:t>
      </w:r>
      <w:r>
        <w:rPr>
          <w:rFonts w:ascii="Arial" w:cs="Arial" w:eastAsia="Arial" w:hAnsi="Arial"/>
          <w:sz w:val="20"/>
          <w:szCs w:val="20"/>
          <w:color w:val="auto"/>
        </w:rPr>
        <w:t xml:space="preserve">subcontractors;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the subcontracting Party will not engage any subcontractor that has been debarred by any Regulatory Authority; (b) the subcontracting Party remains fully responsible for the work allocated to, and payment to, such subcontractors to the same extent it would if it had done such work itself; (c) the subcontractor undertakes in writing obligations of confidentiality and non-use applicable to the Confidential Information that are at least as stringent as those set forth in Article 12 (Confidentiality); (d) the subcontractor agrees in writing to assign or grant a sublicensable license to the subcontracting Party to all Know-How and Patent Rights developed or invented by the subcontractor that are necessary or reasonably useful to Develop, Manufacture, or Commercialize any Licensed Compound or Licensed Product; and (e) the subcontracting Party will be liable for any act or omission of any subcontractor that is a breach of any of the subcontracting Party’s obligations under this Agreement as though the same were a breach by the subcontracting Party, and the non-subcontracting Party will have the right to proceed directly against the subcontracting Party without any obligation to first proceed against such subcontractor.</w:t>
      </w:r>
    </w:p>
    <w:p>
      <w:pPr>
        <w:spacing w:after="0" w:line="163"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2.5</w:t>
      </w:r>
      <w:r>
        <w:rPr>
          <w:sz w:val="20"/>
          <w:szCs w:val="20"/>
          <w:color w:val="auto"/>
        </w:rPr>
        <w:tab/>
      </w:r>
      <w:r>
        <w:rPr>
          <w:rFonts w:ascii="Arial" w:cs="Arial" w:eastAsia="Arial" w:hAnsi="Arial"/>
          <w:sz w:val="20"/>
          <w:szCs w:val="20"/>
          <w:b w:val="1"/>
          <w:bCs w:val="1"/>
          <w:color w:val="auto"/>
        </w:rPr>
        <w:t>No Implied Licenses; Retained Rights</w:t>
      </w:r>
      <w:r>
        <w:rPr>
          <w:rFonts w:ascii="Arial" w:cs="Arial" w:eastAsia="Arial" w:hAnsi="Arial"/>
          <w:sz w:val="21"/>
          <w:szCs w:val="21"/>
          <w:color w:val="auto"/>
        </w:rPr>
        <w:t>. Except as explicitly set forth in this Agreement, neither Party grants to the other</w:t>
      </w:r>
      <w:r>
        <w:rPr>
          <w:rFonts w:ascii="Arial" w:cs="Arial" w:eastAsia="Arial" w:hAnsi="Arial"/>
          <w:sz w:val="20"/>
          <w:szCs w:val="20"/>
          <w:b w:val="1"/>
          <w:bCs w:val="1"/>
          <w:color w:val="auto"/>
        </w:rPr>
        <w:t xml:space="preserve"> </w:t>
      </w:r>
      <w:r>
        <w:rPr>
          <w:rFonts w:ascii="Arial" w:cs="Arial" w:eastAsia="Arial" w:hAnsi="Arial"/>
          <w:sz w:val="21"/>
          <w:szCs w:val="21"/>
          <w:color w:val="auto"/>
        </w:rPr>
        <w:t>Party any license or other rights, express or implied, under any intellectual property rights (whether by implication, estoppel, or otherwise).</w:t>
      </w:r>
    </w:p>
    <w:p>
      <w:pPr>
        <w:spacing w:after="0" w:line="15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010000"/>
        </w:rPr>
        <w:t>2.6</w:t>
      </w:r>
      <w:r>
        <w:rPr>
          <w:sz w:val="20"/>
          <w:szCs w:val="20"/>
          <w:color w:val="auto"/>
        </w:rPr>
        <w:tab/>
      </w:r>
      <w:r>
        <w:rPr>
          <w:rFonts w:ascii="Arial" w:cs="Arial" w:eastAsia="Arial" w:hAnsi="Arial"/>
          <w:sz w:val="20"/>
          <w:szCs w:val="20"/>
          <w:b w:val="1"/>
          <w:bCs w:val="1"/>
          <w:color w:val="auto"/>
        </w:rPr>
        <w:t>Third Party In-Licenses</w:t>
      </w:r>
      <w:r>
        <w:rPr>
          <w:rFonts w:ascii="Arial" w:cs="Arial" w:eastAsia="Arial" w:hAnsi="Arial"/>
          <w:sz w:val="21"/>
          <w:szCs w:val="21"/>
          <w:color w:val="auto"/>
        </w:rPr>
        <w:t>. During the Term, if either Party identifies any Patent Right or Know-How owned or controlled</w:t>
      </w:r>
      <w:r>
        <w:rPr>
          <w:rFonts w:ascii="Arial" w:cs="Arial" w:eastAsia="Arial" w:hAnsi="Arial"/>
          <w:sz w:val="20"/>
          <w:szCs w:val="20"/>
          <w:b w:val="1"/>
          <w:bCs w:val="1"/>
          <w:color w:val="auto"/>
        </w:rPr>
        <w:t xml:space="preserve"> </w:t>
      </w:r>
      <w:r>
        <w:rPr>
          <w:rFonts w:ascii="Arial" w:cs="Arial" w:eastAsia="Arial" w:hAnsi="Arial"/>
          <w:sz w:val="21"/>
          <w:szCs w:val="21"/>
          <w:color w:val="auto"/>
        </w:rPr>
        <w:t>by a Third Party that it reasonably believes may be necessary or reasonably useful to Exploit any Licensed Compound in the Field in the Territory, or absent a license or agreement with such Third Party to such intellectual property, would be infringed by the Exploitation of any Licensed Compound in the Field in the Territory (“</w:t>
      </w:r>
      <w:r>
        <w:rPr>
          <w:rFonts w:ascii="Arial" w:cs="Arial" w:eastAsia="Arial" w:hAnsi="Arial"/>
          <w:sz w:val="21"/>
          <w:szCs w:val="21"/>
          <w:b w:val="1"/>
          <w:bCs w:val="1"/>
          <w:color w:val="auto"/>
        </w:rPr>
        <w:t>Additional Third Party</w:t>
      </w:r>
      <w:r>
        <w:rPr>
          <w:rFonts w:ascii="Arial" w:cs="Arial" w:eastAsia="Arial" w:hAnsi="Arial"/>
          <w:sz w:val="21"/>
          <w:szCs w:val="21"/>
          <w:color w:val="auto"/>
        </w:rPr>
        <w:t xml:space="preserve"> </w:t>
      </w:r>
      <w:r>
        <w:rPr>
          <w:rFonts w:ascii="Arial" w:cs="Arial" w:eastAsia="Arial" w:hAnsi="Arial"/>
          <w:sz w:val="21"/>
          <w:szCs w:val="21"/>
          <w:b w:val="1"/>
          <w:bCs w:val="1"/>
          <w:color w:val="auto"/>
        </w:rPr>
        <w:t>IP</w:t>
      </w:r>
      <w:r>
        <w:rPr>
          <w:rFonts w:ascii="Arial" w:cs="Arial" w:eastAsia="Arial" w:hAnsi="Arial"/>
          <w:sz w:val="21"/>
          <w:szCs w:val="21"/>
          <w:color w:val="auto"/>
        </w:rPr>
        <w:t>”), then it will so notify the other Party. As between the Parties, [*], to enter into an agreement with a Third Party to</w:t>
      </w:r>
      <w:r>
        <w:rPr>
          <w:rFonts w:ascii="Arial" w:cs="Arial" w:eastAsia="Arial" w:hAnsi="Arial"/>
          <w:sz w:val="21"/>
          <w:szCs w:val="21"/>
          <w:b w:val="1"/>
          <w:bCs w:val="1"/>
          <w:color w:val="auto"/>
        </w:rPr>
        <w:t xml:space="preserve"> </w:t>
      </w:r>
      <w:r>
        <w:rPr>
          <w:rFonts w:ascii="Arial" w:cs="Arial" w:eastAsia="Arial" w:hAnsi="Arial"/>
          <w:sz w:val="21"/>
          <w:szCs w:val="21"/>
          <w:color w:val="auto"/>
        </w:rPr>
        <w:t>obtain a license, covenant not to sue, or other similar rights under any such Additional Third Party IP within the Territory (a “</w:t>
      </w:r>
      <w:r>
        <w:rPr>
          <w:rFonts w:ascii="Arial" w:cs="Arial" w:eastAsia="Arial" w:hAnsi="Arial"/>
          <w:sz w:val="21"/>
          <w:szCs w:val="21"/>
          <w:b w:val="1"/>
          <w:bCs w:val="1"/>
          <w:color w:val="auto"/>
        </w:rPr>
        <w:t>Third Party License</w:t>
      </w:r>
      <w:r>
        <w:rPr>
          <w:rFonts w:ascii="Arial" w:cs="Arial" w:eastAsia="Arial" w:hAnsi="Arial"/>
          <w:sz w:val="21"/>
          <w:szCs w:val="21"/>
          <w:color w:val="auto"/>
        </w:rPr>
        <w:t>”).</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2.7</w:t>
      </w:r>
      <w:r>
        <w:rPr>
          <w:sz w:val="20"/>
          <w:szCs w:val="20"/>
          <w:color w:val="auto"/>
        </w:rPr>
        <w:tab/>
      </w:r>
      <w:r>
        <w:rPr>
          <w:rFonts w:ascii="Arial" w:cs="Arial" w:eastAsia="Arial" w:hAnsi="Arial"/>
          <w:sz w:val="17"/>
          <w:szCs w:val="17"/>
          <w:b w:val="1"/>
          <w:bCs w:val="1"/>
          <w:color w:val="auto"/>
        </w:rPr>
        <w:t>Technology Transfer</w:t>
      </w:r>
      <w:r>
        <w:rPr>
          <w:rFonts w:ascii="Arial" w:cs="Arial" w:eastAsia="Arial" w:hAnsi="Arial"/>
          <w:sz w:val="18"/>
          <w:szCs w:val="18"/>
          <w:color w:val="auto"/>
        </w:rPr>
        <w:t>.</w:t>
      </w:r>
    </w:p>
    <w:p>
      <w:pPr>
        <w:spacing w:after="0" w:line="214" w:lineRule="exact"/>
        <w:rPr>
          <w:sz w:val="20"/>
          <w:szCs w:val="20"/>
          <w:color w:val="auto"/>
        </w:rPr>
      </w:pPr>
    </w:p>
    <w:p>
      <w:pPr>
        <w:ind w:left="1700" w:hanging="842"/>
        <w:spacing w:after="0"/>
        <w:tabs>
          <w:tab w:leader="none" w:pos="1700" w:val="left"/>
        </w:tabs>
        <w:numPr>
          <w:ilvl w:val="0"/>
          <w:numId w:val="128"/>
        </w:numPr>
        <w:rPr>
          <w:rFonts w:ascii="Arial" w:cs="Arial" w:eastAsia="Arial" w:hAnsi="Arial"/>
          <w:sz w:val="20"/>
          <w:szCs w:val="20"/>
          <w:color w:val="010000"/>
        </w:rPr>
      </w:pPr>
      <w:r>
        <w:rPr>
          <w:rFonts w:ascii="Arial" w:cs="Arial" w:eastAsia="Arial" w:hAnsi="Arial"/>
          <w:sz w:val="20"/>
          <w:szCs w:val="20"/>
          <w:b w:val="1"/>
          <w:bCs w:val="1"/>
          <w:color w:val="auto"/>
        </w:rPr>
        <w:t>Initial Technology Transfer</w:t>
      </w:r>
      <w:r>
        <w:rPr>
          <w:rFonts w:ascii="Arial" w:cs="Arial" w:eastAsia="Arial" w:hAnsi="Arial"/>
          <w:sz w:val="20"/>
          <w:szCs w:val="20"/>
          <w:color w:val="auto"/>
        </w:rPr>
        <w:t>.</w:t>
      </w:r>
    </w:p>
    <w:p>
      <w:pPr>
        <w:spacing w:after="0" w:line="113" w:lineRule="exact"/>
        <w:rPr>
          <w:rFonts w:ascii="Arial" w:cs="Arial" w:eastAsia="Arial" w:hAnsi="Arial"/>
          <w:sz w:val="20"/>
          <w:szCs w:val="20"/>
          <w:color w:val="010000"/>
        </w:rPr>
      </w:pPr>
    </w:p>
    <w:p>
      <w:pPr>
        <w:jc w:val="both"/>
        <w:ind w:left="2580" w:hanging="858"/>
        <w:spacing w:after="0" w:line="263" w:lineRule="auto"/>
        <w:tabs>
          <w:tab w:leader="none" w:pos="2580" w:val="left"/>
        </w:tabs>
        <w:numPr>
          <w:ilvl w:val="1"/>
          <w:numId w:val="128"/>
        </w:numPr>
        <w:rPr>
          <w:rFonts w:ascii="Arial" w:cs="Arial" w:eastAsia="Arial" w:hAnsi="Arial"/>
          <w:sz w:val="19"/>
          <w:szCs w:val="19"/>
          <w:color w:val="010000"/>
        </w:rPr>
      </w:pPr>
      <w:r>
        <w:rPr>
          <w:rFonts w:ascii="Arial" w:cs="Arial" w:eastAsia="Arial" w:hAnsi="Arial"/>
          <w:sz w:val="19"/>
          <w:szCs w:val="19"/>
          <w:u w:val="single" w:color="auto"/>
          <w:color w:val="auto"/>
        </w:rPr>
        <w:t>Gal-9 Licensed Program</w:t>
      </w:r>
      <w:r>
        <w:rPr>
          <w:rFonts w:ascii="Arial" w:cs="Arial" w:eastAsia="Arial" w:hAnsi="Arial"/>
          <w:sz w:val="19"/>
          <w:szCs w:val="19"/>
          <w:color w:val="auto"/>
        </w:rPr>
        <w:t>. Within [*] and in accordance with the Technology Transfer plan to be agreed by the JSC and thereafter automatically deemed to be attached hereto as Schedule 2.7(a) (Initial Technology Transfer), HFB will transfer to FibroGen or, at FibroGen’s direction, a CMO designated by FibroGen (a “</w:t>
      </w:r>
      <w:r>
        <w:rPr>
          <w:rFonts w:ascii="Arial" w:cs="Arial" w:eastAsia="Arial" w:hAnsi="Arial"/>
          <w:sz w:val="19"/>
          <w:szCs w:val="19"/>
          <w:b w:val="1"/>
          <w:bCs w:val="1"/>
          <w:color w:val="auto"/>
        </w:rPr>
        <w:t>FibroGen CMO</w:t>
      </w:r>
      <w:r>
        <w:rPr>
          <w:rFonts w:ascii="Arial" w:cs="Arial" w:eastAsia="Arial" w:hAnsi="Arial"/>
          <w:sz w:val="19"/>
          <w:szCs w:val="19"/>
          <w:color w:val="auto"/>
        </w:rPr>
        <w:t>”), electronic copies of all material documents, data (including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119" w:lineRule="exact"/>
        <w:rPr>
          <w:sz w:val="20"/>
          <w:szCs w:val="20"/>
          <w:color w:val="auto"/>
        </w:rPr>
      </w:pPr>
    </w:p>
    <w:p>
      <w:pPr>
        <w:ind w:right="220" w:firstLine="8"/>
        <w:spacing w:after="0" w:line="277" w:lineRule="auto"/>
        <w:tabs>
          <w:tab w:leader="none" w:pos="255" w:val="left"/>
        </w:tabs>
        <w:numPr>
          <w:ilvl w:val="0"/>
          <w:numId w:val="129"/>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8" w:name="page129"/>
    <w:bookmarkEnd w:id="128"/>
    <w:p>
      <w:pPr>
        <w:jc w:val="both"/>
        <w:ind w:left="2580"/>
        <w:spacing w:after="0" w:line="274" w:lineRule="auto"/>
        <w:rPr>
          <w:sz w:val="20"/>
          <w:szCs w:val="20"/>
          <w:color w:val="auto"/>
        </w:rPr>
      </w:pPr>
      <w:r>
        <w:rPr>
          <w:rFonts w:ascii="Arial" w:cs="Arial" w:eastAsia="Arial" w:hAnsi="Arial"/>
          <w:sz w:val="18"/>
          <w:szCs w:val="18"/>
          <w:color w:val="auto"/>
        </w:rPr>
        <w:t xml:space="preserve">Manufacturing process data), regulatory correspondence, clinical and pre-clinical data, or other Know-How included within the Licensed Know-How existing as of the Effective Date, including but not limited to documents </w:t>
      </w:r>
      <w:r>
        <w:rPr>
          <w:rFonts w:ascii="Arial" w:cs="Arial" w:eastAsia="Arial" w:hAnsi="Arial"/>
          <w:sz w:val="18"/>
          <w:szCs w:val="18"/>
          <w:color w:val="010000"/>
        </w:rPr>
        <w:t>and information (including any</w:t>
      </w:r>
      <w:r>
        <w:rPr>
          <w:rFonts w:ascii="Arial" w:cs="Arial" w:eastAsia="Arial" w:hAnsi="Arial"/>
          <w:sz w:val="18"/>
          <w:szCs w:val="18"/>
          <w:color w:val="auto"/>
        </w:rPr>
        <w:t xml:space="preserve"> CMC records and information), data (including Manufacturing process data), other Licensed Know-How, or activities, in each case, that are in the possession of HFB, its Affiliates or subcontractors and necessary or reasonably useful to Exploit and Manufacture Licensed Compounds and Licensed Products Directed To Gal-9 and to enable FibroGen or such FibroGen CMO to assume the Manufacturing activities of the Licensed Compounds and Licensed Products Directed To Gal-9.</w:t>
      </w:r>
    </w:p>
    <w:p>
      <w:pPr>
        <w:spacing w:after="0" w:line="155" w:lineRule="exact"/>
        <w:rPr>
          <w:sz w:val="20"/>
          <w:szCs w:val="20"/>
          <w:color w:val="auto"/>
        </w:rPr>
      </w:pPr>
    </w:p>
    <w:p>
      <w:pPr>
        <w:jc w:val="both"/>
        <w:ind w:left="2580" w:hanging="858"/>
        <w:spacing w:after="0" w:line="255" w:lineRule="auto"/>
        <w:tabs>
          <w:tab w:leader="none" w:pos="2580" w:val="left"/>
        </w:tabs>
        <w:numPr>
          <w:ilvl w:val="1"/>
          <w:numId w:val="130"/>
        </w:numPr>
        <w:rPr>
          <w:rFonts w:ascii="Arial" w:cs="Arial" w:eastAsia="Arial" w:hAnsi="Arial"/>
          <w:sz w:val="19"/>
          <w:szCs w:val="19"/>
          <w:color w:val="010000"/>
        </w:rPr>
      </w:pPr>
      <w:r>
        <w:rPr>
          <w:rFonts w:ascii="Arial" w:cs="Arial" w:eastAsia="Arial" w:hAnsi="Arial"/>
          <w:sz w:val="19"/>
          <w:szCs w:val="19"/>
          <w:u w:val="single" w:color="auto"/>
          <w:color w:val="auto"/>
        </w:rPr>
        <w:t>Other Licensed Programs</w:t>
      </w:r>
      <w:r>
        <w:rPr>
          <w:rFonts w:ascii="Arial" w:cs="Arial" w:eastAsia="Arial" w:hAnsi="Arial"/>
          <w:sz w:val="19"/>
          <w:szCs w:val="19"/>
          <w:color w:val="auto"/>
        </w:rPr>
        <w:t>. With respect to any Licensed Program other than the Gal-9 Licensed Program, within [*] with respect to such Licensed Program and in accordance with a plan to be agreed between the Parties no later than [*], HFB will transfer to FibroGen and/or, at FibroGen’s direction, a FibroGen CMO, electronic copies of all material documents, data, regulatory correspondence, clinical and pre-clinical data, or other Know-How included within the Licensed Know-How with respect to such Licensed Program existing as of the applicable Option Exercise Date, including but not limited to any documents and information (including any CMC records and information), data (including Manufacturing process data), other Licensed Know-How, or activities, in each case, that are in the possession of HFB, its Affiliates or subcontractors and necessary or reasonably useful to Exploit and Manufacture Licensed Compounds and Licensed Products for such Licensed Program and to enable FibroGen or such FibroGen CMO to assume the Manufacturing activities of Licensed Compounds and Licensed Products for such Licensed Program (the transfer described in the foregoing clauses (i) and (ii) with respect to each Licensed Program, the “</w:t>
      </w:r>
      <w:r>
        <w:rPr>
          <w:rFonts w:ascii="Arial" w:cs="Arial" w:eastAsia="Arial" w:hAnsi="Arial"/>
          <w:sz w:val="19"/>
          <w:szCs w:val="19"/>
          <w:b w:val="1"/>
          <w:bCs w:val="1"/>
          <w:color w:val="auto"/>
        </w:rPr>
        <w:t>Initial Technology</w:t>
      </w:r>
      <w:r>
        <w:rPr>
          <w:rFonts w:ascii="Arial" w:cs="Arial" w:eastAsia="Arial" w:hAnsi="Arial"/>
          <w:sz w:val="19"/>
          <w:szCs w:val="19"/>
          <w:color w:val="auto"/>
        </w:rPr>
        <w:t xml:space="preserve"> </w:t>
      </w:r>
      <w:r>
        <w:rPr>
          <w:rFonts w:ascii="Arial" w:cs="Arial" w:eastAsia="Arial" w:hAnsi="Arial"/>
          <w:sz w:val="19"/>
          <w:szCs w:val="19"/>
          <w:b w:val="1"/>
          <w:bCs w:val="1"/>
          <w:color w:val="auto"/>
        </w:rPr>
        <w:t>Transfer</w:t>
      </w:r>
      <w:r>
        <w:rPr>
          <w:rFonts w:ascii="Arial" w:cs="Arial" w:eastAsia="Arial" w:hAnsi="Arial"/>
          <w:sz w:val="19"/>
          <w:szCs w:val="19"/>
          <w:color w:val="auto"/>
        </w:rPr>
        <w:t>”).</w:t>
      </w:r>
    </w:p>
    <w:p>
      <w:pPr>
        <w:spacing w:after="0" w:line="162" w:lineRule="exact"/>
        <w:rPr>
          <w:rFonts w:ascii="Arial" w:cs="Arial" w:eastAsia="Arial" w:hAnsi="Arial"/>
          <w:sz w:val="19"/>
          <w:szCs w:val="19"/>
          <w:color w:val="010000"/>
        </w:rPr>
      </w:pPr>
    </w:p>
    <w:p>
      <w:pPr>
        <w:jc w:val="both"/>
        <w:ind w:left="1700" w:hanging="842"/>
        <w:spacing w:after="0" w:line="242" w:lineRule="auto"/>
        <w:tabs>
          <w:tab w:leader="none" w:pos="1700" w:val="left"/>
        </w:tabs>
        <w:numPr>
          <w:ilvl w:val="0"/>
          <w:numId w:val="131"/>
        </w:numPr>
        <w:rPr>
          <w:rFonts w:ascii="Arial" w:cs="Arial" w:eastAsia="Arial" w:hAnsi="Arial"/>
          <w:sz w:val="20"/>
          <w:szCs w:val="20"/>
          <w:color w:val="010000"/>
        </w:rPr>
      </w:pPr>
      <w:r>
        <w:rPr>
          <w:rFonts w:ascii="Arial" w:cs="Arial" w:eastAsia="Arial" w:hAnsi="Arial"/>
          <w:sz w:val="20"/>
          <w:szCs w:val="20"/>
          <w:b w:val="1"/>
          <w:bCs w:val="1"/>
          <w:color w:val="auto"/>
        </w:rPr>
        <w:t>Continuing Technology Transfer</w:t>
      </w:r>
      <w:r>
        <w:rPr>
          <w:rFonts w:ascii="Arial" w:cs="Arial" w:eastAsia="Arial" w:hAnsi="Arial"/>
          <w:sz w:val="20"/>
          <w:szCs w:val="20"/>
          <w:color w:val="auto"/>
        </w:rPr>
        <w:t>. [*], HFB will promptly notify FibroGen of and transfer to FibroGen or, at</w:t>
      </w:r>
      <w:r>
        <w:rPr>
          <w:rFonts w:ascii="Arial" w:cs="Arial" w:eastAsia="Arial" w:hAnsi="Arial"/>
          <w:sz w:val="20"/>
          <w:szCs w:val="20"/>
          <w:b w:val="1"/>
          <w:bCs w:val="1"/>
          <w:color w:val="auto"/>
        </w:rPr>
        <w:t xml:space="preserve"> </w:t>
      </w:r>
      <w:r>
        <w:rPr>
          <w:rFonts w:ascii="Arial" w:cs="Arial" w:eastAsia="Arial" w:hAnsi="Arial"/>
          <w:sz w:val="20"/>
          <w:szCs w:val="20"/>
          <w:color w:val="auto"/>
        </w:rPr>
        <w:t>FibroGen’s direction, to a FibroGen CMO (if applicable to the Manufacture of Licensed Products) any additional documents, data or other Licensed Know-How, in each case, that is in HFB’s possession or Control and has not been previously transferred to FibroGen or a FibroGen CMO and is necessary or reasonably useful to Exploit and Manufacture Licensed Compounds and Licensed Products for such Licensed Program (the “</w:t>
      </w:r>
      <w:r>
        <w:rPr>
          <w:rFonts w:ascii="Arial" w:cs="Arial" w:eastAsia="Arial" w:hAnsi="Arial"/>
          <w:sz w:val="20"/>
          <w:szCs w:val="20"/>
          <w:b w:val="1"/>
          <w:bCs w:val="1"/>
          <w:color w:val="auto"/>
        </w:rPr>
        <w:t>Continuing Technology</w:t>
      </w:r>
      <w:r>
        <w:rPr>
          <w:rFonts w:ascii="Arial" w:cs="Arial" w:eastAsia="Arial" w:hAnsi="Arial"/>
          <w:sz w:val="20"/>
          <w:szCs w:val="20"/>
          <w:color w:val="auto"/>
        </w:rPr>
        <w:t xml:space="preserve"> </w:t>
      </w:r>
      <w:r>
        <w:rPr>
          <w:rFonts w:ascii="Arial" w:cs="Arial" w:eastAsia="Arial" w:hAnsi="Arial"/>
          <w:sz w:val="20"/>
          <w:szCs w:val="20"/>
          <w:b w:val="1"/>
          <w:bCs w:val="1"/>
          <w:color w:val="auto"/>
        </w:rPr>
        <w:t>Transfer</w:t>
      </w:r>
      <w:r>
        <w:rPr>
          <w:rFonts w:ascii="Arial" w:cs="Arial" w:eastAsia="Arial" w:hAnsi="Arial"/>
          <w:sz w:val="20"/>
          <w:szCs w:val="20"/>
          <w:color w:val="auto"/>
        </w:rPr>
        <w:t>,” and together with the Initial Technology Transfer, the “</w:t>
      </w:r>
      <w:r>
        <w:rPr>
          <w:rFonts w:ascii="Arial" w:cs="Arial" w:eastAsia="Arial" w:hAnsi="Arial"/>
          <w:sz w:val="20"/>
          <w:szCs w:val="20"/>
          <w:b w:val="1"/>
          <w:bCs w:val="1"/>
          <w:color w:val="auto"/>
        </w:rPr>
        <w:t>Technology Transfer</w:t>
      </w:r>
      <w:r>
        <w:rPr>
          <w:rFonts w:ascii="Arial" w:cs="Arial" w:eastAsia="Arial" w:hAnsi="Arial"/>
          <w:sz w:val="20"/>
          <w:szCs w:val="20"/>
          <w:color w:val="auto"/>
        </w:rPr>
        <w:t>”). Notwithstanding anything</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contrary in this Section 2.7(b), [*] HFB will provide to FibroGen or its designee any documents, data or other Licensed Know-How, in each case, that is in HFB’s possession or Control and has not been previously transferred to FibroGen and [*].</w:t>
      </w:r>
    </w:p>
    <w:p>
      <w:pPr>
        <w:spacing w:after="0" w:line="86" w:lineRule="exact"/>
        <w:rPr>
          <w:rFonts w:ascii="Arial" w:cs="Arial" w:eastAsia="Arial" w:hAnsi="Arial"/>
          <w:sz w:val="20"/>
          <w:szCs w:val="20"/>
          <w:color w:val="010000"/>
        </w:rPr>
      </w:pPr>
    </w:p>
    <w:p>
      <w:pPr>
        <w:jc w:val="both"/>
        <w:ind w:left="1700" w:hanging="842"/>
        <w:spacing w:after="0" w:line="262" w:lineRule="auto"/>
        <w:tabs>
          <w:tab w:leader="none" w:pos="1700" w:val="left"/>
        </w:tabs>
        <w:numPr>
          <w:ilvl w:val="0"/>
          <w:numId w:val="131"/>
        </w:numPr>
        <w:rPr>
          <w:rFonts w:ascii="Arial" w:cs="Arial" w:eastAsia="Arial" w:hAnsi="Arial"/>
          <w:sz w:val="19"/>
          <w:szCs w:val="19"/>
          <w:color w:val="010000"/>
        </w:rPr>
      </w:pPr>
      <w:r>
        <w:rPr>
          <w:rFonts w:ascii="Arial" w:cs="Arial" w:eastAsia="Arial" w:hAnsi="Arial"/>
          <w:sz w:val="19"/>
          <w:szCs w:val="19"/>
          <w:b w:val="1"/>
          <w:bCs w:val="1"/>
          <w:color w:val="auto"/>
        </w:rPr>
        <w:t>Technical Assistance and Consultation; Costs of Technology Transfer</w:t>
      </w:r>
      <w:r>
        <w:rPr>
          <w:rFonts w:ascii="Arial" w:cs="Arial" w:eastAsia="Arial" w:hAnsi="Arial"/>
          <w:sz w:val="19"/>
          <w:szCs w:val="19"/>
          <w:color w:val="auto"/>
        </w:rPr>
        <w:t>. HFB will reasonably cooperate with</w:t>
      </w:r>
      <w:r>
        <w:rPr>
          <w:rFonts w:ascii="Arial" w:cs="Arial" w:eastAsia="Arial" w:hAnsi="Arial"/>
          <w:sz w:val="19"/>
          <w:szCs w:val="19"/>
          <w:b w:val="1"/>
          <w:bCs w:val="1"/>
          <w:color w:val="auto"/>
        </w:rPr>
        <w:t xml:space="preserve"> </w:t>
      </w:r>
      <w:r>
        <w:rPr>
          <w:rFonts w:ascii="Arial" w:cs="Arial" w:eastAsia="Arial" w:hAnsi="Arial"/>
          <w:sz w:val="19"/>
          <w:szCs w:val="19"/>
          <w:color w:val="auto"/>
        </w:rPr>
        <w:t>FibroGen to facilitate the Technology Transfer to FibroGen or a FibroGen CMO (as applicable). In the course of any Technology Transfer, HFB will provide FibroGen or the applicable FibroGen CMO [*] involved in the Development or Manufacture of the Licensed Compounds to provide FibroGen or the FibroGen CMO with a reasonable level of technical assistance and consultation in connection with all Technology Transfers. [*]</w:t>
      </w:r>
    </w:p>
    <w:p>
      <w:pPr>
        <w:spacing w:after="0" w:line="62" w:lineRule="exact"/>
        <w:rPr>
          <w:rFonts w:ascii="Arial" w:cs="Arial" w:eastAsia="Arial" w:hAnsi="Arial"/>
          <w:sz w:val="19"/>
          <w:szCs w:val="19"/>
          <w:color w:val="010000"/>
        </w:rPr>
      </w:pPr>
    </w:p>
    <w:p>
      <w:pPr>
        <w:ind w:left="1700" w:right="20" w:hanging="842"/>
        <w:spacing w:after="0" w:line="267" w:lineRule="auto"/>
        <w:tabs>
          <w:tab w:leader="none" w:pos="1700" w:val="left"/>
        </w:tabs>
        <w:numPr>
          <w:ilvl w:val="0"/>
          <w:numId w:val="131"/>
        </w:numPr>
        <w:rPr>
          <w:rFonts w:ascii="Arial" w:cs="Arial" w:eastAsia="Arial" w:hAnsi="Arial"/>
          <w:sz w:val="20"/>
          <w:szCs w:val="20"/>
          <w:color w:val="010000"/>
        </w:rPr>
      </w:pPr>
      <w:r>
        <w:rPr>
          <w:rFonts w:ascii="Arial" w:cs="Arial" w:eastAsia="Arial" w:hAnsi="Arial"/>
          <w:sz w:val="20"/>
          <w:szCs w:val="20"/>
          <w:b w:val="1"/>
          <w:bCs w:val="1"/>
          <w:color w:val="auto"/>
        </w:rPr>
        <w:t>Third Party Vendors or Contractors</w:t>
      </w:r>
      <w:r>
        <w:rPr>
          <w:rFonts w:ascii="Arial" w:cs="Arial" w:eastAsia="Arial" w:hAnsi="Arial"/>
          <w:sz w:val="20"/>
          <w:szCs w:val="20"/>
          <w:color w:val="auto"/>
        </w:rPr>
        <w:t>. On a Licensed Program-by-Licensed Program basis, at FibroGen’s request,</w:t>
      </w:r>
      <w:r>
        <w:rPr>
          <w:rFonts w:ascii="Arial" w:cs="Arial" w:eastAsia="Arial" w:hAnsi="Arial"/>
          <w:sz w:val="20"/>
          <w:szCs w:val="20"/>
          <w:b w:val="1"/>
          <w:bCs w:val="1"/>
          <w:color w:val="auto"/>
        </w:rPr>
        <w:t xml:space="preserve"> </w:t>
      </w:r>
      <w:r>
        <w:rPr>
          <w:rFonts w:ascii="Arial" w:cs="Arial" w:eastAsia="Arial" w:hAnsi="Arial"/>
          <w:sz w:val="20"/>
          <w:szCs w:val="20"/>
          <w:color w:val="auto"/>
        </w:rPr>
        <w:t>HFB will use Commercially Reasonable Efforts to transfer to</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119" w:lineRule="exact"/>
        <w:rPr>
          <w:sz w:val="20"/>
          <w:szCs w:val="20"/>
          <w:color w:val="auto"/>
        </w:rPr>
      </w:pPr>
    </w:p>
    <w:p>
      <w:pPr>
        <w:ind w:right="220" w:firstLine="8"/>
        <w:spacing w:after="0" w:line="277" w:lineRule="auto"/>
        <w:tabs>
          <w:tab w:leader="none" w:pos="255" w:val="left"/>
        </w:tabs>
        <w:numPr>
          <w:ilvl w:val="0"/>
          <w:numId w:val="132"/>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9" w:name="page130"/>
    <w:bookmarkEnd w:id="129"/>
    <w:p>
      <w:pPr>
        <w:jc w:val="both"/>
        <w:ind w:left="1700"/>
        <w:spacing w:after="0" w:line="250" w:lineRule="auto"/>
        <w:rPr>
          <w:sz w:val="20"/>
          <w:szCs w:val="20"/>
          <w:color w:val="auto"/>
        </w:rPr>
      </w:pPr>
      <w:r>
        <w:rPr>
          <w:rFonts w:ascii="Arial" w:cs="Arial" w:eastAsia="Arial" w:hAnsi="Arial"/>
          <w:sz w:val="20"/>
          <w:szCs w:val="20"/>
          <w:color w:val="auto"/>
        </w:rPr>
        <w:t>FibroGen HFB’s relationships with Third Party vendors and contractors that HFB has engaged in the Development or Manufacture of Licensed Compounds and, if any, Licensed Products, by, at FibroGen’s request, introducing FibroGen to such vendors or contractors.</w:t>
      </w:r>
    </w:p>
    <w:p>
      <w:pPr>
        <w:spacing w:after="0" w:line="7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2.8</w:t>
      </w:r>
      <w:r>
        <w:rPr>
          <w:sz w:val="20"/>
          <w:szCs w:val="20"/>
          <w:color w:val="auto"/>
        </w:rPr>
        <w:tab/>
      </w:r>
      <w:r>
        <w:rPr>
          <w:rFonts w:ascii="Arial" w:cs="Arial" w:eastAsia="Arial" w:hAnsi="Arial"/>
          <w:sz w:val="17"/>
          <w:szCs w:val="17"/>
          <w:b w:val="1"/>
          <w:bCs w:val="1"/>
          <w:color w:val="auto"/>
        </w:rPr>
        <w:t>Exclusivity</w:t>
      </w:r>
      <w:r>
        <w:rPr>
          <w:rFonts w:ascii="Arial" w:cs="Arial" w:eastAsia="Arial" w:hAnsi="Arial"/>
          <w:sz w:val="18"/>
          <w:szCs w:val="18"/>
          <w:color w:val="auto"/>
        </w:rPr>
        <w:t>.</w:t>
      </w:r>
    </w:p>
    <w:p>
      <w:pPr>
        <w:spacing w:after="0" w:line="214" w:lineRule="exact"/>
        <w:rPr>
          <w:sz w:val="20"/>
          <w:szCs w:val="20"/>
          <w:color w:val="auto"/>
        </w:rPr>
      </w:pPr>
    </w:p>
    <w:p>
      <w:pPr>
        <w:jc w:val="both"/>
        <w:ind w:left="1700" w:hanging="842"/>
        <w:spacing w:after="0" w:line="262" w:lineRule="auto"/>
        <w:tabs>
          <w:tab w:leader="none" w:pos="1700" w:val="left"/>
        </w:tabs>
        <w:numPr>
          <w:ilvl w:val="0"/>
          <w:numId w:val="133"/>
        </w:numPr>
        <w:rPr>
          <w:rFonts w:ascii="Arial" w:cs="Arial" w:eastAsia="Arial" w:hAnsi="Arial"/>
          <w:sz w:val="19"/>
          <w:szCs w:val="19"/>
          <w:color w:val="010000"/>
        </w:rPr>
      </w:pPr>
      <w:r>
        <w:rPr>
          <w:rFonts w:ascii="Arial" w:cs="Arial" w:eastAsia="Arial" w:hAnsi="Arial"/>
          <w:sz w:val="19"/>
          <w:szCs w:val="19"/>
          <w:b w:val="1"/>
          <w:bCs w:val="1"/>
          <w:color w:val="auto"/>
        </w:rPr>
        <w:t>Exclusivity Covenant</w:t>
      </w:r>
      <w:r>
        <w:rPr>
          <w:rFonts w:ascii="Arial" w:cs="Arial" w:eastAsia="Arial" w:hAnsi="Arial"/>
          <w:sz w:val="19"/>
          <w:szCs w:val="19"/>
          <w:color w:val="auto"/>
        </w:rPr>
        <w:t>. Subject to Section 2.8(b) (HFB Change of Control), Section 2.8(c) (FibroGen Change of</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and Section 2.8(d) (Acquisition by Either Party), during the Term, the Parties will not, and will ensure that its Affiliates do not, independently, or for or with any Third Party, directly or indirectly, Develop, Manufacture, or Commercialize any Competitive Product in the Territory (or license or otherwise authorize any Third Party to do any of the foregoing) (the “</w:t>
      </w:r>
      <w:r>
        <w:rPr>
          <w:rFonts w:ascii="Arial" w:cs="Arial" w:eastAsia="Arial" w:hAnsi="Arial"/>
          <w:sz w:val="19"/>
          <w:szCs w:val="19"/>
          <w:b w:val="1"/>
          <w:bCs w:val="1"/>
          <w:color w:val="auto"/>
        </w:rPr>
        <w:t>Competitive Activities</w:t>
      </w:r>
      <w:r>
        <w:rPr>
          <w:rFonts w:ascii="Arial" w:cs="Arial" w:eastAsia="Arial" w:hAnsi="Arial"/>
          <w:sz w:val="19"/>
          <w:szCs w:val="19"/>
          <w:color w:val="auto"/>
        </w:rPr>
        <w:t>”) unless agreed in writing by the Parties.</w:t>
      </w:r>
    </w:p>
    <w:p>
      <w:pPr>
        <w:spacing w:after="0" w:line="62" w:lineRule="exact"/>
        <w:rPr>
          <w:rFonts w:ascii="Arial" w:cs="Arial" w:eastAsia="Arial" w:hAnsi="Arial"/>
          <w:sz w:val="19"/>
          <w:szCs w:val="19"/>
          <w:color w:val="010000"/>
        </w:rPr>
      </w:pPr>
    </w:p>
    <w:p>
      <w:pPr>
        <w:jc w:val="both"/>
        <w:ind w:left="1700" w:hanging="842"/>
        <w:spacing w:after="0" w:line="262" w:lineRule="auto"/>
        <w:tabs>
          <w:tab w:leader="none" w:pos="1700" w:val="left"/>
        </w:tabs>
        <w:numPr>
          <w:ilvl w:val="0"/>
          <w:numId w:val="133"/>
        </w:numPr>
        <w:rPr>
          <w:rFonts w:ascii="Arial" w:cs="Arial" w:eastAsia="Arial" w:hAnsi="Arial"/>
          <w:sz w:val="19"/>
          <w:szCs w:val="19"/>
          <w:color w:val="010000"/>
        </w:rPr>
      </w:pPr>
      <w:r>
        <w:rPr>
          <w:rFonts w:ascii="Arial" w:cs="Arial" w:eastAsia="Arial" w:hAnsi="Arial"/>
          <w:sz w:val="19"/>
          <w:szCs w:val="19"/>
          <w:b w:val="1"/>
          <w:bCs w:val="1"/>
          <w:color w:val="auto"/>
        </w:rPr>
        <w:t>HFB Change of Control</w:t>
      </w:r>
      <w:r>
        <w:rPr>
          <w:rFonts w:ascii="Arial" w:cs="Arial" w:eastAsia="Arial" w:hAnsi="Arial"/>
          <w:sz w:val="19"/>
          <w:szCs w:val="19"/>
          <w:color w:val="auto"/>
        </w:rPr>
        <w:t>. If HFB or any of its Affiliates undergoes a Change of Control with a Third Party, and such</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is (either directly or through an Affiliate, or in collaboration with another Third Party) [*], then it will not be in breach of the restrictions set forth in Section 2.8(a) (Exclusivity Covenant) due to such Change of Control with such a Third Party, and such Third Party may [*] (ii) HFB and its Affiliates institute [*] technical and administrative safeguards to ensure the requirements set forth in the foregoing clause (i) are met, [*].</w:t>
      </w:r>
    </w:p>
    <w:p>
      <w:pPr>
        <w:spacing w:after="0" w:line="76" w:lineRule="exact"/>
        <w:rPr>
          <w:rFonts w:ascii="Arial" w:cs="Arial" w:eastAsia="Arial" w:hAnsi="Arial"/>
          <w:sz w:val="19"/>
          <w:szCs w:val="19"/>
          <w:color w:val="010000"/>
        </w:rPr>
      </w:pPr>
    </w:p>
    <w:p>
      <w:pPr>
        <w:ind w:left="1700" w:hanging="842"/>
        <w:spacing w:after="0" w:line="323" w:lineRule="auto"/>
        <w:tabs>
          <w:tab w:leader="none" w:pos="1700" w:val="left"/>
        </w:tabs>
        <w:numPr>
          <w:ilvl w:val="0"/>
          <w:numId w:val="133"/>
        </w:numPr>
        <w:rPr>
          <w:rFonts w:ascii="Arial" w:cs="Arial" w:eastAsia="Arial" w:hAnsi="Arial"/>
          <w:sz w:val="18"/>
          <w:szCs w:val="18"/>
          <w:color w:val="010000"/>
        </w:rPr>
      </w:pPr>
      <w:r>
        <w:rPr>
          <w:rFonts w:ascii="Arial" w:cs="Arial" w:eastAsia="Arial" w:hAnsi="Arial"/>
          <w:sz w:val="18"/>
          <w:szCs w:val="18"/>
          <w:b w:val="1"/>
          <w:bCs w:val="1"/>
          <w:color w:val="auto"/>
        </w:rPr>
        <w:t>FibroGen Change of Control</w:t>
      </w:r>
      <w:r>
        <w:rPr>
          <w:rFonts w:ascii="Arial" w:cs="Arial" w:eastAsia="Arial" w:hAnsi="Arial"/>
          <w:sz w:val="18"/>
          <w:szCs w:val="18"/>
          <w:color w:val="auto"/>
        </w:rPr>
        <w:t>. If FibroGen or any of its Affiliates undergoes a Change of Control with a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Third Party is (either directly or through an Affiliate, or in collaboration with another Third Party) [*], and:</w:t>
      </w:r>
    </w:p>
    <w:p>
      <w:pPr>
        <w:spacing w:after="0" w:line="15" w:lineRule="exact"/>
        <w:rPr>
          <w:rFonts w:ascii="Arial" w:cs="Arial" w:eastAsia="Arial" w:hAnsi="Arial"/>
          <w:sz w:val="18"/>
          <w:szCs w:val="18"/>
          <w:color w:val="010000"/>
        </w:rPr>
      </w:pPr>
    </w:p>
    <w:p>
      <w:pPr>
        <w:jc w:val="both"/>
        <w:ind w:left="2580" w:hanging="858"/>
        <w:spacing w:after="0" w:line="272" w:lineRule="auto"/>
        <w:tabs>
          <w:tab w:leader="none" w:pos="2580" w:val="left"/>
        </w:tabs>
        <w:numPr>
          <w:ilvl w:val="1"/>
          <w:numId w:val="133"/>
        </w:numPr>
        <w:rPr>
          <w:rFonts w:ascii="Arial" w:cs="Arial" w:eastAsia="Arial" w:hAnsi="Arial"/>
          <w:sz w:val="18"/>
          <w:szCs w:val="18"/>
          <w:color w:val="010000"/>
        </w:rPr>
      </w:pPr>
      <w:r>
        <w:rPr>
          <w:rFonts w:ascii="Arial" w:cs="Arial" w:eastAsia="Arial" w:hAnsi="Arial"/>
          <w:sz w:val="18"/>
          <w:szCs w:val="18"/>
          <w:color w:val="auto"/>
        </w:rPr>
        <w:t>[*], such Competitive Products [*], then it will not be in breach of the restrictions set forth in Section 2.8(a) (Exclusivity Covenant) due to such Change of Control with such a Third Party, and such Third Party may continue to [*] after such Change of Control; as long as: (x) [*] and (y) FibroGen and its Affiliates institute</w:t>
      </w:r>
    </w:p>
    <w:p>
      <w:pPr>
        <w:ind w:left="2580" w:hanging="7"/>
        <w:spacing w:after="0" w:line="244" w:lineRule="auto"/>
        <w:tabs>
          <w:tab w:leader="none" w:pos="2878" w:val="left"/>
        </w:tabs>
        <w:numPr>
          <w:ilvl w:val="2"/>
          <w:numId w:val="133"/>
        </w:numPr>
        <w:rPr>
          <w:rFonts w:ascii="Arial" w:cs="Arial" w:eastAsia="Arial" w:hAnsi="Arial"/>
          <w:sz w:val="20"/>
          <w:szCs w:val="20"/>
          <w:color w:val="auto"/>
        </w:rPr>
      </w:pPr>
      <w:r>
        <w:rPr>
          <w:rFonts w:ascii="Arial" w:cs="Arial" w:eastAsia="Arial" w:hAnsi="Arial"/>
          <w:sz w:val="20"/>
          <w:szCs w:val="20"/>
          <w:color w:val="auto"/>
        </w:rPr>
        <w:t>technical and administrative safeguards to ensure the requirements set forth in the foregoing clause (x) are met, including [*]; or</w:t>
      </w:r>
    </w:p>
    <w:p>
      <w:pPr>
        <w:spacing w:after="0" w:line="177" w:lineRule="exact"/>
        <w:rPr>
          <w:rFonts w:ascii="Arial" w:cs="Arial" w:eastAsia="Arial" w:hAnsi="Arial"/>
          <w:sz w:val="20"/>
          <w:szCs w:val="20"/>
          <w:color w:val="auto"/>
        </w:rPr>
      </w:pPr>
    </w:p>
    <w:p>
      <w:pPr>
        <w:jc w:val="both"/>
        <w:ind w:left="2580" w:hanging="858"/>
        <w:spacing w:after="0" w:line="243" w:lineRule="auto"/>
        <w:tabs>
          <w:tab w:leader="none" w:pos="2580" w:val="left"/>
        </w:tabs>
        <w:numPr>
          <w:ilvl w:val="1"/>
          <w:numId w:val="133"/>
        </w:numPr>
        <w:rPr>
          <w:rFonts w:ascii="Arial" w:cs="Arial" w:eastAsia="Arial" w:hAnsi="Arial"/>
          <w:sz w:val="20"/>
          <w:szCs w:val="20"/>
          <w:color w:val="010000"/>
        </w:rPr>
      </w:pPr>
      <w:r>
        <w:rPr>
          <w:rFonts w:ascii="Arial" w:cs="Arial" w:eastAsia="Arial" w:hAnsi="Arial"/>
          <w:sz w:val="20"/>
          <w:szCs w:val="20"/>
          <w:color w:val="auto"/>
        </w:rPr>
        <w:t>[*], then it will not be in breach of the restrictions set forth in Section 2.8(a) (Exclusivity Covenant) due to such Change of Control with such a Third Party if it does one of following: (x) [*]. FibroGen will notify HFB of its intent to select option (x) or (y) within [*] of such closing of the Change of Control. Until the divestiture or termination is complete, FibroGen shall ensure that (A) [*], and (B) FibroGen and its Affiliates institutes [*] technical and administrative safeguards to ensure the requirements set forth in the foregoing clause (A) are met, including [*].</w:t>
      </w:r>
    </w:p>
    <w:p>
      <w:pPr>
        <w:spacing w:after="0" w:line="182" w:lineRule="exact"/>
        <w:rPr>
          <w:rFonts w:ascii="Arial" w:cs="Arial" w:eastAsia="Arial" w:hAnsi="Arial"/>
          <w:sz w:val="20"/>
          <w:szCs w:val="20"/>
          <w:color w:val="010000"/>
        </w:rPr>
      </w:pPr>
    </w:p>
    <w:p>
      <w:pPr>
        <w:ind w:left="2580" w:right="20" w:hanging="858"/>
        <w:spacing w:after="0" w:line="260" w:lineRule="auto"/>
        <w:tabs>
          <w:tab w:leader="none" w:pos="2580" w:val="left"/>
        </w:tabs>
        <w:numPr>
          <w:ilvl w:val="1"/>
          <w:numId w:val="133"/>
        </w:numPr>
        <w:rPr>
          <w:rFonts w:ascii="Arial" w:cs="Arial" w:eastAsia="Arial" w:hAnsi="Arial"/>
          <w:sz w:val="20"/>
          <w:szCs w:val="20"/>
          <w:color w:val="010000"/>
        </w:rPr>
      </w:pPr>
      <w:r>
        <w:rPr>
          <w:rFonts w:ascii="Arial" w:cs="Arial" w:eastAsia="Arial" w:hAnsi="Arial"/>
          <w:sz w:val="20"/>
          <w:szCs w:val="20"/>
          <w:color w:val="auto"/>
        </w:rPr>
        <w:t>For clarity, the same stage of Development means with respect to the Competitive Product and the applicable Licensed Compound or Licensed Product: [*].</w:t>
      </w:r>
    </w:p>
    <w:p>
      <w:pPr>
        <w:spacing w:after="0" w:line="157" w:lineRule="exact"/>
        <w:rPr>
          <w:rFonts w:ascii="Arial" w:cs="Arial" w:eastAsia="Arial" w:hAnsi="Arial"/>
          <w:sz w:val="20"/>
          <w:szCs w:val="20"/>
          <w:color w:val="010000"/>
        </w:rPr>
      </w:pPr>
    </w:p>
    <w:p>
      <w:pPr>
        <w:jc w:val="both"/>
        <w:ind w:left="1700" w:hanging="842"/>
        <w:spacing w:after="0" w:line="262" w:lineRule="auto"/>
        <w:tabs>
          <w:tab w:leader="none" w:pos="1700" w:val="left"/>
        </w:tabs>
        <w:numPr>
          <w:ilvl w:val="0"/>
          <w:numId w:val="133"/>
        </w:numPr>
        <w:rPr>
          <w:rFonts w:ascii="Arial" w:cs="Arial" w:eastAsia="Arial" w:hAnsi="Arial"/>
          <w:sz w:val="19"/>
          <w:szCs w:val="19"/>
          <w:color w:val="010000"/>
        </w:rPr>
      </w:pPr>
      <w:r>
        <w:rPr>
          <w:rFonts w:ascii="Arial" w:cs="Arial" w:eastAsia="Arial" w:hAnsi="Arial"/>
          <w:sz w:val="19"/>
          <w:szCs w:val="19"/>
          <w:b w:val="1"/>
          <w:bCs w:val="1"/>
          <w:color w:val="auto"/>
        </w:rPr>
        <w:t>Acquisition by Either Party</w:t>
      </w:r>
      <w:r>
        <w:rPr>
          <w:rFonts w:ascii="Arial" w:cs="Arial" w:eastAsia="Arial" w:hAnsi="Arial"/>
          <w:sz w:val="19"/>
          <w:szCs w:val="19"/>
          <w:color w:val="auto"/>
        </w:rPr>
        <w:t>. If either Party or any of its Affiliates merges or consolidates with, or otherwise acquires a</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(whether such transaction occurs by way of a sale of assets, merger, consolidation, or similar transaction), and at such time such Third Party is [*] or is engaged in activities that would otherwise constitute a breach of Section 2.8(a) (Exclusivity Covenant), then such Party will not be in breach of Section 2.8(a) (Exclusivity Covenant) if it does one of following: (i) divests, or cause its relevant Affiliates to divest,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119" w:lineRule="exact"/>
        <w:rPr>
          <w:sz w:val="20"/>
          <w:szCs w:val="20"/>
          <w:color w:val="auto"/>
        </w:rPr>
      </w:pPr>
    </w:p>
    <w:p>
      <w:pPr>
        <w:ind w:right="220" w:firstLine="8"/>
        <w:spacing w:after="0" w:line="277" w:lineRule="auto"/>
        <w:tabs>
          <w:tab w:leader="none" w:pos="255" w:val="left"/>
        </w:tabs>
        <w:numPr>
          <w:ilvl w:val="0"/>
          <w:numId w:val="134"/>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0" w:name="page131"/>
    <w:bookmarkEnd w:id="130"/>
    <w:p>
      <w:pPr>
        <w:jc w:val="both"/>
        <w:ind w:left="1700"/>
        <w:spacing w:after="0" w:line="246" w:lineRule="auto"/>
        <w:rPr>
          <w:sz w:val="20"/>
          <w:szCs w:val="20"/>
          <w:color w:val="auto"/>
        </w:rPr>
      </w:pPr>
      <w:r>
        <w:rPr>
          <w:rFonts w:ascii="Arial" w:cs="Arial" w:eastAsia="Arial" w:hAnsi="Arial"/>
          <w:sz w:val="20"/>
          <w:szCs w:val="20"/>
          <w:color w:val="auto"/>
        </w:rPr>
        <w:t>whether by sale, assignment, exclusive license or otherwise, its interest in such [*] or (ii) terminates any further Competitive Activities with respect to such [*]. Until the divestiture or termination is complete, the acquiring Party shall ensure that (A) [*], and (B) such Party and its Affiliates institutes [*] technical and administrative safeguards to ensure the requirements set forth in the foregoing clause (A) are met, [*].</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7"/>
          <w:szCs w:val="17"/>
          <w:b w:val="1"/>
          <w:bCs w:val="1"/>
          <w:color w:val="auto"/>
        </w:rPr>
        <w:t>FibroGen License Options</w:t>
      </w:r>
      <w:r>
        <w:rPr>
          <w:rFonts w:ascii="Arial" w:cs="Arial" w:eastAsia="Arial" w:hAnsi="Arial"/>
          <w:sz w:val="18"/>
          <w:szCs w:val="18"/>
          <w:b w:val="1"/>
          <w:bCs w:val="1"/>
          <w:color w:val="auto"/>
        </w:rPr>
        <w:t>.</w:t>
      </w:r>
    </w:p>
    <w:p>
      <w:pPr>
        <w:spacing w:after="0" w:line="220" w:lineRule="exact"/>
        <w:rPr>
          <w:sz w:val="20"/>
          <w:szCs w:val="20"/>
          <w:color w:val="auto"/>
        </w:rPr>
      </w:pPr>
    </w:p>
    <w:p>
      <w:pPr>
        <w:jc w:val="both"/>
        <w:ind w:left="1700" w:hanging="842"/>
        <w:spacing w:after="0" w:line="248" w:lineRule="auto"/>
        <w:tabs>
          <w:tab w:leader="none" w:pos="1700" w:val="left"/>
        </w:tabs>
        <w:numPr>
          <w:ilvl w:val="0"/>
          <w:numId w:val="135"/>
        </w:numPr>
        <w:rPr>
          <w:rFonts w:ascii="Arial" w:cs="Arial" w:eastAsia="Arial" w:hAnsi="Arial"/>
          <w:sz w:val="20"/>
          <w:szCs w:val="20"/>
          <w:color w:val="010000"/>
        </w:rPr>
      </w:pPr>
      <w:r>
        <w:rPr>
          <w:rFonts w:ascii="Arial" w:cs="Arial" w:eastAsia="Arial" w:hAnsi="Arial"/>
          <w:sz w:val="20"/>
          <w:szCs w:val="20"/>
          <w:b w:val="1"/>
          <w:bCs w:val="1"/>
          <w:color w:val="auto"/>
        </w:rPr>
        <w:t>Grant of Options</w:t>
      </w:r>
      <w:r>
        <w:rPr>
          <w:rFonts w:ascii="Arial" w:cs="Arial" w:eastAsia="Arial" w:hAnsi="Arial"/>
          <w:sz w:val="20"/>
          <w:szCs w:val="20"/>
          <w:color w:val="auto"/>
        </w:rPr>
        <w:t>. HFB hereby grants FibroGen, on an Option Program-by-Option Program basis, the exclusive option</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Option Term for each Option Program to obtain an exclusive license to Exploit the Option Compound and Option Products that are the subject of each Option Program in the Field in the Territory (for each Option Program, a “License Option”).</w:t>
      </w:r>
    </w:p>
    <w:p>
      <w:pPr>
        <w:spacing w:after="0" w:line="169" w:lineRule="exact"/>
        <w:rPr>
          <w:rFonts w:ascii="Arial" w:cs="Arial" w:eastAsia="Arial" w:hAnsi="Arial"/>
          <w:sz w:val="20"/>
          <w:szCs w:val="20"/>
          <w:color w:val="010000"/>
        </w:rPr>
      </w:pPr>
    </w:p>
    <w:p>
      <w:pPr>
        <w:jc w:val="both"/>
        <w:ind w:left="1700" w:hanging="842"/>
        <w:spacing w:after="0" w:line="275" w:lineRule="auto"/>
        <w:tabs>
          <w:tab w:leader="none" w:pos="1700" w:val="left"/>
        </w:tabs>
        <w:numPr>
          <w:ilvl w:val="0"/>
          <w:numId w:val="135"/>
        </w:numPr>
        <w:rPr>
          <w:rFonts w:ascii="Arial" w:cs="Arial" w:eastAsia="Arial" w:hAnsi="Arial"/>
          <w:sz w:val="18"/>
          <w:szCs w:val="18"/>
          <w:color w:val="010000"/>
        </w:rPr>
      </w:pPr>
      <w:r>
        <w:rPr>
          <w:rFonts w:ascii="Arial" w:cs="Arial" w:eastAsia="Arial" w:hAnsi="Arial"/>
          <w:sz w:val="18"/>
          <w:szCs w:val="18"/>
          <w:b w:val="1"/>
          <w:bCs w:val="1"/>
          <w:color w:val="auto"/>
        </w:rPr>
        <w:t>Data Sharing</w:t>
      </w:r>
      <w:r>
        <w:rPr>
          <w:rFonts w:ascii="Arial" w:cs="Arial" w:eastAsia="Arial" w:hAnsi="Arial"/>
          <w:sz w:val="18"/>
          <w:szCs w:val="18"/>
          <w:color w:val="auto"/>
        </w:rPr>
        <w:t>. During [*], to assist FibroGen in conducting thorough due diligence to decide whether to exercise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Option for such Option Program, HFB will provide all material data and results in the possession of HFB, its Affiliates or subcontractors from non-clinical and pre-clinical studies for Option Compounds that are the subject of each Option Program as soon as reasonably practicable [*]. In addition, [*], HFB will provide a summary of all material data and results in the possession of HFB, its Affiliates or subcontractors from all non-clinical and pre-clinical studies for Option Compounds for each Option Program. If reasonably requested by FibroGen, HFB will provide to FibroGen and its representatives an [*] in connection with JSC meetings or more frequently as mutually agreed by the Parties.</w:t>
      </w:r>
    </w:p>
    <w:p>
      <w:pPr>
        <w:spacing w:after="0" w:line="148" w:lineRule="exact"/>
        <w:rPr>
          <w:rFonts w:ascii="Arial" w:cs="Arial" w:eastAsia="Arial" w:hAnsi="Arial"/>
          <w:sz w:val="18"/>
          <w:szCs w:val="18"/>
          <w:color w:val="010000"/>
        </w:rPr>
      </w:pPr>
    </w:p>
    <w:p>
      <w:pPr>
        <w:ind w:left="1700" w:hanging="842"/>
        <w:spacing w:after="0"/>
        <w:tabs>
          <w:tab w:leader="none" w:pos="1700" w:val="left"/>
        </w:tabs>
        <w:numPr>
          <w:ilvl w:val="0"/>
          <w:numId w:val="135"/>
        </w:numPr>
        <w:rPr>
          <w:rFonts w:ascii="Arial" w:cs="Arial" w:eastAsia="Arial" w:hAnsi="Arial"/>
          <w:sz w:val="20"/>
          <w:szCs w:val="20"/>
          <w:color w:val="010000"/>
        </w:rPr>
      </w:pPr>
      <w:r>
        <w:rPr>
          <w:rFonts w:ascii="Arial" w:cs="Arial" w:eastAsia="Arial" w:hAnsi="Arial"/>
          <w:sz w:val="20"/>
          <w:szCs w:val="20"/>
          <w:b w:val="1"/>
          <w:bCs w:val="1"/>
          <w:color w:val="auto"/>
        </w:rPr>
        <w:t>Option Notice</w:t>
      </w:r>
      <w:r>
        <w:rPr>
          <w:rFonts w:ascii="Arial" w:cs="Arial" w:eastAsia="Arial" w:hAnsi="Arial"/>
          <w:sz w:val="20"/>
          <w:szCs w:val="20"/>
          <w:color w:val="auto"/>
        </w:rPr>
        <w:t>.</w:t>
      </w:r>
    </w:p>
    <w:p>
      <w:pPr>
        <w:spacing w:after="0" w:line="202" w:lineRule="exact"/>
        <w:rPr>
          <w:rFonts w:ascii="Arial" w:cs="Arial" w:eastAsia="Arial" w:hAnsi="Arial"/>
          <w:sz w:val="20"/>
          <w:szCs w:val="20"/>
          <w:color w:val="010000"/>
        </w:rPr>
      </w:pPr>
    </w:p>
    <w:p>
      <w:pPr>
        <w:jc w:val="both"/>
        <w:ind w:left="2580" w:hanging="858"/>
        <w:spacing w:after="0" w:line="253" w:lineRule="auto"/>
        <w:tabs>
          <w:tab w:leader="none" w:pos="2580" w:val="left"/>
        </w:tabs>
        <w:numPr>
          <w:ilvl w:val="1"/>
          <w:numId w:val="135"/>
        </w:numPr>
        <w:rPr>
          <w:rFonts w:ascii="Arial" w:cs="Arial" w:eastAsia="Arial" w:hAnsi="Arial"/>
          <w:sz w:val="20"/>
          <w:szCs w:val="20"/>
          <w:color w:val="010000"/>
        </w:rPr>
      </w:pPr>
      <w:r>
        <w:rPr>
          <w:rFonts w:ascii="Arial" w:cs="Arial" w:eastAsia="Arial" w:hAnsi="Arial"/>
          <w:sz w:val="20"/>
          <w:szCs w:val="20"/>
          <w:b w:val="1"/>
          <w:bCs w:val="1"/>
          <w:color w:val="auto"/>
        </w:rPr>
        <w:t>Delivery</w:t>
      </w:r>
      <w:r>
        <w:rPr>
          <w:rFonts w:ascii="Arial" w:cs="Arial" w:eastAsia="Arial" w:hAnsi="Arial"/>
          <w:sz w:val="20"/>
          <w:szCs w:val="20"/>
          <w:color w:val="auto"/>
        </w:rPr>
        <w:t>. On an Option Program-by-Option Program basis, HFB will deliver to FibroGen [*], and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any Replacement Option Program, [*] pursuant to Section 2.9(g)(ii) (Replacement Option Program Election) (collectively, for each Option Program, an “</w:t>
      </w:r>
      <w:r>
        <w:rPr>
          <w:rFonts w:ascii="Arial" w:cs="Arial" w:eastAsia="Arial" w:hAnsi="Arial"/>
          <w:sz w:val="20"/>
          <w:szCs w:val="20"/>
          <w:b w:val="1"/>
          <w:bCs w:val="1"/>
          <w:color w:val="auto"/>
        </w:rPr>
        <w:t>Option Notice</w:t>
      </w:r>
      <w:r>
        <w:rPr>
          <w:rFonts w:ascii="Arial" w:cs="Arial" w:eastAsia="Arial" w:hAnsi="Arial"/>
          <w:sz w:val="20"/>
          <w:szCs w:val="20"/>
          <w:color w:val="auto"/>
        </w:rPr>
        <w:t>”):</w:t>
      </w:r>
    </w:p>
    <w:p>
      <w:pPr>
        <w:spacing w:after="0" w:line="169" w:lineRule="exact"/>
        <w:rPr>
          <w:rFonts w:ascii="Arial" w:cs="Arial" w:eastAsia="Arial" w:hAnsi="Arial"/>
          <w:sz w:val="20"/>
          <w:szCs w:val="20"/>
          <w:color w:val="010000"/>
        </w:rPr>
      </w:pPr>
    </w:p>
    <w:p>
      <w:pPr>
        <w:jc w:val="both"/>
        <w:ind w:left="3460" w:hanging="860"/>
        <w:spacing w:after="0" w:line="246" w:lineRule="auto"/>
        <w:tabs>
          <w:tab w:leader="none" w:pos="3460" w:val="left"/>
        </w:tabs>
        <w:numPr>
          <w:ilvl w:val="2"/>
          <w:numId w:val="135"/>
        </w:numPr>
        <w:rPr>
          <w:rFonts w:ascii="Arial" w:cs="Arial" w:eastAsia="Arial" w:hAnsi="Arial"/>
          <w:sz w:val="20"/>
          <w:szCs w:val="20"/>
          <w:color w:val="010000"/>
        </w:rPr>
      </w:pPr>
      <w:r>
        <w:rPr>
          <w:rFonts w:ascii="Arial" w:cs="Arial" w:eastAsia="Arial" w:hAnsi="Arial"/>
          <w:sz w:val="20"/>
          <w:szCs w:val="20"/>
          <w:color w:val="auto"/>
        </w:rPr>
        <w:t>the Option Data Package for such Option Program, which shall include the information and materials identified in Schedule 1.101 (Option Data Package) whether or not such information and materials have been previously provided to FibroGen pursuant to Section 2.9(b) (Data Sharing);</w:t>
      </w:r>
    </w:p>
    <w:p>
      <w:pPr>
        <w:spacing w:after="0" w:line="177" w:lineRule="exact"/>
        <w:rPr>
          <w:rFonts w:ascii="Arial" w:cs="Arial" w:eastAsia="Arial" w:hAnsi="Arial"/>
          <w:sz w:val="20"/>
          <w:szCs w:val="20"/>
          <w:color w:val="010000"/>
        </w:rPr>
      </w:pPr>
    </w:p>
    <w:p>
      <w:pPr>
        <w:ind w:left="3460" w:right="20" w:hanging="860"/>
        <w:spacing w:after="0" w:line="260" w:lineRule="auto"/>
        <w:tabs>
          <w:tab w:leader="none" w:pos="3460" w:val="left"/>
        </w:tabs>
        <w:numPr>
          <w:ilvl w:val="2"/>
          <w:numId w:val="135"/>
        </w:numPr>
        <w:rPr>
          <w:rFonts w:ascii="Arial" w:cs="Arial" w:eastAsia="Arial" w:hAnsi="Arial"/>
          <w:sz w:val="20"/>
          <w:szCs w:val="20"/>
          <w:color w:val="010000"/>
        </w:rPr>
      </w:pPr>
      <w:r>
        <w:rPr>
          <w:rFonts w:ascii="Arial" w:cs="Arial" w:eastAsia="Arial" w:hAnsi="Arial"/>
          <w:sz w:val="20"/>
          <w:szCs w:val="20"/>
          <w:color w:val="auto"/>
        </w:rPr>
        <w:t>electronic copies of all submitted filings to a patent office related to the filing, prosecution and maintenance of any Option Patent Rights;</w:t>
      </w:r>
    </w:p>
    <w:p>
      <w:pPr>
        <w:spacing w:after="0" w:line="163" w:lineRule="exact"/>
        <w:rPr>
          <w:rFonts w:ascii="Arial" w:cs="Arial" w:eastAsia="Arial" w:hAnsi="Arial"/>
          <w:sz w:val="20"/>
          <w:szCs w:val="20"/>
          <w:color w:val="010000"/>
        </w:rPr>
      </w:pPr>
    </w:p>
    <w:p>
      <w:pPr>
        <w:ind w:left="3460" w:hanging="860"/>
        <w:spacing w:after="0"/>
        <w:tabs>
          <w:tab w:leader="none" w:pos="3460" w:val="left"/>
        </w:tabs>
        <w:numPr>
          <w:ilvl w:val="2"/>
          <w:numId w:val="135"/>
        </w:numPr>
        <w:rPr>
          <w:rFonts w:ascii="Arial" w:cs="Arial" w:eastAsia="Arial" w:hAnsi="Arial"/>
          <w:sz w:val="20"/>
          <w:szCs w:val="20"/>
          <w:color w:val="010000"/>
        </w:rPr>
      </w:pPr>
      <w:r>
        <w:rPr>
          <w:rFonts w:ascii="Arial" w:cs="Arial" w:eastAsia="Arial" w:hAnsi="Arial"/>
          <w:sz w:val="20"/>
          <w:szCs w:val="20"/>
          <w:color w:val="auto"/>
        </w:rPr>
        <w:t>a Disclosure Letter for such Option Program;</w:t>
      </w:r>
    </w:p>
    <w:p>
      <w:pPr>
        <w:spacing w:after="0" w:line="202" w:lineRule="exact"/>
        <w:rPr>
          <w:rFonts w:ascii="Arial" w:cs="Arial" w:eastAsia="Arial" w:hAnsi="Arial"/>
          <w:sz w:val="20"/>
          <w:szCs w:val="20"/>
          <w:color w:val="010000"/>
        </w:rPr>
      </w:pPr>
    </w:p>
    <w:p>
      <w:pPr>
        <w:ind w:left="3460" w:hanging="860"/>
        <w:spacing w:after="0"/>
        <w:tabs>
          <w:tab w:leader="none" w:pos="3460" w:val="left"/>
        </w:tabs>
        <w:numPr>
          <w:ilvl w:val="2"/>
          <w:numId w:val="135"/>
        </w:numPr>
        <w:rPr>
          <w:rFonts w:ascii="Arial" w:cs="Arial" w:eastAsia="Arial" w:hAnsi="Arial"/>
          <w:sz w:val="20"/>
          <w:szCs w:val="20"/>
          <w:color w:val="010000"/>
        </w:rPr>
      </w:pPr>
      <w:r>
        <w:rPr>
          <w:rFonts w:ascii="Arial" w:cs="Arial" w:eastAsia="Arial" w:hAnsi="Arial"/>
          <w:sz w:val="20"/>
          <w:szCs w:val="20"/>
          <w:color w:val="auto"/>
        </w:rPr>
        <w:t>a proposed [*] pursuant to Section 4.2 (Work Plans) for such Option Program;</w:t>
      </w:r>
    </w:p>
    <w:p>
      <w:pPr>
        <w:spacing w:after="0" w:line="202" w:lineRule="exact"/>
        <w:rPr>
          <w:rFonts w:ascii="Arial" w:cs="Arial" w:eastAsia="Arial" w:hAnsi="Arial"/>
          <w:sz w:val="20"/>
          <w:szCs w:val="20"/>
          <w:color w:val="010000"/>
        </w:rPr>
      </w:pPr>
    </w:p>
    <w:p>
      <w:pPr>
        <w:ind w:left="3460" w:hanging="860"/>
        <w:spacing w:after="0" w:line="260" w:lineRule="auto"/>
        <w:tabs>
          <w:tab w:leader="none" w:pos="3460" w:val="left"/>
        </w:tabs>
        <w:numPr>
          <w:ilvl w:val="2"/>
          <w:numId w:val="135"/>
        </w:numPr>
        <w:rPr>
          <w:rFonts w:ascii="Arial" w:cs="Arial" w:eastAsia="Arial" w:hAnsi="Arial"/>
          <w:sz w:val="20"/>
          <w:szCs w:val="20"/>
          <w:color w:val="010000"/>
        </w:rPr>
      </w:pPr>
      <w:r>
        <w:rPr>
          <w:rFonts w:ascii="Arial" w:cs="Arial" w:eastAsia="Arial" w:hAnsi="Arial"/>
          <w:sz w:val="20"/>
          <w:szCs w:val="20"/>
          <w:color w:val="auto"/>
        </w:rPr>
        <w:t>a list of all Third Party vendors and contractors that HFB has engaged in the conduct of Development or Manufacturing activities for such Option Program;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119" w:lineRule="exact"/>
        <w:rPr>
          <w:sz w:val="20"/>
          <w:szCs w:val="20"/>
          <w:color w:val="auto"/>
        </w:rPr>
      </w:pPr>
    </w:p>
    <w:p>
      <w:pPr>
        <w:ind w:right="220" w:firstLine="8"/>
        <w:spacing w:after="0" w:line="277" w:lineRule="auto"/>
        <w:tabs>
          <w:tab w:leader="none" w:pos="255" w:val="left"/>
        </w:tabs>
        <w:numPr>
          <w:ilvl w:val="0"/>
          <w:numId w:val="136"/>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1" w:name="page132"/>
    <w:bookmarkEnd w:id="131"/>
    <w:p>
      <w:pPr>
        <w:jc w:val="both"/>
        <w:ind w:left="3460" w:hanging="860"/>
        <w:spacing w:after="0" w:line="246" w:lineRule="auto"/>
        <w:tabs>
          <w:tab w:leader="none" w:pos="3460" w:val="left"/>
        </w:tabs>
        <w:numPr>
          <w:ilvl w:val="2"/>
          <w:numId w:val="137"/>
        </w:numPr>
        <w:rPr>
          <w:rFonts w:ascii="Arial" w:cs="Arial" w:eastAsia="Arial" w:hAnsi="Arial"/>
          <w:sz w:val="20"/>
          <w:szCs w:val="20"/>
          <w:color w:val="010000"/>
        </w:rPr>
      </w:pPr>
      <w:r>
        <w:rPr>
          <w:rFonts w:ascii="Arial" w:cs="Arial" w:eastAsia="Arial" w:hAnsi="Arial"/>
          <w:sz w:val="20"/>
          <w:szCs w:val="20"/>
          <w:color w:val="auto"/>
        </w:rPr>
        <w:t>[*], the provided information is accurate, and a statement that subject to the disclosures contained in the Disclosure Letter for such Option Program, the representations and warranties of HFB set forth in Section 10.2 (Representations and Warranties of HFB) are [*] with respect to such Option Program [*].</w:t>
      </w:r>
    </w:p>
    <w:p>
      <w:pPr>
        <w:spacing w:after="0" w:line="171" w:lineRule="exact"/>
        <w:rPr>
          <w:rFonts w:ascii="Arial" w:cs="Arial" w:eastAsia="Arial" w:hAnsi="Arial"/>
          <w:sz w:val="20"/>
          <w:szCs w:val="20"/>
          <w:color w:val="010000"/>
        </w:rPr>
      </w:pPr>
    </w:p>
    <w:p>
      <w:pPr>
        <w:ind w:left="2580" w:hanging="858"/>
        <w:spacing w:after="0"/>
        <w:tabs>
          <w:tab w:leader="none" w:pos="2580" w:val="left"/>
        </w:tabs>
        <w:numPr>
          <w:ilvl w:val="1"/>
          <w:numId w:val="138"/>
        </w:numPr>
        <w:rPr>
          <w:rFonts w:ascii="Arial" w:cs="Arial" w:eastAsia="Arial" w:hAnsi="Arial"/>
          <w:sz w:val="20"/>
          <w:szCs w:val="20"/>
          <w:color w:val="010000"/>
        </w:rPr>
      </w:pPr>
      <w:r>
        <w:rPr>
          <w:rFonts w:ascii="Arial" w:cs="Arial" w:eastAsia="Arial" w:hAnsi="Arial"/>
          <w:sz w:val="20"/>
          <w:szCs w:val="20"/>
          <w:b w:val="1"/>
          <w:bCs w:val="1"/>
          <w:color w:val="auto"/>
        </w:rPr>
        <w:t>Additional Information</w:t>
      </w:r>
      <w:r>
        <w:rPr>
          <w:rFonts w:ascii="Arial" w:cs="Arial" w:eastAsia="Arial" w:hAnsi="Arial"/>
          <w:sz w:val="20"/>
          <w:szCs w:val="20"/>
          <w:color w:val="auto"/>
        </w:rPr>
        <w:t>.</w:t>
      </w:r>
    </w:p>
    <w:p>
      <w:pPr>
        <w:spacing w:after="0" w:line="208" w:lineRule="exact"/>
        <w:rPr>
          <w:rFonts w:ascii="Arial" w:cs="Arial" w:eastAsia="Arial" w:hAnsi="Arial"/>
          <w:sz w:val="20"/>
          <w:szCs w:val="20"/>
          <w:color w:val="010000"/>
        </w:rPr>
      </w:pPr>
    </w:p>
    <w:p>
      <w:pPr>
        <w:ind w:left="3460" w:hanging="860"/>
        <w:spacing w:after="0" w:line="278" w:lineRule="auto"/>
        <w:tabs>
          <w:tab w:leader="none" w:pos="3460" w:val="left"/>
        </w:tabs>
        <w:numPr>
          <w:ilvl w:val="2"/>
          <w:numId w:val="138"/>
        </w:numPr>
        <w:rPr>
          <w:rFonts w:ascii="Arial" w:cs="Arial" w:eastAsia="Arial" w:hAnsi="Arial"/>
          <w:sz w:val="18"/>
          <w:szCs w:val="18"/>
          <w:color w:val="010000"/>
        </w:rPr>
      </w:pPr>
      <w:r>
        <w:rPr>
          <w:rFonts w:ascii="Arial" w:cs="Arial" w:eastAsia="Arial" w:hAnsi="Arial"/>
          <w:sz w:val="18"/>
          <w:szCs w:val="18"/>
          <w:color w:val="auto"/>
        </w:rPr>
        <w:t>For [*] following receipt of an Option Notice for an Option Program, FibroGen will have the right to reasonably discuss and request that HFB provide additional data and information pursuant to Section 2.9(c)(i) (Delivery) in its possession with respect to such Option Program. Within [*] following FibroGen’s request, HFB will provide FibroGen with such additional data and information. For clarity, the Option Term with respect to each Option Program will expire [*].</w:t>
      </w:r>
    </w:p>
    <w:p>
      <w:pPr>
        <w:spacing w:after="0" w:line="151" w:lineRule="exact"/>
        <w:rPr>
          <w:rFonts w:ascii="Arial" w:cs="Arial" w:eastAsia="Arial" w:hAnsi="Arial"/>
          <w:sz w:val="18"/>
          <w:szCs w:val="18"/>
          <w:color w:val="010000"/>
        </w:rPr>
      </w:pPr>
    </w:p>
    <w:p>
      <w:pPr>
        <w:ind w:left="3460" w:right="40" w:hanging="860"/>
        <w:spacing w:after="0" w:line="269" w:lineRule="auto"/>
        <w:tabs>
          <w:tab w:leader="none" w:pos="3460" w:val="left"/>
        </w:tabs>
        <w:numPr>
          <w:ilvl w:val="2"/>
          <w:numId w:val="138"/>
        </w:numPr>
        <w:rPr>
          <w:rFonts w:ascii="Arial" w:cs="Arial" w:eastAsia="Arial" w:hAnsi="Arial"/>
          <w:sz w:val="19"/>
          <w:szCs w:val="19"/>
          <w:color w:val="010000"/>
        </w:rPr>
      </w:pPr>
      <w:r>
        <w:rPr>
          <w:rFonts w:ascii="Arial" w:cs="Arial" w:eastAsia="Arial" w:hAnsi="Arial"/>
          <w:sz w:val="19"/>
          <w:szCs w:val="19"/>
          <w:color w:val="auto"/>
        </w:rPr>
        <w:t>During [*], upon FibroGen’s request, HFB will provide to FibroGen and its representatives [*], in each case, as FibroGen may reasonably request related to such Option Program to conduct customary and reasonable due diligence of such Option Program.</w:t>
      </w:r>
    </w:p>
    <w:p>
      <w:pPr>
        <w:spacing w:after="0" w:line="150" w:lineRule="exact"/>
        <w:rPr>
          <w:rFonts w:ascii="Arial" w:cs="Arial" w:eastAsia="Arial" w:hAnsi="Arial"/>
          <w:sz w:val="19"/>
          <w:szCs w:val="19"/>
          <w:color w:val="010000"/>
        </w:rPr>
      </w:pPr>
    </w:p>
    <w:p>
      <w:pPr>
        <w:jc w:val="both"/>
        <w:ind w:left="2580" w:hanging="858"/>
        <w:spacing w:after="0" w:line="253" w:lineRule="auto"/>
        <w:tabs>
          <w:tab w:leader="none" w:pos="2580" w:val="left"/>
        </w:tabs>
        <w:numPr>
          <w:ilvl w:val="1"/>
          <w:numId w:val="138"/>
        </w:numPr>
        <w:rPr>
          <w:rFonts w:ascii="Arial" w:cs="Arial" w:eastAsia="Arial" w:hAnsi="Arial"/>
          <w:sz w:val="20"/>
          <w:szCs w:val="20"/>
          <w:color w:val="010000"/>
        </w:rPr>
      </w:pPr>
      <w:r>
        <w:rPr>
          <w:rFonts w:ascii="Arial" w:cs="Arial" w:eastAsia="Arial" w:hAnsi="Arial"/>
          <w:sz w:val="20"/>
          <w:szCs w:val="20"/>
          <w:b w:val="1"/>
          <w:bCs w:val="1"/>
          <w:color w:val="auto"/>
        </w:rPr>
        <w:t>FibroGen Option Decision</w:t>
      </w:r>
      <w:r>
        <w:rPr>
          <w:rFonts w:ascii="Arial" w:cs="Arial" w:eastAsia="Arial" w:hAnsi="Arial"/>
          <w:sz w:val="20"/>
          <w:szCs w:val="20"/>
          <w:color w:val="auto"/>
        </w:rPr>
        <w:t>. If FibroGen makes a final decision not to exercise a License Option for a given</w:t>
      </w:r>
      <w:r>
        <w:rPr>
          <w:rFonts w:ascii="Arial" w:cs="Arial" w:eastAsia="Arial" w:hAnsi="Arial"/>
          <w:sz w:val="20"/>
          <w:szCs w:val="20"/>
          <w:b w:val="1"/>
          <w:bCs w:val="1"/>
          <w:color w:val="auto"/>
        </w:rPr>
        <w:t xml:space="preserve"> </w:t>
      </w:r>
      <w:r>
        <w:rPr>
          <w:rFonts w:ascii="Arial" w:cs="Arial" w:eastAsia="Arial" w:hAnsi="Arial"/>
          <w:sz w:val="20"/>
          <w:szCs w:val="20"/>
          <w:color w:val="auto"/>
        </w:rPr>
        <w:t>Option Program, FibroGen will provide notice to HFB within [*] of such decision and such option shall terminate pursuant to Section 2.9(f) (Termination of a License Option).</w:t>
      </w:r>
    </w:p>
    <w:p>
      <w:pPr>
        <w:spacing w:after="0" w:line="163" w:lineRule="exact"/>
        <w:rPr>
          <w:rFonts w:ascii="Arial" w:cs="Arial" w:eastAsia="Arial" w:hAnsi="Arial"/>
          <w:sz w:val="20"/>
          <w:szCs w:val="20"/>
          <w:color w:val="010000"/>
        </w:rPr>
      </w:pPr>
    </w:p>
    <w:p>
      <w:pPr>
        <w:jc w:val="both"/>
        <w:ind w:left="1700" w:hanging="842"/>
        <w:spacing w:after="0" w:line="245" w:lineRule="auto"/>
        <w:tabs>
          <w:tab w:leader="none" w:pos="1700" w:val="left"/>
        </w:tabs>
        <w:numPr>
          <w:ilvl w:val="0"/>
          <w:numId w:val="139"/>
        </w:numPr>
        <w:rPr>
          <w:rFonts w:ascii="Arial" w:cs="Arial" w:eastAsia="Arial" w:hAnsi="Arial"/>
          <w:sz w:val="20"/>
          <w:szCs w:val="20"/>
          <w:color w:val="010000"/>
        </w:rPr>
      </w:pPr>
      <w:r>
        <w:rPr>
          <w:rFonts w:ascii="Arial" w:cs="Arial" w:eastAsia="Arial" w:hAnsi="Arial"/>
          <w:sz w:val="20"/>
          <w:szCs w:val="20"/>
          <w:b w:val="1"/>
          <w:bCs w:val="1"/>
          <w:u w:val="single" w:color="auto"/>
          <w:color w:val="auto"/>
        </w:rPr>
        <w:t>Restrictions</w:t>
      </w:r>
      <w:r>
        <w:rPr>
          <w:rFonts w:ascii="Arial" w:cs="Arial" w:eastAsia="Arial" w:hAnsi="Arial"/>
          <w:sz w:val="20"/>
          <w:szCs w:val="20"/>
          <w:color w:val="auto"/>
        </w:rPr>
        <w:t>. During [*], other than with the prior written consent of (i) FibroGen, which may be withheld in its sole</w:t>
      </w:r>
      <w:r>
        <w:rPr>
          <w:rFonts w:ascii="Arial" w:cs="Arial" w:eastAsia="Arial" w:hAnsi="Arial"/>
          <w:sz w:val="20"/>
          <w:szCs w:val="20"/>
          <w:b w:val="1"/>
          <w:bCs w:val="1"/>
          <w:color w:val="auto"/>
        </w:rPr>
        <w:t xml:space="preserve"> </w:t>
      </w:r>
      <w:r>
        <w:rPr>
          <w:rFonts w:ascii="Arial" w:cs="Arial" w:eastAsia="Arial" w:hAnsi="Arial"/>
          <w:sz w:val="20"/>
          <w:szCs w:val="20"/>
          <w:color w:val="auto"/>
        </w:rPr>
        <w:t>discretion, HFB will not grant to any Third Party any right to Exploit any Option Compound that is the subject of such Option Program in a manner that would conflict with the License Option granted to FibroGen hereunder and (ii) HFB, which may be withheld in its sole discretion, FibroGen and its Affiliates will not engage in any [*] that would conflict with the exclusivity set forth in Section 2.8 (Exclusivity), with respect to such Option Program or the rights granted to FibroGen if FibroGen were to exercise such License Option.</w:t>
      </w:r>
    </w:p>
    <w:p>
      <w:pPr>
        <w:spacing w:after="0" w:line="76" w:lineRule="exact"/>
        <w:rPr>
          <w:rFonts w:ascii="Arial" w:cs="Arial" w:eastAsia="Arial" w:hAnsi="Arial"/>
          <w:sz w:val="20"/>
          <w:szCs w:val="20"/>
          <w:color w:val="010000"/>
        </w:rPr>
      </w:pPr>
    </w:p>
    <w:p>
      <w:pPr>
        <w:jc w:val="both"/>
        <w:ind w:left="1700" w:hanging="842"/>
        <w:spacing w:after="0" w:line="259" w:lineRule="auto"/>
        <w:tabs>
          <w:tab w:leader="none" w:pos="1700" w:val="left"/>
        </w:tabs>
        <w:numPr>
          <w:ilvl w:val="0"/>
          <w:numId w:val="139"/>
        </w:numPr>
        <w:rPr>
          <w:rFonts w:ascii="Arial" w:cs="Arial" w:eastAsia="Arial" w:hAnsi="Arial"/>
          <w:sz w:val="19"/>
          <w:szCs w:val="19"/>
          <w:color w:val="010000"/>
        </w:rPr>
      </w:pPr>
      <w:r>
        <w:rPr>
          <w:rFonts w:ascii="Arial" w:cs="Arial" w:eastAsia="Arial" w:hAnsi="Arial"/>
          <w:sz w:val="19"/>
          <w:szCs w:val="19"/>
          <w:b w:val="1"/>
          <w:bCs w:val="1"/>
          <w:color w:val="auto"/>
        </w:rPr>
        <w:t>Exercise of a License Option</w:t>
      </w:r>
      <w:r>
        <w:rPr>
          <w:rFonts w:ascii="Arial" w:cs="Arial" w:eastAsia="Arial" w:hAnsi="Arial"/>
          <w:sz w:val="19"/>
          <w:szCs w:val="19"/>
          <w:color w:val="auto"/>
        </w:rPr>
        <w:t>. FibroGen may exercise the License Option for a given Option Program [*]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of an Option Notice with respect to such Option Program, or that the Parties mutually agree upon (the “</w:t>
      </w:r>
      <w:r>
        <w:rPr>
          <w:rFonts w:ascii="Arial" w:cs="Arial" w:eastAsia="Arial" w:hAnsi="Arial"/>
          <w:sz w:val="19"/>
          <w:szCs w:val="19"/>
          <w:b w:val="1"/>
          <w:bCs w:val="1"/>
          <w:color w:val="auto"/>
        </w:rPr>
        <w:t>Option</w:t>
      </w:r>
      <w:r>
        <w:rPr>
          <w:rFonts w:ascii="Arial" w:cs="Arial" w:eastAsia="Arial" w:hAnsi="Arial"/>
          <w:sz w:val="19"/>
          <w:szCs w:val="19"/>
          <w:color w:val="auto"/>
        </w:rPr>
        <w:t xml:space="preserve"> </w:t>
      </w:r>
      <w:r>
        <w:rPr>
          <w:rFonts w:ascii="Arial" w:cs="Arial" w:eastAsia="Arial" w:hAnsi="Arial"/>
          <w:sz w:val="19"/>
          <w:szCs w:val="19"/>
          <w:b w:val="1"/>
          <w:bCs w:val="1"/>
          <w:color w:val="auto"/>
        </w:rPr>
        <w:t>Term</w:t>
      </w:r>
      <w:r>
        <w:rPr>
          <w:rFonts w:ascii="Arial" w:cs="Arial" w:eastAsia="Arial" w:hAnsi="Arial"/>
          <w:sz w:val="19"/>
          <w:szCs w:val="19"/>
          <w:color w:val="auto"/>
        </w:rPr>
        <w:t>”), by (i) providing HFB with written notice of its exercise with respect thereto (each, an “</w:t>
      </w:r>
      <w:r>
        <w:rPr>
          <w:rFonts w:ascii="Arial" w:cs="Arial" w:eastAsia="Arial" w:hAnsi="Arial"/>
          <w:sz w:val="19"/>
          <w:szCs w:val="19"/>
          <w:b w:val="1"/>
          <w:bCs w:val="1"/>
          <w:color w:val="auto"/>
        </w:rPr>
        <w:t>Option Exercise Notice</w:t>
      </w:r>
      <w:r>
        <w:rPr>
          <w:rFonts w:ascii="Arial" w:cs="Arial" w:eastAsia="Arial" w:hAnsi="Arial"/>
          <w:sz w:val="19"/>
          <w:szCs w:val="19"/>
          <w:color w:val="auto"/>
        </w:rPr>
        <w:t>”) and (ii) paying to HFB the applicable Option Exercise Payment set forth in Section 8.2 (Option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 From and after the Option Exercise Date for an Option Program, all Option Compounds and Option Products that are the subject of such Option Program will thereafter become Licensed Compounds and Licensed Products, as applicable, for all purposes under this Agreement.</w:t>
      </w:r>
    </w:p>
    <w:p>
      <w:pPr>
        <w:spacing w:after="0" w:line="64" w:lineRule="exact"/>
        <w:rPr>
          <w:rFonts w:ascii="Arial" w:cs="Arial" w:eastAsia="Arial" w:hAnsi="Arial"/>
          <w:sz w:val="19"/>
          <w:szCs w:val="19"/>
          <w:color w:val="010000"/>
        </w:rPr>
      </w:pPr>
    </w:p>
    <w:p>
      <w:pPr>
        <w:jc w:val="both"/>
        <w:ind w:left="1700" w:hanging="842"/>
        <w:spacing w:after="0" w:line="265" w:lineRule="auto"/>
        <w:tabs>
          <w:tab w:leader="none" w:pos="1700" w:val="left"/>
        </w:tabs>
        <w:numPr>
          <w:ilvl w:val="0"/>
          <w:numId w:val="139"/>
        </w:numPr>
        <w:rPr>
          <w:rFonts w:ascii="Arial" w:cs="Arial" w:eastAsia="Arial" w:hAnsi="Arial"/>
          <w:sz w:val="19"/>
          <w:szCs w:val="19"/>
          <w:color w:val="010000"/>
        </w:rPr>
      </w:pPr>
      <w:r>
        <w:rPr>
          <w:rFonts w:ascii="Arial" w:cs="Arial" w:eastAsia="Arial" w:hAnsi="Arial"/>
          <w:sz w:val="19"/>
          <w:szCs w:val="19"/>
          <w:b w:val="1"/>
          <w:bCs w:val="1"/>
          <w:u w:val="single" w:color="auto"/>
          <w:color w:val="auto"/>
        </w:rPr>
        <w:t>Termination of Option</w:t>
      </w:r>
      <w:r>
        <w:rPr>
          <w:rFonts w:ascii="Arial" w:cs="Arial" w:eastAsia="Arial" w:hAnsi="Arial"/>
          <w:sz w:val="19"/>
          <w:szCs w:val="19"/>
          <w:color w:val="auto"/>
        </w:rPr>
        <w:t>. If FibroGen (i) provides written notice to HFB pursuant to Section 2.9(c)(iii) (FibroGen</w:t>
      </w:r>
      <w:r>
        <w:rPr>
          <w:rFonts w:ascii="Arial" w:cs="Arial" w:eastAsia="Arial" w:hAnsi="Arial"/>
          <w:sz w:val="19"/>
          <w:szCs w:val="19"/>
          <w:b w:val="1"/>
          <w:bCs w:val="1"/>
          <w:color w:val="auto"/>
        </w:rPr>
        <w:t xml:space="preserve"> </w:t>
      </w:r>
      <w:r>
        <w:rPr>
          <w:rFonts w:ascii="Arial" w:cs="Arial" w:eastAsia="Arial" w:hAnsi="Arial"/>
          <w:sz w:val="19"/>
          <w:szCs w:val="19"/>
          <w:color w:val="auto"/>
        </w:rPr>
        <w:t>Option Decision) or (ii) does not provide an Option Exercise Notice prior to the expiration of the Option Term, in each case, in respect of a given Option Program, then FibroGen’s right to exercise the License Option for such Option Program will terminate. Following termination of any Option Program, including pursuant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119" w:lineRule="exact"/>
        <w:rPr>
          <w:sz w:val="20"/>
          <w:szCs w:val="20"/>
          <w:color w:val="auto"/>
        </w:rPr>
      </w:pPr>
    </w:p>
    <w:p>
      <w:pPr>
        <w:ind w:right="220" w:firstLine="8"/>
        <w:spacing w:after="0" w:line="277" w:lineRule="auto"/>
        <w:tabs>
          <w:tab w:leader="none" w:pos="255" w:val="left"/>
        </w:tabs>
        <w:numPr>
          <w:ilvl w:val="0"/>
          <w:numId w:val="140"/>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2" w:name="page133"/>
    <w:bookmarkEnd w:id="132"/>
    <w:p>
      <w:pPr>
        <w:jc w:val="both"/>
        <w:ind w:left="1700"/>
        <w:spacing w:after="0" w:line="250" w:lineRule="auto"/>
        <w:rPr>
          <w:sz w:val="20"/>
          <w:szCs w:val="20"/>
          <w:color w:val="auto"/>
        </w:rPr>
      </w:pPr>
      <w:r>
        <w:rPr>
          <w:rFonts w:ascii="Arial" w:cs="Arial" w:eastAsia="Arial" w:hAnsi="Arial"/>
          <w:sz w:val="20"/>
          <w:szCs w:val="20"/>
          <w:color w:val="auto"/>
        </w:rPr>
        <w:t>Section 13.2 (Termination by FibroGen) or 13.3(b) (By HFB), HFB will have no further obligations to FibroGen with respect to such Option Program and this Agreement will terminate with respect to such Option Program, including all Option Compounds and Option Products.</w:t>
      </w:r>
    </w:p>
    <w:p>
      <w:pPr>
        <w:spacing w:after="0" w:line="166" w:lineRule="exact"/>
        <w:rPr>
          <w:sz w:val="20"/>
          <w:szCs w:val="20"/>
          <w:color w:val="auto"/>
        </w:rPr>
      </w:pPr>
    </w:p>
    <w:p>
      <w:pPr>
        <w:ind w:left="1700" w:hanging="842"/>
        <w:spacing w:after="0"/>
        <w:tabs>
          <w:tab w:leader="none" w:pos="1700" w:val="left"/>
        </w:tabs>
        <w:numPr>
          <w:ilvl w:val="0"/>
          <w:numId w:val="141"/>
        </w:numPr>
        <w:rPr>
          <w:rFonts w:ascii="Arial" w:cs="Arial" w:eastAsia="Arial" w:hAnsi="Arial"/>
          <w:sz w:val="20"/>
          <w:szCs w:val="20"/>
          <w:color w:val="010000"/>
        </w:rPr>
      </w:pPr>
      <w:r>
        <w:rPr>
          <w:rFonts w:ascii="Arial" w:cs="Arial" w:eastAsia="Arial" w:hAnsi="Arial"/>
          <w:sz w:val="20"/>
          <w:szCs w:val="20"/>
          <w:b w:val="1"/>
          <w:bCs w:val="1"/>
          <w:color w:val="auto"/>
        </w:rPr>
        <w:t>Replacement Option Program</w:t>
      </w:r>
      <w:r>
        <w:rPr>
          <w:rFonts w:ascii="Arial" w:cs="Arial" w:eastAsia="Arial" w:hAnsi="Arial"/>
          <w:sz w:val="20"/>
          <w:szCs w:val="20"/>
          <w:color w:val="auto"/>
        </w:rPr>
        <w:t>.</w:t>
      </w:r>
    </w:p>
    <w:p>
      <w:pPr>
        <w:spacing w:after="0" w:line="107" w:lineRule="exact"/>
        <w:rPr>
          <w:rFonts w:ascii="Arial" w:cs="Arial" w:eastAsia="Arial" w:hAnsi="Arial"/>
          <w:sz w:val="20"/>
          <w:szCs w:val="20"/>
          <w:color w:val="010000"/>
        </w:rPr>
      </w:pPr>
    </w:p>
    <w:p>
      <w:pPr>
        <w:jc w:val="both"/>
        <w:ind w:left="2580" w:hanging="858"/>
        <w:spacing w:after="0" w:line="243" w:lineRule="auto"/>
        <w:tabs>
          <w:tab w:leader="none" w:pos="2580" w:val="left"/>
        </w:tabs>
        <w:numPr>
          <w:ilvl w:val="1"/>
          <w:numId w:val="141"/>
        </w:numPr>
        <w:rPr>
          <w:rFonts w:ascii="Arial" w:cs="Arial" w:eastAsia="Arial" w:hAnsi="Arial"/>
          <w:sz w:val="20"/>
          <w:szCs w:val="20"/>
          <w:color w:val="010000"/>
        </w:rPr>
      </w:pPr>
      <w:r>
        <w:rPr>
          <w:rFonts w:ascii="Arial" w:cs="Arial" w:eastAsia="Arial" w:hAnsi="Arial"/>
          <w:sz w:val="20"/>
          <w:szCs w:val="20"/>
          <w:b w:val="1"/>
          <w:bCs w:val="1"/>
          <w:color w:val="auto"/>
        </w:rPr>
        <w:t>In Connection with FibroGen Non-Exercise</w:t>
      </w:r>
      <w:r>
        <w:rPr>
          <w:rFonts w:ascii="Arial" w:cs="Arial" w:eastAsia="Arial" w:hAnsi="Arial"/>
          <w:sz w:val="20"/>
          <w:szCs w:val="20"/>
          <w:color w:val="auto"/>
        </w:rPr>
        <w:t>. Notwithstanding Section 2.9(f) (Termination of Option), if</w:t>
      </w:r>
      <w:r>
        <w:rPr>
          <w:rFonts w:ascii="Arial" w:cs="Arial" w:eastAsia="Arial" w:hAnsi="Arial"/>
          <w:sz w:val="20"/>
          <w:szCs w:val="20"/>
          <w:b w:val="1"/>
          <w:bCs w:val="1"/>
          <w:color w:val="auto"/>
        </w:rPr>
        <w:t xml:space="preserve"> </w:t>
      </w:r>
      <w:r>
        <w:rPr>
          <w:rFonts w:ascii="Arial" w:cs="Arial" w:eastAsia="Arial" w:hAnsi="Arial"/>
          <w:sz w:val="20"/>
          <w:szCs w:val="20"/>
          <w:color w:val="auto"/>
        </w:rPr>
        <w:t>FibroGen, in its sole discretion, elects not to provide an Option Exercise Notice with respect to either the CCR8 Option Program or the CXCR5 Option Program, then upon FibroGen’s written request prior to the expiration of the later of the CXCR5 Option Term or CCR8 Option Term (“</w:t>
      </w:r>
      <w:r>
        <w:rPr>
          <w:rFonts w:ascii="Arial" w:cs="Arial" w:eastAsia="Arial" w:hAnsi="Arial"/>
          <w:sz w:val="20"/>
          <w:szCs w:val="20"/>
          <w:b w:val="1"/>
          <w:bCs w:val="1"/>
          <w:color w:val="auto"/>
        </w:rPr>
        <w:t>Replacement Option</w:t>
      </w:r>
      <w:r>
        <w:rPr>
          <w:rFonts w:ascii="Arial" w:cs="Arial" w:eastAsia="Arial" w:hAnsi="Arial"/>
          <w:sz w:val="20"/>
          <w:szCs w:val="20"/>
          <w:color w:val="auto"/>
        </w:rPr>
        <w:t xml:space="preserve"> </w:t>
      </w:r>
      <w:r>
        <w:rPr>
          <w:rFonts w:ascii="Arial" w:cs="Arial" w:eastAsia="Arial" w:hAnsi="Arial"/>
          <w:sz w:val="20"/>
          <w:szCs w:val="20"/>
          <w:b w:val="1"/>
          <w:bCs w:val="1"/>
          <w:color w:val="auto"/>
        </w:rPr>
        <w:t>Election</w:t>
      </w:r>
      <w:r>
        <w:rPr>
          <w:rFonts w:ascii="Arial" w:cs="Arial" w:eastAsia="Arial" w:hAnsi="Arial"/>
          <w:sz w:val="20"/>
          <w:szCs w:val="20"/>
          <w:color w:val="auto"/>
        </w:rPr>
        <w:t>”), the Parties will work in good faith to identify one additional program of a [*] that is Controlled</w:t>
      </w:r>
      <w:r>
        <w:rPr>
          <w:rFonts w:ascii="Arial" w:cs="Arial" w:eastAsia="Arial" w:hAnsi="Arial"/>
          <w:sz w:val="20"/>
          <w:szCs w:val="20"/>
          <w:b w:val="1"/>
          <w:bCs w:val="1"/>
          <w:color w:val="auto"/>
        </w:rPr>
        <w:t xml:space="preserve"> </w:t>
      </w:r>
      <w:r>
        <w:rPr>
          <w:rFonts w:ascii="Arial" w:cs="Arial" w:eastAsia="Arial" w:hAnsi="Arial"/>
          <w:sz w:val="20"/>
          <w:szCs w:val="20"/>
          <w:color w:val="auto"/>
        </w:rPr>
        <w:t>by HFB or its Affiliates for inclusion as an Option Program under this Agreement. For clarity, FibroGen may elect [*] for inclusion as an Option Program under this Agreement pursuant to this Section 2.9(g)(i) (FibroGen Non-Election) [*].</w:t>
      </w:r>
    </w:p>
    <w:p>
      <w:pPr>
        <w:spacing w:after="0" w:line="175" w:lineRule="exact"/>
        <w:rPr>
          <w:rFonts w:ascii="Arial" w:cs="Arial" w:eastAsia="Arial" w:hAnsi="Arial"/>
          <w:sz w:val="20"/>
          <w:szCs w:val="20"/>
          <w:color w:val="010000"/>
        </w:rPr>
      </w:pPr>
    </w:p>
    <w:p>
      <w:pPr>
        <w:ind w:left="2580" w:hanging="858"/>
        <w:spacing w:after="0"/>
        <w:tabs>
          <w:tab w:leader="none" w:pos="2580" w:val="left"/>
        </w:tabs>
        <w:numPr>
          <w:ilvl w:val="1"/>
          <w:numId w:val="141"/>
        </w:numPr>
        <w:rPr>
          <w:rFonts w:ascii="Arial" w:cs="Arial" w:eastAsia="Arial" w:hAnsi="Arial"/>
          <w:sz w:val="18"/>
          <w:szCs w:val="18"/>
          <w:color w:val="010000"/>
        </w:rPr>
      </w:pPr>
      <w:r>
        <w:rPr>
          <w:rFonts w:ascii="Arial" w:cs="Arial" w:eastAsia="Arial" w:hAnsi="Arial"/>
          <w:sz w:val="18"/>
          <w:szCs w:val="18"/>
          <w:b w:val="1"/>
          <w:bCs w:val="1"/>
          <w:color w:val="auto"/>
        </w:rPr>
        <w:t>Replacement Option Program Election</w:t>
      </w:r>
      <w:r>
        <w:rPr>
          <w:rFonts w:ascii="Arial" w:cs="Arial" w:eastAsia="Arial" w:hAnsi="Arial"/>
          <w:sz w:val="18"/>
          <w:szCs w:val="18"/>
          <w:color w:val="auto"/>
        </w:rPr>
        <w:t>. Any program identified by the Parties pursuant to Section 2.9(g)</w:t>
      </w:r>
    </w:p>
    <w:p>
      <w:pPr>
        <w:spacing w:after="0" w:line="44" w:lineRule="exact"/>
        <w:rPr>
          <w:rFonts w:ascii="Arial" w:cs="Arial" w:eastAsia="Arial" w:hAnsi="Arial"/>
          <w:sz w:val="18"/>
          <w:szCs w:val="18"/>
          <w:color w:val="010000"/>
        </w:rPr>
      </w:pPr>
    </w:p>
    <w:p>
      <w:pPr>
        <w:jc w:val="both"/>
        <w:ind w:left="2580" w:hanging="7"/>
        <w:spacing w:after="0" w:line="276" w:lineRule="auto"/>
        <w:tabs>
          <w:tab w:leader="none" w:pos="2857" w:val="left"/>
        </w:tabs>
        <w:numPr>
          <w:ilvl w:val="2"/>
          <w:numId w:val="141"/>
        </w:numPr>
        <w:rPr>
          <w:rFonts w:ascii="Arial" w:cs="Arial" w:eastAsia="Arial" w:hAnsi="Arial"/>
          <w:sz w:val="18"/>
          <w:szCs w:val="18"/>
          <w:color w:val="auto"/>
        </w:rPr>
      </w:pPr>
      <w:r>
        <w:rPr>
          <w:rFonts w:ascii="Arial" w:cs="Arial" w:eastAsia="Arial" w:hAnsi="Arial"/>
          <w:sz w:val="18"/>
          <w:szCs w:val="18"/>
          <w:color w:val="auto"/>
        </w:rPr>
        <w:t>(FibroGen Non-Election) and elected by FibroGen pursuant to the Replacement Option Election for inclusion as an Option Program under this Agreement will automatically become an Option Program for all purposes under this Agreement (each such Option Program, a “</w:t>
      </w:r>
      <w:r>
        <w:rPr>
          <w:rFonts w:ascii="Arial" w:cs="Arial" w:eastAsia="Arial" w:hAnsi="Arial"/>
          <w:sz w:val="18"/>
          <w:szCs w:val="18"/>
          <w:b w:val="1"/>
          <w:bCs w:val="1"/>
          <w:color w:val="auto"/>
        </w:rPr>
        <w:t>Replacement Option Program</w:t>
      </w:r>
      <w:r>
        <w:rPr>
          <w:rFonts w:ascii="Arial" w:cs="Arial" w:eastAsia="Arial" w:hAnsi="Arial"/>
          <w:sz w:val="18"/>
          <w:szCs w:val="18"/>
          <w:color w:val="auto"/>
        </w:rPr>
        <w:t>”, and the target to which any compounds or products under such program are directed, a “</w:t>
      </w:r>
      <w:r>
        <w:rPr>
          <w:rFonts w:ascii="Arial" w:cs="Arial" w:eastAsia="Arial" w:hAnsi="Arial"/>
          <w:sz w:val="18"/>
          <w:szCs w:val="18"/>
          <w:b w:val="1"/>
          <w:bCs w:val="1"/>
          <w:color w:val="auto"/>
        </w:rPr>
        <w:t>Replacement Target</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jc w:val="both"/>
        <w:ind w:left="1700" w:hanging="842"/>
        <w:spacing w:after="0" w:line="253" w:lineRule="auto"/>
        <w:tabs>
          <w:tab w:leader="none" w:pos="1700" w:val="left"/>
        </w:tabs>
        <w:numPr>
          <w:ilvl w:val="0"/>
          <w:numId w:val="141"/>
        </w:numPr>
        <w:rPr>
          <w:rFonts w:ascii="Arial" w:cs="Arial" w:eastAsia="Arial" w:hAnsi="Arial"/>
          <w:sz w:val="20"/>
          <w:szCs w:val="20"/>
          <w:color w:val="010000"/>
        </w:rPr>
      </w:pPr>
      <w:r>
        <w:rPr>
          <w:rFonts w:ascii="Arial" w:cs="Arial" w:eastAsia="Arial" w:hAnsi="Arial"/>
          <w:sz w:val="20"/>
          <w:szCs w:val="20"/>
          <w:b w:val="1"/>
          <w:bCs w:val="1"/>
          <w:color w:val="auto"/>
        </w:rPr>
        <w:t>[*] HFB Screening Technology</w:t>
      </w:r>
      <w:r>
        <w:rPr>
          <w:rFonts w:ascii="Arial" w:cs="Arial" w:eastAsia="Arial" w:hAnsi="Arial"/>
          <w:sz w:val="20"/>
          <w:szCs w:val="20"/>
          <w:color w:val="auto"/>
        </w:rPr>
        <w:t>. Notwithstanding anything in this Section 2.9 (FibroGen License Options)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in this Agreement to the contrary, after the Effective Date, [*], any HFB Screening Know-How, HFB Screening Patent Rights, or any Confidential Information relating thereto.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GOVERNANCE</w:t>
      </w:r>
    </w:p>
    <w:p>
      <w:pPr>
        <w:spacing w:after="0" w:line="87"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b w:val="1"/>
          <w:bCs w:val="1"/>
          <w:color w:val="auto"/>
        </w:rPr>
        <w:t>Alliance Manager</w:t>
      </w:r>
      <w:r>
        <w:rPr>
          <w:rFonts w:ascii="Arial" w:cs="Arial" w:eastAsia="Arial" w:hAnsi="Arial"/>
          <w:sz w:val="21"/>
          <w:szCs w:val="21"/>
          <w:color w:val="auto"/>
        </w:rPr>
        <w:t>. Within [*] of the Effective Date, each Party will appoint an individual (from the Party or from any</w:t>
      </w:r>
      <w:r>
        <w:rPr>
          <w:rFonts w:ascii="Arial" w:cs="Arial" w:eastAsia="Arial" w:hAnsi="Arial"/>
          <w:sz w:val="20"/>
          <w:szCs w:val="20"/>
          <w:b w:val="1"/>
          <w:bCs w:val="1"/>
          <w:color w:val="auto"/>
        </w:rPr>
        <w:t xml:space="preserve"> </w:t>
      </w:r>
      <w:r>
        <w:rPr>
          <w:rFonts w:ascii="Arial" w:cs="Arial" w:eastAsia="Arial" w:hAnsi="Arial"/>
          <w:sz w:val="21"/>
          <w:szCs w:val="21"/>
          <w:color w:val="auto"/>
        </w:rPr>
        <w:t>Affiliate of such Party) who possesses a general understanding of Development issues regarding pharmaceutical and biological products to act as the facilitator of the meetings of the JSC and the first point of contact between the Parties with regard to questions relating to this Agreement or the overall business relationship and related matters between the Parties (each, an “</w:t>
      </w:r>
      <w:r>
        <w:rPr>
          <w:rFonts w:ascii="Arial" w:cs="Arial" w:eastAsia="Arial" w:hAnsi="Arial"/>
          <w:sz w:val="21"/>
          <w:szCs w:val="21"/>
          <w:b w:val="1"/>
          <w:bCs w:val="1"/>
          <w:color w:val="auto"/>
        </w:rPr>
        <w:t>Alliance Manager</w:t>
      </w:r>
      <w:r>
        <w:rPr>
          <w:rFonts w:ascii="Arial" w:cs="Arial" w:eastAsia="Arial" w:hAnsi="Arial"/>
          <w:sz w:val="21"/>
          <w:szCs w:val="21"/>
          <w:color w:val="auto"/>
        </w:rPr>
        <w:t>”). Each Party may replace its Alliance Manager at any time upon written notice to the other Party.</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7"/>
          <w:szCs w:val="17"/>
          <w:b w:val="1"/>
          <w:bCs w:val="1"/>
          <w:color w:val="auto"/>
        </w:rPr>
        <w:t>Joint Steering Committee</w:t>
      </w:r>
      <w:r>
        <w:rPr>
          <w:rFonts w:ascii="Arial" w:cs="Arial" w:eastAsia="Arial" w:hAnsi="Arial"/>
          <w:sz w:val="18"/>
          <w:szCs w:val="18"/>
          <w:color w:val="auto"/>
        </w:rPr>
        <w:t>.</w:t>
      </w:r>
    </w:p>
    <w:p>
      <w:pPr>
        <w:spacing w:after="0" w:line="214" w:lineRule="exact"/>
        <w:rPr>
          <w:sz w:val="20"/>
          <w:szCs w:val="20"/>
          <w:color w:val="auto"/>
        </w:rPr>
      </w:pPr>
    </w:p>
    <w:p>
      <w:pPr>
        <w:jc w:val="both"/>
        <w:ind w:left="1700" w:hanging="842"/>
        <w:spacing w:after="0" w:line="246" w:lineRule="auto"/>
        <w:tabs>
          <w:tab w:leader="none" w:pos="1700" w:val="left"/>
        </w:tabs>
        <w:numPr>
          <w:ilvl w:val="0"/>
          <w:numId w:val="142"/>
        </w:numPr>
        <w:rPr>
          <w:rFonts w:ascii="Arial" w:cs="Arial" w:eastAsia="Arial" w:hAnsi="Arial"/>
          <w:sz w:val="20"/>
          <w:szCs w:val="20"/>
          <w:color w:val="010000"/>
        </w:rPr>
      </w:pPr>
      <w:r>
        <w:rPr>
          <w:rFonts w:ascii="Arial" w:cs="Arial" w:eastAsia="Arial" w:hAnsi="Arial"/>
          <w:sz w:val="20"/>
          <w:szCs w:val="20"/>
          <w:b w:val="1"/>
          <w:bCs w:val="1"/>
          <w:color w:val="auto"/>
        </w:rPr>
        <w:t>Formation; Composition</w:t>
      </w:r>
      <w:r>
        <w:rPr>
          <w:rFonts w:ascii="Arial" w:cs="Arial" w:eastAsia="Arial" w:hAnsi="Arial"/>
          <w:sz w:val="20"/>
          <w:szCs w:val="20"/>
          <w:color w:val="auto"/>
        </w:rPr>
        <w:t>. No later than after [*] after the Effective Date, the Parties will establish a joint steering</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(the “</w:t>
      </w:r>
      <w:r>
        <w:rPr>
          <w:rFonts w:ascii="Arial" w:cs="Arial" w:eastAsia="Arial" w:hAnsi="Arial"/>
          <w:sz w:val="20"/>
          <w:szCs w:val="20"/>
          <w:b w:val="1"/>
          <w:bCs w:val="1"/>
          <w:color w:val="auto"/>
        </w:rPr>
        <w:t>Joint Steering Committee</w:t>
      </w:r>
      <w:r>
        <w:rPr>
          <w:rFonts w:ascii="Arial" w:cs="Arial" w:eastAsia="Arial" w:hAnsi="Arial"/>
          <w:sz w:val="20"/>
          <w:szCs w:val="20"/>
          <w:color w:val="auto"/>
        </w:rPr>
        <w:t>” or “</w:t>
      </w:r>
      <w:r>
        <w:rPr>
          <w:rFonts w:ascii="Arial" w:cs="Arial" w:eastAsia="Arial" w:hAnsi="Arial"/>
          <w:sz w:val="20"/>
          <w:szCs w:val="20"/>
          <w:b w:val="1"/>
          <w:bCs w:val="1"/>
          <w:color w:val="auto"/>
        </w:rPr>
        <w:t>JSC</w:t>
      </w:r>
      <w:r>
        <w:rPr>
          <w:rFonts w:ascii="Arial" w:cs="Arial" w:eastAsia="Arial" w:hAnsi="Arial"/>
          <w:sz w:val="20"/>
          <w:szCs w:val="20"/>
          <w:color w:val="auto"/>
        </w:rPr>
        <w:t xml:space="preserve">”) comprised of an equal number of representatives from each Party (or appointed representatives of any Affiliate of such Party) with sufficient seniority within the applicable Party to make decisions arising within the scope of the JSC’s responsibilities. The JSC may change its size from time to time by mutual consent of its members,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JSC</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119" w:lineRule="exact"/>
        <w:rPr>
          <w:sz w:val="20"/>
          <w:szCs w:val="20"/>
          <w:color w:val="auto"/>
        </w:rPr>
      </w:pPr>
    </w:p>
    <w:p>
      <w:pPr>
        <w:ind w:right="220" w:firstLine="8"/>
        <w:spacing w:after="0" w:line="277" w:lineRule="auto"/>
        <w:tabs>
          <w:tab w:leader="none" w:pos="255" w:val="left"/>
        </w:tabs>
        <w:numPr>
          <w:ilvl w:val="0"/>
          <w:numId w:val="143"/>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3" w:name="page134"/>
    <w:bookmarkEnd w:id="133"/>
    <w:p>
      <w:pPr>
        <w:jc w:val="both"/>
        <w:ind w:left="1700"/>
        <w:spacing w:after="0" w:line="271" w:lineRule="auto"/>
        <w:rPr>
          <w:sz w:val="20"/>
          <w:szCs w:val="20"/>
          <w:color w:val="auto"/>
        </w:rPr>
      </w:pPr>
      <w:r>
        <w:rPr>
          <w:rFonts w:ascii="Arial" w:cs="Arial" w:eastAsia="Arial" w:hAnsi="Arial"/>
          <w:sz w:val="18"/>
          <w:szCs w:val="18"/>
          <w:color w:val="auto"/>
        </w:rPr>
        <w:t xml:space="preserve">will consist at all times of an equal number of representatives of each of HFB and FibroGen. Each Party may replace its JSC representatives at any time upon written notice to the other Party. If agreed by the JSC on a case-by-case basis, the JSC may invite non-members to participate in the discussions and meetings of the JSC,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participants will have no voting authority at the JSC and are bound by written obligations of confidentiality, non-disclosure, and non-use provisions at least as restrictive or protective of the Parties as those set forth in this Agreement. The JSC will be chaired by an HFB representative prior to the first Option Exercise Date with respect to any Option Program, and thereafter by a representative of FibroGen (each, a “</w:t>
      </w:r>
      <w:r>
        <w:rPr>
          <w:rFonts w:ascii="Arial" w:cs="Arial" w:eastAsia="Arial" w:hAnsi="Arial"/>
          <w:sz w:val="18"/>
          <w:szCs w:val="18"/>
          <w:b w:val="1"/>
          <w:bCs w:val="1"/>
          <w:color w:val="auto"/>
        </w:rPr>
        <w:t>Chairperson</w:t>
      </w:r>
      <w:r>
        <w:rPr>
          <w:rFonts w:ascii="Arial" w:cs="Arial" w:eastAsia="Arial" w:hAnsi="Arial"/>
          <w:sz w:val="18"/>
          <w:szCs w:val="18"/>
          <w:color w:val="auto"/>
        </w:rPr>
        <w:t>”). The role of the Chairperson will be to convene and preside at meetings of the JSC. The Chairperson will have no additional powers or rights beyond those held by the other JSC representatives. The Alliance Managers will work with the Chairperson to prepare and circulate agendas and to ensure the preparation of minutes.</w:t>
      </w:r>
    </w:p>
    <w:p>
      <w:pPr>
        <w:spacing w:after="0" w:line="60" w:lineRule="exact"/>
        <w:rPr>
          <w:sz w:val="20"/>
          <w:szCs w:val="20"/>
          <w:color w:val="auto"/>
        </w:rPr>
      </w:pPr>
    </w:p>
    <w:p>
      <w:pPr>
        <w:ind w:left="1700" w:hanging="842"/>
        <w:spacing w:after="0"/>
        <w:tabs>
          <w:tab w:leader="none" w:pos="1700" w:val="left"/>
        </w:tabs>
        <w:numPr>
          <w:ilvl w:val="0"/>
          <w:numId w:val="144"/>
        </w:numPr>
        <w:rPr>
          <w:rFonts w:ascii="Arial" w:cs="Arial" w:eastAsia="Arial" w:hAnsi="Arial"/>
          <w:sz w:val="20"/>
          <w:szCs w:val="20"/>
          <w:color w:val="010000"/>
        </w:rPr>
      </w:pPr>
      <w:r>
        <w:rPr>
          <w:rFonts w:ascii="Arial" w:cs="Arial" w:eastAsia="Arial" w:hAnsi="Arial"/>
          <w:sz w:val="20"/>
          <w:szCs w:val="20"/>
          <w:b w:val="1"/>
          <w:bCs w:val="1"/>
          <w:color w:val="auto"/>
        </w:rPr>
        <w:t>Specific Responsibilities</w:t>
      </w:r>
      <w:r>
        <w:rPr>
          <w:rFonts w:ascii="Arial" w:cs="Arial" w:eastAsia="Arial" w:hAnsi="Arial"/>
          <w:sz w:val="20"/>
          <w:szCs w:val="20"/>
          <w:color w:val="auto"/>
        </w:rPr>
        <w:t>. The JSC will:</w:t>
      </w:r>
    </w:p>
    <w:p>
      <w:pPr>
        <w:spacing w:after="0" w:line="113" w:lineRule="exact"/>
        <w:rPr>
          <w:rFonts w:ascii="Arial" w:cs="Arial" w:eastAsia="Arial" w:hAnsi="Arial"/>
          <w:sz w:val="20"/>
          <w:szCs w:val="20"/>
          <w:color w:val="010000"/>
        </w:rPr>
      </w:pPr>
    </w:p>
    <w:p>
      <w:pPr>
        <w:ind w:left="2580" w:right="20" w:hanging="858"/>
        <w:spacing w:after="0" w:line="260" w:lineRule="auto"/>
        <w:tabs>
          <w:tab w:leader="none" w:pos="2580" w:val="left"/>
        </w:tabs>
        <w:numPr>
          <w:ilvl w:val="1"/>
          <w:numId w:val="144"/>
        </w:numPr>
        <w:rPr>
          <w:rFonts w:ascii="Arial" w:cs="Arial" w:eastAsia="Arial" w:hAnsi="Arial"/>
          <w:sz w:val="20"/>
          <w:szCs w:val="20"/>
          <w:color w:val="010000"/>
        </w:rPr>
      </w:pPr>
      <w:r>
        <w:rPr>
          <w:rFonts w:ascii="Arial" w:cs="Arial" w:eastAsia="Arial" w:hAnsi="Arial"/>
          <w:sz w:val="20"/>
          <w:szCs w:val="20"/>
          <w:color w:val="auto"/>
        </w:rPr>
        <w:t>facilitate the provision and exchange of information between the Parties with respect to the Development of the Licensed Compounds and Licensed Products;</w:t>
      </w:r>
    </w:p>
    <w:p>
      <w:pPr>
        <w:spacing w:after="0" w:line="68" w:lineRule="exact"/>
        <w:rPr>
          <w:rFonts w:ascii="Arial" w:cs="Arial" w:eastAsia="Arial" w:hAnsi="Arial"/>
          <w:sz w:val="20"/>
          <w:szCs w:val="20"/>
          <w:color w:val="010000"/>
        </w:rPr>
      </w:pPr>
    </w:p>
    <w:p>
      <w:pPr>
        <w:ind w:left="2580" w:hanging="858"/>
        <w:spacing w:after="0"/>
        <w:tabs>
          <w:tab w:leader="none" w:pos="2580" w:val="left"/>
        </w:tabs>
        <w:numPr>
          <w:ilvl w:val="1"/>
          <w:numId w:val="144"/>
        </w:numPr>
        <w:rPr>
          <w:rFonts w:ascii="Arial" w:cs="Arial" w:eastAsia="Arial" w:hAnsi="Arial"/>
          <w:sz w:val="20"/>
          <w:szCs w:val="20"/>
          <w:color w:val="010000"/>
        </w:rPr>
      </w:pPr>
      <w:r>
        <w:rPr>
          <w:rFonts w:ascii="Arial" w:cs="Arial" w:eastAsia="Arial" w:hAnsi="Arial"/>
          <w:sz w:val="20"/>
          <w:szCs w:val="20"/>
          <w:color w:val="auto"/>
        </w:rPr>
        <w:t>oversee the identification and Development of Option Compounds and Option Products;</w:t>
      </w:r>
    </w:p>
    <w:p>
      <w:pPr>
        <w:spacing w:after="0" w:line="107" w:lineRule="exact"/>
        <w:rPr>
          <w:rFonts w:ascii="Arial" w:cs="Arial" w:eastAsia="Arial" w:hAnsi="Arial"/>
          <w:sz w:val="20"/>
          <w:szCs w:val="20"/>
          <w:color w:val="010000"/>
        </w:rPr>
      </w:pPr>
    </w:p>
    <w:p>
      <w:pPr>
        <w:ind w:left="2580" w:hanging="858"/>
        <w:spacing w:after="0"/>
        <w:tabs>
          <w:tab w:leader="none" w:pos="2580" w:val="left"/>
        </w:tabs>
        <w:numPr>
          <w:ilvl w:val="1"/>
          <w:numId w:val="144"/>
        </w:numPr>
        <w:rPr>
          <w:rFonts w:ascii="Arial" w:cs="Arial" w:eastAsia="Arial" w:hAnsi="Arial"/>
          <w:sz w:val="20"/>
          <w:szCs w:val="20"/>
          <w:color w:val="010000"/>
        </w:rPr>
      </w:pPr>
      <w:r>
        <w:rPr>
          <w:rFonts w:ascii="Arial" w:cs="Arial" w:eastAsia="Arial" w:hAnsi="Arial"/>
          <w:sz w:val="20"/>
          <w:szCs w:val="20"/>
          <w:color w:val="auto"/>
        </w:rPr>
        <w:t>oversee development of the Option Notice (and all components thereof) for each Option Program;</w:t>
      </w:r>
    </w:p>
    <w:p>
      <w:pPr>
        <w:spacing w:after="0" w:line="107" w:lineRule="exact"/>
        <w:rPr>
          <w:rFonts w:ascii="Arial" w:cs="Arial" w:eastAsia="Arial" w:hAnsi="Arial"/>
          <w:sz w:val="20"/>
          <w:szCs w:val="20"/>
          <w:color w:val="010000"/>
        </w:rPr>
      </w:pPr>
    </w:p>
    <w:p>
      <w:pPr>
        <w:ind w:left="2580" w:hanging="858"/>
        <w:spacing w:after="0" w:line="260" w:lineRule="auto"/>
        <w:tabs>
          <w:tab w:leader="none" w:pos="2580" w:val="left"/>
        </w:tabs>
        <w:numPr>
          <w:ilvl w:val="1"/>
          <w:numId w:val="144"/>
        </w:numPr>
        <w:rPr>
          <w:rFonts w:ascii="Arial" w:cs="Arial" w:eastAsia="Arial" w:hAnsi="Arial"/>
          <w:sz w:val="20"/>
          <w:szCs w:val="20"/>
          <w:color w:val="010000"/>
        </w:rPr>
      </w:pPr>
      <w:r>
        <w:rPr>
          <w:rFonts w:ascii="Arial" w:cs="Arial" w:eastAsia="Arial" w:hAnsi="Arial"/>
          <w:sz w:val="20"/>
          <w:szCs w:val="20"/>
          <w:color w:val="auto"/>
        </w:rPr>
        <w:t>review, discuss, and determine whether to approve any Technology Transfer plan pursuant to Section 2.7(a) (Initial Technology Transfer) or Work Plan pursuant to Section 4.2 (Work Plans);</w:t>
      </w:r>
    </w:p>
    <w:p>
      <w:pPr>
        <w:spacing w:after="0" w:line="68" w:lineRule="exact"/>
        <w:rPr>
          <w:rFonts w:ascii="Arial" w:cs="Arial" w:eastAsia="Arial" w:hAnsi="Arial"/>
          <w:sz w:val="20"/>
          <w:szCs w:val="20"/>
          <w:color w:val="010000"/>
        </w:rPr>
      </w:pPr>
    </w:p>
    <w:p>
      <w:pPr>
        <w:ind w:left="2580" w:hanging="858"/>
        <w:spacing w:after="0" w:line="260" w:lineRule="auto"/>
        <w:tabs>
          <w:tab w:leader="none" w:pos="2580" w:val="left"/>
        </w:tabs>
        <w:numPr>
          <w:ilvl w:val="1"/>
          <w:numId w:val="144"/>
        </w:numPr>
        <w:rPr>
          <w:rFonts w:ascii="Arial" w:cs="Arial" w:eastAsia="Arial" w:hAnsi="Arial"/>
          <w:sz w:val="20"/>
          <w:szCs w:val="20"/>
          <w:color w:val="010000"/>
        </w:rPr>
      </w:pPr>
      <w:r>
        <w:rPr>
          <w:rFonts w:ascii="Arial" w:cs="Arial" w:eastAsia="Arial" w:hAnsi="Arial"/>
          <w:sz w:val="20"/>
          <w:szCs w:val="20"/>
          <w:color w:val="auto"/>
        </w:rPr>
        <w:t>review, discuss, and determine whether to approve any update or amendment to a Work Plan pursuant to Section 4.2(b) (Work Plans);</w:t>
      </w:r>
    </w:p>
    <w:p>
      <w:pPr>
        <w:spacing w:after="0" w:line="68" w:lineRule="exact"/>
        <w:rPr>
          <w:rFonts w:ascii="Arial" w:cs="Arial" w:eastAsia="Arial" w:hAnsi="Arial"/>
          <w:sz w:val="20"/>
          <w:szCs w:val="20"/>
          <w:color w:val="010000"/>
        </w:rPr>
      </w:pPr>
    </w:p>
    <w:p>
      <w:pPr>
        <w:ind w:left="2580" w:right="20" w:hanging="858"/>
        <w:spacing w:after="0" w:line="260" w:lineRule="auto"/>
        <w:tabs>
          <w:tab w:leader="none" w:pos="2580" w:val="left"/>
        </w:tabs>
        <w:numPr>
          <w:ilvl w:val="1"/>
          <w:numId w:val="144"/>
        </w:numPr>
        <w:rPr>
          <w:rFonts w:ascii="Arial" w:cs="Arial" w:eastAsia="Arial" w:hAnsi="Arial"/>
          <w:sz w:val="20"/>
          <w:szCs w:val="20"/>
          <w:color w:val="010000"/>
        </w:rPr>
      </w:pPr>
      <w:r>
        <w:rPr>
          <w:rFonts w:ascii="Arial" w:cs="Arial" w:eastAsia="Arial" w:hAnsi="Arial"/>
          <w:sz w:val="20"/>
          <w:szCs w:val="20"/>
          <w:color w:val="auto"/>
        </w:rPr>
        <w:t>review and discuss any Development reports provided by HFB pursuant to Section 4.7 (Development Reports);</w:t>
      </w:r>
    </w:p>
    <w:p>
      <w:pPr>
        <w:spacing w:after="0" w:line="68" w:lineRule="exact"/>
        <w:rPr>
          <w:rFonts w:ascii="Arial" w:cs="Arial" w:eastAsia="Arial" w:hAnsi="Arial"/>
          <w:sz w:val="20"/>
          <w:szCs w:val="20"/>
          <w:color w:val="010000"/>
        </w:rPr>
      </w:pPr>
    </w:p>
    <w:p>
      <w:pPr>
        <w:jc w:val="both"/>
        <w:ind w:left="2580" w:hanging="858"/>
        <w:spacing w:after="0" w:line="250" w:lineRule="auto"/>
        <w:tabs>
          <w:tab w:leader="none" w:pos="2580" w:val="left"/>
        </w:tabs>
        <w:numPr>
          <w:ilvl w:val="1"/>
          <w:numId w:val="144"/>
        </w:numPr>
        <w:rPr>
          <w:rFonts w:ascii="Arial" w:cs="Arial" w:eastAsia="Arial" w:hAnsi="Arial"/>
          <w:sz w:val="20"/>
          <w:szCs w:val="20"/>
          <w:color w:val="010000"/>
        </w:rPr>
      </w:pPr>
      <w:r>
        <w:rPr>
          <w:rFonts w:ascii="Arial" w:cs="Arial" w:eastAsia="Arial" w:hAnsi="Arial"/>
          <w:sz w:val="20"/>
          <w:szCs w:val="20"/>
          <w:color w:val="auto"/>
        </w:rPr>
        <w:t>establish such additional subcommittees as it deems necessary to achieve the objective and intent of this Agreement, including as necessary to manage the preparation and prosecution of Joint Arising Technology pursuant to Section 9.3(c) (Joint Arising Patent Rights); and</w:t>
      </w:r>
    </w:p>
    <w:p>
      <w:pPr>
        <w:spacing w:after="0" w:line="172" w:lineRule="exact"/>
        <w:rPr>
          <w:rFonts w:ascii="Arial" w:cs="Arial" w:eastAsia="Arial" w:hAnsi="Arial"/>
          <w:sz w:val="20"/>
          <w:szCs w:val="20"/>
          <w:color w:val="010000"/>
        </w:rPr>
      </w:pPr>
    </w:p>
    <w:p>
      <w:pPr>
        <w:ind w:left="2580" w:hanging="858"/>
        <w:spacing w:after="0" w:line="260" w:lineRule="auto"/>
        <w:tabs>
          <w:tab w:leader="none" w:pos="2580" w:val="left"/>
        </w:tabs>
        <w:numPr>
          <w:ilvl w:val="1"/>
          <w:numId w:val="144"/>
        </w:numPr>
        <w:rPr>
          <w:rFonts w:ascii="Arial" w:cs="Arial" w:eastAsia="Arial" w:hAnsi="Arial"/>
          <w:sz w:val="20"/>
          <w:szCs w:val="20"/>
          <w:color w:val="010000"/>
        </w:rPr>
      </w:pPr>
      <w:r>
        <w:rPr>
          <w:rFonts w:ascii="Arial" w:cs="Arial" w:eastAsia="Arial" w:hAnsi="Arial"/>
          <w:sz w:val="20"/>
          <w:szCs w:val="20"/>
          <w:color w:val="auto"/>
        </w:rPr>
        <w:t>perform such other functions as appropriate, to further the purposes of this Agreement, in each case as agreed in writing by the Parties.</w:t>
      </w:r>
    </w:p>
    <w:p>
      <w:pPr>
        <w:spacing w:after="0" w:line="62" w:lineRule="exact"/>
        <w:rPr>
          <w:rFonts w:ascii="Arial" w:cs="Arial" w:eastAsia="Arial" w:hAnsi="Arial"/>
          <w:sz w:val="20"/>
          <w:szCs w:val="20"/>
          <w:color w:val="010000"/>
        </w:rPr>
      </w:pPr>
    </w:p>
    <w:p>
      <w:pPr>
        <w:jc w:val="both"/>
        <w:ind w:left="1700" w:hanging="842"/>
        <w:spacing w:after="0" w:line="258" w:lineRule="auto"/>
        <w:tabs>
          <w:tab w:leader="none" w:pos="1700" w:val="left"/>
        </w:tabs>
        <w:numPr>
          <w:ilvl w:val="0"/>
          <w:numId w:val="144"/>
        </w:numPr>
        <w:rPr>
          <w:rFonts w:ascii="Arial" w:cs="Arial" w:eastAsia="Arial" w:hAnsi="Arial"/>
          <w:sz w:val="19"/>
          <w:szCs w:val="19"/>
          <w:color w:val="010000"/>
        </w:rPr>
      </w:pPr>
      <w:r>
        <w:rPr>
          <w:rFonts w:ascii="Arial" w:cs="Arial" w:eastAsia="Arial" w:hAnsi="Arial"/>
          <w:sz w:val="19"/>
          <w:szCs w:val="19"/>
          <w:b w:val="1"/>
          <w:bCs w:val="1"/>
          <w:color w:val="auto"/>
        </w:rPr>
        <w:t>Meetings</w:t>
      </w:r>
      <w:r>
        <w:rPr>
          <w:rFonts w:ascii="Arial" w:cs="Arial" w:eastAsia="Arial" w:hAnsi="Arial"/>
          <w:sz w:val="19"/>
          <w:szCs w:val="19"/>
          <w:color w:val="auto"/>
        </w:rPr>
        <w:t>. During the Term, the JSC will meet on at least a [*] basis, [*] the JSC will meet on at least a [*] basis, unless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agreed to by the JSC. No later than [*] prior to any meeting of the JSC, the Alliance Managers will jointly prepare and circulate an agenda for such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either Party may propose additional topics to be included on such agenda, either prior to or in the course of such meeting. Either Party may also call a special meeting of the JSC (by videoconference, teleconference or in person) by providing at least [*] prior written notice to the other Party if such Party reasonably believes that a significant matter must be addressed prior to the next regularly scheduled meeting, in which event such Party will work with the Chairperson of the JSC to provide the members of the JSC no later than [*] prior to the special meeting with an agenda for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119" w:lineRule="exact"/>
        <w:rPr>
          <w:sz w:val="20"/>
          <w:szCs w:val="20"/>
          <w:color w:val="auto"/>
        </w:rPr>
      </w:pPr>
    </w:p>
    <w:p>
      <w:pPr>
        <w:ind w:right="220" w:firstLine="8"/>
        <w:spacing w:after="0" w:line="277" w:lineRule="auto"/>
        <w:tabs>
          <w:tab w:leader="none" w:pos="255" w:val="left"/>
        </w:tabs>
        <w:numPr>
          <w:ilvl w:val="0"/>
          <w:numId w:val="145"/>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4" w:name="page135"/>
    <w:bookmarkEnd w:id="134"/>
    <w:p>
      <w:pPr>
        <w:jc w:val="both"/>
        <w:ind w:left="1700"/>
        <w:spacing w:after="0" w:line="256" w:lineRule="auto"/>
        <w:rPr>
          <w:sz w:val="20"/>
          <w:szCs w:val="20"/>
          <w:color w:val="auto"/>
        </w:rPr>
      </w:pPr>
      <w:r>
        <w:rPr>
          <w:rFonts w:ascii="Arial" w:cs="Arial" w:eastAsia="Arial" w:hAnsi="Arial"/>
          <w:sz w:val="19"/>
          <w:szCs w:val="19"/>
          <w:color w:val="auto"/>
        </w:rPr>
        <w:t>meeting and materials reasonably adequate to enable an informed decision on the matters to be considered. The JSC may meet in person, by videoconference or by teleconference. In-person JSC meetings will be held at locations agreed upon by HFB and by FibroGen. Each Party will bear the expense of its respective JSC members’ participation in JSC meetings. Meetings of the JSC will be effective only if at least [*] are present or participating (including by videoconference or teleconference) in such meeting. The Alliance Managers will be responsible for preparing reasonably detailed written minutes of all JSC meetings that reflect material decisions made and action items identified at such meetings. The Alliance Managers will send draft meeting minutes to each member of the JSC for review and approval within [*] after each JSC meeting. Such minutes will be deemed approved unless [*] members of the JSC objects to the accuracy of such minutes within [*] of receipt.</w:t>
      </w:r>
    </w:p>
    <w:p>
      <w:pPr>
        <w:spacing w:after="0" w:line="165" w:lineRule="exact"/>
        <w:rPr>
          <w:sz w:val="20"/>
          <w:szCs w:val="20"/>
          <w:color w:val="auto"/>
        </w:rPr>
      </w:pPr>
    </w:p>
    <w:p>
      <w:pPr>
        <w:jc w:val="both"/>
        <w:ind w:left="1700" w:hanging="842"/>
        <w:spacing w:after="0" w:line="253" w:lineRule="auto"/>
        <w:tabs>
          <w:tab w:leader="none" w:pos="1700" w:val="left"/>
        </w:tabs>
        <w:numPr>
          <w:ilvl w:val="0"/>
          <w:numId w:val="146"/>
        </w:numPr>
        <w:rPr>
          <w:rFonts w:ascii="Arial" w:cs="Arial" w:eastAsia="Arial" w:hAnsi="Arial"/>
          <w:sz w:val="20"/>
          <w:szCs w:val="20"/>
          <w:color w:val="010000"/>
        </w:rPr>
      </w:pPr>
      <w:r>
        <w:rPr>
          <w:rFonts w:ascii="Arial" w:cs="Arial" w:eastAsia="Arial" w:hAnsi="Arial"/>
          <w:sz w:val="20"/>
          <w:szCs w:val="20"/>
          <w:b w:val="1"/>
          <w:bCs w:val="1"/>
          <w:color w:val="auto"/>
        </w:rPr>
        <w:t>Decision-Making</w:t>
      </w:r>
      <w:r>
        <w:rPr>
          <w:rFonts w:ascii="Arial" w:cs="Arial" w:eastAsia="Arial" w:hAnsi="Arial"/>
          <w:sz w:val="20"/>
          <w:szCs w:val="20"/>
          <w:color w:val="auto"/>
        </w:rPr>
        <w:t>. The representatives from each Party on the JSC will have, collectively, [*] vote on behalf of that</w:t>
      </w:r>
      <w:r>
        <w:rPr>
          <w:rFonts w:ascii="Arial" w:cs="Arial" w:eastAsia="Arial" w:hAnsi="Arial"/>
          <w:sz w:val="20"/>
          <w:szCs w:val="20"/>
          <w:b w:val="1"/>
          <w:bCs w:val="1"/>
          <w:color w:val="auto"/>
        </w:rPr>
        <w:t xml:space="preserve"> </w:t>
      </w:r>
      <w:r>
        <w:rPr>
          <w:rFonts w:ascii="Arial" w:cs="Arial" w:eastAsia="Arial" w:hAnsi="Arial"/>
          <w:sz w:val="20"/>
          <w:szCs w:val="20"/>
          <w:color w:val="auto"/>
        </w:rPr>
        <w:t>Party, and all decision making will be by consensus. Disputes at the JSC will be handled in accordance with Section 3.3 (Resolution of JSC Disputes).</w:t>
      </w:r>
    </w:p>
    <w:p>
      <w:pPr>
        <w:spacing w:after="0" w:line="7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7"/>
          <w:szCs w:val="17"/>
          <w:b w:val="1"/>
          <w:bCs w:val="1"/>
          <w:color w:val="auto"/>
        </w:rPr>
        <w:t>Resolution of JSC Disputes</w:t>
      </w:r>
      <w:r>
        <w:rPr>
          <w:rFonts w:ascii="Arial" w:cs="Arial" w:eastAsia="Arial" w:hAnsi="Arial"/>
          <w:sz w:val="18"/>
          <w:szCs w:val="18"/>
          <w:color w:val="auto"/>
        </w:rPr>
        <w:t>.</w:t>
      </w:r>
    </w:p>
    <w:p>
      <w:pPr>
        <w:spacing w:after="0" w:line="214" w:lineRule="exact"/>
        <w:rPr>
          <w:sz w:val="20"/>
          <w:szCs w:val="20"/>
          <w:color w:val="auto"/>
        </w:rPr>
      </w:pPr>
    </w:p>
    <w:p>
      <w:pPr>
        <w:jc w:val="both"/>
        <w:ind w:left="1700" w:hanging="842"/>
        <w:spacing w:after="0" w:line="248" w:lineRule="auto"/>
        <w:tabs>
          <w:tab w:leader="none" w:pos="1700" w:val="left"/>
        </w:tabs>
        <w:numPr>
          <w:ilvl w:val="0"/>
          <w:numId w:val="147"/>
        </w:numPr>
        <w:rPr>
          <w:rFonts w:ascii="Arial" w:cs="Arial" w:eastAsia="Arial" w:hAnsi="Arial"/>
          <w:sz w:val="20"/>
          <w:szCs w:val="20"/>
          <w:color w:val="010000"/>
        </w:rPr>
      </w:pPr>
      <w:r>
        <w:rPr>
          <w:rFonts w:ascii="Arial" w:cs="Arial" w:eastAsia="Arial" w:hAnsi="Arial"/>
          <w:sz w:val="20"/>
          <w:szCs w:val="20"/>
          <w:b w:val="1"/>
          <w:bCs w:val="1"/>
          <w:color w:val="auto"/>
        </w:rPr>
        <w:t>Within the JSC</w:t>
      </w:r>
      <w:r>
        <w:rPr>
          <w:rFonts w:ascii="Arial" w:cs="Arial" w:eastAsia="Arial" w:hAnsi="Arial"/>
          <w:sz w:val="20"/>
          <w:szCs w:val="20"/>
          <w:color w:val="auto"/>
        </w:rPr>
        <w:t>. All decisions within the JSC will be made by consensus. If the JSC is unable to reach consensus on</w:t>
      </w:r>
      <w:r>
        <w:rPr>
          <w:rFonts w:ascii="Arial" w:cs="Arial" w:eastAsia="Arial" w:hAnsi="Arial"/>
          <w:sz w:val="20"/>
          <w:szCs w:val="20"/>
          <w:b w:val="1"/>
          <w:bCs w:val="1"/>
          <w:color w:val="auto"/>
        </w:rPr>
        <w:t xml:space="preserve"> </w:t>
      </w:r>
      <w:r>
        <w:rPr>
          <w:rFonts w:ascii="Arial" w:cs="Arial" w:eastAsia="Arial" w:hAnsi="Arial"/>
          <w:sz w:val="20"/>
          <w:szCs w:val="20"/>
          <w:color w:val="auto"/>
        </w:rPr>
        <w:t>any issue for which it is responsible within [*] days after a Party affirmatively states that a decision needs to be made, then either Party may elect, by written notice to the other Party, to submit such issue to the Parties’ Executive Officers, in accordance with Section 3.3(b) (Referral to Executive Officers).</w:t>
      </w:r>
    </w:p>
    <w:p>
      <w:pPr>
        <w:spacing w:after="0" w:line="75" w:lineRule="exact"/>
        <w:rPr>
          <w:rFonts w:ascii="Arial" w:cs="Arial" w:eastAsia="Arial" w:hAnsi="Arial"/>
          <w:sz w:val="20"/>
          <w:szCs w:val="20"/>
          <w:color w:val="010000"/>
        </w:rPr>
      </w:pPr>
    </w:p>
    <w:p>
      <w:pPr>
        <w:jc w:val="both"/>
        <w:ind w:left="1700" w:hanging="842"/>
        <w:spacing w:after="0" w:line="265" w:lineRule="auto"/>
        <w:tabs>
          <w:tab w:leader="none" w:pos="1700" w:val="left"/>
        </w:tabs>
        <w:numPr>
          <w:ilvl w:val="0"/>
          <w:numId w:val="147"/>
        </w:numPr>
        <w:rPr>
          <w:rFonts w:ascii="Arial" w:cs="Arial" w:eastAsia="Arial" w:hAnsi="Arial"/>
          <w:sz w:val="19"/>
          <w:szCs w:val="19"/>
          <w:color w:val="010000"/>
        </w:rPr>
      </w:pPr>
      <w:r>
        <w:rPr>
          <w:rFonts w:ascii="Arial" w:cs="Arial" w:eastAsia="Arial" w:hAnsi="Arial"/>
          <w:sz w:val="19"/>
          <w:szCs w:val="19"/>
          <w:b w:val="1"/>
          <w:bCs w:val="1"/>
          <w:color w:val="auto"/>
        </w:rPr>
        <w:t>Referral to Executive Officers</w:t>
      </w:r>
      <w:r>
        <w:rPr>
          <w:rFonts w:ascii="Arial" w:cs="Arial" w:eastAsia="Arial" w:hAnsi="Arial"/>
          <w:sz w:val="19"/>
          <w:szCs w:val="19"/>
          <w:color w:val="auto"/>
        </w:rPr>
        <w:t>. If a Party makes an election under Section 3.3(a) (Resolution of JSC Disputes; Within</w:t>
      </w:r>
      <w:r>
        <w:rPr>
          <w:rFonts w:ascii="Arial" w:cs="Arial" w:eastAsia="Arial" w:hAnsi="Arial"/>
          <w:sz w:val="19"/>
          <w:szCs w:val="19"/>
          <w:b w:val="1"/>
          <w:bCs w:val="1"/>
          <w:color w:val="auto"/>
        </w:rPr>
        <w:t xml:space="preserve"> </w:t>
      </w:r>
      <w:r>
        <w:rPr>
          <w:rFonts w:ascii="Arial" w:cs="Arial" w:eastAsia="Arial" w:hAnsi="Arial"/>
          <w:sz w:val="19"/>
          <w:szCs w:val="19"/>
          <w:color w:val="auto"/>
        </w:rPr>
        <w:t>the JSC) to refer a matter to the Executive Officers, then the Executive Officers will use good faith efforts to resolve promptly such matter, which good faith efforts will include at least [*] in-person, video or telephonic meeting between such Executive Officers within [*] after the submission of such matter to them.</w:t>
      </w:r>
    </w:p>
    <w:p>
      <w:pPr>
        <w:spacing w:after="0" w:line="61" w:lineRule="exact"/>
        <w:rPr>
          <w:rFonts w:ascii="Arial" w:cs="Arial" w:eastAsia="Arial" w:hAnsi="Arial"/>
          <w:sz w:val="19"/>
          <w:szCs w:val="19"/>
          <w:color w:val="010000"/>
        </w:rPr>
      </w:pPr>
    </w:p>
    <w:p>
      <w:pPr>
        <w:ind w:left="1700" w:hanging="842"/>
        <w:spacing w:after="0" w:line="267" w:lineRule="auto"/>
        <w:tabs>
          <w:tab w:leader="none" w:pos="1700" w:val="left"/>
        </w:tabs>
        <w:numPr>
          <w:ilvl w:val="0"/>
          <w:numId w:val="147"/>
        </w:numPr>
        <w:rPr>
          <w:rFonts w:ascii="Arial" w:cs="Arial" w:eastAsia="Arial" w:hAnsi="Arial"/>
          <w:sz w:val="20"/>
          <w:szCs w:val="20"/>
          <w:color w:val="010000"/>
        </w:rPr>
      </w:pPr>
      <w:r>
        <w:rPr>
          <w:rFonts w:ascii="Arial" w:cs="Arial" w:eastAsia="Arial" w:hAnsi="Arial"/>
          <w:sz w:val="20"/>
          <w:szCs w:val="20"/>
          <w:b w:val="1"/>
          <w:bCs w:val="1"/>
          <w:color w:val="auto"/>
        </w:rPr>
        <w:t>Final Decision-Making Authority</w:t>
      </w:r>
      <w:r>
        <w:rPr>
          <w:rFonts w:ascii="Arial" w:cs="Arial" w:eastAsia="Arial" w:hAnsi="Arial"/>
          <w:sz w:val="20"/>
          <w:szCs w:val="20"/>
          <w:color w:val="auto"/>
        </w:rPr>
        <w:t>. If the Executive Officers are unable to reach consensus on any such matter within</w:t>
      </w:r>
      <w:r>
        <w:rPr>
          <w:rFonts w:ascii="Arial" w:cs="Arial" w:eastAsia="Arial" w:hAnsi="Arial"/>
          <w:sz w:val="20"/>
          <w:szCs w:val="20"/>
          <w:b w:val="1"/>
          <w:bCs w:val="1"/>
          <w:color w:val="auto"/>
        </w:rPr>
        <w:t xml:space="preserve"> </w:t>
      </w:r>
      <w:r>
        <w:rPr>
          <w:rFonts w:ascii="Arial" w:cs="Arial" w:eastAsia="Arial" w:hAnsi="Arial"/>
          <w:sz w:val="20"/>
          <w:szCs w:val="20"/>
          <w:color w:val="auto"/>
        </w:rPr>
        <w:t>[*] days after its submission to them, then:</w:t>
      </w:r>
    </w:p>
    <w:p>
      <w:pPr>
        <w:spacing w:after="0" w:line="55" w:lineRule="exact"/>
        <w:rPr>
          <w:sz w:val="20"/>
          <w:szCs w:val="20"/>
          <w:color w:val="auto"/>
        </w:rPr>
      </w:pPr>
    </w:p>
    <w:p>
      <w:pPr>
        <w:ind w:left="2580" w:right="20" w:hanging="858"/>
        <w:spacing w:after="0" w:line="267" w:lineRule="auto"/>
        <w:tabs>
          <w:tab w:leader="none" w:pos="2580" w:val="left"/>
        </w:tabs>
        <w:numPr>
          <w:ilvl w:val="0"/>
          <w:numId w:val="148"/>
        </w:numPr>
        <w:rPr>
          <w:rFonts w:ascii="Arial" w:cs="Arial" w:eastAsia="Arial" w:hAnsi="Arial"/>
          <w:sz w:val="20"/>
          <w:szCs w:val="20"/>
          <w:color w:val="010000"/>
        </w:rPr>
      </w:pPr>
      <w:r>
        <w:rPr>
          <w:rFonts w:ascii="Arial" w:cs="Arial" w:eastAsia="Arial" w:hAnsi="Arial"/>
          <w:sz w:val="20"/>
          <w:szCs w:val="20"/>
          <w:b w:val="1"/>
          <w:bCs w:val="1"/>
          <w:color w:val="auto"/>
        </w:rPr>
        <w:t>No Changes</w:t>
      </w:r>
      <w:r>
        <w:rPr>
          <w:rFonts w:ascii="Arial" w:cs="Arial" w:eastAsia="Arial" w:hAnsi="Arial"/>
          <w:sz w:val="20"/>
          <w:szCs w:val="20"/>
          <w:color w:val="auto"/>
        </w:rPr>
        <w:t>. Neither Party will have final decision-making authority with respect to approval of a Work</w:t>
      </w:r>
      <w:r>
        <w:rPr>
          <w:rFonts w:ascii="Arial" w:cs="Arial" w:eastAsia="Arial" w:hAnsi="Arial"/>
          <w:sz w:val="20"/>
          <w:szCs w:val="20"/>
          <w:b w:val="1"/>
          <w:bCs w:val="1"/>
          <w:color w:val="auto"/>
        </w:rPr>
        <w:t xml:space="preserve"> </w:t>
      </w:r>
      <w:r>
        <w:rPr>
          <w:rFonts w:ascii="Arial" w:cs="Arial" w:eastAsia="Arial" w:hAnsi="Arial"/>
          <w:sz w:val="20"/>
          <w:szCs w:val="20"/>
          <w:color w:val="auto"/>
        </w:rPr>
        <w:t>Plan pursuant to Section 4.2(a) (Work Plans).</w:t>
      </w:r>
    </w:p>
    <w:p>
      <w:pPr>
        <w:spacing w:after="0" w:line="149" w:lineRule="exact"/>
        <w:rPr>
          <w:rFonts w:ascii="Arial" w:cs="Arial" w:eastAsia="Arial" w:hAnsi="Arial"/>
          <w:sz w:val="20"/>
          <w:szCs w:val="20"/>
          <w:color w:val="010000"/>
        </w:rPr>
      </w:pPr>
    </w:p>
    <w:p>
      <w:pPr>
        <w:ind w:left="2580" w:hanging="858"/>
        <w:spacing w:after="0" w:line="293" w:lineRule="auto"/>
        <w:tabs>
          <w:tab w:leader="none" w:pos="2580" w:val="left"/>
        </w:tabs>
        <w:numPr>
          <w:ilvl w:val="0"/>
          <w:numId w:val="148"/>
        </w:numPr>
        <w:rPr>
          <w:rFonts w:ascii="Arial" w:cs="Arial" w:eastAsia="Arial" w:hAnsi="Arial"/>
          <w:sz w:val="19"/>
          <w:szCs w:val="19"/>
          <w:color w:val="010000"/>
        </w:rPr>
      </w:pPr>
      <w:r>
        <w:rPr>
          <w:rFonts w:ascii="Arial" w:cs="Arial" w:eastAsia="Arial" w:hAnsi="Arial"/>
          <w:sz w:val="19"/>
          <w:szCs w:val="19"/>
          <w:b w:val="1"/>
          <w:bCs w:val="1"/>
          <w:color w:val="auto"/>
        </w:rPr>
        <w:t>HFB Decisions</w:t>
      </w:r>
      <w:r>
        <w:rPr>
          <w:rFonts w:ascii="Arial" w:cs="Arial" w:eastAsia="Arial" w:hAnsi="Arial"/>
          <w:sz w:val="19"/>
          <w:szCs w:val="19"/>
          <w:color w:val="auto"/>
        </w:rPr>
        <w:t>. HFB will have final decision-making authority with respect to any such matter relating to an</w:t>
      </w:r>
      <w:r>
        <w:rPr>
          <w:rFonts w:ascii="Arial" w:cs="Arial" w:eastAsia="Arial" w:hAnsi="Arial"/>
          <w:sz w:val="19"/>
          <w:szCs w:val="19"/>
          <w:b w:val="1"/>
          <w:bCs w:val="1"/>
          <w:color w:val="auto"/>
        </w:rPr>
        <w:t xml:space="preserve"> </w:t>
      </w:r>
      <w:r>
        <w:rPr>
          <w:rFonts w:ascii="Arial" w:cs="Arial" w:eastAsia="Arial" w:hAnsi="Arial"/>
          <w:sz w:val="19"/>
          <w:szCs w:val="19"/>
          <w:color w:val="auto"/>
        </w:rPr>
        <w:t>Option Program prior to the Option Exercise Date with respect to such Option Program.</w:t>
      </w:r>
    </w:p>
    <w:p>
      <w:pPr>
        <w:spacing w:after="0" w:line="128" w:lineRule="exact"/>
        <w:rPr>
          <w:rFonts w:ascii="Arial" w:cs="Arial" w:eastAsia="Arial" w:hAnsi="Arial"/>
          <w:sz w:val="19"/>
          <w:szCs w:val="19"/>
          <w:color w:val="010000"/>
        </w:rPr>
      </w:pPr>
    </w:p>
    <w:p>
      <w:pPr>
        <w:jc w:val="both"/>
        <w:ind w:left="2580" w:hanging="858"/>
        <w:spacing w:after="0" w:line="246" w:lineRule="auto"/>
        <w:tabs>
          <w:tab w:leader="none" w:pos="2580" w:val="left"/>
        </w:tabs>
        <w:numPr>
          <w:ilvl w:val="0"/>
          <w:numId w:val="148"/>
        </w:numPr>
        <w:rPr>
          <w:rFonts w:ascii="Arial" w:cs="Arial" w:eastAsia="Arial" w:hAnsi="Arial"/>
          <w:sz w:val="20"/>
          <w:szCs w:val="20"/>
          <w:color w:val="010000"/>
        </w:rPr>
      </w:pPr>
      <w:r>
        <w:rPr>
          <w:rFonts w:ascii="Arial" w:cs="Arial" w:eastAsia="Arial" w:hAnsi="Arial"/>
          <w:sz w:val="20"/>
          <w:szCs w:val="20"/>
          <w:b w:val="1"/>
          <w:bCs w:val="1"/>
          <w:color w:val="auto"/>
        </w:rPr>
        <w:t>FibroGen Decisions</w:t>
      </w:r>
      <w:r>
        <w:rPr>
          <w:rFonts w:ascii="Arial" w:cs="Arial" w:eastAsia="Arial" w:hAnsi="Arial"/>
          <w:sz w:val="20"/>
          <w:szCs w:val="20"/>
          <w:color w:val="auto"/>
        </w:rPr>
        <w:t>. FibroGen will have final decision-making authority with respect to any such matter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FibroGen cannot require HFB to perform any activities or incur any costs or expenses that are not included in an approved Work Plan (including any amendments made in accordance with this Agreement). For clarity, such final decision-making authority does not apply to any technology transfer pursuant to Section 2.7 (Technology Transfer).</w:t>
      </w:r>
    </w:p>
    <w:p>
      <w:pPr>
        <w:spacing w:after="0" w:line="171" w:lineRule="exact"/>
        <w:rPr>
          <w:rFonts w:ascii="Arial" w:cs="Arial" w:eastAsia="Arial" w:hAnsi="Arial"/>
          <w:sz w:val="20"/>
          <w:szCs w:val="20"/>
          <w:color w:val="010000"/>
        </w:rPr>
      </w:pPr>
    </w:p>
    <w:p>
      <w:pPr>
        <w:jc w:val="both"/>
        <w:ind w:left="2580" w:hanging="858"/>
        <w:spacing w:after="0" w:line="253" w:lineRule="auto"/>
        <w:tabs>
          <w:tab w:leader="none" w:pos="2580" w:val="left"/>
        </w:tabs>
        <w:numPr>
          <w:ilvl w:val="0"/>
          <w:numId w:val="148"/>
        </w:numPr>
        <w:rPr>
          <w:rFonts w:ascii="Arial" w:cs="Arial" w:eastAsia="Arial" w:hAnsi="Arial"/>
          <w:sz w:val="20"/>
          <w:szCs w:val="20"/>
          <w:color w:val="010000"/>
        </w:rPr>
      </w:pPr>
      <w:r>
        <w:rPr>
          <w:rFonts w:ascii="Arial" w:cs="Arial" w:eastAsia="Arial" w:hAnsi="Arial"/>
          <w:sz w:val="20"/>
          <w:szCs w:val="20"/>
          <w:b w:val="1"/>
          <w:bCs w:val="1"/>
          <w:color w:val="auto"/>
        </w:rPr>
        <w:t>Limitations on Decision-Making</w:t>
      </w:r>
      <w:r>
        <w:rPr>
          <w:rFonts w:ascii="Arial" w:cs="Arial" w:eastAsia="Arial" w:hAnsi="Arial"/>
          <w:sz w:val="20"/>
          <w:szCs w:val="20"/>
          <w:color w:val="auto"/>
        </w:rPr>
        <w:t>. Without the other Party’s prior written consent, neither Party may</w:t>
      </w:r>
      <w:r>
        <w:rPr>
          <w:rFonts w:ascii="Arial" w:cs="Arial" w:eastAsia="Arial" w:hAnsi="Arial"/>
          <w:sz w:val="20"/>
          <w:szCs w:val="20"/>
          <w:b w:val="1"/>
          <w:bCs w:val="1"/>
          <w:color w:val="auto"/>
        </w:rPr>
        <w:t xml:space="preserve"> </w:t>
      </w:r>
      <w:r>
        <w:rPr>
          <w:rFonts w:ascii="Arial" w:cs="Arial" w:eastAsia="Arial" w:hAnsi="Arial"/>
          <w:sz w:val="20"/>
          <w:szCs w:val="20"/>
          <w:color w:val="auto"/>
        </w:rPr>
        <w:t>unilaterally make a decision (in exercise of its final decision-making authority on any such matters) that (A) amends, modifies or waives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119" w:lineRule="exact"/>
        <w:rPr>
          <w:sz w:val="20"/>
          <w:szCs w:val="20"/>
          <w:color w:val="auto"/>
        </w:rPr>
      </w:pPr>
    </w:p>
    <w:p>
      <w:pPr>
        <w:ind w:right="220" w:firstLine="8"/>
        <w:spacing w:after="0" w:line="277" w:lineRule="auto"/>
        <w:tabs>
          <w:tab w:leader="none" w:pos="255" w:val="left"/>
        </w:tabs>
        <w:numPr>
          <w:ilvl w:val="0"/>
          <w:numId w:val="149"/>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5" w:name="page136"/>
    <w:bookmarkEnd w:id="135"/>
    <w:p>
      <w:pPr>
        <w:jc w:val="both"/>
        <w:ind w:left="2580"/>
        <w:spacing w:after="0" w:line="278" w:lineRule="auto"/>
        <w:rPr>
          <w:sz w:val="20"/>
          <w:szCs w:val="20"/>
          <w:color w:val="auto"/>
        </w:rPr>
      </w:pPr>
      <w:r>
        <w:rPr>
          <w:rFonts w:ascii="Arial" w:cs="Arial" w:eastAsia="Arial" w:hAnsi="Arial"/>
          <w:sz w:val="18"/>
          <w:szCs w:val="18"/>
          <w:color w:val="auto"/>
        </w:rPr>
        <w:t>compliance with any term or condition of this Agreement, or expands such Party’s contractual rights or reduces such Party’s contractual obligations under this Agreement, (B) conflicts with this Agreement, or would be reasonably likely to result in a violation of applicable law, the requirement of any Regulatory Authorities, or result in the infringement or misappropriation of intellectual property rights of any Third Party, or (C) is stated to require the agreement or consent of the Parties under Section 3.3(c)(i) (No Changes).</w:t>
      </w:r>
    </w:p>
    <w:p>
      <w:pPr>
        <w:spacing w:after="0" w:line="147"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0"/>
          <w:szCs w:val="20"/>
          <w:color w:val="010000"/>
        </w:rPr>
        <w:t>3.4</w:t>
      </w:r>
      <w:r>
        <w:rPr>
          <w:sz w:val="20"/>
          <w:szCs w:val="20"/>
          <w:color w:val="auto"/>
        </w:rPr>
        <w:tab/>
      </w:r>
      <w:r>
        <w:rPr>
          <w:rFonts w:ascii="Arial" w:cs="Arial" w:eastAsia="Arial" w:hAnsi="Arial"/>
          <w:sz w:val="20"/>
          <w:szCs w:val="20"/>
          <w:b w:val="1"/>
          <w:bCs w:val="1"/>
          <w:color w:val="auto"/>
        </w:rPr>
        <w:t>Dissolution of JSC</w:t>
      </w:r>
      <w:r>
        <w:rPr>
          <w:rFonts w:ascii="Arial" w:cs="Arial" w:eastAsia="Arial" w:hAnsi="Arial"/>
          <w:sz w:val="21"/>
          <w:szCs w:val="21"/>
          <w:color w:val="010000"/>
        </w:rPr>
        <w:t>. The JSC and any subcommittees shall be dissolved on a program-by-program basis upon: (a) with</w:t>
      </w:r>
      <w:r>
        <w:rPr>
          <w:rFonts w:ascii="Arial" w:cs="Arial" w:eastAsia="Arial" w:hAnsi="Arial"/>
          <w:sz w:val="20"/>
          <w:szCs w:val="20"/>
          <w:b w:val="1"/>
          <w:bCs w:val="1"/>
          <w:color w:val="auto"/>
        </w:rPr>
        <w:t xml:space="preserve"> </w:t>
      </w:r>
      <w:r>
        <w:rPr>
          <w:rFonts w:ascii="Arial" w:cs="Arial" w:eastAsia="Arial" w:hAnsi="Arial"/>
          <w:sz w:val="21"/>
          <w:szCs w:val="21"/>
          <w:color w:val="010000"/>
        </w:rPr>
        <w:t xml:space="preserve">respect to any Licensed Program, the date on which [*] with respect to such Licensed Program, (b) with respect to any Option Program, the expiration of the Option Term for such Option Program without an exercise of the License Option for such Option Program. The JSC and any subcommittees shall be dissolved in their entirety upon FibroGen’s election in accordance with Section 15.7 (Change of Control of HFB). Once the </w:t>
      </w:r>
      <w:r>
        <w:rPr>
          <w:rFonts w:ascii="Arial" w:cs="Arial" w:eastAsia="Arial" w:hAnsi="Arial"/>
          <w:sz w:val="21"/>
          <w:szCs w:val="21"/>
          <w:color w:val="000000"/>
        </w:rPr>
        <w:t>JSC</w:t>
      </w:r>
      <w:r>
        <w:rPr>
          <w:rFonts w:ascii="Arial" w:cs="Arial" w:eastAsia="Arial" w:hAnsi="Arial"/>
          <w:sz w:val="21"/>
          <w:szCs w:val="21"/>
          <w:color w:val="010000"/>
        </w:rPr>
        <w:t xml:space="preserve"> is disbanded with respect to any program, the </w:t>
      </w:r>
      <w:r>
        <w:rPr>
          <w:rFonts w:ascii="Arial" w:cs="Arial" w:eastAsia="Arial" w:hAnsi="Arial"/>
          <w:sz w:val="21"/>
          <w:szCs w:val="21"/>
          <w:color w:val="000000"/>
        </w:rPr>
        <w:t>JSC</w:t>
      </w:r>
      <w:r>
        <w:rPr>
          <w:rFonts w:ascii="Arial" w:cs="Arial" w:eastAsia="Arial" w:hAnsi="Arial"/>
          <w:sz w:val="21"/>
          <w:szCs w:val="21"/>
          <w:color w:val="010000"/>
        </w:rPr>
        <w:t xml:space="preserve"> will have no further obligations under this Agreement with respect to such program and, thereafter, the Alliance Managers will be the points of contact for the exchange of information between the Parties under this Agreement and any references in this Agreement to decisions of the </w:t>
      </w:r>
      <w:r>
        <w:rPr>
          <w:rFonts w:ascii="Arial" w:cs="Arial" w:eastAsia="Arial" w:hAnsi="Arial"/>
          <w:sz w:val="21"/>
          <w:szCs w:val="21"/>
          <w:color w:val="000000"/>
        </w:rPr>
        <w:t>JSC</w:t>
      </w:r>
      <w:r>
        <w:rPr>
          <w:rFonts w:ascii="Arial" w:cs="Arial" w:eastAsia="Arial" w:hAnsi="Arial"/>
          <w:sz w:val="21"/>
          <w:szCs w:val="21"/>
          <w:color w:val="010000"/>
        </w:rPr>
        <w:t xml:space="preserve"> will automatically become references to decisions by and between the Parties in writing, subject to the other terms of this Agreement and consistent with the terms of Section 3.3(c) (Final Decision-Making Authority).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DEVELOPMENT</w:t>
      </w:r>
    </w:p>
    <w:p>
      <w:pPr>
        <w:spacing w:after="0" w:line="87" w:lineRule="exact"/>
        <w:rPr>
          <w:sz w:val="20"/>
          <w:szCs w:val="20"/>
          <w:color w:val="auto"/>
        </w:rPr>
      </w:pPr>
    </w:p>
    <w:p>
      <w:pPr>
        <w:jc w:val="both"/>
        <w:ind w:left="860" w:hanging="849"/>
        <w:spacing w:after="0" w:line="261" w:lineRule="auto"/>
        <w:tabs>
          <w:tab w:leader="none" w:pos="840" w:val="left"/>
        </w:tabs>
        <w:rPr>
          <w:sz w:val="20"/>
          <w:szCs w:val="20"/>
          <w:color w:val="auto"/>
        </w:rPr>
      </w:pPr>
      <w:r>
        <w:rPr>
          <w:rFonts w:ascii="Arial" w:cs="Arial" w:eastAsia="Arial" w:hAnsi="Arial"/>
          <w:sz w:val="20"/>
          <w:szCs w:val="20"/>
          <w:color w:val="010000"/>
        </w:rPr>
        <w:t>4.1</w:t>
      </w:r>
      <w:r>
        <w:rPr>
          <w:sz w:val="20"/>
          <w:szCs w:val="20"/>
          <w:color w:val="auto"/>
        </w:rPr>
        <w:tab/>
      </w:r>
      <w:r>
        <w:rPr>
          <w:rFonts w:ascii="Arial" w:cs="Arial" w:eastAsia="Arial" w:hAnsi="Arial"/>
          <w:sz w:val="19"/>
          <w:szCs w:val="19"/>
          <w:b w:val="1"/>
          <w:bCs w:val="1"/>
          <w:color w:val="auto"/>
        </w:rPr>
        <w:t>Development Plans</w:t>
      </w:r>
      <w:r>
        <w:rPr>
          <w:rFonts w:ascii="Arial" w:cs="Arial" w:eastAsia="Arial" w:hAnsi="Arial"/>
          <w:sz w:val="20"/>
          <w:szCs w:val="20"/>
          <w:color w:val="auto"/>
        </w:rPr>
        <w:t>. An outline of all major Development activities to be conducted by FibroGen with respect to the</w:t>
      </w:r>
      <w:r>
        <w:rPr>
          <w:rFonts w:ascii="Arial" w:cs="Arial" w:eastAsia="Arial" w:hAnsi="Arial"/>
          <w:sz w:val="19"/>
          <w:szCs w:val="19"/>
          <w:b w:val="1"/>
          <w:bCs w:val="1"/>
          <w:color w:val="auto"/>
        </w:rPr>
        <w:t xml:space="preserve"> </w:t>
      </w:r>
      <w:r>
        <w:rPr>
          <w:rFonts w:ascii="Arial" w:cs="Arial" w:eastAsia="Arial" w:hAnsi="Arial"/>
          <w:sz w:val="20"/>
          <w:szCs w:val="20"/>
          <w:color w:val="auto"/>
        </w:rPr>
        <w:t>Gal-9 Licensed Program is attached hereto as Schedule 4.1 (Development Plan). Following the Option Exercise Date with respect to any Option Program, FibroGen will provide an updated Development Plan to HFB reflecting all major Development activities to be conducted by FibroGen with respect to the applicable Licensed Program. Additionally, prior to the first Regulatory Approval of a Licensed Product for each Licensed Program in a Major Market Country, FibroGen will provide an updated Development Plan with respect to such Licensed Program to HFB within [*] of each anniversary of the Effective Date based on the currently available information.</w:t>
      </w:r>
    </w:p>
    <w:p>
      <w:pPr>
        <w:spacing w:after="0" w:line="15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4.2</w:t>
      </w:r>
      <w:r>
        <w:rPr>
          <w:sz w:val="20"/>
          <w:szCs w:val="20"/>
          <w:color w:val="auto"/>
        </w:rPr>
        <w:tab/>
      </w:r>
      <w:r>
        <w:rPr>
          <w:rFonts w:ascii="Arial" w:cs="Arial" w:eastAsia="Arial" w:hAnsi="Arial"/>
          <w:sz w:val="18"/>
          <w:szCs w:val="18"/>
          <w:b w:val="1"/>
          <w:bCs w:val="1"/>
          <w:color w:val="auto"/>
        </w:rPr>
        <w:t>Work Plans</w:t>
      </w:r>
      <w:r>
        <w:rPr>
          <w:rFonts w:ascii="Arial" w:cs="Arial" w:eastAsia="Arial" w:hAnsi="Arial"/>
          <w:sz w:val="19"/>
          <w:szCs w:val="19"/>
          <w:color w:val="auto"/>
        </w:rPr>
        <w:t>.</w:t>
      </w:r>
    </w:p>
    <w:p>
      <w:pPr>
        <w:spacing w:after="0" w:line="214" w:lineRule="exact"/>
        <w:rPr>
          <w:sz w:val="20"/>
          <w:szCs w:val="20"/>
          <w:color w:val="auto"/>
        </w:rPr>
      </w:pPr>
    </w:p>
    <w:p>
      <w:pPr>
        <w:jc w:val="both"/>
        <w:ind w:left="1700" w:hanging="842"/>
        <w:spacing w:after="0" w:line="280" w:lineRule="auto"/>
        <w:tabs>
          <w:tab w:leader="none" w:pos="1700" w:val="left"/>
        </w:tabs>
        <w:numPr>
          <w:ilvl w:val="0"/>
          <w:numId w:val="150"/>
        </w:numPr>
        <w:rPr>
          <w:rFonts w:ascii="Arial" w:cs="Arial" w:eastAsia="Arial" w:hAnsi="Arial"/>
          <w:sz w:val="18"/>
          <w:szCs w:val="18"/>
          <w:color w:val="010000"/>
        </w:rPr>
      </w:pPr>
      <w:r>
        <w:rPr>
          <w:rFonts w:ascii="Arial" w:cs="Arial" w:eastAsia="Arial" w:hAnsi="Arial"/>
          <w:sz w:val="18"/>
          <w:szCs w:val="18"/>
          <w:b w:val="1"/>
          <w:bCs w:val="1"/>
          <w:color w:val="auto"/>
        </w:rPr>
        <w:t>Initial Work Plan</w:t>
      </w:r>
      <w:r>
        <w:rPr>
          <w:rFonts w:ascii="Arial" w:cs="Arial" w:eastAsia="Arial" w:hAnsi="Arial"/>
          <w:sz w:val="18"/>
          <w:szCs w:val="18"/>
          <w:color w:val="auto"/>
        </w:rPr>
        <w:t>. HFB will conduct certain Development activities until IND filing with respect to each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in accordance with a written plan that includes [*]. [*] prior to the approximate delivery date of an Option Notice with respect to each Option Program, HFB will submit to the JSC a proposed Work Plan to become effective upon the Option Exercise Date for such Option Program. The JSC will review and discuss, and determine whether to approve any such Work Plan in accordance with Section 3.3(c) (Final Decision-Making Authority).</w:t>
      </w:r>
    </w:p>
    <w:p>
      <w:pPr>
        <w:spacing w:after="0" w:line="48" w:lineRule="exact"/>
        <w:rPr>
          <w:rFonts w:ascii="Arial" w:cs="Arial" w:eastAsia="Arial" w:hAnsi="Arial"/>
          <w:sz w:val="18"/>
          <w:szCs w:val="18"/>
          <w:color w:val="010000"/>
        </w:rPr>
      </w:pPr>
    </w:p>
    <w:p>
      <w:pPr>
        <w:jc w:val="both"/>
        <w:ind w:left="1700" w:hanging="842"/>
        <w:spacing w:after="0" w:line="253" w:lineRule="auto"/>
        <w:tabs>
          <w:tab w:leader="none" w:pos="1700" w:val="left"/>
        </w:tabs>
        <w:numPr>
          <w:ilvl w:val="0"/>
          <w:numId w:val="150"/>
        </w:numPr>
        <w:rPr>
          <w:rFonts w:ascii="Arial" w:cs="Arial" w:eastAsia="Arial" w:hAnsi="Arial"/>
          <w:sz w:val="20"/>
          <w:szCs w:val="20"/>
          <w:color w:val="010000"/>
        </w:rPr>
      </w:pPr>
      <w:r>
        <w:rPr>
          <w:rFonts w:ascii="Arial" w:cs="Arial" w:eastAsia="Arial" w:hAnsi="Arial"/>
          <w:sz w:val="20"/>
          <w:szCs w:val="20"/>
          <w:b w:val="1"/>
          <w:bCs w:val="1"/>
          <w:color w:val="auto"/>
        </w:rPr>
        <w:t>Updating Work Plan</w:t>
      </w:r>
      <w:r>
        <w:rPr>
          <w:rFonts w:ascii="Arial" w:cs="Arial" w:eastAsia="Arial" w:hAnsi="Arial"/>
          <w:sz w:val="20"/>
          <w:szCs w:val="20"/>
          <w:color w:val="auto"/>
        </w:rPr>
        <w:t>. At least [*] (or more frequently as may be required) prior to dissolution of the JSC with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to any Licensed Program, the JSC will review and update HFB’s activities under each Work Plan based on the currently available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119" w:lineRule="exact"/>
        <w:rPr>
          <w:sz w:val="20"/>
          <w:szCs w:val="20"/>
          <w:color w:val="auto"/>
        </w:rPr>
      </w:pPr>
    </w:p>
    <w:p>
      <w:pPr>
        <w:ind w:right="220" w:firstLine="8"/>
        <w:spacing w:after="0" w:line="277" w:lineRule="auto"/>
        <w:tabs>
          <w:tab w:leader="none" w:pos="255" w:val="left"/>
        </w:tabs>
        <w:numPr>
          <w:ilvl w:val="0"/>
          <w:numId w:val="151"/>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6" w:name="page137"/>
    <w:bookmarkEnd w:id="136"/>
    <w:p>
      <w:pPr>
        <w:jc w:val="both"/>
        <w:ind w:left="1700"/>
        <w:spacing w:after="0" w:line="244" w:lineRule="auto"/>
        <w:rPr>
          <w:sz w:val="20"/>
          <w:szCs w:val="20"/>
          <w:color w:val="auto"/>
        </w:rPr>
      </w:pPr>
      <w:r>
        <w:rPr>
          <w:rFonts w:ascii="Arial" w:cs="Arial" w:eastAsia="Arial" w:hAnsi="Arial"/>
          <w:sz w:val="20"/>
          <w:szCs w:val="20"/>
          <w:color w:val="auto"/>
        </w:rPr>
        <w:t>information. Each such update to a Work Plan will become effective and will supersede the previous version of such Work Plan upon approval thereof by the JSC. Additionally, from time to time prior to dissolution of the JSC, either Party may provide to the JSC a proposed amendment to any then-current Work Plan. The JSC will review and discuss, and determine whether to approve any proposed amendment to the Work Plan in accordance with Section 3.3(c) (Final Decision-Making Authority).</w:t>
      </w:r>
    </w:p>
    <w:p>
      <w:pPr>
        <w:spacing w:after="0" w:line="82"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4.3</w:t>
      </w:r>
      <w:r>
        <w:rPr>
          <w:sz w:val="20"/>
          <w:szCs w:val="20"/>
          <w:color w:val="auto"/>
        </w:rPr>
        <w:tab/>
      </w:r>
      <w:r>
        <w:rPr>
          <w:rFonts w:ascii="Arial" w:cs="Arial" w:eastAsia="Arial" w:hAnsi="Arial"/>
          <w:sz w:val="20"/>
          <w:szCs w:val="20"/>
          <w:b w:val="1"/>
          <w:bCs w:val="1"/>
          <w:color w:val="auto"/>
        </w:rPr>
        <w:t>FibroGen Development Responsibilities</w:t>
      </w:r>
      <w:r>
        <w:rPr>
          <w:rFonts w:ascii="Arial" w:cs="Arial" w:eastAsia="Arial" w:hAnsi="Arial"/>
          <w:sz w:val="21"/>
          <w:szCs w:val="21"/>
          <w:color w:val="auto"/>
        </w:rPr>
        <w:t>. During the Term, FibroGen will have the sole right and responsibility for, and</w:t>
      </w:r>
      <w:r>
        <w:rPr>
          <w:rFonts w:ascii="Arial" w:cs="Arial" w:eastAsia="Arial" w:hAnsi="Arial"/>
          <w:sz w:val="20"/>
          <w:szCs w:val="20"/>
          <w:b w:val="1"/>
          <w:bCs w:val="1"/>
          <w:color w:val="auto"/>
        </w:rPr>
        <w:t xml:space="preserve"> </w:t>
      </w:r>
      <w:r>
        <w:rPr>
          <w:rFonts w:ascii="Arial" w:cs="Arial" w:eastAsia="Arial" w:hAnsi="Arial"/>
          <w:sz w:val="21"/>
          <w:szCs w:val="21"/>
          <w:color w:val="auto"/>
        </w:rPr>
        <w:t>will have sole control and authority over, at its sole cost and expense, the Development of the Licensed Compounds and any Licensed Products.</w:t>
      </w:r>
    </w:p>
    <w:p>
      <w:pPr>
        <w:spacing w:after="0" w:line="156" w:lineRule="exact"/>
        <w:rPr>
          <w:sz w:val="20"/>
          <w:szCs w:val="20"/>
          <w:color w:val="auto"/>
        </w:rPr>
      </w:pPr>
    </w:p>
    <w:p>
      <w:pPr>
        <w:jc w:val="both"/>
        <w:ind w:left="860" w:hanging="849"/>
        <w:spacing w:after="0" w:line="259" w:lineRule="auto"/>
        <w:tabs>
          <w:tab w:leader="none" w:pos="840" w:val="left"/>
        </w:tabs>
        <w:rPr>
          <w:sz w:val="20"/>
          <w:szCs w:val="20"/>
          <w:color w:val="auto"/>
        </w:rPr>
      </w:pPr>
      <w:r>
        <w:rPr>
          <w:rFonts w:ascii="Arial" w:cs="Arial" w:eastAsia="Arial" w:hAnsi="Arial"/>
          <w:sz w:val="20"/>
          <w:szCs w:val="20"/>
          <w:color w:val="010000"/>
        </w:rPr>
        <w:t>4.4</w:t>
      </w:r>
      <w:r>
        <w:rPr>
          <w:sz w:val="20"/>
          <w:szCs w:val="20"/>
          <w:color w:val="auto"/>
        </w:rPr>
        <w:tab/>
      </w:r>
      <w:r>
        <w:rPr>
          <w:rFonts w:ascii="Arial" w:cs="Arial" w:eastAsia="Arial" w:hAnsi="Arial"/>
          <w:sz w:val="19"/>
          <w:szCs w:val="19"/>
          <w:b w:val="1"/>
          <w:bCs w:val="1"/>
          <w:color w:val="auto"/>
        </w:rPr>
        <w:t>Development Diligence Obligations</w:t>
      </w:r>
      <w:r>
        <w:rPr>
          <w:rFonts w:ascii="Arial" w:cs="Arial" w:eastAsia="Arial" w:hAnsi="Arial"/>
          <w:sz w:val="20"/>
          <w:szCs w:val="20"/>
          <w:color w:val="auto"/>
        </w:rPr>
        <w:t>. FibroGen will use Commercially Reasonable Efforts to Develop in accordance with</w:t>
      </w:r>
      <w:r>
        <w:rPr>
          <w:rFonts w:ascii="Arial" w:cs="Arial" w:eastAsia="Arial" w:hAnsi="Arial"/>
          <w:sz w:val="19"/>
          <w:szCs w:val="19"/>
          <w:b w:val="1"/>
          <w:bCs w:val="1"/>
          <w:color w:val="auto"/>
        </w:rPr>
        <w:t xml:space="preserve"> </w:t>
      </w:r>
      <w:r>
        <w:rPr>
          <w:rFonts w:ascii="Arial" w:cs="Arial" w:eastAsia="Arial" w:hAnsi="Arial"/>
          <w:sz w:val="20"/>
          <w:szCs w:val="20"/>
          <w:color w:val="auto"/>
        </w:rPr>
        <w:t>the Development Plan, and obtain and maintain Regulatory Approval for, [*] Licensed Product Directed To each Licensed Program in the Field in [*] Major Market Countries. FibroGen shall use Commercially Reasonable Efforts to</w:t>
      </w:r>
    </w:p>
    <w:p>
      <w:pPr>
        <w:spacing w:after="0" w:line="2" w:lineRule="exact"/>
        <w:rPr>
          <w:sz w:val="20"/>
          <w:szCs w:val="20"/>
          <w:color w:val="auto"/>
        </w:rPr>
      </w:pPr>
    </w:p>
    <w:p>
      <w:pPr>
        <w:jc w:val="both"/>
        <w:ind w:left="860" w:hanging="2"/>
        <w:spacing w:after="0" w:line="233" w:lineRule="auto"/>
        <w:tabs>
          <w:tab w:leader="none" w:pos="1171" w:val="left"/>
        </w:tabs>
        <w:numPr>
          <w:ilvl w:val="0"/>
          <w:numId w:val="152"/>
        </w:numPr>
        <w:rPr>
          <w:rFonts w:ascii="Arial" w:cs="Arial" w:eastAsia="Arial" w:hAnsi="Arial"/>
          <w:sz w:val="22"/>
          <w:szCs w:val="22"/>
          <w:color w:val="auto"/>
        </w:rPr>
      </w:pPr>
      <w:r>
        <w:rPr>
          <w:rFonts w:ascii="Arial" w:cs="Arial" w:eastAsia="Arial" w:hAnsi="Arial"/>
          <w:sz w:val="22"/>
          <w:szCs w:val="22"/>
          <w:color w:val="auto"/>
        </w:rPr>
        <w:t>(each of the events as provided in the foregoing (i) through (iii) are a “</w:t>
      </w:r>
      <w:r>
        <w:rPr>
          <w:rFonts w:ascii="Arial" w:cs="Arial" w:eastAsia="Arial" w:hAnsi="Arial"/>
          <w:sz w:val="22"/>
          <w:szCs w:val="22"/>
          <w:b w:val="1"/>
          <w:bCs w:val="1"/>
          <w:color w:val="auto"/>
        </w:rPr>
        <w:t>Diligence Milestone</w:t>
      </w:r>
      <w:r>
        <w:rPr>
          <w:rFonts w:ascii="Arial" w:cs="Arial" w:eastAsia="Arial" w:hAnsi="Arial"/>
          <w:sz w:val="22"/>
          <w:szCs w:val="22"/>
          <w:color w:val="auto"/>
        </w:rPr>
        <w:t>”). If FibroGen makes a final decision to permanently cease Development of all Licensed Products for a Licensed Program, FibroGen shall give HFB written notice within [*] of such decision and such Licensed Program shall be a Terminated Licensed Program pursuant to Section 13.6 (Effects of Termination).</w:t>
      </w:r>
    </w:p>
    <w:p>
      <w:pPr>
        <w:spacing w:after="0" w:line="174" w:lineRule="exact"/>
        <w:rPr>
          <w:sz w:val="20"/>
          <w:szCs w:val="20"/>
          <w:color w:val="auto"/>
        </w:rPr>
      </w:pPr>
    </w:p>
    <w:p>
      <w:pPr>
        <w:jc w:val="both"/>
        <w:ind w:left="860" w:hanging="849"/>
        <w:spacing w:after="0" w:line="249" w:lineRule="auto"/>
        <w:tabs>
          <w:tab w:leader="none" w:pos="840" w:val="left"/>
        </w:tabs>
        <w:rPr>
          <w:sz w:val="20"/>
          <w:szCs w:val="20"/>
          <w:color w:val="auto"/>
        </w:rPr>
      </w:pPr>
      <w:r>
        <w:rPr>
          <w:rFonts w:ascii="Arial" w:cs="Arial" w:eastAsia="Arial" w:hAnsi="Arial"/>
          <w:sz w:val="20"/>
          <w:szCs w:val="20"/>
          <w:color w:val="010000"/>
        </w:rPr>
        <w:t>4.5</w:t>
      </w:r>
      <w:r>
        <w:rPr>
          <w:sz w:val="20"/>
          <w:szCs w:val="20"/>
          <w:color w:val="auto"/>
        </w:rPr>
        <w:tab/>
      </w:r>
      <w:r>
        <w:rPr>
          <w:rFonts w:ascii="Arial" w:cs="Arial" w:eastAsia="Arial" w:hAnsi="Arial"/>
          <w:sz w:val="20"/>
          <w:szCs w:val="20"/>
          <w:b w:val="1"/>
          <w:bCs w:val="1"/>
          <w:color w:val="auto"/>
        </w:rPr>
        <w:t>HFB Development Responsibilities</w:t>
      </w:r>
      <w:r>
        <w:rPr>
          <w:rFonts w:ascii="Arial" w:cs="Arial" w:eastAsia="Arial" w:hAnsi="Arial"/>
          <w:sz w:val="21"/>
          <w:szCs w:val="21"/>
          <w:color w:val="auto"/>
        </w:rPr>
        <w:t>. Subject to the terms of this Agreement, on an Option Program-by-Option Program</w:t>
      </w:r>
      <w:r>
        <w:rPr>
          <w:rFonts w:ascii="Arial" w:cs="Arial" w:eastAsia="Arial" w:hAnsi="Arial"/>
          <w:sz w:val="20"/>
          <w:szCs w:val="20"/>
          <w:b w:val="1"/>
          <w:bCs w:val="1"/>
          <w:color w:val="auto"/>
        </w:rPr>
        <w:t xml:space="preserve"> </w:t>
      </w:r>
      <w:r>
        <w:rPr>
          <w:rFonts w:ascii="Arial" w:cs="Arial" w:eastAsia="Arial" w:hAnsi="Arial"/>
          <w:sz w:val="21"/>
          <w:szCs w:val="21"/>
          <w:color w:val="auto"/>
        </w:rPr>
        <w:t>basis prior to the Option Exercise Date with respect to such Option Program, HFB will conduct the Development activities with respect to each Option Program, [*]. On a Licensed Program-by-Licensed Program basis, HFB will conduct solely those Development activities allocated to it under the applicable Work Plan for such Licensed Program, [*], subject to any agreed budget set forth in such Work Plan.</w:t>
      </w:r>
    </w:p>
    <w:p>
      <w:pPr>
        <w:spacing w:after="0" w:line="165" w:lineRule="exact"/>
        <w:rPr>
          <w:sz w:val="20"/>
          <w:szCs w:val="20"/>
          <w:color w:val="auto"/>
        </w:rPr>
      </w:pPr>
    </w:p>
    <w:p>
      <w:pPr>
        <w:jc w:val="both"/>
        <w:ind w:left="860" w:hanging="849"/>
        <w:spacing w:after="0" w:line="260" w:lineRule="auto"/>
        <w:tabs>
          <w:tab w:leader="none" w:pos="840" w:val="left"/>
        </w:tabs>
        <w:rPr>
          <w:sz w:val="20"/>
          <w:szCs w:val="20"/>
          <w:color w:val="auto"/>
        </w:rPr>
      </w:pPr>
      <w:r>
        <w:rPr>
          <w:rFonts w:ascii="Arial" w:cs="Arial" w:eastAsia="Arial" w:hAnsi="Arial"/>
          <w:sz w:val="20"/>
          <w:szCs w:val="20"/>
          <w:color w:val="010000"/>
        </w:rPr>
        <w:t>4.6</w:t>
      </w:r>
      <w:r>
        <w:rPr>
          <w:sz w:val="20"/>
          <w:szCs w:val="20"/>
          <w:color w:val="auto"/>
        </w:rPr>
        <w:tab/>
      </w:r>
      <w:r>
        <w:rPr>
          <w:rFonts w:ascii="Arial" w:cs="Arial" w:eastAsia="Arial" w:hAnsi="Arial"/>
          <w:sz w:val="19"/>
          <w:szCs w:val="19"/>
          <w:b w:val="1"/>
          <w:bCs w:val="1"/>
          <w:color w:val="auto"/>
        </w:rPr>
        <w:t>Development Records</w:t>
      </w:r>
      <w:r>
        <w:rPr>
          <w:rFonts w:ascii="Arial" w:cs="Arial" w:eastAsia="Arial" w:hAnsi="Arial"/>
          <w:sz w:val="20"/>
          <w:szCs w:val="20"/>
          <w:color w:val="auto"/>
        </w:rPr>
        <w:t>. Each Party will, and will cause its Affiliates, Sublicensees, and subcontractors to, maintain</w:t>
      </w:r>
      <w:r>
        <w:rPr>
          <w:rFonts w:ascii="Arial" w:cs="Arial" w:eastAsia="Arial" w:hAnsi="Arial"/>
          <w:sz w:val="19"/>
          <w:szCs w:val="19"/>
          <w:b w:val="1"/>
          <w:bCs w:val="1"/>
          <w:color w:val="auto"/>
        </w:rPr>
        <w:t xml:space="preserve"> </w:t>
      </w:r>
      <w:r>
        <w:rPr>
          <w:rFonts w:ascii="Arial" w:cs="Arial" w:eastAsia="Arial" w:hAnsi="Arial"/>
          <w:sz w:val="20"/>
          <w:szCs w:val="20"/>
          <w:color w:val="auto"/>
        </w:rPr>
        <w:t>reasonably complete, current, and accurate records of all Development activities conducted by or on behalf of it and its Affiliates, Sublicensees, and subcontractors, respectively, pursuant to this Agreement. Each Party will maintain all such records relating to the Development of Licensed Compounds and Licensed Products for a period of [*]. HFB will document all non-clinical and preclinical studies in formal written study reports in accordance with GLP, cGMP, and GCP in compliance with ICH Guidelines, as applicable, and in compliance with applicable law. Upon FibroGen’s reasonable request, HFB will, and will cause its Affiliates, Sublicensees, and subcontractors to, allow FibroGen to access, review, and copy such records (including access to relevant databases).</w:t>
      </w:r>
    </w:p>
    <w:p>
      <w:pPr>
        <w:spacing w:after="0" w:line="153" w:lineRule="exact"/>
        <w:rPr>
          <w:sz w:val="20"/>
          <w:szCs w:val="20"/>
          <w:color w:val="auto"/>
        </w:rPr>
      </w:pPr>
    </w:p>
    <w:p>
      <w:pPr>
        <w:jc w:val="both"/>
        <w:ind w:left="860" w:hanging="849"/>
        <w:spacing w:after="0" w:line="249" w:lineRule="auto"/>
        <w:tabs>
          <w:tab w:leader="none" w:pos="840" w:val="left"/>
        </w:tabs>
        <w:rPr>
          <w:sz w:val="20"/>
          <w:szCs w:val="20"/>
          <w:color w:val="auto"/>
        </w:rPr>
      </w:pPr>
      <w:r>
        <w:rPr>
          <w:rFonts w:ascii="Arial" w:cs="Arial" w:eastAsia="Arial" w:hAnsi="Arial"/>
          <w:sz w:val="20"/>
          <w:szCs w:val="20"/>
          <w:color w:val="010000"/>
        </w:rPr>
        <w:t>4.7</w:t>
      </w:r>
      <w:r>
        <w:rPr>
          <w:sz w:val="20"/>
          <w:szCs w:val="20"/>
          <w:color w:val="auto"/>
        </w:rPr>
        <w:tab/>
      </w:r>
      <w:r>
        <w:rPr>
          <w:rFonts w:ascii="Arial" w:cs="Arial" w:eastAsia="Arial" w:hAnsi="Arial"/>
          <w:sz w:val="20"/>
          <w:szCs w:val="20"/>
          <w:b w:val="1"/>
          <w:bCs w:val="1"/>
          <w:color w:val="auto"/>
        </w:rPr>
        <w:t>Development Reports</w:t>
      </w:r>
      <w:r>
        <w:rPr>
          <w:rFonts w:ascii="Arial" w:cs="Arial" w:eastAsia="Arial" w:hAnsi="Arial"/>
          <w:sz w:val="21"/>
          <w:szCs w:val="21"/>
          <w:color w:val="auto"/>
        </w:rPr>
        <w:t>. At each JSC meeting for [*] during which either Party is performing, or having performed,</w:t>
      </w:r>
      <w:r>
        <w:rPr>
          <w:rFonts w:ascii="Arial" w:cs="Arial" w:eastAsia="Arial" w:hAnsi="Arial"/>
          <w:sz w:val="20"/>
          <w:szCs w:val="20"/>
          <w:b w:val="1"/>
          <w:bCs w:val="1"/>
          <w:color w:val="auto"/>
        </w:rPr>
        <w:t xml:space="preserve"> </w:t>
      </w:r>
      <w:r>
        <w:rPr>
          <w:rFonts w:ascii="Arial" w:cs="Arial" w:eastAsia="Arial" w:hAnsi="Arial"/>
          <w:sz w:val="21"/>
          <w:szCs w:val="21"/>
          <w:color w:val="auto"/>
        </w:rPr>
        <w:t>Development activities for any Option Compound, Option Product, Licensed Compound or Licensed Product in the Territory, such Party will provide a report to the other Party (through the JSC) summarizing such Development activities performed during the period since the preceding JSC meeting, such Development activities as are in process, including a summary of the data and results of such Development activities.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119" w:lineRule="exact"/>
        <w:rPr>
          <w:sz w:val="20"/>
          <w:szCs w:val="20"/>
          <w:color w:val="auto"/>
        </w:rPr>
      </w:pPr>
    </w:p>
    <w:p>
      <w:pPr>
        <w:ind w:right="220" w:firstLine="8"/>
        <w:spacing w:after="0" w:line="277" w:lineRule="auto"/>
        <w:tabs>
          <w:tab w:leader="none" w:pos="255" w:val="left"/>
        </w:tabs>
        <w:numPr>
          <w:ilvl w:val="0"/>
          <w:numId w:val="153"/>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7" w:name="page138"/>
    <w:bookmarkEnd w:id="137"/>
    <w:p>
      <w:pPr>
        <w:jc w:val="both"/>
        <w:ind w:left="860"/>
        <w:spacing w:after="0" w:line="245" w:lineRule="auto"/>
        <w:rPr>
          <w:sz w:val="20"/>
          <w:szCs w:val="20"/>
          <w:color w:val="auto"/>
        </w:rPr>
      </w:pPr>
      <w:r>
        <w:rPr>
          <w:rFonts w:ascii="Arial" w:cs="Arial" w:eastAsia="Arial" w:hAnsi="Arial"/>
          <w:sz w:val="21"/>
          <w:szCs w:val="21"/>
          <w:color w:val="auto"/>
        </w:rPr>
        <w:t>Following dissolution of the JSC pursuant to Section 3.4 (Dissolution of JSC), FibroGen will provide to HFB a Development report no later than [*] during the Term summarizing the Development activities performed by or on behalf of FibroGen and its Affiliates and Sublicensees in the Territory for the Licensed Products since the prior such report provided by FibroGen or, in the case of the first such report, since [*] prior to the date upon which the JSC was dissolved pursuant to Section 3.4 (Dissolution of JSC). HFB will have [*] following receipt of such [*] report to reasonably request additional information and a reasonable and prompt opportunity to discuss. Such reports and any additional information provided by a Party regarding Development activities for the Licensed Compounds and Licensed Products, in each case, will be the Confidential Information of the providing Party and subject to the terms of Article 12 (Confidentiality).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REGULATORY</w:t>
      </w:r>
    </w:p>
    <w:p>
      <w:pPr>
        <w:spacing w:after="0" w:line="208"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5.1</w:t>
      </w:r>
      <w:r>
        <w:rPr>
          <w:sz w:val="20"/>
          <w:szCs w:val="20"/>
          <w:color w:val="auto"/>
        </w:rPr>
        <w:tab/>
      </w:r>
      <w:r>
        <w:rPr>
          <w:rFonts w:ascii="Arial" w:cs="Arial" w:eastAsia="Arial" w:hAnsi="Arial"/>
          <w:sz w:val="20"/>
          <w:szCs w:val="20"/>
          <w:b w:val="1"/>
          <w:bCs w:val="1"/>
          <w:color w:val="auto"/>
        </w:rPr>
        <w:t>Regulatory Responsibilities</w:t>
      </w:r>
      <w:r>
        <w:rPr>
          <w:rFonts w:ascii="Arial" w:cs="Arial" w:eastAsia="Arial" w:hAnsi="Arial"/>
          <w:sz w:val="21"/>
          <w:szCs w:val="21"/>
          <w:color w:val="auto"/>
        </w:rPr>
        <w:t>. During the Term, FibroGen will have sole responsibility for, and sole decision-making</w:t>
      </w:r>
      <w:r>
        <w:rPr>
          <w:rFonts w:ascii="Arial" w:cs="Arial" w:eastAsia="Arial" w:hAnsi="Arial"/>
          <w:sz w:val="20"/>
          <w:szCs w:val="20"/>
          <w:b w:val="1"/>
          <w:bCs w:val="1"/>
          <w:color w:val="auto"/>
        </w:rPr>
        <w:t xml:space="preserve"> </w:t>
      </w:r>
      <w:r>
        <w:rPr>
          <w:rFonts w:ascii="Arial" w:cs="Arial" w:eastAsia="Arial" w:hAnsi="Arial"/>
          <w:sz w:val="21"/>
          <w:szCs w:val="21"/>
          <w:color w:val="auto"/>
        </w:rPr>
        <w:t>authority over, all regulatory activities and associated costs and expenses for all Licensed Compounds and all Licensed Products in the Field in the Territory.</w:t>
      </w:r>
    </w:p>
    <w:p>
      <w:pPr>
        <w:spacing w:after="0" w:line="156"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0"/>
          <w:szCs w:val="20"/>
          <w:color w:val="010000"/>
        </w:rPr>
        <w:t>5.2</w:t>
      </w:r>
      <w:r>
        <w:rPr>
          <w:sz w:val="20"/>
          <w:szCs w:val="20"/>
          <w:color w:val="auto"/>
        </w:rPr>
        <w:tab/>
      </w:r>
      <w:r>
        <w:rPr>
          <w:rFonts w:ascii="Arial" w:cs="Arial" w:eastAsia="Arial" w:hAnsi="Arial"/>
          <w:sz w:val="20"/>
          <w:szCs w:val="20"/>
          <w:b w:val="1"/>
          <w:bCs w:val="1"/>
          <w:color w:val="auto"/>
        </w:rPr>
        <w:t>Regulatory Filings; Ownership</w:t>
      </w:r>
      <w:r>
        <w:rPr>
          <w:rFonts w:ascii="Arial" w:cs="Arial" w:eastAsia="Arial" w:hAnsi="Arial"/>
          <w:sz w:val="21"/>
          <w:szCs w:val="21"/>
          <w:color w:val="auto"/>
        </w:rPr>
        <w:t>. FibroGen will lead and have sole control over and decision-making authority with</w:t>
      </w:r>
      <w:r>
        <w:rPr>
          <w:rFonts w:ascii="Arial" w:cs="Arial" w:eastAsia="Arial" w:hAnsi="Arial"/>
          <w:sz w:val="20"/>
          <w:szCs w:val="20"/>
          <w:b w:val="1"/>
          <w:bCs w:val="1"/>
          <w:color w:val="auto"/>
        </w:rPr>
        <w:t xml:space="preserve"> </w:t>
      </w:r>
      <w:r>
        <w:rPr>
          <w:rFonts w:ascii="Arial" w:cs="Arial" w:eastAsia="Arial" w:hAnsi="Arial"/>
          <w:sz w:val="21"/>
          <w:szCs w:val="21"/>
          <w:color w:val="auto"/>
        </w:rPr>
        <w:t>respect to preparing and submitting all regulatory filings related to the Licensed Compounds and Licensed Products in the Territory, including all applications for Regulatory Approval in the Territory. FibroGen will own any and all Regulatory Approvals and Regulatory Materials related to the Licensed Compounds and Licensed Products in the Territory, which will be held in the name of FibroGen or its designees. FibroGen will keep HFB informed of receipt of any Regulatory Approvals with respect to any Licensed Products in the Territory. HFB will reasonably cooperate with FibroGen in its efforts to prepare and submit any regulatory submissions to obtain, support, or maintain Regulatory Approvals for the Licensed Products in the Territory and all regulatory activities related to the Exploitation of the Licensed Products in the Territory.</w:t>
      </w:r>
    </w:p>
    <w:p>
      <w:pPr>
        <w:spacing w:after="0" w:line="171"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b w:val="1"/>
          <w:bCs w:val="1"/>
          <w:color w:val="auto"/>
        </w:rPr>
        <w:t>Interactions with Regulatory Authorities</w:t>
      </w:r>
      <w:r>
        <w:rPr>
          <w:rFonts w:ascii="Arial" w:cs="Arial" w:eastAsia="Arial" w:hAnsi="Arial"/>
          <w:sz w:val="21"/>
          <w:szCs w:val="21"/>
          <w:color w:val="auto"/>
        </w:rPr>
        <w:t>. FibroGen will have the sole right to conduct all communications with</w:t>
      </w:r>
      <w:r>
        <w:rPr>
          <w:rFonts w:ascii="Arial" w:cs="Arial" w:eastAsia="Arial" w:hAnsi="Arial"/>
          <w:sz w:val="20"/>
          <w:szCs w:val="20"/>
          <w:b w:val="1"/>
          <w:bCs w:val="1"/>
          <w:color w:val="auto"/>
        </w:rPr>
        <w:t xml:space="preserve"> </w:t>
      </w:r>
      <w:r>
        <w:rPr>
          <w:rFonts w:ascii="Arial" w:cs="Arial" w:eastAsia="Arial" w:hAnsi="Arial"/>
          <w:sz w:val="21"/>
          <w:szCs w:val="21"/>
          <w:color w:val="auto"/>
        </w:rPr>
        <w:t>Regulatory Authorities in the Territory related to the Licensed Compounds and Licensed Products, including all meetings, conferences, and discussions (including advisory committee meetings).</w:t>
      </w:r>
    </w:p>
    <w:p>
      <w:pPr>
        <w:spacing w:after="0" w:line="156" w:lineRule="exact"/>
        <w:rPr>
          <w:sz w:val="20"/>
          <w:szCs w:val="20"/>
          <w:color w:val="auto"/>
        </w:rPr>
      </w:pPr>
    </w:p>
    <w:p>
      <w:pPr>
        <w:jc w:val="both"/>
        <w:ind w:left="860" w:hanging="849"/>
        <w:spacing w:after="0" w:line="276" w:lineRule="auto"/>
        <w:tabs>
          <w:tab w:leader="none" w:pos="8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b w:val="1"/>
          <w:bCs w:val="1"/>
          <w:color w:val="auto"/>
        </w:rPr>
        <w:t>Option Programs</w:t>
      </w:r>
      <w:r>
        <w:rPr>
          <w:rFonts w:ascii="Arial" w:cs="Arial" w:eastAsia="Arial" w:hAnsi="Arial"/>
          <w:sz w:val="20"/>
          <w:szCs w:val="20"/>
          <w:color w:val="auto"/>
        </w:rPr>
        <w:t>. During the Option Term for any Option Program, HFB will not submit any regulatory filings related</w:t>
      </w:r>
      <w:r>
        <w:rPr>
          <w:rFonts w:ascii="Arial" w:cs="Arial" w:eastAsia="Arial" w:hAnsi="Arial"/>
          <w:sz w:val="19"/>
          <w:szCs w:val="19"/>
          <w:b w:val="1"/>
          <w:bCs w:val="1"/>
          <w:color w:val="auto"/>
        </w:rPr>
        <w:t xml:space="preserve"> </w:t>
      </w:r>
      <w:r>
        <w:rPr>
          <w:rFonts w:ascii="Arial" w:cs="Arial" w:eastAsia="Arial" w:hAnsi="Arial"/>
          <w:sz w:val="20"/>
          <w:szCs w:val="20"/>
          <w:color w:val="auto"/>
        </w:rPr>
        <w:t>to the Option Compounds or Option Products for such Option Program or conduct any communications with Regulatory Authorities in the Territory related to such Option Compounds or Option Products, in each case, [*].</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MANUFACTURING</w:t>
      </w:r>
    </w:p>
    <w:p>
      <w:pPr>
        <w:spacing w:after="0" w:line="181"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6.1</w:t>
      </w:r>
      <w:r>
        <w:rPr>
          <w:sz w:val="20"/>
          <w:szCs w:val="20"/>
          <w:color w:val="auto"/>
        </w:rPr>
        <w:tab/>
      </w:r>
      <w:r>
        <w:rPr>
          <w:rFonts w:ascii="Arial" w:cs="Arial" w:eastAsia="Arial" w:hAnsi="Arial"/>
          <w:sz w:val="20"/>
          <w:szCs w:val="20"/>
          <w:b w:val="1"/>
          <w:bCs w:val="1"/>
          <w:color w:val="auto"/>
        </w:rPr>
        <w:t>Manufacturing</w:t>
      </w:r>
      <w:r>
        <w:rPr>
          <w:rFonts w:ascii="Arial" w:cs="Arial" w:eastAsia="Arial" w:hAnsi="Arial"/>
          <w:sz w:val="21"/>
          <w:szCs w:val="21"/>
          <w:color w:val="auto"/>
        </w:rPr>
        <w:t>. During the Term, FibroGen will have the exclusive right to Manufacture and supply the Licensed</w:t>
      </w:r>
      <w:r>
        <w:rPr>
          <w:rFonts w:ascii="Arial" w:cs="Arial" w:eastAsia="Arial" w:hAnsi="Arial"/>
          <w:sz w:val="20"/>
          <w:szCs w:val="20"/>
          <w:b w:val="1"/>
          <w:bCs w:val="1"/>
          <w:color w:val="auto"/>
        </w:rPr>
        <w:t xml:space="preserve"> </w:t>
      </w:r>
      <w:r>
        <w:rPr>
          <w:rFonts w:ascii="Arial" w:cs="Arial" w:eastAsia="Arial" w:hAnsi="Arial"/>
          <w:sz w:val="21"/>
          <w:szCs w:val="21"/>
          <w:color w:val="auto"/>
        </w:rPr>
        <w:t>Compounds and Licensed Products itself or through one or more Affiliates or FibroGen CMOs for Exploitation in the Field in the Territory.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119" w:lineRule="exact"/>
        <w:rPr>
          <w:sz w:val="20"/>
          <w:szCs w:val="20"/>
          <w:color w:val="auto"/>
        </w:rPr>
      </w:pPr>
    </w:p>
    <w:p>
      <w:pPr>
        <w:ind w:right="220" w:firstLine="8"/>
        <w:spacing w:after="0" w:line="277" w:lineRule="auto"/>
        <w:tabs>
          <w:tab w:leader="none" w:pos="255" w:val="left"/>
        </w:tabs>
        <w:numPr>
          <w:ilvl w:val="0"/>
          <w:numId w:val="154"/>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010000"/>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COMMERCIALIZATION</w:t>
      </w:r>
    </w:p>
    <w:p>
      <w:pPr>
        <w:spacing w:after="0" w:line="181"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7.1</w:t>
      </w:r>
      <w:r>
        <w:rPr>
          <w:sz w:val="20"/>
          <w:szCs w:val="20"/>
          <w:color w:val="auto"/>
        </w:rPr>
        <w:tab/>
      </w:r>
      <w:r>
        <w:rPr>
          <w:rFonts w:ascii="Arial" w:cs="Arial" w:eastAsia="Arial" w:hAnsi="Arial"/>
          <w:sz w:val="20"/>
          <w:szCs w:val="20"/>
          <w:b w:val="1"/>
          <w:bCs w:val="1"/>
          <w:color w:val="auto"/>
        </w:rPr>
        <w:t>Commercialization Responsibilities</w:t>
      </w:r>
      <w:r>
        <w:rPr>
          <w:rFonts w:ascii="Arial" w:cs="Arial" w:eastAsia="Arial" w:hAnsi="Arial"/>
          <w:sz w:val="21"/>
          <w:szCs w:val="21"/>
          <w:color w:val="auto"/>
        </w:rPr>
        <w:t>. FibroGen will have sole control over and decision-making authority with respect to</w:t>
      </w:r>
      <w:r>
        <w:rPr>
          <w:rFonts w:ascii="Arial" w:cs="Arial" w:eastAsia="Arial" w:hAnsi="Arial"/>
          <w:sz w:val="20"/>
          <w:szCs w:val="20"/>
          <w:b w:val="1"/>
          <w:bCs w:val="1"/>
          <w:color w:val="auto"/>
        </w:rPr>
        <w:t xml:space="preserve"> </w:t>
      </w:r>
      <w:r>
        <w:rPr>
          <w:rFonts w:ascii="Arial" w:cs="Arial" w:eastAsia="Arial" w:hAnsi="Arial"/>
          <w:sz w:val="21"/>
          <w:szCs w:val="21"/>
          <w:color w:val="auto"/>
        </w:rPr>
        <w:t>the Commercialization of all Licensed Products in the Territory, including the right to determine the price of the Licensed Products sold in the Territory.</w:t>
      </w:r>
    </w:p>
    <w:p>
      <w:pPr>
        <w:spacing w:after="0" w:line="156" w:lineRule="exact"/>
        <w:rPr>
          <w:sz w:val="20"/>
          <w:szCs w:val="20"/>
          <w:color w:val="auto"/>
        </w:rPr>
      </w:pPr>
    </w:p>
    <w:p>
      <w:pPr>
        <w:jc w:val="both"/>
        <w:ind w:left="860" w:hanging="849"/>
        <w:spacing w:after="0" w:line="259" w:lineRule="auto"/>
        <w:tabs>
          <w:tab w:leader="none" w:pos="840" w:val="left"/>
        </w:tabs>
        <w:rPr>
          <w:sz w:val="20"/>
          <w:szCs w:val="20"/>
          <w:color w:val="auto"/>
        </w:rPr>
      </w:pPr>
      <w:r>
        <w:rPr>
          <w:rFonts w:ascii="Arial" w:cs="Arial" w:eastAsia="Arial" w:hAnsi="Arial"/>
          <w:sz w:val="20"/>
          <w:szCs w:val="20"/>
          <w:color w:val="010000"/>
        </w:rPr>
        <w:t>7.2</w:t>
      </w:r>
      <w:r>
        <w:rPr>
          <w:sz w:val="20"/>
          <w:szCs w:val="20"/>
          <w:color w:val="auto"/>
        </w:rPr>
        <w:tab/>
      </w:r>
      <w:r>
        <w:rPr>
          <w:rFonts w:ascii="Arial" w:cs="Arial" w:eastAsia="Arial" w:hAnsi="Arial"/>
          <w:sz w:val="19"/>
          <w:szCs w:val="19"/>
          <w:b w:val="1"/>
          <w:bCs w:val="1"/>
          <w:color w:val="auto"/>
        </w:rPr>
        <w:t>Commercialization Diligence Obligations</w:t>
      </w:r>
      <w:r>
        <w:rPr>
          <w:rFonts w:ascii="Arial" w:cs="Arial" w:eastAsia="Arial" w:hAnsi="Arial"/>
          <w:sz w:val="20"/>
          <w:szCs w:val="20"/>
          <w:color w:val="auto"/>
        </w:rPr>
        <w:t>. [*]. If, with respect to any Licensed Program, FibroGen ceases all</w:t>
      </w:r>
      <w:r>
        <w:rPr>
          <w:rFonts w:ascii="Arial" w:cs="Arial" w:eastAsia="Arial" w:hAnsi="Arial"/>
          <w:sz w:val="19"/>
          <w:szCs w:val="19"/>
          <w:b w:val="1"/>
          <w:bCs w:val="1"/>
          <w:color w:val="auto"/>
        </w:rPr>
        <w:t xml:space="preserve"> </w:t>
      </w:r>
      <w:r>
        <w:rPr>
          <w:rFonts w:ascii="Arial" w:cs="Arial" w:eastAsia="Arial" w:hAnsi="Arial"/>
          <w:sz w:val="20"/>
          <w:szCs w:val="20"/>
          <w:color w:val="auto"/>
        </w:rPr>
        <w:t xml:space="preserve">Commercially Reasonable Efforts to Commercialize all Licensed Products within such Licensed Program for [*], such Licensed Program shall be a Terminated Licensed Program and all applicable Licensed Products shall become Terminated Licensed Products;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(a) if such cessation is a result of a safety concern, regulatory issue, clinical hold, Force Majeure, or injunction or other operation of law, such [*] period will be extended for [*] any of the foregoing listed in this clause (a) caused [*] and FibroGen is diligently seeking to remedy such issue, such [*] period will be [*] as is reasonably necessary to resolve the [*]</w:t>
      </w:r>
      <w:r>
        <w:rPr>
          <w:rFonts w:ascii="Arial" w:cs="Arial" w:eastAsia="Arial" w:hAnsi="Arial"/>
          <w:sz w:val="20"/>
          <w:szCs w:val="20"/>
          <w:color w:val="010000"/>
        </w:rPr>
        <w:t>. If FibroGen makes a [*] Commercialization of all Licensed</w:t>
      </w:r>
      <w:r>
        <w:rPr>
          <w:rFonts w:ascii="Arial" w:cs="Arial" w:eastAsia="Arial" w:hAnsi="Arial"/>
          <w:sz w:val="20"/>
          <w:szCs w:val="20"/>
          <w:color w:val="auto"/>
        </w:rPr>
        <w:t xml:space="preserve"> </w:t>
      </w:r>
      <w:r>
        <w:rPr>
          <w:rFonts w:ascii="Arial" w:cs="Arial" w:eastAsia="Arial" w:hAnsi="Arial"/>
          <w:sz w:val="20"/>
          <w:szCs w:val="20"/>
          <w:color w:val="010000"/>
        </w:rPr>
        <w:t>Products for a Licensed Program, FibroGen shall give HFB written notice within [*] of such decision and such Licensed Program shall be a Terminated Licensed Program pursuant to Section 13.6 (Effects of Termination).</w:t>
      </w:r>
    </w:p>
    <w:p>
      <w:pPr>
        <w:spacing w:after="0" w:line="156" w:lineRule="exact"/>
        <w:rPr>
          <w:sz w:val="20"/>
          <w:szCs w:val="20"/>
          <w:color w:val="auto"/>
        </w:rPr>
      </w:pPr>
    </w:p>
    <w:p>
      <w:pPr>
        <w:jc w:val="both"/>
        <w:ind w:left="860" w:hanging="849"/>
        <w:spacing w:after="0" w:line="261" w:lineRule="auto"/>
        <w:tabs>
          <w:tab w:leader="none" w:pos="840" w:val="left"/>
        </w:tabs>
        <w:rPr>
          <w:sz w:val="20"/>
          <w:szCs w:val="20"/>
          <w:color w:val="auto"/>
        </w:rPr>
      </w:pPr>
      <w:r>
        <w:rPr>
          <w:rFonts w:ascii="Arial" w:cs="Arial" w:eastAsia="Arial" w:hAnsi="Arial"/>
          <w:sz w:val="20"/>
          <w:szCs w:val="20"/>
          <w:color w:val="010000"/>
        </w:rPr>
        <w:t>7.3</w:t>
      </w:r>
      <w:r>
        <w:rPr>
          <w:sz w:val="20"/>
          <w:szCs w:val="20"/>
          <w:color w:val="auto"/>
        </w:rPr>
        <w:tab/>
      </w:r>
      <w:r>
        <w:rPr>
          <w:rFonts w:ascii="Arial" w:cs="Arial" w:eastAsia="Arial" w:hAnsi="Arial"/>
          <w:sz w:val="19"/>
          <w:szCs w:val="19"/>
          <w:b w:val="1"/>
          <w:bCs w:val="1"/>
          <w:color w:val="auto"/>
        </w:rPr>
        <w:t>Commercialization Report</w:t>
      </w:r>
      <w:r>
        <w:rPr>
          <w:rFonts w:ascii="Arial" w:cs="Arial" w:eastAsia="Arial" w:hAnsi="Arial"/>
          <w:sz w:val="20"/>
          <w:szCs w:val="20"/>
          <w:color w:val="auto"/>
        </w:rPr>
        <w:t>. Within [*], FibroGen will provide to HFB a report summarizing the Commercialization</w:t>
      </w:r>
      <w:r>
        <w:rPr>
          <w:rFonts w:ascii="Arial" w:cs="Arial" w:eastAsia="Arial" w:hAnsi="Arial"/>
          <w:sz w:val="19"/>
          <w:szCs w:val="19"/>
          <w:b w:val="1"/>
          <w:bCs w:val="1"/>
          <w:color w:val="auto"/>
        </w:rPr>
        <w:t xml:space="preserve"> </w:t>
      </w:r>
      <w:r>
        <w:rPr>
          <w:rFonts w:ascii="Arial" w:cs="Arial" w:eastAsia="Arial" w:hAnsi="Arial"/>
          <w:sz w:val="20"/>
          <w:szCs w:val="20"/>
          <w:color w:val="auto"/>
        </w:rPr>
        <w:t>activities performed by or on behalf of FibroGen and its Affiliates and Sublicensees in the Territory for the Licensed Products since the prior such report provided by FibroGen or, in the case of the first such report, since [*] prior to the date upon which the first Regulatory Approval for a Licensed Product in the Territory was granted. HFB will have [*] following receipt of such report to reasonably request additional information and a reasonable opportunity to discuss at a time mutually agreeable to the Parties. Such reports will be Confidential Information of FibroGen and subject to the terms of Article 12 (Confidentiality). FibroGen will provide updates to any such report at each meeting of the JSC.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FINANCIALS</w:t>
      </w:r>
    </w:p>
    <w:p>
      <w:pPr>
        <w:spacing w:after="0" w:line="87"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8.1</w:t>
      </w:r>
      <w:r>
        <w:rPr>
          <w:sz w:val="20"/>
          <w:szCs w:val="20"/>
          <w:color w:val="auto"/>
        </w:rPr>
        <w:tab/>
      </w:r>
      <w:r>
        <w:rPr>
          <w:rFonts w:ascii="Arial" w:cs="Arial" w:eastAsia="Arial" w:hAnsi="Arial"/>
          <w:sz w:val="20"/>
          <w:szCs w:val="20"/>
          <w:b w:val="1"/>
          <w:bCs w:val="1"/>
          <w:color w:val="auto"/>
        </w:rPr>
        <w:t>Upfront Payment</w:t>
      </w:r>
      <w:r>
        <w:rPr>
          <w:rFonts w:ascii="Arial" w:cs="Arial" w:eastAsia="Arial" w:hAnsi="Arial"/>
          <w:sz w:val="21"/>
          <w:szCs w:val="21"/>
          <w:color w:val="auto"/>
        </w:rPr>
        <w:t>. No later than [*] after receipt of an invoice from HFB, which invoice may be provided beginning on</w:t>
      </w:r>
      <w:r>
        <w:rPr>
          <w:rFonts w:ascii="Arial" w:cs="Arial" w:eastAsia="Arial" w:hAnsi="Arial"/>
          <w:sz w:val="20"/>
          <w:szCs w:val="20"/>
          <w:b w:val="1"/>
          <w:bCs w:val="1"/>
          <w:color w:val="auto"/>
        </w:rPr>
        <w:t xml:space="preserve"> </w:t>
      </w:r>
      <w:r>
        <w:rPr>
          <w:rFonts w:ascii="Arial" w:cs="Arial" w:eastAsia="Arial" w:hAnsi="Arial"/>
          <w:sz w:val="21"/>
          <w:szCs w:val="21"/>
          <w:color w:val="auto"/>
        </w:rPr>
        <w:t>the Effective Date, FibroGen will pay to HFB a one-time, non-refundable, non-creditable payment in the amount of twenty-five million dollars ($25,000,000) (the “</w:t>
      </w:r>
      <w:r>
        <w:rPr>
          <w:rFonts w:ascii="Arial" w:cs="Arial" w:eastAsia="Arial" w:hAnsi="Arial"/>
          <w:sz w:val="21"/>
          <w:szCs w:val="21"/>
          <w:b w:val="1"/>
          <w:bCs w:val="1"/>
          <w:color w:val="auto"/>
        </w:rPr>
        <w:t>Upfront Payment</w:t>
      </w:r>
      <w:r>
        <w:rPr>
          <w:rFonts w:ascii="Arial" w:cs="Arial" w:eastAsia="Arial" w:hAnsi="Arial"/>
          <w:sz w:val="21"/>
          <w:szCs w:val="21"/>
          <w:color w:val="auto"/>
        </w:rPr>
        <w:t>”) [*].</w:t>
      </w:r>
    </w:p>
    <w:p>
      <w:pPr>
        <w:spacing w:after="0" w:line="156" w:lineRule="exact"/>
        <w:rPr>
          <w:sz w:val="20"/>
          <w:szCs w:val="20"/>
          <w:color w:val="auto"/>
        </w:rPr>
      </w:pPr>
    </w:p>
    <w:p>
      <w:pPr>
        <w:jc w:val="both"/>
        <w:ind w:left="860" w:hanging="849"/>
        <w:spacing w:after="0" w:line="297" w:lineRule="auto"/>
        <w:tabs>
          <w:tab w:leader="none" w:pos="840" w:val="left"/>
        </w:tabs>
        <w:rPr>
          <w:sz w:val="20"/>
          <w:szCs w:val="20"/>
          <w:color w:val="auto"/>
        </w:rPr>
      </w:pPr>
      <w:r>
        <w:rPr>
          <w:rFonts w:ascii="Arial" w:cs="Arial" w:eastAsia="Arial" w:hAnsi="Arial"/>
          <w:sz w:val="20"/>
          <w:szCs w:val="20"/>
          <w:color w:val="010000"/>
        </w:rPr>
        <w:t>8.2</w:t>
      </w:r>
      <w:r>
        <w:rPr>
          <w:sz w:val="20"/>
          <w:szCs w:val="20"/>
          <w:color w:val="auto"/>
        </w:rPr>
        <w:tab/>
      </w:r>
      <w:r>
        <w:rPr>
          <w:rFonts w:ascii="Arial" w:cs="Arial" w:eastAsia="Arial" w:hAnsi="Arial"/>
          <w:sz w:val="18"/>
          <w:szCs w:val="18"/>
          <w:b w:val="1"/>
          <w:bCs w:val="1"/>
          <w:color w:val="auto"/>
        </w:rPr>
        <w:t>Option Exercise Payment</w:t>
      </w:r>
      <w:r>
        <w:rPr>
          <w:rFonts w:ascii="Arial" w:cs="Arial" w:eastAsia="Arial" w:hAnsi="Arial"/>
          <w:sz w:val="19"/>
          <w:szCs w:val="19"/>
          <w:color w:val="auto"/>
        </w:rPr>
        <w:t>. No later than [*] after receipt of an invoice from HFB, which invoice shall be provided as</w:t>
      </w:r>
      <w:r>
        <w:rPr>
          <w:rFonts w:ascii="Arial" w:cs="Arial" w:eastAsia="Arial" w:hAnsi="Arial"/>
          <w:sz w:val="18"/>
          <w:szCs w:val="18"/>
          <w:b w:val="1"/>
          <w:bCs w:val="1"/>
          <w:color w:val="auto"/>
        </w:rPr>
        <w:t xml:space="preserve"> </w:t>
      </w:r>
      <w:r>
        <w:rPr>
          <w:rFonts w:ascii="Arial" w:cs="Arial" w:eastAsia="Arial" w:hAnsi="Arial"/>
          <w:sz w:val="19"/>
          <w:szCs w:val="19"/>
          <w:color w:val="auto"/>
        </w:rPr>
        <w:t>soon as reasonably practicable after FibroGen’s delivery of the Option Exercise Notice for a given License Option for an Option Program, FibroGen will pay to HFB the corresponding one-time, non-refundable, non-creditable payment for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119" w:lineRule="exact"/>
        <w:rPr>
          <w:sz w:val="20"/>
          <w:szCs w:val="20"/>
          <w:color w:val="auto"/>
        </w:rPr>
      </w:pPr>
    </w:p>
    <w:p>
      <w:pPr>
        <w:ind w:right="220" w:firstLine="8"/>
        <w:spacing w:after="0" w:line="277" w:lineRule="auto"/>
        <w:tabs>
          <w:tab w:leader="none" w:pos="255" w:val="left"/>
        </w:tabs>
        <w:numPr>
          <w:ilvl w:val="0"/>
          <w:numId w:val="155"/>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9" w:name="page140"/>
    <w:bookmarkEnd w:id="139"/>
    <w:p>
      <w:pPr>
        <w:ind w:left="860"/>
        <w:spacing w:after="0"/>
        <w:rPr>
          <w:sz w:val="20"/>
          <w:szCs w:val="20"/>
          <w:color w:val="auto"/>
        </w:rPr>
      </w:pPr>
      <w:r>
        <w:rPr>
          <w:rFonts w:ascii="Arial" w:cs="Arial" w:eastAsia="Arial" w:hAnsi="Arial"/>
          <w:sz w:val="22"/>
          <w:szCs w:val="22"/>
          <w:color w:val="auto"/>
        </w:rPr>
        <w:t>such Option Program set forth in Table 8.2 (each, an “</w:t>
      </w:r>
      <w:r>
        <w:rPr>
          <w:rFonts w:ascii="Arial" w:cs="Arial" w:eastAsia="Arial" w:hAnsi="Arial"/>
          <w:sz w:val="22"/>
          <w:szCs w:val="22"/>
          <w:b w:val="1"/>
          <w:bCs w:val="1"/>
          <w:color w:val="auto"/>
        </w:rPr>
        <w:t>Option Exercise Payment</w:t>
      </w:r>
      <w:r>
        <w:rPr>
          <w:rFonts w:ascii="Arial" w:cs="Arial" w:eastAsia="Arial" w:hAnsi="Arial"/>
          <w:sz w:val="22"/>
          <w:szCs w:val="22"/>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60" w:type="dxa"/>
            <w:vAlign w:val="bottom"/>
            <w:tcBorders>
              <w:top w:val="single" w:sz="8" w:color="auto"/>
              <w:bottom w:val="single" w:sz="8" w:color="auto"/>
            </w:tcBorders>
            <w:shd w:val="clear" w:color="auto" w:fill="BDD6EE"/>
          </w:tcPr>
          <w:p>
            <w:pPr>
              <w:spacing w:after="0"/>
              <w:rPr>
                <w:sz w:val="21"/>
                <w:szCs w:val="21"/>
                <w:color w:val="auto"/>
              </w:rPr>
            </w:pPr>
          </w:p>
        </w:tc>
        <w:tc>
          <w:tcPr>
            <w:tcW w:w="1680" w:type="dxa"/>
            <w:vAlign w:val="bottom"/>
            <w:tcBorders>
              <w:top w:val="single" w:sz="8" w:color="auto"/>
              <w:bottom w:val="single" w:sz="8" w:color="auto"/>
              <w:right w:val="single" w:sz="8" w:color="BDD6EE"/>
            </w:tcBorders>
            <w:shd w:val="clear" w:color="auto" w:fill="BDD6EE"/>
          </w:tcPr>
          <w:p>
            <w:pPr>
              <w:spacing w:after="0"/>
              <w:rPr>
                <w:sz w:val="21"/>
                <w:szCs w:val="21"/>
                <w:color w:val="auto"/>
              </w:rPr>
            </w:pPr>
          </w:p>
        </w:tc>
        <w:tc>
          <w:tcPr>
            <w:tcW w:w="5880" w:type="dxa"/>
            <w:vAlign w:val="bottom"/>
            <w:tcBorders>
              <w:top w:val="single" w:sz="8" w:color="auto"/>
              <w:bottom w:val="single" w:sz="8" w:color="auto"/>
              <w:right w:val="single" w:sz="8" w:color="BDD6EE"/>
            </w:tcBorders>
            <w:gridSpan w:val="2"/>
            <w:shd w:val="clear" w:color="auto" w:fill="BDD6EE"/>
          </w:tcPr>
          <w:p>
            <w:pPr>
              <w:ind w:left="2060"/>
              <w:spacing w:after="0"/>
              <w:rPr>
                <w:sz w:val="20"/>
                <w:szCs w:val="20"/>
                <w:color w:val="auto"/>
              </w:rPr>
            </w:pPr>
            <w:r>
              <w:rPr>
                <w:rFonts w:ascii="Arial" w:cs="Arial" w:eastAsia="Arial" w:hAnsi="Arial"/>
                <w:sz w:val="20"/>
                <w:szCs w:val="20"/>
                <w:b w:val="1"/>
                <w:bCs w:val="1"/>
                <w:color w:val="auto"/>
              </w:rPr>
              <w:t>Table 8.2 – Option Exercise Payments</w:t>
            </w:r>
          </w:p>
        </w:tc>
        <w:tc>
          <w:tcPr>
            <w:tcW w:w="3400" w:type="dxa"/>
            <w:vAlign w:val="bottom"/>
            <w:tcBorders>
              <w:top w:val="single" w:sz="8" w:color="auto"/>
              <w:bottom w:val="single" w:sz="8" w:color="auto"/>
              <w:right w:val="single" w:sz="8" w:color="auto"/>
            </w:tcBorders>
            <w:shd w:val="clear" w:color="auto" w:fill="BDD6E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60" w:type="dxa"/>
            <w:vAlign w:val="bottom"/>
            <w:tcBorders>
              <w:bottom w:val="single" w:sz="8" w:color="auto"/>
            </w:tcBorders>
            <w:shd w:val="clear" w:color="auto" w:fill="DEEAF6"/>
          </w:tcPr>
          <w:p>
            <w:pPr>
              <w:spacing w:after="0"/>
              <w:rPr>
                <w:sz w:val="19"/>
                <w:szCs w:val="19"/>
                <w:color w:val="auto"/>
              </w:rPr>
            </w:pPr>
          </w:p>
        </w:tc>
        <w:tc>
          <w:tcPr>
            <w:tcW w:w="1680" w:type="dxa"/>
            <w:vAlign w:val="bottom"/>
            <w:tcBorders>
              <w:bottom w:val="single" w:sz="8" w:color="auto"/>
              <w:right w:val="single" w:sz="8" w:color="auto"/>
            </w:tcBorders>
            <w:shd w:val="clear" w:color="auto" w:fill="DEEAF6"/>
          </w:tcPr>
          <w:p>
            <w:pPr>
              <w:spacing w:after="0"/>
              <w:rPr>
                <w:sz w:val="19"/>
                <w:szCs w:val="19"/>
                <w:color w:val="auto"/>
              </w:rPr>
            </w:pPr>
          </w:p>
        </w:tc>
        <w:tc>
          <w:tcPr>
            <w:tcW w:w="2900" w:type="dxa"/>
            <w:vAlign w:val="bottom"/>
            <w:tcBorders>
              <w:bottom w:val="single" w:sz="8" w:color="auto"/>
              <w:right w:val="single" w:sz="8" w:color="auto"/>
            </w:tcBorders>
            <w:shd w:val="clear" w:color="auto" w:fill="DEEAF6"/>
          </w:tcPr>
          <w:p>
            <w:pPr>
              <w:jc w:val="center"/>
              <w:spacing w:after="0" w:line="223" w:lineRule="exact"/>
              <w:rPr>
                <w:sz w:val="20"/>
                <w:szCs w:val="20"/>
                <w:color w:val="auto"/>
              </w:rPr>
            </w:pPr>
            <w:r>
              <w:rPr>
                <w:rFonts w:ascii="Arial" w:cs="Arial" w:eastAsia="Arial" w:hAnsi="Arial"/>
                <w:sz w:val="20"/>
                <w:szCs w:val="20"/>
                <w:b w:val="1"/>
                <w:bCs w:val="1"/>
                <w:i w:val="1"/>
                <w:iCs w:val="1"/>
                <w:color w:val="auto"/>
                <w:w w:val="88"/>
              </w:rPr>
              <w:t>CCR8 Option Program</w:t>
            </w:r>
          </w:p>
        </w:tc>
        <w:tc>
          <w:tcPr>
            <w:tcW w:w="2980" w:type="dxa"/>
            <w:vAlign w:val="bottom"/>
            <w:tcBorders>
              <w:bottom w:val="single" w:sz="8" w:color="auto"/>
              <w:right w:val="single" w:sz="8" w:color="auto"/>
            </w:tcBorders>
            <w:shd w:val="clear" w:color="auto" w:fill="DEEAF6"/>
          </w:tcPr>
          <w:p>
            <w:pPr>
              <w:jc w:val="center"/>
              <w:spacing w:after="0" w:line="223" w:lineRule="exact"/>
              <w:rPr>
                <w:sz w:val="20"/>
                <w:szCs w:val="20"/>
                <w:color w:val="auto"/>
              </w:rPr>
            </w:pPr>
            <w:r>
              <w:rPr>
                <w:rFonts w:ascii="Arial" w:cs="Arial" w:eastAsia="Arial" w:hAnsi="Arial"/>
                <w:sz w:val="20"/>
                <w:szCs w:val="20"/>
                <w:b w:val="1"/>
                <w:bCs w:val="1"/>
                <w:i w:val="1"/>
                <w:iCs w:val="1"/>
                <w:color w:val="auto"/>
                <w:w w:val="89"/>
              </w:rPr>
              <w:t>CXCR5 Option Program</w:t>
            </w:r>
          </w:p>
        </w:tc>
        <w:tc>
          <w:tcPr>
            <w:tcW w:w="3400" w:type="dxa"/>
            <w:vAlign w:val="bottom"/>
            <w:tcBorders>
              <w:bottom w:val="single" w:sz="8" w:color="auto"/>
              <w:right w:val="single" w:sz="8" w:color="auto"/>
            </w:tcBorders>
            <w:shd w:val="clear" w:color="auto" w:fill="DEEAF6"/>
          </w:tcPr>
          <w:p>
            <w:pPr>
              <w:jc w:val="right"/>
              <w:ind w:right="401"/>
              <w:spacing w:after="0" w:line="223" w:lineRule="exact"/>
              <w:rPr>
                <w:sz w:val="20"/>
                <w:szCs w:val="20"/>
                <w:color w:val="auto"/>
              </w:rPr>
            </w:pPr>
            <w:r>
              <w:rPr>
                <w:rFonts w:ascii="Arial" w:cs="Arial" w:eastAsia="Arial" w:hAnsi="Arial"/>
                <w:sz w:val="20"/>
                <w:szCs w:val="20"/>
                <w:b w:val="1"/>
                <w:bCs w:val="1"/>
                <w:i w:val="1"/>
                <w:iCs w:val="1"/>
                <w:color w:val="auto"/>
              </w:rPr>
              <w:t>Replacement Option Program</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Borders>
              <w:right w:val="single" w:sz="8" w:color="auto"/>
            </w:tcBorders>
          </w:tcPr>
          <w:p>
            <w:pPr>
              <w:jc w:val="center"/>
              <w:ind w:right="181"/>
              <w:spacing w:after="0" w:line="207" w:lineRule="exact"/>
              <w:rPr>
                <w:sz w:val="20"/>
                <w:szCs w:val="20"/>
                <w:color w:val="auto"/>
              </w:rPr>
            </w:pPr>
            <w:r>
              <w:rPr>
                <w:rFonts w:ascii="Arial" w:cs="Arial" w:eastAsia="Arial" w:hAnsi="Arial"/>
                <w:sz w:val="20"/>
                <w:szCs w:val="20"/>
                <w:color w:val="auto"/>
                <w:w w:val="90"/>
              </w:rPr>
              <w:t>Option Exercise</w:t>
            </w:r>
          </w:p>
        </w:tc>
        <w:tc>
          <w:tcPr>
            <w:tcW w:w="2900" w:type="dxa"/>
            <w:vAlign w:val="bottom"/>
            <w:tcBorders>
              <w:right w:val="single" w:sz="8" w:color="auto"/>
            </w:tcBorders>
            <w:vMerge w:val="restart"/>
          </w:tcPr>
          <w:p>
            <w:pPr>
              <w:jc w:val="right"/>
              <w:ind w:right="1241"/>
              <w:spacing w:after="0"/>
              <w:rPr>
                <w:sz w:val="20"/>
                <w:szCs w:val="20"/>
                <w:color w:val="auto"/>
              </w:rPr>
            </w:pPr>
            <w:r>
              <w:rPr>
                <w:rFonts w:ascii="Arial" w:cs="Arial" w:eastAsia="Arial" w:hAnsi="Arial"/>
                <w:sz w:val="20"/>
                <w:szCs w:val="20"/>
                <w:color w:val="auto"/>
              </w:rPr>
              <w:t>[*]</w:t>
            </w:r>
          </w:p>
        </w:tc>
        <w:tc>
          <w:tcPr>
            <w:tcW w:w="2980" w:type="dxa"/>
            <w:vAlign w:val="bottom"/>
            <w:tcBorders>
              <w:right w:val="single" w:sz="8" w:color="auto"/>
            </w:tcBorders>
            <w:vMerge w:val="restart"/>
          </w:tcPr>
          <w:p>
            <w:pPr>
              <w:jc w:val="right"/>
              <w:ind w:right="1301"/>
              <w:spacing w:after="0"/>
              <w:rPr>
                <w:sz w:val="20"/>
                <w:szCs w:val="20"/>
                <w:color w:val="auto"/>
              </w:rPr>
            </w:pPr>
            <w:r>
              <w:rPr>
                <w:rFonts w:ascii="Arial" w:cs="Arial" w:eastAsia="Arial" w:hAnsi="Arial"/>
                <w:sz w:val="20"/>
                <w:szCs w:val="20"/>
                <w:color w:val="auto"/>
              </w:rPr>
              <w:t>[*]</w:t>
            </w:r>
          </w:p>
        </w:tc>
        <w:tc>
          <w:tcPr>
            <w:tcW w:w="3400" w:type="dxa"/>
            <w:vAlign w:val="bottom"/>
            <w:tcBorders>
              <w:right w:val="single" w:sz="8" w:color="auto"/>
            </w:tcBorders>
            <w:vMerge w:val="restart"/>
          </w:tcPr>
          <w:p>
            <w:pPr>
              <w:jc w:val="right"/>
              <w:ind w:right="15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Borders>
              <w:right w:val="single" w:sz="8" w:color="auto"/>
            </w:tcBorders>
            <w:vMerge w:val="restart"/>
          </w:tcPr>
          <w:p>
            <w:pPr>
              <w:jc w:val="center"/>
              <w:ind w:right="201"/>
              <w:spacing w:after="0"/>
              <w:rPr>
                <w:sz w:val="20"/>
                <w:szCs w:val="20"/>
                <w:color w:val="auto"/>
              </w:rPr>
            </w:pPr>
            <w:r>
              <w:rPr>
                <w:rFonts w:ascii="Arial" w:cs="Arial" w:eastAsia="Arial" w:hAnsi="Arial"/>
                <w:sz w:val="20"/>
                <w:szCs w:val="20"/>
                <w:color w:val="auto"/>
                <w:w w:val="88"/>
              </w:rPr>
              <w:t>Payment</w:t>
            </w:r>
          </w:p>
        </w:tc>
        <w:tc>
          <w:tcPr>
            <w:tcW w:w="2900" w:type="dxa"/>
            <w:vAlign w:val="bottom"/>
            <w:tcBorders>
              <w:right w:val="single" w:sz="8" w:color="auto"/>
            </w:tcBorders>
            <w:vMerge w:val="continue"/>
          </w:tcPr>
          <w:p>
            <w:pPr>
              <w:spacing w:after="0"/>
              <w:rPr>
                <w:sz w:val="11"/>
                <w:szCs w:val="11"/>
                <w:color w:val="auto"/>
              </w:rPr>
            </w:pPr>
          </w:p>
        </w:tc>
        <w:tc>
          <w:tcPr>
            <w:tcW w:w="2980" w:type="dxa"/>
            <w:vAlign w:val="bottom"/>
            <w:tcBorders>
              <w:right w:val="single" w:sz="8" w:color="auto"/>
            </w:tcBorders>
            <w:vMerge w:val="continue"/>
          </w:tcPr>
          <w:p>
            <w:pPr>
              <w:spacing w:after="0"/>
              <w:rPr>
                <w:sz w:val="11"/>
                <w:szCs w:val="11"/>
                <w:color w:val="auto"/>
              </w:rPr>
            </w:pPr>
          </w:p>
        </w:tc>
        <w:tc>
          <w:tcPr>
            <w:tcW w:w="3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0" w:type="dxa"/>
            <w:vAlign w:val="bottom"/>
            <w:tcBorders>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010000"/>
                <w:w w:val="71"/>
              </w:rPr>
              <w:t>8.3</w:t>
            </w:r>
          </w:p>
        </w:tc>
        <w:tc>
          <w:tcPr>
            <w:tcW w:w="4580" w:type="dxa"/>
            <w:vAlign w:val="bottom"/>
            <w:gridSpan w:val="2"/>
          </w:tcPr>
          <w:p>
            <w:pPr>
              <w:ind w:left="560"/>
              <w:spacing w:after="0"/>
              <w:rPr>
                <w:sz w:val="20"/>
                <w:szCs w:val="20"/>
                <w:color w:val="auto"/>
              </w:rPr>
            </w:pPr>
            <w:r>
              <w:rPr>
                <w:rFonts w:ascii="Arial" w:cs="Arial" w:eastAsia="Arial" w:hAnsi="Arial"/>
                <w:sz w:val="20"/>
                <w:szCs w:val="20"/>
                <w:b w:val="1"/>
                <w:bCs w:val="1"/>
                <w:color w:val="auto"/>
              </w:rPr>
              <w:t>Milestone Payments</w:t>
            </w:r>
            <w:r>
              <w:rPr>
                <w:rFonts w:ascii="Arial" w:cs="Arial" w:eastAsia="Arial" w:hAnsi="Arial"/>
                <w:sz w:val="21"/>
                <w:szCs w:val="21"/>
                <w:b w:val="1"/>
                <w:bCs w:val="1"/>
                <w:color w:val="auto"/>
              </w:rPr>
              <w:t>.</w:t>
            </w:r>
          </w:p>
        </w:tc>
        <w:tc>
          <w:tcPr>
            <w:tcW w:w="29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1700" w:right="20" w:hanging="842"/>
        <w:spacing w:after="0" w:line="253" w:lineRule="auto"/>
        <w:tabs>
          <w:tab w:leader="none" w:pos="1700" w:val="left"/>
        </w:tabs>
        <w:numPr>
          <w:ilvl w:val="0"/>
          <w:numId w:val="156"/>
        </w:numPr>
        <w:rPr>
          <w:rFonts w:ascii="Arial" w:cs="Arial" w:eastAsia="Arial" w:hAnsi="Arial"/>
          <w:sz w:val="20"/>
          <w:szCs w:val="20"/>
          <w:color w:val="010000"/>
        </w:rPr>
      </w:pPr>
      <w:r>
        <w:rPr>
          <w:rFonts w:ascii="Arial" w:cs="Arial" w:eastAsia="Arial" w:hAnsi="Arial"/>
          <w:sz w:val="20"/>
          <w:szCs w:val="20"/>
          <w:b w:val="1"/>
          <w:bCs w:val="1"/>
          <w:color w:val="auto"/>
        </w:rPr>
        <w:t>R&amp;D and Regulatory Milestones</w:t>
      </w:r>
      <w:r>
        <w:rPr>
          <w:rFonts w:ascii="Arial" w:cs="Arial" w:eastAsia="Arial" w:hAnsi="Arial"/>
          <w:sz w:val="20"/>
          <w:szCs w:val="20"/>
          <w:color w:val="auto"/>
        </w:rPr>
        <w:t>. FibroGen will make the one-time milestone payments set forth in Table 8.3(a) upon</w:t>
      </w:r>
      <w:r>
        <w:rPr>
          <w:rFonts w:ascii="Arial" w:cs="Arial" w:eastAsia="Arial" w:hAnsi="Arial"/>
          <w:sz w:val="20"/>
          <w:szCs w:val="20"/>
          <w:b w:val="1"/>
          <w:bCs w:val="1"/>
          <w:color w:val="auto"/>
        </w:rPr>
        <w:t xml:space="preserve"> </w:t>
      </w:r>
      <w:r>
        <w:rPr>
          <w:rFonts w:ascii="Arial" w:cs="Arial" w:eastAsia="Arial" w:hAnsi="Arial"/>
          <w:sz w:val="20"/>
          <w:szCs w:val="20"/>
          <w:color w:val="auto"/>
        </w:rPr>
        <w:t>the first achievement by FibroGen or its Affiliates or Sublicensees of the corresponding milestone event by the first Licensed Product for each Licensed Program.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Table 8.3(a) – R&amp;D and Regulatory Milestones for each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-139700</wp:posOffset>
            </wp:positionV>
            <wp:extent cx="7132320" cy="13976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97635"/>
                    </a:xfrm>
                    <a:prstGeom prst="rect">
                      <a:avLst/>
                    </a:prstGeom>
                    <a:noFill/>
                  </pic:spPr>
                </pic:pic>
              </a:graphicData>
            </a:graphic>
          </wp:anchor>
        </w:drawing>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80" w:type="dxa"/>
            <w:vAlign w:val="bottom"/>
            <w:tcBorders>
              <w:top w:val="single" w:sz="8" w:color="auto"/>
              <w:bottom w:val="single" w:sz="8" w:color="auto"/>
              <w:right w:val="single" w:sz="8" w:color="auto"/>
            </w:tcBorders>
            <w:shd w:val="clear" w:color="auto" w:fill="DEEAF6"/>
          </w:tcPr>
          <w:p>
            <w:pPr>
              <w:jc w:val="right"/>
              <w:ind w:right="161"/>
              <w:spacing w:after="0" w:line="223" w:lineRule="exact"/>
              <w:rPr>
                <w:sz w:val="20"/>
                <w:szCs w:val="20"/>
                <w:color w:val="auto"/>
              </w:rPr>
            </w:pPr>
            <w:r>
              <w:rPr>
                <w:rFonts w:ascii="Arial" w:cs="Arial" w:eastAsia="Arial" w:hAnsi="Arial"/>
                <w:sz w:val="20"/>
                <w:szCs w:val="20"/>
                <w:b w:val="1"/>
                <w:bCs w:val="1"/>
                <w:i w:val="1"/>
                <w:iCs w:val="1"/>
                <w:color w:val="auto"/>
              </w:rPr>
              <w:t>No.</w:t>
            </w:r>
          </w:p>
        </w:tc>
        <w:tc>
          <w:tcPr>
            <w:tcW w:w="8220" w:type="dxa"/>
            <w:vAlign w:val="bottom"/>
            <w:tcBorders>
              <w:top w:val="single" w:sz="8" w:color="auto"/>
              <w:bottom w:val="single" w:sz="8" w:color="auto"/>
              <w:right w:val="single" w:sz="8" w:color="auto"/>
            </w:tcBorders>
            <w:shd w:val="clear" w:color="auto" w:fill="DEEAF6"/>
          </w:tcPr>
          <w:p>
            <w:pPr>
              <w:jc w:val="right"/>
              <w:ind w:right="3361"/>
              <w:spacing w:after="0" w:line="223" w:lineRule="exact"/>
              <w:rPr>
                <w:sz w:val="20"/>
                <w:szCs w:val="20"/>
                <w:color w:val="auto"/>
              </w:rPr>
            </w:pPr>
            <w:r>
              <w:rPr>
                <w:rFonts w:ascii="Arial" w:cs="Arial" w:eastAsia="Arial" w:hAnsi="Arial"/>
                <w:sz w:val="20"/>
                <w:szCs w:val="20"/>
                <w:b w:val="1"/>
                <w:bCs w:val="1"/>
                <w:i w:val="1"/>
                <w:iCs w:val="1"/>
                <w:color w:val="auto"/>
              </w:rPr>
              <w:t>Milestone Event</w:t>
            </w:r>
          </w:p>
        </w:tc>
        <w:tc>
          <w:tcPr>
            <w:tcW w:w="2220" w:type="dxa"/>
            <w:vAlign w:val="bottom"/>
            <w:tcBorders>
              <w:top w:val="single" w:sz="8" w:color="auto"/>
              <w:bottom w:val="single" w:sz="8" w:color="auto"/>
            </w:tcBorders>
            <w:shd w:val="clear" w:color="auto" w:fill="DEEAF6"/>
          </w:tcPr>
          <w:p>
            <w:pPr>
              <w:jc w:val="right"/>
              <w:ind w:right="241"/>
              <w:spacing w:after="0" w:line="223" w:lineRule="exact"/>
              <w:rPr>
                <w:sz w:val="20"/>
                <w:szCs w:val="20"/>
                <w:color w:val="auto"/>
              </w:rPr>
            </w:pPr>
            <w:r>
              <w:rPr>
                <w:rFonts w:ascii="Arial" w:cs="Arial" w:eastAsia="Arial" w:hAnsi="Arial"/>
                <w:sz w:val="20"/>
                <w:szCs w:val="20"/>
                <w:b w:val="1"/>
                <w:bCs w:val="1"/>
                <w:i w:val="1"/>
                <w:iCs w:val="1"/>
                <w:color w:val="auto"/>
              </w:rPr>
              <w:t>Milestone Payment</w:t>
            </w:r>
          </w:p>
        </w:tc>
        <w:tc>
          <w:tcPr>
            <w:tcW w:w="20" w:type="dxa"/>
            <w:vAlign w:val="bottom"/>
            <w:tcBorders>
              <w:top w:val="single" w:sz="8" w:color="auto"/>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1</w:t>
            </w:r>
          </w:p>
        </w:tc>
        <w:tc>
          <w:tcPr>
            <w:tcW w:w="8220" w:type="dxa"/>
            <w:vAlign w:val="bottom"/>
            <w:tcBorders>
              <w:bottom w:val="single" w:sz="8" w:color="auto"/>
              <w:right w:val="single" w:sz="8" w:color="auto"/>
            </w:tcBorders>
          </w:tcPr>
          <w:p>
            <w:pPr>
              <w:jc w:val="right"/>
              <w:ind w:right="7801"/>
              <w:spacing w:after="0" w:line="223" w:lineRule="exact"/>
              <w:rPr>
                <w:sz w:val="20"/>
                <w:szCs w:val="20"/>
                <w:color w:val="auto"/>
              </w:rPr>
            </w:pPr>
            <w:r>
              <w:rPr>
                <w:rFonts w:ascii="Arial" w:cs="Arial" w:eastAsia="Arial" w:hAnsi="Arial"/>
                <w:sz w:val="20"/>
                <w:szCs w:val="20"/>
                <w:color w:val="auto"/>
              </w:rPr>
              <w:t>[*]</w:t>
            </w:r>
          </w:p>
        </w:tc>
        <w:tc>
          <w:tcPr>
            <w:tcW w:w="2220" w:type="dxa"/>
            <w:vAlign w:val="bottom"/>
            <w:tcBorders>
              <w:bottom w:val="single" w:sz="8" w:color="auto"/>
            </w:tcBorders>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2</w:t>
            </w:r>
          </w:p>
        </w:tc>
        <w:tc>
          <w:tcPr>
            <w:tcW w:w="8220" w:type="dxa"/>
            <w:vAlign w:val="bottom"/>
            <w:tcBorders>
              <w:bottom w:val="single" w:sz="8" w:color="auto"/>
              <w:right w:val="single" w:sz="8" w:color="auto"/>
            </w:tcBorders>
          </w:tcPr>
          <w:p>
            <w:pPr>
              <w:jc w:val="right"/>
              <w:ind w:right="7801"/>
              <w:spacing w:after="0" w:line="223" w:lineRule="exact"/>
              <w:rPr>
                <w:sz w:val="20"/>
                <w:szCs w:val="20"/>
                <w:color w:val="auto"/>
              </w:rPr>
            </w:pPr>
            <w:r>
              <w:rPr>
                <w:rFonts w:ascii="Arial" w:cs="Arial" w:eastAsia="Arial" w:hAnsi="Arial"/>
                <w:sz w:val="20"/>
                <w:szCs w:val="20"/>
                <w:color w:val="auto"/>
              </w:rPr>
              <w:t>[*]</w:t>
            </w:r>
          </w:p>
        </w:tc>
        <w:tc>
          <w:tcPr>
            <w:tcW w:w="2220" w:type="dxa"/>
            <w:vAlign w:val="bottom"/>
            <w:tcBorders>
              <w:bottom w:val="single" w:sz="8" w:color="auto"/>
            </w:tcBorders>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3</w:t>
            </w:r>
          </w:p>
        </w:tc>
        <w:tc>
          <w:tcPr>
            <w:tcW w:w="8220" w:type="dxa"/>
            <w:vAlign w:val="bottom"/>
            <w:tcBorders>
              <w:bottom w:val="single" w:sz="8" w:color="auto"/>
              <w:right w:val="single" w:sz="8" w:color="auto"/>
            </w:tcBorders>
          </w:tcPr>
          <w:p>
            <w:pPr>
              <w:jc w:val="right"/>
              <w:ind w:right="7801"/>
              <w:spacing w:after="0" w:line="223" w:lineRule="exact"/>
              <w:rPr>
                <w:sz w:val="20"/>
                <w:szCs w:val="20"/>
                <w:color w:val="auto"/>
              </w:rPr>
            </w:pPr>
            <w:r>
              <w:rPr>
                <w:rFonts w:ascii="Arial" w:cs="Arial" w:eastAsia="Arial" w:hAnsi="Arial"/>
                <w:sz w:val="20"/>
                <w:szCs w:val="20"/>
                <w:color w:val="auto"/>
              </w:rPr>
              <w:t>[*]</w:t>
            </w:r>
          </w:p>
        </w:tc>
        <w:tc>
          <w:tcPr>
            <w:tcW w:w="2220" w:type="dxa"/>
            <w:vAlign w:val="bottom"/>
            <w:tcBorders>
              <w:bottom w:val="single" w:sz="8" w:color="auto"/>
            </w:tcBorders>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jc w:val="right"/>
              <w:ind w:right="301"/>
              <w:spacing w:after="0" w:line="223" w:lineRule="exact"/>
              <w:rPr>
                <w:sz w:val="20"/>
                <w:szCs w:val="20"/>
                <w:color w:val="auto"/>
              </w:rPr>
            </w:pPr>
            <w:r>
              <w:rPr>
                <w:rFonts w:ascii="Arial" w:cs="Arial" w:eastAsia="Arial" w:hAnsi="Arial"/>
                <w:sz w:val="20"/>
                <w:szCs w:val="20"/>
                <w:color w:val="auto"/>
              </w:rPr>
              <w:t>4</w:t>
            </w:r>
          </w:p>
        </w:tc>
        <w:tc>
          <w:tcPr>
            <w:tcW w:w="8220" w:type="dxa"/>
            <w:vAlign w:val="bottom"/>
            <w:tcBorders>
              <w:bottom w:val="single" w:sz="8" w:color="auto"/>
              <w:right w:val="single" w:sz="8" w:color="auto"/>
            </w:tcBorders>
          </w:tcPr>
          <w:p>
            <w:pPr>
              <w:jc w:val="right"/>
              <w:ind w:right="7801"/>
              <w:spacing w:after="0" w:line="223" w:lineRule="exact"/>
              <w:rPr>
                <w:sz w:val="20"/>
                <w:szCs w:val="20"/>
                <w:color w:val="auto"/>
              </w:rPr>
            </w:pPr>
            <w:r>
              <w:rPr>
                <w:rFonts w:ascii="Arial" w:cs="Arial" w:eastAsia="Arial" w:hAnsi="Arial"/>
                <w:sz w:val="20"/>
                <w:szCs w:val="20"/>
                <w:color w:val="auto"/>
              </w:rPr>
              <w:t>[*]</w:t>
            </w:r>
          </w:p>
        </w:tc>
        <w:tc>
          <w:tcPr>
            <w:tcW w:w="2220" w:type="dxa"/>
            <w:vAlign w:val="bottom"/>
            <w:tcBorders>
              <w:bottom w:val="single" w:sz="8" w:color="auto"/>
            </w:tcBorders>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jc w:val="right"/>
              <w:ind w:right="301"/>
              <w:spacing w:after="0" w:line="223" w:lineRule="exact"/>
              <w:rPr>
                <w:sz w:val="20"/>
                <w:szCs w:val="20"/>
                <w:color w:val="auto"/>
              </w:rPr>
            </w:pPr>
            <w:r>
              <w:rPr>
                <w:rFonts w:ascii="Arial" w:cs="Arial" w:eastAsia="Arial" w:hAnsi="Arial"/>
                <w:sz w:val="20"/>
                <w:szCs w:val="20"/>
                <w:color w:val="auto"/>
              </w:rPr>
              <w:t>5</w:t>
            </w:r>
          </w:p>
        </w:tc>
        <w:tc>
          <w:tcPr>
            <w:tcW w:w="8220" w:type="dxa"/>
            <w:vAlign w:val="bottom"/>
            <w:tcBorders>
              <w:bottom w:val="single" w:sz="8" w:color="auto"/>
              <w:right w:val="single" w:sz="8" w:color="auto"/>
            </w:tcBorders>
          </w:tcPr>
          <w:p>
            <w:pPr>
              <w:jc w:val="right"/>
              <w:ind w:right="7801"/>
              <w:spacing w:after="0" w:line="223" w:lineRule="exact"/>
              <w:rPr>
                <w:sz w:val="20"/>
                <w:szCs w:val="20"/>
                <w:color w:val="auto"/>
              </w:rPr>
            </w:pPr>
            <w:r>
              <w:rPr>
                <w:rFonts w:ascii="Arial" w:cs="Arial" w:eastAsia="Arial" w:hAnsi="Arial"/>
                <w:sz w:val="20"/>
                <w:szCs w:val="20"/>
                <w:color w:val="auto"/>
              </w:rPr>
              <w:t>[*]</w:t>
            </w:r>
          </w:p>
        </w:tc>
        <w:tc>
          <w:tcPr>
            <w:tcW w:w="2220" w:type="dxa"/>
            <w:vAlign w:val="bottom"/>
            <w:tcBorders>
              <w:bottom w:val="single" w:sz="8" w:color="auto"/>
            </w:tcBorders>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spacing w:after="0"/>
              <w:rPr>
                <w:sz w:val="19"/>
                <w:szCs w:val="19"/>
                <w:color w:val="auto"/>
              </w:rPr>
            </w:pPr>
          </w:p>
        </w:tc>
        <w:tc>
          <w:tcPr>
            <w:tcW w:w="8220" w:type="dxa"/>
            <w:vAlign w:val="bottom"/>
            <w:tcBorders>
              <w:bottom w:val="single" w:sz="8" w:color="auto"/>
              <w:right w:val="single" w:sz="8" w:color="auto"/>
            </w:tcBorders>
            <w:shd w:val="clear" w:color="auto" w:fill="5B9BD5"/>
          </w:tcPr>
          <w:p>
            <w:pPr>
              <w:jc w:val="right"/>
              <w:ind w:right="21"/>
              <w:spacing w:after="0" w:line="223" w:lineRule="exact"/>
              <w:rPr>
                <w:sz w:val="20"/>
                <w:szCs w:val="20"/>
                <w:color w:val="auto"/>
              </w:rPr>
            </w:pPr>
            <w:r>
              <w:rPr>
                <w:rFonts w:ascii="Arial" w:cs="Arial" w:eastAsia="Arial" w:hAnsi="Arial"/>
                <w:sz w:val="20"/>
                <w:szCs w:val="20"/>
                <w:b w:val="1"/>
                <w:bCs w:val="1"/>
                <w:color w:val="auto"/>
              </w:rPr>
              <w:t>Maximum total milestone payments per program</w:t>
            </w:r>
          </w:p>
        </w:tc>
        <w:tc>
          <w:tcPr>
            <w:tcW w:w="2220" w:type="dxa"/>
            <w:vAlign w:val="bottom"/>
            <w:tcBorders>
              <w:bottom w:val="single" w:sz="8" w:color="auto"/>
            </w:tcBorders>
            <w:shd w:val="clear" w:color="auto" w:fill="5B9BD5"/>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spacing w:after="0"/>
              <w:rPr>
                <w:sz w:val="19"/>
                <w:szCs w:val="19"/>
                <w:color w:val="auto"/>
              </w:rPr>
            </w:pPr>
          </w:p>
        </w:tc>
        <w:tc>
          <w:tcPr>
            <w:tcW w:w="8220" w:type="dxa"/>
            <w:vAlign w:val="bottom"/>
            <w:tcBorders>
              <w:bottom w:val="single" w:sz="8" w:color="auto"/>
              <w:right w:val="single" w:sz="8" w:color="auto"/>
            </w:tcBorders>
          </w:tcPr>
          <w:p>
            <w:pPr>
              <w:jc w:val="right"/>
              <w:ind w:right="21"/>
              <w:spacing w:after="0" w:line="223" w:lineRule="exact"/>
              <w:rPr>
                <w:sz w:val="20"/>
                <w:szCs w:val="20"/>
                <w:color w:val="auto"/>
              </w:rPr>
            </w:pPr>
            <w:r>
              <w:rPr>
                <w:rFonts w:ascii="Arial" w:cs="Arial" w:eastAsia="Arial" w:hAnsi="Arial"/>
                <w:sz w:val="20"/>
                <w:szCs w:val="20"/>
                <w:b w:val="1"/>
                <w:bCs w:val="1"/>
                <w:color w:val="auto"/>
              </w:rPr>
              <w:t>Total Maximum</w:t>
            </w:r>
          </w:p>
        </w:tc>
        <w:tc>
          <w:tcPr>
            <w:tcW w:w="2220" w:type="dxa"/>
            <w:vAlign w:val="bottom"/>
            <w:tcBorders>
              <w:bottom w:val="single" w:sz="8" w:color="auto"/>
            </w:tcBorders>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bl>
    <w:p>
      <w:pPr>
        <w:spacing w:after="0" w:line="193" w:lineRule="exact"/>
        <w:rPr>
          <w:sz w:val="20"/>
          <w:szCs w:val="20"/>
          <w:color w:val="auto"/>
        </w:rPr>
      </w:pPr>
    </w:p>
    <w:p>
      <w:pPr>
        <w:jc w:val="both"/>
        <w:ind w:left="1700" w:right="20" w:hanging="842"/>
        <w:spacing w:after="0" w:line="253" w:lineRule="auto"/>
        <w:tabs>
          <w:tab w:leader="none" w:pos="1700" w:val="left"/>
        </w:tabs>
        <w:numPr>
          <w:ilvl w:val="0"/>
          <w:numId w:val="157"/>
        </w:numPr>
        <w:rPr>
          <w:rFonts w:ascii="Arial" w:cs="Arial" w:eastAsia="Arial" w:hAnsi="Arial"/>
          <w:sz w:val="20"/>
          <w:szCs w:val="20"/>
          <w:color w:val="010000"/>
        </w:rPr>
      </w:pPr>
      <w:r>
        <w:rPr>
          <w:rFonts w:ascii="Arial" w:cs="Arial" w:eastAsia="Arial" w:hAnsi="Arial"/>
          <w:sz w:val="20"/>
          <w:szCs w:val="20"/>
          <w:b w:val="1"/>
          <w:bCs w:val="1"/>
          <w:color w:val="auto"/>
        </w:rPr>
        <w:t>Sales Milestones</w:t>
      </w:r>
      <w:r>
        <w:rPr>
          <w:rFonts w:ascii="Arial" w:cs="Arial" w:eastAsia="Arial" w:hAnsi="Arial"/>
          <w:sz w:val="20"/>
          <w:szCs w:val="20"/>
          <w:color w:val="auto"/>
        </w:rPr>
        <w:t>. FibroGen will make the one-time milestone payments set forth in Table 8.3(b) upon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achievement by FibroGen or its Affiliates or Sublicensees of the corresponding milestone event by the first Licensed Product for each Licensed Program.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Table 8.3(b) – Sales Milestones for each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-139700</wp:posOffset>
            </wp:positionV>
            <wp:extent cx="7132320" cy="9347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32320" cy="934720"/>
                    </a:xfrm>
                    <a:prstGeom prst="rect">
                      <a:avLst/>
                    </a:prstGeom>
                    <a:noFill/>
                  </pic:spPr>
                </pic:pic>
              </a:graphicData>
            </a:graphic>
          </wp:anchor>
        </w:drawing>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80" w:type="dxa"/>
            <w:vAlign w:val="bottom"/>
            <w:tcBorders>
              <w:top w:val="single" w:sz="8" w:color="auto"/>
              <w:bottom w:val="single" w:sz="8" w:color="auto"/>
              <w:right w:val="single" w:sz="8" w:color="auto"/>
            </w:tcBorders>
            <w:shd w:val="clear" w:color="auto" w:fill="DEEAF6"/>
          </w:tcPr>
          <w:p>
            <w:pPr>
              <w:jc w:val="center"/>
              <w:spacing w:after="0" w:line="223" w:lineRule="exact"/>
              <w:rPr>
                <w:sz w:val="20"/>
                <w:szCs w:val="20"/>
                <w:color w:val="auto"/>
              </w:rPr>
            </w:pPr>
            <w:r>
              <w:rPr>
                <w:rFonts w:ascii="Arial" w:cs="Arial" w:eastAsia="Arial" w:hAnsi="Arial"/>
                <w:sz w:val="20"/>
                <w:szCs w:val="20"/>
                <w:b w:val="1"/>
                <w:bCs w:val="1"/>
                <w:i w:val="1"/>
                <w:iCs w:val="1"/>
                <w:color w:val="auto"/>
                <w:w w:val="86"/>
              </w:rPr>
              <w:t>No.</w:t>
            </w:r>
          </w:p>
        </w:tc>
        <w:tc>
          <w:tcPr>
            <w:tcW w:w="8220" w:type="dxa"/>
            <w:vAlign w:val="bottom"/>
            <w:tcBorders>
              <w:top w:val="single" w:sz="8" w:color="auto"/>
              <w:bottom w:val="single" w:sz="8" w:color="auto"/>
              <w:right w:val="single" w:sz="8" w:color="auto"/>
            </w:tcBorders>
            <w:shd w:val="clear" w:color="auto" w:fill="DEEAF6"/>
          </w:tcPr>
          <w:p>
            <w:pPr>
              <w:jc w:val="right"/>
              <w:ind w:right="3361"/>
              <w:spacing w:after="0" w:line="223" w:lineRule="exact"/>
              <w:rPr>
                <w:sz w:val="20"/>
                <w:szCs w:val="20"/>
                <w:color w:val="auto"/>
              </w:rPr>
            </w:pPr>
            <w:r>
              <w:rPr>
                <w:rFonts w:ascii="Arial" w:cs="Arial" w:eastAsia="Arial" w:hAnsi="Arial"/>
                <w:sz w:val="20"/>
                <w:szCs w:val="20"/>
                <w:b w:val="1"/>
                <w:bCs w:val="1"/>
                <w:i w:val="1"/>
                <w:iCs w:val="1"/>
                <w:color w:val="auto"/>
              </w:rPr>
              <w:t>Milestone Event</w:t>
            </w:r>
          </w:p>
        </w:tc>
        <w:tc>
          <w:tcPr>
            <w:tcW w:w="2220" w:type="dxa"/>
            <w:vAlign w:val="bottom"/>
            <w:tcBorders>
              <w:top w:val="single" w:sz="8" w:color="auto"/>
              <w:bottom w:val="single" w:sz="8" w:color="auto"/>
            </w:tcBorders>
            <w:shd w:val="clear" w:color="auto" w:fill="DEEAF6"/>
          </w:tcPr>
          <w:p>
            <w:pPr>
              <w:jc w:val="right"/>
              <w:ind w:right="241"/>
              <w:spacing w:after="0" w:line="223" w:lineRule="exact"/>
              <w:rPr>
                <w:sz w:val="20"/>
                <w:szCs w:val="20"/>
                <w:color w:val="auto"/>
              </w:rPr>
            </w:pPr>
            <w:r>
              <w:rPr>
                <w:rFonts w:ascii="Arial" w:cs="Arial" w:eastAsia="Arial" w:hAnsi="Arial"/>
                <w:sz w:val="20"/>
                <w:szCs w:val="20"/>
                <w:b w:val="1"/>
                <w:bCs w:val="1"/>
                <w:i w:val="1"/>
                <w:iCs w:val="1"/>
                <w:color w:val="auto"/>
              </w:rPr>
              <w:t>Milestone Payment</w:t>
            </w:r>
          </w:p>
        </w:tc>
        <w:tc>
          <w:tcPr>
            <w:tcW w:w="20" w:type="dxa"/>
            <w:vAlign w:val="bottom"/>
            <w:tcBorders>
              <w:top w:val="single" w:sz="8" w:color="auto"/>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71"/>
              </w:rPr>
              <w:t>1</w:t>
            </w:r>
          </w:p>
        </w:tc>
        <w:tc>
          <w:tcPr>
            <w:tcW w:w="8220" w:type="dxa"/>
            <w:vAlign w:val="bottom"/>
            <w:tcBorders>
              <w:bottom w:val="single" w:sz="8" w:color="auto"/>
              <w:right w:val="single" w:sz="8" w:color="auto"/>
            </w:tcBorders>
          </w:tcPr>
          <w:p>
            <w:pPr>
              <w:jc w:val="right"/>
              <w:ind w:right="7801"/>
              <w:spacing w:after="0" w:line="223" w:lineRule="exact"/>
              <w:rPr>
                <w:sz w:val="20"/>
                <w:szCs w:val="20"/>
                <w:color w:val="auto"/>
              </w:rPr>
            </w:pPr>
            <w:r>
              <w:rPr>
                <w:rFonts w:ascii="Arial" w:cs="Arial" w:eastAsia="Arial" w:hAnsi="Arial"/>
                <w:sz w:val="20"/>
                <w:szCs w:val="20"/>
                <w:color w:val="auto"/>
              </w:rPr>
              <w:t>[*]</w:t>
            </w:r>
          </w:p>
        </w:tc>
        <w:tc>
          <w:tcPr>
            <w:tcW w:w="2220" w:type="dxa"/>
            <w:vAlign w:val="bottom"/>
            <w:tcBorders>
              <w:bottom w:val="single" w:sz="8" w:color="auto"/>
            </w:tcBorders>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71"/>
              </w:rPr>
              <w:t>2</w:t>
            </w:r>
          </w:p>
        </w:tc>
        <w:tc>
          <w:tcPr>
            <w:tcW w:w="8220" w:type="dxa"/>
            <w:vAlign w:val="bottom"/>
            <w:tcBorders>
              <w:bottom w:val="single" w:sz="8" w:color="auto"/>
              <w:right w:val="single" w:sz="8" w:color="auto"/>
            </w:tcBorders>
          </w:tcPr>
          <w:p>
            <w:pPr>
              <w:jc w:val="right"/>
              <w:ind w:right="7801"/>
              <w:spacing w:after="0" w:line="223" w:lineRule="exact"/>
              <w:rPr>
                <w:sz w:val="20"/>
                <w:szCs w:val="20"/>
                <w:color w:val="auto"/>
              </w:rPr>
            </w:pPr>
            <w:r>
              <w:rPr>
                <w:rFonts w:ascii="Arial" w:cs="Arial" w:eastAsia="Arial" w:hAnsi="Arial"/>
                <w:sz w:val="20"/>
                <w:szCs w:val="20"/>
                <w:color w:val="auto"/>
              </w:rPr>
              <w:t>[*]</w:t>
            </w:r>
          </w:p>
        </w:tc>
        <w:tc>
          <w:tcPr>
            <w:tcW w:w="2220" w:type="dxa"/>
            <w:vAlign w:val="bottom"/>
            <w:tcBorders>
              <w:bottom w:val="single" w:sz="8" w:color="auto"/>
            </w:tcBorders>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71"/>
              </w:rPr>
              <w:t>3</w:t>
            </w:r>
          </w:p>
        </w:tc>
        <w:tc>
          <w:tcPr>
            <w:tcW w:w="8220" w:type="dxa"/>
            <w:vAlign w:val="bottom"/>
            <w:tcBorders>
              <w:bottom w:val="single" w:sz="8" w:color="auto"/>
              <w:right w:val="single" w:sz="8" w:color="auto"/>
            </w:tcBorders>
          </w:tcPr>
          <w:p>
            <w:pPr>
              <w:jc w:val="right"/>
              <w:ind w:right="7801"/>
              <w:spacing w:after="0" w:line="223" w:lineRule="exact"/>
              <w:rPr>
                <w:sz w:val="20"/>
                <w:szCs w:val="20"/>
                <w:color w:val="auto"/>
              </w:rPr>
            </w:pPr>
            <w:r>
              <w:rPr>
                <w:rFonts w:ascii="Arial" w:cs="Arial" w:eastAsia="Arial" w:hAnsi="Arial"/>
                <w:sz w:val="20"/>
                <w:szCs w:val="20"/>
                <w:color w:val="auto"/>
              </w:rPr>
              <w:t>[*]</w:t>
            </w:r>
          </w:p>
        </w:tc>
        <w:tc>
          <w:tcPr>
            <w:tcW w:w="2220" w:type="dxa"/>
            <w:vAlign w:val="bottom"/>
            <w:tcBorders>
              <w:bottom w:val="single" w:sz="8" w:color="auto"/>
            </w:tcBorders>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spacing w:after="0"/>
              <w:rPr>
                <w:sz w:val="19"/>
                <w:szCs w:val="19"/>
                <w:color w:val="auto"/>
              </w:rPr>
            </w:pPr>
          </w:p>
        </w:tc>
        <w:tc>
          <w:tcPr>
            <w:tcW w:w="8220" w:type="dxa"/>
            <w:vAlign w:val="bottom"/>
            <w:tcBorders>
              <w:bottom w:val="single" w:sz="8" w:color="auto"/>
              <w:right w:val="single" w:sz="8" w:color="auto"/>
            </w:tcBorders>
            <w:shd w:val="clear" w:color="auto" w:fill="5B9BD5"/>
          </w:tcPr>
          <w:p>
            <w:pPr>
              <w:jc w:val="right"/>
              <w:ind w:right="21"/>
              <w:spacing w:after="0" w:line="223" w:lineRule="exact"/>
              <w:rPr>
                <w:sz w:val="20"/>
                <w:szCs w:val="20"/>
                <w:color w:val="auto"/>
              </w:rPr>
            </w:pPr>
            <w:r>
              <w:rPr>
                <w:rFonts w:ascii="Arial" w:cs="Arial" w:eastAsia="Arial" w:hAnsi="Arial"/>
                <w:sz w:val="20"/>
                <w:szCs w:val="20"/>
                <w:b w:val="1"/>
                <w:bCs w:val="1"/>
                <w:color w:val="auto"/>
              </w:rPr>
              <w:t>Maximum total milestone payments per program</w:t>
            </w:r>
          </w:p>
        </w:tc>
        <w:tc>
          <w:tcPr>
            <w:tcW w:w="2220" w:type="dxa"/>
            <w:vAlign w:val="bottom"/>
            <w:tcBorders>
              <w:bottom w:val="single" w:sz="8" w:color="auto"/>
            </w:tcBorders>
            <w:shd w:val="clear" w:color="auto" w:fill="5B9BD5"/>
          </w:tcPr>
          <w:p>
            <w:pPr>
              <w:jc w:val="right"/>
              <w:ind w:right="94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r>
    </w:tbl>
    <w:p>
      <w:pPr>
        <w:spacing w:after="0" w:line="199"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Each milestone payment under this Section 8.3 (Milestone Payments) is non-refundable and non-creditable and payable only once for each Licensed Program, upon the first achievement by FibroGen or its Affiliate or Sublicensee for a Licensed Product Directed To an Exclusive Target in the Territory that is the subject of each such Licensed Program, notwithstanding whether a Licensed Product achieves the milestone event more than once or whether more than one Licensed Product Directed To an Exclusive Target achieves a milestone event. If any of R&amp;D and regulatory milestones events 2 through 5 are achieved by a given Licensed Product prior to achievement of any of the preceding R&amp;D and regulatory milestone events 1 through 4 for such Licensed Product, all preceding milestone events not previously achieved for such Licensed Product shall be deemed to be achieved and payable upon achievement of the applicable R&amp;D</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26</w:t>
      </w:r>
    </w:p>
    <w:p>
      <w:pPr>
        <w:spacing w:after="0" w:line="119" w:lineRule="exact"/>
        <w:rPr>
          <w:sz w:val="20"/>
          <w:szCs w:val="20"/>
          <w:color w:val="auto"/>
        </w:rPr>
      </w:pPr>
    </w:p>
    <w:p>
      <w:pPr>
        <w:ind w:right="240" w:firstLine="8"/>
        <w:spacing w:after="0" w:line="277" w:lineRule="auto"/>
        <w:tabs>
          <w:tab w:leader="none" w:pos="255" w:val="left"/>
        </w:tabs>
        <w:numPr>
          <w:ilvl w:val="0"/>
          <w:numId w:val="158"/>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40" w:name="page141"/>
    <w:bookmarkEnd w:id="140"/>
    <w:p>
      <w:pPr>
        <w:ind w:right="20"/>
        <w:spacing w:after="0" w:line="260" w:lineRule="auto"/>
        <w:rPr>
          <w:sz w:val="20"/>
          <w:szCs w:val="20"/>
          <w:color w:val="auto"/>
        </w:rPr>
      </w:pPr>
      <w:r>
        <w:rPr>
          <w:rFonts w:ascii="Arial" w:cs="Arial" w:eastAsia="Arial" w:hAnsi="Arial"/>
          <w:sz w:val="20"/>
          <w:szCs w:val="20"/>
          <w:color w:val="auto"/>
        </w:rPr>
        <w:t>and regulatory milestone events for such Licensed Product. If [*] events are achieved in the same Calendar Quarter or the same Calendar Year, then [*].</w:t>
      </w:r>
    </w:p>
    <w:p>
      <w:pPr>
        <w:spacing w:after="0" w:line="69" w:lineRule="exact"/>
        <w:rPr>
          <w:sz w:val="20"/>
          <w:szCs w:val="20"/>
          <w:color w:val="auto"/>
        </w:rPr>
      </w:pPr>
    </w:p>
    <w:p>
      <w:pPr>
        <w:jc w:val="both"/>
        <w:ind w:left="1740" w:right="20"/>
        <w:spacing w:after="0" w:line="276" w:lineRule="auto"/>
        <w:rPr>
          <w:sz w:val="20"/>
          <w:szCs w:val="20"/>
          <w:color w:val="auto"/>
        </w:rPr>
      </w:pPr>
      <w:r>
        <w:rPr>
          <w:rFonts w:ascii="Arial" w:cs="Arial" w:eastAsia="Arial" w:hAnsi="Arial"/>
          <w:sz w:val="18"/>
          <w:szCs w:val="18"/>
          <w:color w:val="auto"/>
        </w:rPr>
        <w:t>FibroGen will provide HFB with written notice of the achievement of the milestone event in this Section 8.3(a) (R&amp;D and Regulatory Milestones) no later than [*] after the achievement of the applicable milestone event by FibroGen or any of its Affiliates, or within [*] after FibroGen has knowledge of the achievement of the applicable milestone event by a Sublicensee. HFB will invoice FibroGen following receipt of such written notice as soon as reasonably practicable and FibroGen will pay the associated milestone payment no later than [*] after the receipt of such invoice. Such payment will be made by wire transfer of immediately available funds into an account designated by HFB.</w:t>
      </w:r>
    </w:p>
    <w:p>
      <w:pPr>
        <w:spacing w:after="0" w:line="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8.4</w:t>
      </w:r>
      <w:r>
        <w:rPr>
          <w:sz w:val="20"/>
          <w:szCs w:val="20"/>
          <w:color w:val="auto"/>
        </w:rPr>
        <w:tab/>
      </w:r>
      <w:r>
        <w:rPr>
          <w:rFonts w:ascii="Arial" w:cs="Arial" w:eastAsia="Arial" w:hAnsi="Arial"/>
          <w:sz w:val="17"/>
          <w:szCs w:val="17"/>
          <w:b w:val="1"/>
          <w:bCs w:val="1"/>
          <w:color w:val="auto"/>
        </w:rPr>
        <w:t>Royalties</w:t>
      </w:r>
      <w:r>
        <w:rPr>
          <w:rFonts w:ascii="Arial" w:cs="Arial" w:eastAsia="Arial" w:hAnsi="Arial"/>
          <w:sz w:val="18"/>
          <w:szCs w:val="18"/>
          <w:color w:val="auto"/>
        </w:rPr>
        <w:t>.</w:t>
      </w:r>
    </w:p>
    <w:p>
      <w:pPr>
        <w:spacing w:after="0" w:line="214" w:lineRule="exact"/>
        <w:rPr>
          <w:sz w:val="20"/>
          <w:szCs w:val="20"/>
          <w:color w:val="auto"/>
        </w:rPr>
      </w:pPr>
    </w:p>
    <w:p>
      <w:pPr>
        <w:jc w:val="both"/>
        <w:ind w:left="1700" w:right="20" w:hanging="842"/>
        <w:spacing w:after="0" w:line="248" w:lineRule="auto"/>
        <w:tabs>
          <w:tab w:leader="none" w:pos="1700" w:val="left"/>
        </w:tabs>
        <w:numPr>
          <w:ilvl w:val="0"/>
          <w:numId w:val="159"/>
        </w:numPr>
        <w:rPr>
          <w:rFonts w:ascii="Arial" w:cs="Arial" w:eastAsia="Arial" w:hAnsi="Arial"/>
          <w:sz w:val="20"/>
          <w:szCs w:val="20"/>
          <w:color w:val="010000"/>
        </w:rPr>
      </w:pPr>
      <w:r>
        <w:rPr>
          <w:rFonts w:ascii="Arial" w:cs="Arial" w:eastAsia="Arial" w:hAnsi="Arial"/>
          <w:sz w:val="20"/>
          <w:szCs w:val="20"/>
          <w:b w:val="1"/>
          <w:bCs w:val="1"/>
          <w:color w:val="auto"/>
        </w:rPr>
        <w:t>Royalty Rates</w:t>
      </w:r>
      <w:r>
        <w:rPr>
          <w:rFonts w:ascii="Arial" w:cs="Arial" w:eastAsia="Arial" w:hAnsi="Arial"/>
          <w:sz w:val="20"/>
          <w:szCs w:val="20"/>
          <w:color w:val="auto"/>
        </w:rPr>
        <w:t>. On a Licensed Product-by-Licensed Product and country-by-country basis, FibroGen will pay HFB</w:t>
      </w:r>
      <w:r>
        <w:rPr>
          <w:rFonts w:ascii="Arial" w:cs="Arial" w:eastAsia="Arial" w:hAnsi="Arial"/>
          <w:sz w:val="20"/>
          <w:szCs w:val="20"/>
          <w:b w:val="1"/>
          <w:bCs w:val="1"/>
          <w:color w:val="auto"/>
        </w:rPr>
        <w:t xml:space="preserve"> </w:t>
      </w:r>
      <w:r>
        <w:rPr>
          <w:rFonts w:ascii="Arial" w:cs="Arial" w:eastAsia="Arial" w:hAnsi="Arial"/>
          <w:sz w:val="20"/>
          <w:szCs w:val="20"/>
          <w:color w:val="auto"/>
        </w:rPr>
        <w:t>royalties on aggregate annual Net Sales of each Licensed Product in the Territory in a Calendar Year at the royalty rates set forth in Table 8.4(a) until the expiration of the Royalty Term for such Licensed Product on a country-by-country basis (“</w:t>
      </w:r>
      <w:r>
        <w:rPr>
          <w:rFonts w:ascii="Arial" w:cs="Arial" w:eastAsia="Arial" w:hAnsi="Arial"/>
          <w:sz w:val="20"/>
          <w:szCs w:val="20"/>
          <w:b w:val="1"/>
          <w:bCs w:val="1"/>
          <w:color w:val="auto"/>
        </w:rPr>
        <w:t>Royalties</w:t>
      </w:r>
      <w:r>
        <w:rPr>
          <w:rFonts w:ascii="Arial" w:cs="Arial" w:eastAsia="Arial" w:hAnsi="Arial"/>
          <w:sz w:val="20"/>
          <w:szCs w:val="20"/>
          <w:color w:val="auto"/>
        </w:rPr>
        <w: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9680" w:type="dxa"/>
            <w:vAlign w:val="bottom"/>
            <w:tcBorders>
              <w:top w:val="single" w:sz="8" w:color="auto"/>
              <w:bottom w:val="single" w:sz="8" w:color="auto"/>
              <w:right w:val="single" w:sz="8" w:color="8DB3E2"/>
            </w:tcBorders>
            <w:shd w:val="clear" w:color="auto" w:fill="8DB3E2"/>
          </w:tcPr>
          <w:p>
            <w:pPr>
              <w:jc w:val="right"/>
              <w:ind w:right="1861"/>
              <w:spacing w:after="0"/>
              <w:rPr>
                <w:sz w:val="20"/>
                <w:szCs w:val="20"/>
                <w:color w:val="auto"/>
              </w:rPr>
            </w:pPr>
            <w:r>
              <w:rPr>
                <w:rFonts w:ascii="Arial" w:cs="Arial" w:eastAsia="Arial" w:hAnsi="Arial"/>
                <w:sz w:val="20"/>
                <w:szCs w:val="20"/>
                <w:b w:val="1"/>
                <w:bCs w:val="1"/>
                <w:color w:val="auto"/>
              </w:rPr>
              <w:t>Table 8.4(a) – Royalty Rates for Licensed Products</w:t>
            </w:r>
          </w:p>
        </w:tc>
        <w:tc>
          <w:tcPr>
            <w:tcW w:w="1520" w:type="dxa"/>
            <w:vAlign w:val="bottom"/>
            <w:tcBorders>
              <w:top w:val="single" w:sz="8" w:color="auto"/>
              <w:bottom w:val="single" w:sz="8" w:color="auto"/>
              <w:right w:val="single" w:sz="8" w:color="8DB3E2"/>
            </w:tcBorders>
            <w:shd w:val="clear" w:color="auto" w:fill="8DB3E2"/>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9680" w:type="dxa"/>
            <w:vAlign w:val="bottom"/>
            <w:tcBorders>
              <w:bottom w:val="single" w:sz="8" w:color="auto"/>
              <w:right w:val="single" w:sz="8" w:color="auto"/>
            </w:tcBorders>
            <w:shd w:val="clear" w:color="auto" w:fill="C6D9F1"/>
          </w:tcPr>
          <w:p>
            <w:pPr>
              <w:jc w:val="right"/>
              <w:ind w:right="1761"/>
              <w:spacing w:after="0" w:line="223" w:lineRule="exact"/>
              <w:rPr>
                <w:sz w:val="20"/>
                <w:szCs w:val="20"/>
                <w:color w:val="auto"/>
              </w:rPr>
            </w:pPr>
            <w:r>
              <w:rPr>
                <w:rFonts w:ascii="Arial" w:cs="Arial" w:eastAsia="Arial" w:hAnsi="Arial"/>
                <w:sz w:val="20"/>
                <w:szCs w:val="20"/>
                <w:b w:val="1"/>
                <w:bCs w:val="1"/>
                <w:i w:val="1"/>
                <w:iCs w:val="1"/>
                <w:color w:val="auto"/>
              </w:rPr>
              <w:t>Calendar Year Aggregate Net Sales of a Licensed Product in the Territory</w:t>
            </w:r>
          </w:p>
        </w:tc>
        <w:tc>
          <w:tcPr>
            <w:tcW w:w="1520" w:type="dxa"/>
            <w:vAlign w:val="bottom"/>
            <w:tcBorders>
              <w:bottom w:val="single" w:sz="8" w:color="auto"/>
              <w:right w:val="single" w:sz="8" w:color="auto"/>
            </w:tcBorders>
            <w:shd w:val="clear" w:color="auto" w:fill="C6D9F1"/>
          </w:tcPr>
          <w:p>
            <w:pPr>
              <w:jc w:val="center"/>
              <w:spacing w:after="0" w:line="223" w:lineRule="exact"/>
              <w:rPr>
                <w:sz w:val="20"/>
                <w:szCs w:val="20"/>
                <w:color w:val="auto"/>
              </w:rPr>
            </w:pPr>
            <w:r>
              <w:rPr>
                <w:rFonts w:ascii="Arial" w:cs="Arial" w:eastAsia="Arial" w:hAnsi="Arial"/>
                <w:sz w:val="20"/>
                <w:szCs w:val="20"/>
                <w:b w:val="1"/>
                <w:bCs w:val="1"/>
                <w:i w:val="1"/>
                <w:iCs w:val="1"/>
                <w:color w:val="auto"/>
                <w:w w:val="85"/>
              </w:rPr>
              <w:t>Royalty Rate</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9680" w:type="dxa"/>
            <w:vAlign w:val="bottom"/>
            <w:tcBorders>
              <w:bottom w:val="single" w:sz="8" w:color="auto"/>
              <w:right w:val="single" w:sz="8" w:color="auto"/>
            </w:tcBorders>
          </w:tcPr>
          <w:p>
            <w:pPr>
              <w:jc w:val="right"/>
              <w:ind w:right="9261"/>
              <w:spacing w:after="0" w:line="223"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9680" w:type="dxa"/>
            <w:vAlign w:val="bottom"/>
            <w:tcBorders>
              <w:bottom w:val="single" w:sz="8" w:color="auto"/>
              <w:right w:val="single" w:sz="8" w:color="auto"/>
            </w:tcBorders>
          </w:tcPr>
          <w:p>
            <w:pPr>
              <w:jc w:val="right"/>
              <w:ind w:right="9261"/>
              <w:spacing w:after="0" w:line="223"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9680" w:type="dxa"/>
            <w:vAlign w:val="bottom"/>
            <w:tcBorders>
              <w:bottom w:val="single" w:sz="8" w:color="auto"/>
              <w:right w:val="single" w:sz="8" w:color="auto"/>
            </w:tcBorders>
          </w:tcPr>
          <w:p>
            <w:pPr>
              <w:jc w:val="right"/>
              <w:ind w:right="9261"/>
              <w:spacing w:after="0" w:line="223"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9680" w:type="dxa"/>
            <w:vAlign w:val="bottom"/>
            <w:tcBorders>
              <w:bottom w:val="single" w:sz="8" w:color="auto"/>
              <w:right w:val="single" w:sz="8" w:color="auto"/>
            </w:tcBorders>
          </w:tcPr>
          <w:p>
            <w:pPr>
              <w:jc w:val="right"/>
              <w:ind w:right="9261"/>
              <w:spacing w:after="0" w:line="223"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r>
      <w:tr>
        <w:trPr>
          <w:trHeight w:val="443"/>
        </w:trPr>
        <w:tc>
          <w:tcPr>
            <w:tcW w:w="9720" w:type="dxa"/>
            <w:vAlign w:val="bottom"/>
            <w:gridSpan w:val="2"/>
          </w:tcPr>
          <w:p>
            <w:pPr>
              <w:jc w:val="right"/>
              <w:ind w:right="9341"/>
              <w:spacing w:after="0"/>
              <w:rPr>
                <w:sz w:val="20"/>
                <w:szCs w:val="20"/>
                <w:color w:val="auto"/>
              </w:rPr>
            </w:pPr>
            <w:r>
              <w:rPr>
                <w:rFonts w:ascii="Arial" w:cs="Arial" w:eastAsia="Arial" w:hAnsi="Arial"/>
                <w:sz w:val="20"/>
                <w:szCs w:val="20"/>
                <w:color w:val="auto"/>
              </w:rPr>
              <w:t>[*].</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76" w:lineRule="exact"/>
        <w:rPr>
          <w:sz w:val="20"/>
          <w:szCs w:val="20"/>
          <w:color w:val="auto"/>
        </w:rPr>
      </w:pPr>
    </w:p>
    <w:p>
      <w:pPr>
        <w:jc w:val="both"/>
        <w:ind w:left="1700" w:right="20" w:hanging="842"/>
        <w:spacing w:after="0" w:line="273" w:lineRule="auto"/>
        <w:tabs>
          <w:tab w:leader="none" w:pos="1700" w:val="left"/>
        </w:tabs>
        <w:numPr>
          <w:ilvl w:val="0"/>
          <w:numId w:val="160"/>
        </w:numPr>
        <w:rPr>
          <w:rFonts w:ascii="Arial" w:cs="Arial" w:eastAsia="Arial" w:hAnsi="Arial"/>
          <w:sz w:val="18"/>
          <w:szCs w:val="18"/>
          <w:color w:val="010000"/>
        </w:rPr>
      </w:pPr>
      <w:r>
        <w:rPr>
          <w:rFonts w:ascii="Arial" w:cs="Arial" w:eastAsia="Arial" w:hAnsi="Arial"/>
          <w:sz w:val="18"/>
          <w:szCs w:val="18"/>
          <w:b w:val="1"/>
          <w:bCs w:val="1"/>
          <w:color w:val="auto"/>
        </w:rPr>
        <w:t>Reports; Payment</w:t>
      </w:r>
      <w:r>
        <w:rPr>
          <w:rFonts w:ascii="Arial" w:cs="Arial" w:eastAsia="Arial" w:hAnsi="Arial"/>
          <w:sz w:val="18"/>
          <w:szCs w:val="18"/>
          <w:color w:val="auto"/>
        </w:rPr>
        <w:t>. FibroGen will deliver a written report to HFB showing a calculation of the Royalties and whether a</w:t>
      </w:r>
      <w:r>
        <w:rPr>
          <w:rFonts w:ascii="Arial" w:cs="Arial" w:eastAsia="Arial" w:hAnsi="Arial"/>
          <w:sz w:val="18"/>
          <w:szCs w:val="18"/>
          <w:b w:val="1"/>
          <w:bCs w:val="1"/>
          <w:color w:val="auto"/>
        </w:rPr>
        <w:t xml:space="preserve"> </w:t>
      </w:r>
      <w:r>
        <w:rPr>
          <w:rFonts w:ascii="Arial" w:cs="Arial" w:eastAsia="Arial" w:hAnsi="Arial"/>
          <w:sz w:val="18"/>
          <w:szCs w:val="18"/>
          <w:color w:val="auto"/>
        </w:rPr>
        <w:t>Sales Milestone has been achieved, providing Net Sales in sufficient detail to allow HFB to verify Royalties and achievement of Sales Milestones due in a given Calendar Quarter no later than [*] after the end of each Calendar Quarter (each, a “</w:t>
      </w:r>
      <w:r>
        <w:rPr>
          <w:rFonts w:ascii="Arial" w:cs="Arial" w:eastAsia="Arial" w:hAnsi="Arial"/>
          <w:sz w:val="18"/>
          <w:szCs w:val="18"/>
          <w:b w:val="1"/>
          <w:bCs w:val="1"/>
          <w:color w:val="auto"/>
        </w:rPr>
        <w:t>Royalty and Net Sales Report</w:t>
      </w:r>
      <w:r>
        <w:rPr>
          <w:rFonts w:ascii="Arial" w:cs="Arial" w:eastAsia="Arial" w:hAnsi="Arial"/>
          <w:sz w:val="18"/>
          <w:szCs w:val="18"/>
          <w:color w:val="auto"/>
        </w:rPr>
        <w:t>”). All Royalty payments will be payable concurrently with the delivery of the Royalty and Net Sales Report for the applicable Calendar Quarter. All payments under this Agreement will be payable, in full, in U.S. dollars, regardless of the country(ies) in which such sales are made. For purposes of computing the Royalty of any Licensed Product that is sold in a currency other than United States dollars, such currency will be converted into United States dollars at the median of the buying rate and the selling rate of exchange reported by the Wall Street Journal on the last day for the month in which such sales were recorded.</w:t>
      </w:r>
    </w:p>
    <w:p>
      <w:pPr>
        <w:spacing w:after="0" w:line="54" w:lineRule="exact"/>
        <w:rPr>
          <w:rFonts w:ascii="Arial" w:cs="Arial" w:eastAsia="Arial" w:hAnsi="Arial"/>
          <w:sz w:val="18"/>
          <w:szCs w:val="18"/>
          <w:color w:val="010000"/>
        </w:rPr>
      </w:pPr>
    </w:p>
    <w:p>
      <w:pPr>
        <w:ind w:left="1700" w:hanging="842"/>
        <w:spacing w:after="0"/>
        <w:tabs>
          <w:tab w:leader="none" w:pos="1700" w:val="left"/>
        </w:tabs>
        <w:numPr>
          <w:ilvl w:val="0"/>
          <w:numId w:val="160"/>
        </w:numPr>
        <w:rPr>
          <w:rFonts w:ascii="Arial" w:cs="Arial" w:eastAsia="Arial" w:hAnsi="Arial"/>
          <w:sz w:val="20"/>
          <w:szCs w:val="20"/>
          <w:color w:val="010000"/>
        </w:rPr>
      </w:pPr>
      <w:r>
        <w:rPr>
          <w:rFonts w:ascii="Arial" w:cs="Arial" w:eastAsia="Arial" w:hAnsi="Arial"/>
          <w:sz w:val="20"/>
          <w:szCs w:val="20"/>
          <w:b w:val="1"/>
          <w:bCs w:val="1"/>
          <w:color w:val="auto"/>
        </w:rPr>
        <w:t>Reductions</w:t>
      </w:r>
      <w:r>
        <w:rPr>
          <w:rFonts w:ascii="Arial" w:cs="Arial" w:eastAsia="Arial" w:hAnsi="Arial"/>
          <w:sz w:val="20"/>
          <w:szCs w:val="20"/>
          <w:color w:val="auto"/>
        </w:rPr>
        <w:t>.</w:t>
      </w:r>
    </w:p>
    <w:p>
      <w:pPr>
        <w:spacing w:after="0" w:line="107" w:lineRule="exact"/>
        <w:rPr>
          <w:rFonts w:ascii="Arial" w:cs="Arial" w:eastAsia="Arial" w:hAnsi="Arial"/>
          <w:sz w:val="20"/>
          <w:szCs w:val="20"/>
          <w:color w:val="010000"/>
        </w:rPr>
      </w:pPr>
    </w:p>
    <w:p>
      <w:pPr>
        <w:jc w:val="both"/>
        <w:ind w:left="2580" w:right="20" w:hanging="858"/>
        <w:spacing w:after="0" w:line="245" w:lineRule="auto"/>
        <w:tabs>
          <w:tab w:leader="none" w:pos="2580" w:val="left"/>
        </w:tabs>
        <w:numPr>
          <w:ilvl w:val="1"/>
          <w:numId w:val="160"/>
        </w:numPr>
        <w:rPr>
          <w:rFonts w:ascii="Arial" w:cs="Arial" w:eastAsia="Arial" w:hAnsi="Arial"/>
          <w:sz w:val="20"/>
          <w:szCs w:val="20"/>
          <w:color w:val="010000"/>
        </w:rPr>
      </w:pPr>
      <w:r>
        <w:rPr>
          <w:rFonts w:ascii="Arial" w:cs="Arial" w:eastAsia="Arial" w:hAnsi="Arial"/>
          <w:sz w:val="20"/>
          <w:szCs w:val="20"/>
          <w:b w:val="1"/>
          <w:bCs w:val="1"/>
          <w:color w:val="auto"/>
        </w:rPr>
        <w:t>Reduction for Loss of Market Exclusivity</w:t>
      </w:r>
      <w:r>
        <w:rPr>
          <w:rFonts w:ascii="Arial" w:cs="Arial" w:eastAsia="Arial" w:hAnsi="Arial"/>
          <w:sz w:val="20"/>
          <w:szCs w:val="20"/>
          <w:color w:val="auto"/>
        </w:rPr>
        <w:t>. If, on a Licensed Product-by-Licensed Product and country-by-country basis, a Loss of Market Exclusivity for a Licensed Product in any country has occurred [*], then the Royalties due to HFB pursuant to Section 8.4(a) (Royalty Rates) with respect to such Licensed Product in such country will be reduced by [*] of the applicable Royalties that would otherwise be owed on the Net Sales of such Licensed Product in such country under Section 8.4(a) (Royalty Rates) in such Calendar Quarter.</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27</w:t>
      </w:r>
    </w:p>
    <w:p>
      <w:pPr>
        <w:spacing w:after="0" w:line="119" w:lineRule="exact"/>
        <w:rPr>
          <w:sz w:val="20"/>
          <w:szCs w:val="20"/>
          <w:color w:val="auto"/>
        </w:rPr>
      </w:pPr>
    </w:p>
    <w:p>
      <w:pPr>
        <w:ind w:right="240" w:firstLine="8"/>
        <w:spacing w:after="0" w:line="277" w:lineRule="auto"/>
        <w:tabs>
          <w:tab w:leader="none" w:pos="255" w:val="left"/>
        </w:tabs>
        <w:numPr>
          <w:ilvl w:val="0"/>
          <w:numId w:val="161"/>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568" w:right="319" w:bottom="1440" w:gutter="0" w:footer="0" w:header="0"/>
        </w:sectPr>
      </w:pPr>
    </w:p>
    <w:bookmarkStart w:id="141" w:name="page142"/>
    <w:bookmarkEnd w:id="141"/>
    <w:p>
      <w:pPr>
        <w:jc w:val="both"/>
        <w:ind w:left="2580" w:hanging="858"/>
        <w:spacing w:after="0" w:line="244" w:lineRule="auto"/>
        <w:tabs>
          <w:tab w:leader="none" w:pos="2580" w:val="left"/>
        </w:tabs>
        <w:numPr>
          <w:ilvl w:val="0"/>
          <w:numId w:val="162"/>
        </w:numPr>
        <w:rPr>
          <w:rFonts w:ascii="Arial" w:cs="Arial" w:eastAsia="Arial" w:hAnsi="Arial"/>
          <w:sz w:val="20"/>
          <w:szCs w:val="20"/>
          <w:color w:val="010000"/>
        </w:rPr>
      </w:pPr>
      <w:r>
        <w:rPr>
          <w:rFonts w:ascii="Arial" w:cs="Arial" w:eastAsia="Arial" w:hAnsi="Arial"/>
          <w:sz w:val="20"/>
          <w:szCs w:val="20"/>
          <w:b w:val="1"/>
          <w:bCs w:val="1"/>
          <w:color w:val="auto"/>
        </w:rPr>
        <w:t>Reduction for Additional Third Party IP</w:t>
      </w:r>
      <w:r>
        <w:rPr>
          <w:rFonts w:ascii="Arial" w:cs="Arial" w:eastAsia="Arial" w:hAnsi="Arial"/>
          <w:sz w:val="20"/>
          <w:szCs w:val="20"/>
          <w:color w:val="auto"/>
        </w:rPr>
        <w:t>. With respect to any Third Party License entered into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pursuant to which FibroGen is granted rights under any Additional Third Party IP that is necessary to Exploit a Licensed Product in a country or jurisdiction in the Territory, FibroGen will be entitled to deduct from any Royalties due to HFB pursuant to Section 8.4(a) (Royalty Rates) with respect to that country or other jurisdiction [*] of royalties or other amounts paid to such Third Party under such Third Party License to the extent necessary to Develop and Commercialize a Licensed Compound and allocable or specific to the Licensed Products.</w:t>
      </w:r>
    </w:p>
    <w:p>
      <w:pPr>
        <w:spacing w:after="0" w:line="77" w:lineRule="exact"/>
        <w:rPr>
          <w:rFonts w:ascii="Arial" w:cs="Arial" w:eastAsia="Arial" w:hAnsi="Arial"/>
          <w:sz w:val="20"/>
          <w:szCs w:val="20"/>
          <w:color w:val="010000"/>
        </w:rPr>
      </w:pPr>
    </w:p>
    <w:p>
      <w:pPr>
        <w:jc w:val="both"/>
        <w:ind w:left="2580" w:right="20" w:hanging="858"/>
        <w:spacing w:after="0" w:line="294" w:lineRule="auto"/>
        <w:tabs>
          <w:tab w:leader="none" w:pos="2580" w:val="left"/>
        </w:tabs>
        <w:numPr>
          <w:ilvl w:val="0"/>
          <w:numId w:val="162"/>
        </w:numPr>
        <w:rPr>
          <w:rFonts w:ascii="Arial" w:cs="Arial" w:eastAsia="Arial" w:hAnsi="Arial"/>
          <w:sz w:val="18"/>
          <w:szCs w:val="18"/>
          <w:color w:val="010000"/>
        </w:rPr>
      </w:pPr>
      <w:r>
        <w:rPr>
          <w:rFonts w:ascii="Arial" w:cs="Arial" w:eastAsia="Arial" w:hAnsi="Arial"/>
          <w:sz w:val="18"/>
          <w:szCs w:val="18"/>
          <w:b w:val="1"/>
          <w:bCs w:val="1"/>
          <w:color w:val="auto"/>
        </w:rPr>
        <w:t>Cumulative Reductions Floor</w:t>
      </w:r>
      <w:r>
        <w:rPr>
          <w:rFonts w:ascii="Arial" w:cs="Arial" w:eastAsia="Arial" w:hAnsi="Arial"/>
          <w:sz w:val="18"/>
          <w:szCs w:val="18"/>
          <w:color w:val="auto"/>
        </w:rPr>
        <w:t>. In no event will the Royalties due to HFB under this Agreement in a</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Year be reduced by more [*] due to HFB pursuant to Section 8.4(a) (Royalty Rates) that would otherwise be due in such Calendar Year for the Licensed Products as a result of the foregoing reductions.</w:t>
      </w:r>
    </w:p>
    <w:p>
      <w:pPr>
        <w:spacing w:after="0" w:line="37"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20"/>
          <w:szCs w:val="20"/>
          <w:b w:val="1"/>
          <w:bCs w:val="1"/>
          <w:color w:val="auto"/>
        </w:rPr>
        <w:t>Sublicense Revenue</w:t>
      </w:r>
      <w:r>
        <w:rPr>
          <w:rFonts w:ascii="Arial" w:cs="Arial" w:eastAsia="Arial" w:hAnsi="Arial"/>
          <w:sz w:val="21"/>
          <w:szCs w:val="21"/>
          <w:color w:val="auto"/>
        </w:rPr>
        <w:t>. FibroGen will pay to HFB [*] of any Sublicense Revenue received by FibroGen under any</w:t>
      </w:r>
      <w:r>
        <w:rPr>
          <w:rFonts w:ascii="Arial" w:cs="Arial" w:eastAsia="Arial" w:hAnsi="Arial"/>
          <w:sz w:val="20"/>
          <w:szCs w:val="20"/>
          <w:b w:val="1"/>
          <w:bCs w:val="1"/>
          <w:color w:val="auto"/>
        </w:rPr>
        <w:t xml:space="preserve"> </w:t>
      </w:r>
      <w:r>
        <w:rPr>
          <w:rFonts w:ascii="Arial" w:cs="Arial" w:eastAsia="Arial" w:hAnsi="Arial"/>
          <w:sz w:val="21"/>
          <w:szCs w:val="21"/>
          <w:color w:val="auto"/>
        </w:rPr>
        <w:t>sublicense to the extent the sublicense is directed to a Licensed Program for which [*]. No Sublicense Revenue will be owed to HFB by FibroGen with respect to any sublicense to the extent such sublicense is directed to a Licensed Program for which [*]. Notwithstanding anything to the contrary set forth in this Agreement, to the extent that any payment is made to FibroGen under a sublicense in consideration for both (a) a sublicense under the Licensed Technology and (b) a license or sublicense under intellectual property rights or materials not licensed to FibroGen under this Agreement, [*]. The Parties will discuss in good faith any dispute by HFB with respect to such [*] and will resolve any issues in accordance with Article 14 (Dispute Resolution).</w:t>
      </w:r>
    </w:p>
    <w:p>
      <w:pPr>
        <w:spacing w:after="0" w:line="166"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color w:val="010000"/>
        </w:rPr>
        <w:t>8.6</w:t>
      </w:r>
      <w:r>
        <w:rPr>
          <w:sz w:val="20"/>
          <w:szCs w:val="20"/>
          <w:color w:val="auto"/>
        </w:rPr>
        <w:tab/>
      </w:r>
      <w:r>
        <w:rPr>
          <w:rFonts w:ascii="Arial" w:cs="Arial" w:eastAsia="Arial" w:hAnsi="Arial"/>
          <w:sz w:val="20"/>
          <w:szCs w:val="20"/>
          <w:b w:val="1"/>
          <w:bCs w:val="1"/>
          <w:color w:val="auto"/>
        </w:rPr>
        <w:t>Upstream License Costs</w:t>
      </w:r>
      <w:r>
        <w:rPr>
          <w:rFonts w:ascii="Arial" w:cs="Arial" w:eastAsia="Arial" w:hAnsi="Arial"/>
          <w:sz w:val="21"/>
          <w:szCs w:val="21"/>
          <w:color w:val="auto"/>
        </w:rPr>
        <w:t>. [</w:t>
      </w:r>
      <w:r>
        <w:rPr>
          <w:rFonts w:ascii="Arial" w:cs="Arial" w:eastAsia="Arial" w:hAnsi="Arial"/>
          <w:sz w:val="21"/>
          <w:szCs w:val="21"/>
          <w:color w:val="010000"/>
        </w:rPr>
        <w:t>*] responsible for all upfront payments, milestone payments, royalties, or other payments due</w:t>
      </w:r>
      <w:r>
        <w:rPr>
          <w:rFonts w:ascii="Arial" w:cs="Arial" w:eastAsia="Arial" w:hAnsi="Arial"/>
          <w:sz w:val="20"/>
          <w:szCs w:val="20"/>
          <w:b w:val="1"/>
          <w:bCs w:val="1"/>
          <w:color w:val="auto"/>
        </w:rPr>
        <w:t xml:space="preserve"> </w:t>
      </w:r>
      <w:r>
        <w:rPr>
          <w:rFonts w:ascii="Arial" w:cs="Arial" w:eastAsia="Arial" w:hAnsi="Arial"/>
          <w:sz w:val="21"/>
          <w:szCs w:val="21"/>
          <w:color w:val="010000"/>
        </w:rPr>
        <w:t>to the licensor under the Upstream License, as well as any rewards, remuneration, or other amounts payable with respect to inventions and technical achievements required by applicable law to be paid to any Persons for the development or invention of any Licensed Technology (collectively, “</w:t>
      </w:r>
      <w:r>
        <w:rPr>
          <w:rFonts w:ascii="Arial" w:cs="Arial" w:eastAsia="Arial" w:hAnsi="Arial"/>
          <w:sz w:val="21"/>
          <w:szCs w:val="21"/>
          <w:b w:val="1"/>
          <w:bCs w:val="1"/>
          <w:color w:val="010000"/>
        </w:rPr>
        <w:t>Upstream License Costs</w:t>
      </w:r>
      <w:r>
        <w:rPr>
          <w:rFonts w:ascii="Arial" w:cs="Arial" w:eastAsia="Arial" w:hAnsi="Arial"/>
          <w:sz w:val="21"/>
          <w:szCs w:val="21"/>
          <w:color w:val="010000"/>
        </w:rPr>
        <w:t xml:space="preserve">”). Without limiting the foregoing, if [*] fails to pay any Upstream License Costs or otherwise fails to maintain the Upstream License as required by Section 10.3(b) (Upstream License) and </w:t>
      </w:r>
      <w:r>
        <w:rPr>
          <w:rFonts w:ascii="Arial" w:cs="Arial" w:eastAsia="Arial" w:hAnsi="Arial"/>
          <w:sz w:val="21"/>
          <w:szCs w:val="21"/>
          <w:color w:val="000000"/>
        </w:rPr>
        <w:t>[*]</w:t>
      </w:r>
      <w:r>
        <w:rPr>
          <w:rFonts w:ascii="Arial" w:cs="Arial" w:eastAsia="Arial" w:hAnsi="Arial"/>
          <w:sz w:val="21"/>
          <w:szCs w:val="21"/>
          <w:color w:val="010000"/>
        </w:rPr>
        <w:t>.</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8.7</w:t>
      </w:r>
      <w:r>
        <w:rPr>
          <w:sz w:val="20"/>
          <w:szCs w:val="20"/>
          <w:color w:val="auto"/>
        </w:rPr>
        <w:tab/>
      </w:r>
      <w:r>
        <w:rPr>
          <w:rFonts w:ascii="Arial" w:cs="Arial" w:eastAsia="Arial" w:hAnsi="Arial"/>
          <w:sz w:val="17"/>
          <w:szCs w:val="17"/>
          <w:b w:val="1"/>
          <w:bCs w:val="1"/>
          <w:color w:val="auto"/>
        </w:rPr>
        <w:t>Books and Records; Audit Rights</w:t>
      </w:r>
      <w:r>
        <w:rPr>
          <w:rFonts w:ascii="Arial" w:cs="Arial" w:eastAsia="Arial" w:hAnsi="Arial"/>
          <w:sz w:val="18"/>
          <w:szCs w:val="18"/>
          <w:color w:val="auto"/>
        </w:rPr>
        <w:t>.</w:t>
      </w:r>
    </w:p>
    <w:p>
      <w:pPr>
        <w:spacing w:after="0" w:line="220" w:lineRule="exact"/>
        <w:rPr>
          <w:sz w:val="20"/>
          <w:szCs w:val="20"/>
          <w:color w:val="auto"/>
        </w:rPr>
      </w:pPr>
    </w:p>
    <w:p>
      <w:pPr>
        <w:jc w:val="both"/>
        <w:ind w:left="1700" w:hanging="842"/>
        <w:spacing w:after="0" w:line="243" w:lineRule="auto"/>
        <w:tabs>
          <w:tab w:leader="none" w:pos="1700" w:val="left"/>
        </w:tabs>
        <w:numPr>
          <w:ilvl w:val="0"/>
          <w:numId w:val="163"/>
        </w:numPr>
        <w:rPr>
          <w:rFonts w:ascii="Arial" w:cs="Arial" w:eastAsia="Arial" w:hAnsi="Arial"/>
          <w:sz w:val="20"/>
          <w:szCs w:val="20"/>
          <w:color w:val="010000"/>
        </w:rPr>
      </w:pPr>
      <w:r>
        <w:rPr>
          <w:rFonts w:ascii="Arial" w:cs="Arial" w:eastAsia="Arial" w:hAnsi="Arial"/>
          <w:sz w:val="20"/>
          <w:szCs w:val="20"/>
          <w:color w:val="auto"/>
        </w:rPr>
        <w:t>HFB will have the right to engage, at its own cost and expense, subject to this Section 8.7 (Books and Records; Audit Rights), an independent nationally recognized public accounting firm in the United States chosen by HFB and reasonably acceptable to FibroGen (which accounting firm will not be the external auditor of HFB, will not have been hired or paid on a contingency basis, and will have experience auditing pharmaceutical companies) (a “</w:t>
      </w:r>
      <w:r>
        <w:rPr>
          <w:rFonts w:ascii="Arial" w:cs="Arial" w:eastAsia="Arial" w:hAnsi="Arial"/>
          <w:sz w:val="20"/>
          <w:szCs w:val="20"/>
          <w:b w:val="1"/>
          <w:bCs w:val="1"/>
          <w:color w:val="auto"/>
        </w:rPr>
        <w:t>CPA Firm</w:t>
      </w:r>
      <w:r>
        <w:rPr>
          <w:rFonts w:ascii="Arial" w:cs="Arial" w:eastAsia="Arial" w:hAnsi="Arial"/>
          <w:sz w:val="20"/>
          <w:szCs w:val="20"/>
          <w:color w:val="auto"/>
        </w:rPr>
        <w:t>”) to conduct an audit of FibroGen for the purposes of confirming FibroGen’s compliance with the payment provisions of this Agreement.</w:t>
      </w:r>
    </w:p>
    <w:p>
      <w:pPr>
        <w:spacing w:after="0" w:line="87" w:lineRule="exact"/>
        <w:rPr>
          <w:rFonts w:ascii="Arial" w:cs="Arial" w:eastAsia="Arial" w:hAnsi="Arial"/>
          <w:sz w:val="20"/>
          <w:szCs w:val="20"/>
          <w:color w:val="010000"/>
        </w:rPr>
      </w:pPr>
    </w:p>
    <w:p>
      <w:pPr>
        <w:jc w:val="both"/>
        <w:ind w:left="1700" w:hanging="842"/>
        <w:spacing w:after="0" w:line="246" w:lineRule="auto"/>
        <w:tabs>
          <w:tab w:leader="none" w:pos="1700" w:val="left"/>
        </w:tabs>
        <w:numPr>
          <w:ilvl w:val="0"/>
          <w:numId w:val="163"/>
        </w:numPr>
        <w:rPr>
          <w:rFonts w:ascii="Arial" w:cs="Arial" w:eastAsia="Arial" w:hAnsi="Arial"/>
          <w:sz w:val="20"/>
          <w:szCs w:val="20"/>
          <w:color w:val="010000"/>
        </w:rPr>
      </w:pPr>
      <w:r>
        <w:rPr>
          <w:rFonts w:ascii="Arial" w:cs="Arial" w:eastAsia="Arial" w:hAnsi="Arial"/>
          <w:sz w:val="20"/>
          <w:szCs w:val="20"/>
          <w:color w:val="auto"/>
        </w:rPr>
        <w:t>The CPA Firm will be given access to and will be permitted to examine such books and records of FibroGen as it will reasonably request, upon [*] prior written notice having been given by HFB, during regular business hours, for the sole purpose of determining compliance with the payment provisions of this Agreement. Prior to any such examination taking place, the CPA Firm will enter into a confidentiality agreement reasonably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119" w:lineRule="exact"/>
        <w:rPr>
          <w:sz w:val="20"/>
          <w:szCs w:val="20"/>
          <w:color w:val="auto"/>
        </w:rPr>
      </w:pPr>
    </w:p>
    <w:p>
      <w:pPr>
        <w:ind w:right="220" w:firstLine="8"/>
        <w:spacing w:after="0" w:line="277" w:lineRule="auto"/>
        <w:tabs>
          <w:tab w:leader="none" w:pos="255" w:val="left"/>
        </w:tabs>
        <w:numPr>
          <w:ilvl w:val="0"/>
          <w:numId w:val="164"/>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2" w:name="page143"/>
    <w:bookmarkEnd w:id="142"/>
    <w:p>
      <w:pPr>
        <w:jc w:val="both"/>
        <w:ind w:left="1700"/>
        <w:spacing w:after="0" w:line="250" w:lineRule="auto"/>
        <w:rPr>
          <w:sz w:val="20"/>
          <w:szCs w:val="20"/>
          <w:color w:val="auto"/>
        </w:rPr>
      </w:pPr>
      <w:r>
        <w:rPr>
          <w:rFonts w:ascii="Arial" w:cs="Arial" w:eastAsia="Arial" w:hAnsi="Arial"/>
          <w:sz w:val="20"/>
          <w:szCs w:val="20"/>
          <w:color w:val="auto"/>
        </w:rPr>
        <w:t>acceptable to FibroGen with respect to the Know-How to which they are given access and will not contain in its report or otherwise disclose to HFB or any Third Party any information labeled by FibroGen as being confidential customer information regarding pricing or other competitively sensitive proprietary information.</w:t>
      </w:r>
    </w:p>
    <w:p>
      <w:pPr>
        <w:spacing w:after="0" w:line="78" w:lineRule="exact"/>
        <w:rPr>
          <w:sz w:val="20"/>
          <w:szCs w:val="20"/>
          <w:color w:val="auto"/>
        </w:rPr>
      </w:pPr>
    </w:p>
    <w:p>
      <w:pPr>
        <w:jc w:val="both"/>
        <w:ind w:left="1700" w:hanging="842"/>
        <w:spacing w:after="0" w:line="273" w:lineRule="auto"/>
        <w:tabs>
          <w:tab w:leader="none" w:pos="1700"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HFB and FibroGen will be entitled to receive a full written report of the CPA Firm with respect to its findings and HFB will provide, without condition or qualification, FibroGen with a copy of the report, or other summary of findings, prepared by such CPA Firm promptly following HFB’s receipt of same. No other information will be provided to HFB. In the event of any dispute between HFB and FibroGen regarding the findings of any such inspection or audit, the Parties will initially attempt in good faith to resolve the dispute amicably between themselves, and if the Parties are unable to resolve such dispute within [*] after delivery to both Parties of the CPA Firm’s report, each Party will [*] internationally recognized independent certified public accounting firm which will resolve the dispute, and such accounting firm’s determination will be binding on both Parties, absent manifest error by such accounting firm.</w:t>
      </w:r>
    </w:p>
    <w:p>
      <w:pPr>
        <w:spacing w:after="0" w:line="60" w:lineRule="exact"/>
        <w:rPr>
          <w:rFonts w:ascii="Arial" w:cs="Arial" w:eastAsia="Arial" w:hAnsi="Arial"/>
          <w:sz w:val="18"/>
          <w:szCs w:val="18"/>
          <w:color w:val="010000"/>
        </w:rPr>
      </w:pPr>
    </w:p>
    <w:p>
      <w:pPr>
        <w:jc w:val="both"/>
        <w:ind w:left="1700" w:hanging="842"/>
        <w:spacing w:after="0" w:line="243" w:lineRule="auto"/>
        <w:tabs>
          <w:tab w:leader="none" w:pos="1700" w:val="left"/>
        </w:tabs>
        <w:numPr>
          <w:ilvl w:val="0"/>
          <w:numId w:val="165"/>
        </w:numPr>
        <w:rPr>
          <w:rFonts w:ascii="Arial" w:cs="Arial" w:eastAsia="Arial" w:hAnsi="Arial"/>
          <w:sz w:val="20"/>
          <w:szCs w:val="20"/>
          <w:color w:val="010000"/>
        </w:rPr>
      </w:pPr>
      <w:r>
        <w:rPr>
          <w:rFonts w:ascii="Arial" w:cs="Arial" w:eastAsia="Arial" w:hAnsi="Arial"/>
          <w:sz w:val="20"/>
          <w:szCs w:val="20"/>
          <w:color w:val="auto"/>
        </w:rPr>
        <w:t>Within [*] after completion of the CPA Firm’s audit, FibroGen will pay to HFB any deficiency in the payment amount determined by the CPA Firm and, if the deficiency is at least [*] of the total payment amount, then FibroGen shall pay all costs and expenses associated with the CPA Firm’s audit and any dispute thereof pursuant to Section 8.7(c) (Books and Records; Audit Rights). If the report of the CPA Firm shows that FibroGen overpaid, then FibroGen will be entitled to off-set such overpayment against any Royalty then owed to HFB. If no Royalty is then owed to HFB, then HFB will remit such overpayment to FibroGen.</w:t>
      </w:r>
    </w:p>
    <w:p>
      <w:pPr>
        <w:spacing w:after="0" w:line="87" w:lineRule="exact"/>
        <w:rPr>
          <w:rFonts w:ascii="Arial" w:cs="Arial" w:eastAsia="Arial" w:hAnsi="Arial"/>
          <w:sz w:val="20"/>
          <w:szCs w:val="20"/>
          <w:color w:val="010000"/>
        </w:rPr>
      </w:pPr>
    </w:p>
    <w:p>
      <w:pPr>
        <w:jc w:val="both"/>
        <w:ind w:left="1700" w:hanging="842"/>
        <w:spacing w:after="0" w:line="263" w:lineRule="auto"/>
        <w:tabs>
          <w:tab w:leader="none" w:pos="1700" w:val="left"/>
        </w:tabs>
        <w:numPr>
          <w:ilvl w:val="0"/>
          <w:numId w:val="165"/>
        </w:numPr>
        <w:rPr>
          <w:rFonts w:ascii="Arial" w:cs="Arial" w:eastAsia="Arial" w:hAnsi="Arial"/>
          <w:sz w:val="19"/>
          <w:szCs w:val="19"/>
          <w:color w:val="010000"/>
        </w:rPr>
      </w:pPr>
      <w:r>
        <w:rPr>
          <w:rFonts w:ascii="Arial" w:cs="Arial" w:eastAsia="Arial" w:hAnsi="Arial"/>
          <w:sz w:val="19"/>
          <w:szCs w:val="19"/>
          <w:color w:val="auto"/>
        </w:rPr>
        <w:t>HFB’s exercise of its audit rights under this Section 8.7 (Books and Records; Audit Rights) may not (i) be conducted for any Calendar Quarter [*] after the end of such Calendar Quarter to which such books and records pertain, (ii) be conducted more than [*] in any a Calendar Year period (unless a previous audit during such period revealed a material underpayment with respect to such period), or (iii) be repeated for any [*].</w:t>
      </w:r>
    </w:p>
    <w:p>
      <w:pPr>
        <w:spacing w:after="0" w:line="6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8.8</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7"/>
          <w:szCs w:val="17"/>
          <w:color w:val="auto"/>
        </w:rPr>
        <w:t>.</w:t>
      </w:r>
    </w:p>
    <w:p>
      <w:pPr>
        <w:spacing w:after="0" w:line="214" w:lineRule="exact"/>
        <w:rPr>
          <w:sz w:val="20"/>
          <w:szCs w:val="20"/>
          <w:color w:val="auto"/>
        </w:rPr>
      </w:pPr>
    </w:p>
    <w:p>
      <w:pPr>
        <w:ind w:left="1700" w:right="20" w:hanging="842"/>
        <w:spacing w:after="0" w:line="267" w:lineRule="auto"/>
        <w:tabs>
          <w:tab w:leader="none" w:pos="1700" w:val="left"/>
        </w:tabs>
        <w:numPr>
          <w:ilvl w:val="0"/>
          <w:numId w:val="166"/>
        </w:numPr>
        <w:rPr>
          <w:rFonts w:ascii="Arial" w:cs="Arial" w:eastAsia="Arial" w:hAnsi="Arial"/>
          <w:sz w:val="20"/>
          <w:szCs w:val="20"/>
          <w:color w:val="010000"/>
        </w:rPr>
      </w:pPr>
      <w:r>
        <w:rPr>
          <w:rFonts w:ascii="Arial" w:cs="Arial" w:eastAsia="Arial" w:hAnsi="Arial"/>
          <w:sz w:val="20"/>
          <w:szCs w:val="20"/>
          <w:b w:val="1"/>
          <w:bCs w:val="1"/>
          <w:color w:val="auto"/>
        </w:rPr>
        <w:t>Taxes on Net Income</w:t>
      </w:r>
      <w:r>
        <w:rPr>
          <w:rFonts w:ascii="Arial" w:cs="Arial" w:eastAsia="Arial" w:hAnsi="Arial"/>
          <w:sz w:val="20"/>
          <w:szCs w:val="20"/>
          <w:color w:val="auto"/>
        </w:rPr>
        <w:t>. Each Party will be solely responsible for the payment of any and all taxes levied on such Party’s</w:t>
      </w:r>
      <w:r>
        <w:rPr>
          <w:rFonts w:ascii="Arial" w:cs="Arial" w:eastAsia="Arial" w:hAnsi="Arial"/>
          <w:sz w:val="20"/>
          <w:szCs w:val="20"/>
          <w:b w:val="1"/>
          <w:bCs w:val="1"/>
          <w:color w:val="auto"/>
        </w:rPr>
        <w:t xml:space="preserve"> </w:t>
      </w:r>
      <w:r>
        <w:rPr>
          <w:rFonts w:ascii="Arial" w:cs="Arial" w:eastAsia="Arial" w:hAnsi="Arial"/>
          <w:sz w:val="20"/>
          <w:szCs w:val="20"/>
          <w:color w:val="auto"/>
        </w:rPr>
        <w:t>net income.</w:t>
      </w:r>
    </w:p>
    <w:p>
      <w:pPr>
        <w:spacing w:after="0" w:line="149" w:lineRule="exact"/>
        <w:rPr>
          <w:rFonts w:ascii="Arial" w:cs="Arial" w:eastAsia="Arial" w:hAnsi="Arial"/>
          <w:sz w:val="20"/>
          <w:szCs w:val="20"/>
          <w:color w:val="010000"/>
        </w:rPr>
      </w:pPr>
    </w:p>
    <w:p>
      <w:pPr>
        <w:jc w:val="both"/>
        <w:ind w:left="1700" w:hanging="842"/>
        <w:spacing w:after="0" w:line="256" w:lineRule="auto"/>
        <w:tabs>
          <w:tab w:leader="none" w:pos="1700" w:val="left"/>
        </w:tabs>
        <w:numPr>
          <w:ilvl w:val="0"/>
          <w:numId w:val="166"/>
        </w:numPr>
        <w:rPr>
          <w:rFonts w:ascii="Arial" w:cs="Arial" w:eastAsia="Arial" w:hAnsi="Arial"/>
          <w:sz w:val="19"/>
          <w:szCs w:val="19"/>
          <w:color w:val="010000"/>
        </w:rPr>
      </w:pPr>
      <w:r>
        <w:rPr>
          <w:rFonts w:ascii="Arial" w:cs="Arial" w:eastAsia="Arial" w:hAnsi="Arial"/>
          <w:sz w:val="19"/>
          <w:szCs w:val="19"/>
          <w:b w:val="1"/>
          <w:bCs w:val="1"/>
          <w:color w:val="auto"/>
        </w:rPr>
        <w:t>Tax Withholding</w:t>
      </w:r>
      <w:r>
        <w:rPr>
          <w:rFonts w:ascii="Arial" w:cs="Arial" w:eastAsia="Arial" w:hAnsi="Arial"/>
          <w:sz w:val="19"/>
          <w:szCs w:val="19"/>
          <w:color w:val="auto"/>
        </w:rPr>
        <w:t>. The amounts payable pursuant to this Agreement will not be reduced on account of any taxes, unless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by applicable law. If applicable law requires the withholding of taxes on a payment by FibroGen to HFB under this Agreement, then FibroGen will pay the amount of such taxes to the proper governmental authority in a timely manner and will [*]. FibroGen will promptly (as soon as reasonably available) submit to HFB appropriate proof of FibroGen’s payment of the withheld taxes as well as the official receipts in respect thereof. Notwithstanding the foregoing, to the extent there is an increase in the applicable rate of withholding tax on any payments by FibroGen to HFB, which increase is solely as a result of a change in form or domicile of FibroGen, FibroGen shall pay HFB an amount so that after any such additional withholding tax has been taken into account (including as a result of any withholding tax imposed on the additional amounts payable pursuant to this sentence), HFB shall have received an amount from FibroGen equal to the payment HFB would have received had no such additional withholding tax applied. If HFB delivers to FibroGen or the appropriate governmental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119" w:lineRule="exact"/>
        <w:rPr>
          <w:sz w:val="20"/>
          <w:szCs w:val="20"/>
          <w:color w:val="auto"/>
        </w:rPr>
      </w:pPr>
    </w:p>
    <w:p>
      <w:pPr>
        <w:ind w:right="220" w:firstLine="8"/>
        <w:spacing w:after="0" w:line="277" w:lineRule="auto"/>
        <w:tabs>
          <w:tab w:leader="none" w:pos="255" w:val="left"/>
        </w:tabs>
        <w:numPr>
          <w:ilvl w:val="0"/>
          <w:numId w:val="167"/>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3" w:name="page144"/>
    <w:bookmarkEnd w:id="143"/>
    <w:p>
      <w:pPr>
        <w:jc w:val="both"/>
        <w:ind w:left="1700"/>
        <w:spacing w:after="0" w:line="246" w:lineRule="auto"/>
        <w:rPr>
          <w:sz w:val="20"/>
          <w:szCs w:val="20"/>
          <w:color w:val="auto"/>
        </w:rPr>
      </w:pPr>
      <w:r>
        <w:rPr>
          <w:rFonts w:ascii="Arial" w:cs="Arial" w:eastAsia="Arial" w:hAnsi="Arial"/>
          <w:sz w:val="20"/>
          <w:szCs w:val="20"/>
          <w:color w:val="auto"/>
        </w:rPr>
        <w:t xml:space="preserve">authority in the applicable jurisdiction the prescribed forms necessary to reduce the applicable rate of withholding or to relieve FibroGen of its obligation to withhold taxes, FibroGen will [*], as the case may be,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FibroGen is in receipt of evidence, in a form reasonably satisfactory to FibroGen (</w:t>
      </w:r>
      <w:r>
        <w:rPr>
          <w:rFonts w:ascii="Arial" w:cs="Arial" w:eastAsia="Arial" w:hAnsi="Arial"/>
          <w:sz w:val="20"/>
          <w:szCs w:val="20"/>
          <w:i w:val="1"/>
          <w:iCs w:val="1"/>
          <w:color w:val="auto"/>
        </w:rPr>
        <w:t>e.g.</w:t>
      </w:r>
      <w:r>
        <w:rPr>
          <w:rFonts w:ascii="Arial" w:cs="Arial" w:eastAsia="Arial" w:hAnsi="Arial"/>
          <w:sz w:val="20"/>
          <w:szCs w:val="20"/>
          <w:color w:val="auto"/>
        </w:rPr>
        <w:t>, HFB’s delivery of all applicable documentation) prior to the time that the applicable payments are due.</w:t>
      </w:r>
    </w:p>
    <w:p>
      <w:pPr>
        <w:spacing w:after="0" w:line="172" w:lineRule="exact"/>
        <w:rPr>
          <w:sz w:val="20"/>
          <w:szCs w:val="20"/>
          <w:color w:val="auto"/>
        </w:rPr>
      </w:pPr>
    </w:p>
    <w:p>
      <w:pPr>
        <w:jc w:val="both"/>
        <w:ind w:left="1700" w:hanging="842"/>
        <w:spacing w:after="0" w:line="270" w:lineRule="auto"/>
        <w:tabs>
          <w:tab w:leader="none" w:pos="1700" w:val="left"/>
        </w:tabs>
        <w:numPr>
          <w:ilvl w:val="0"/>
          <w:numId w:val="168"/>
        </w:numPr>
        <w:rPr>
          <w:rFonts w:ascii="Arial" w:cs="Arial" w:eastAsia="Arial" w:hAnsi="Arial"/>
          <w:sz w:val="18"/>
          <w:szCs w:val="18"/>
          <w:color w:val="010000"/>
        </w:rPr>
      </w:pPr>
      <w:r>
        <w:rPr>
          <w:rFonts w:ascii="Arial" w:cs="Arial" w:eastAsia="Arial" w:hAnsi="Arial"/>
          <w:sz w:val="18"/>
          <w:szCs w:val="18"/>
          <w:b w:val="1"/>
          <w:bCs w:val="1"/>
          <w:color w:val="auto"/>
        </w:rPr>
        <w:t>Tax Cooperation</w:t>
      </w:r>
      <w:r>
        <w:rPr>
          <w:rFonts w:ascii="Arial" w:cs="Arial" w:eastAsia="Arial" w:hAnsi="Arial"/>
          <w:sz w:val="18"/>
          <w:szCs w:val="18"/>
          <w:color w:val="auto"/>
        </w:rPr>
        <w:t>. The Parties shall cooperate and exercise their reasonable best efforts to ensure that any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taxes imposed on payments to HFB are reduced as far as possible under the provisions of any applicable law (including any applicable income tax treaty). If withholding of tax is required from any payment, both parties shall use reasonable efforts to provide sufficient time for the Parties to review the applicable law and establish any available reduction or exemption from such withholding. For purposes of properly determining its withholding tax obligations (if any) in respect of payments to HFB based on sales (such as royalties), FibroGen covenants to maintain records, available for HFB’s review, that support the apportionment of such payments to U.S. sources or non-U.S. sources, as determined for U.S. federal income tax purposes, and as otherwise may be required under the income sourcing rules of other jurisdictions that may impose withholding obligations in respect of such payments. Each Party will cooperate and exercise their reasonable best efforts to enable the recovery, as permitted by applicable law, of withholding taxes, VAT, or similar tax obligations that were paid in respect of payments made under this Agreement, such recovery to be for the benefit of the Party that bore the economic burden of such withholding tax or VAT. Furthermore, the Parties shall reasonably cooperate and provide each other with such forms and information as reasonably may be needed to comply with any applicable tax reporting obligations.</w:t>
      </w:r>
    </w:p>
    <w:p>
      <w:pPr>
        <w:spacing w:after="0" w:line="155" w:lineRule="exact"/>
        <w:rPr>
          <w:rFonts w:ascii="Arial" w:cs="Arial" w:eastAsia="Arial" w:hAnsi="Arial"/>
          <w:sz w:val="18"/>
          <w:szCs w:val="18"/>
          <w:color w:val="010000"/>
        </w:rPr>
      </w:pPr>
    </w:p>
    <w:p>
      <w:pPr>
        <w:jc w:val="both"/>
        <w:ind w:left="1700" w:hanging="842"/>
        <w:spacing w:after="0" w:line="248" w:lineRule="auto"/>
        <w:tabs>
          <w:tab w:leader="none" w:pos="1700" w:val="left"/>
        </w:tabs>
        <w:numPr>
          <w:ilvl w:val="0"/>
          <w:numId w:val="168"/>
        </w:numPr>
        <w:rPr>
          <w:rFonts w:ascii="Arial" w:cs="Arial" w:eastAsia="Arial" w:hAnsi="Arial"/>
          <w:sz w:val="20"/>
          <w:szCs w:val="20"/>
          <w:color w:val="010000"/>
        </w:rPr>
      </w:pPr>
      <w:r>
        <w:rPr>
          <w:rFonts w:ascii="Arial" w:cs="Arial" w:eastAsia="Arial" w:hAnsi="Arial"/>
          <w:sz w:val="20"/>
          <w:szCs w:val="20"/>
          <w:b w:val="1"/>
          <w:bCs w:val="1"/>
          <w:color w:val="auto"/>
        </w:rPr>
        <w:t xml:space="preserve">Certain U.S. Tax Matters. </w:t>
      </w:r>
      <w:r>
        <w:rPr>
          <w:rFonts w:ascii="Arial" w:cs="Arial" w:eastAsia="Arial" w:hAnsi="Arial"/>
          <w:sz w:val="20"/>
          <w:szCs w:val="20"/>
          <w:color w:val="auto"/>
        </w:rPr>
        <w:t>The Parties intend that, for U.S. federal income tax purposes, the license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the rights transferred upon exercise of the options under this Agreement) represent a sale of intellectual property (i.e., a transfer of all substantial rights in respect of intellectual property as determined for U.S. federal income tax purposes). [*]</w:t>
      </w:r>
    </w:p>
    <w:p>
      <w:pPr>
        <w:spacing w:after="0" w:line="169" w:lineRule="exact"/>
        <w:rPr>
          <w:rFonts w:ascii="Arial" w:cs="Arial" w:eastAsia="Arial" w:hAnsi="Arial"/>
          <w:sz w:val="20"/>
          <w:szCs w:val="20"/>
          <w:color w:val="010000"/>
        </w:rPr>
      </w:pPr>
    </w:p>
    <w:p>
      <w:pPr>
        <w:jc w:val="both"/>
        <w:ind w:left="1700" w:hanging="842"/>
        <w:spacing w:after="0" w:line="272" w:lineRule="auto"/>
        <w:tabs>
          <w:tab w:leader="none" w:pos="1700" w:val="left"/>
        </w:tabs>
        <w:numPr>
          <w:ilvl w:val="0"/>
          <w:numId w:val="168"/>
        </w:numPr>
        <w:rPr>
          <w:rFonts w:ascii="Arial" w:cs="Arial" w:eastAsia="Arial" w:hAnsi="Arial"/>
          <w:sz w:val="18"/>
          <w:szCs w:val="18"/>
          <w:color w:val="010000"/>
        </w:rPr>
      </w:pPr>
      <w:r>
        <w:rPr>
          <w:rFonts w:ascii="Arial" w:cs="Arial" w:eastAsia="Arial" w:hAnsi="Arial"/>
          <w:sz w:val="18"/>
          <w:szCs w:val="18"/>
          <w:b w:val="1"/>
          <w:bCs w:val="1"/>
          <w:color w:val="auto"/>
        </w:rPr>
        <w:t>VAT</w:t>
      </w:r>
      <w:r>
        <w:rPr>
          <w:rFonts w:ascii="Arial" w:cs="Arial" w:eastAsia="Arial" w:hAnsi="Arial"/>
          <w:sz w:val="18"/>
          <w:szCs w:val="18"/>
          <w:color w:val="auto"/>
        </w:rPr>
        <w:t>. The Parties agree to cooperate with one another and use reasonable efforts to ensure that any value added tax,</w:t>
      </w:r>
      <w:r>
        <w:rPr>
          <w:rFonts w:ascii="Arial" w:cs="Arial" w:eastAsia="Arial" w:hAnsi="Arial"/>
          <w:sz w:val="18"/>
          <w:szCs w:val="18"/>
          <w:b w:val="1"/>
          <w:bCs w:val="1"/>
          <w:color w:val="auto"/>
        </w:rPr>
        <w:t xml:space="preserve"> </w:t>
      </w:r>
      <w:r>
        <w:rPr>
          <w:rFonts w:ascii="Arial" w:cs="Arial" w:eastAsia="Arial" w:hAnsi="Arial"/>
          <w:sz w:val="18"/>
          <w:szCs w:val="18"/>
          <w:color w:val="auto"/>
        </w:rPr>
        <w:t>sales tax or similar payment (“</w:t>
      </w:r>
      <w:r>
        <w:rPr>
          <w:rFonts w:ascii="Arial" w:cs="Arial" w:eastAsia="Arial" w:hAnsi="Arial"/>
          <w:sz w:val="18"/>
          <w:szCs w:val="18"/>
          <w:b w:val="1"/>
          <w:bCs w:val="1"/>
          <w:color w:val="auto"/>
        </w:rPr>
        <w:t>VAT</w:t>
      </w:r>
      <w:r>
        <w:rPr>
          <w:rFonts w:ascii="Arial" w:cs="Arial" w:eastAsia="Arial" w:hAnsi="Arial"/>
          <w:sz w:val="18"/>
          <w:szCs w:val="18"/>
          <w:color w:val="auto"/>
        </w:rPr>
        <w:t>”) (in respect of any payments made by FibroGen to HFB under this Agreement) does not represent an unnecessary cost in respect of payments made under this Agreement, including use of available VAT exemptions, zero-ratings, reduced-ratings, suspensions or other reliefs. All sums payable under this Agreement will be exclusive of VAT. If any VAT is owing in any jurisdiction with respect to any such payment, then FibroGen will pay such VAT and HFB will provide to FibroGen tax invoices showing the amount of VAT in respect of such payment in addition to any amounts otherwise payable by FibroGen under this Agreement. Where the prevailing legislation requires the recipient to self-account for VAT (for example, but not limited to, the reverse charge mechanism), then FibroGen covenants it will correctly account for VAT in respect of the transactions under this Agreement upon which VAT is due. HFB agrees that it will raise a tax invoice (or equivalent document) to support the charge to VAT.</w:t>
      </w:r>
    </w:p>
    <w:p>
      <w:pPr>
        <w:spacing w:after="0" w:line="152"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010000"/>
        </w:rPr>
        <w:t>8.9</w:t>
      </w:r>
      <w:r>
        <w:rPr>
          <w:sz w:val="20"/>
          <w:szCs w:val="20"/>
          <w:color w:val="auto"/>
        </w:rPr>
        <w:tab/>
      </w:r>
      <w:r>
        <w:rPr>
          <w:rFonts w:ascii="Arial" w:cs="Arial" w:eastAsia="Arial" w:hAnsi="Arial"/>
          <w:sz w:val="20"/>
          <w:szCs w:val="20"/>
          <w:b w:val="1"/>
          <w:bCs w:val="1"/>
          <w:color w:val="auto"/>
        </w:rPr>
        <w:t>Late Payments</w:t>
      </w:r>
      <w:r>
        <w:rPr>
          <w:rFonts w:ascii="Arial" w:cs="Arial" w:eastAsia="Arial" w:hAnsi="Arial"/>
          <w:sz w:val="20"/>
          <w:szCs w:val="20"/>
          <w:color w:val="auto"/>
        </w:rPr>
        <w:t>. Any payments or portions thereof due hereunder that are not paid on the date such payments are due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will bear interest at a rate equal to the lesser of: (a) [*] in which such payments are overdue; or (b) the maximum rate permitted by applicable law; [*].</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119" w:lineRule="exact"/>
        <w:rPr>
          <w:sz w:val="20"/>
          <w:szCs w:val="20"/>
          <w:color w:val="auto"/>
        </w:rPr>
      </w:pPr>
    </w:p>
    <w:p>
      <w:pPr>
        <w:ind w:right="220" w:firstLine="8"/>
        <w:spacing w:after="0" w:line="277" w:lineRule="auto"/>
        <w:tabs>
          <w:tab w:leader="none" w:pos="255" w:val="left"/>
        </w:tabs>
        <w:numPr>
          <w:ilvl w:val="0"/>
          <w:numId w:val="169"/>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4" w:name="page145"/>
    <w:bookmarkEnd w:id="144"/>
    <w:p>
      <w:pPr>
        <w:jc w:val="both"/>
        <w:ind w:left="860" w:hanging="849"/>
        <w:spacing w:after="0" w:line="253" w:lineRule="auto"/>
        <w:tabs>
          <w:tab w:leader="none" w:pos="840" w:val="left"/>
        </w:tabs>
        <w:rPr>
          <w:sz w:val="20"/>
          <w:szCs w:val="20"/>
          <w:color w:val="auto"/>
        </w:rPr>
      </w:pPr>
      <w:r>
        <w:rPr>
          <w:rFonts w:ascii="Arial" w:cs="Arial" w:eastAsia="Arial" w:hAnsi="Arial"/>
          <w:sz w:val="20"/>
          <w:szCs w:val="20"/>
          <w:color w:val="010000"/>
        </w:rPr>
        <w:t>8.10</w:t>
      </w:r>
      <w:r>
        <w:rPr>
          <w:sz w:val="20"/>
          <w:szCs w:val="20"/>
          <w:color w:val="auto"/>
        </w:rPr>
        <w:tab/>
      </w:r>
      <w:r>
        <w:rPr>
          <w:rFonts w:ascii="Arial" w:cs="Arial" w:eastAsia="Arial" w:hAnsi="Arial"/>
          <w:sz w:val="20"/>
          <w:szCs w:val="20"/>
          <w:b w:val="1"/>
          <w:bCs w:val="1"/>
          <w:color w:val="auto"/>
        </w:rPr>
        <w:t>No Other Compensation</w:t>
      </w:r>
      <w:r>
        <w:rPr>
          <w:rFonts w:ascii="Arial" w:cs="Arial" w:eastAsia="Arial" w:hAnsi="Arial"/>
          <w:sz w:val="20"/>
          <w:szCs w:val="20"/>
          <w:color w:val="auto"/>
        </w:rPr>
        <w:t>. Other than as explicitly set forth (and as applicable) in this Agreement, neither FibroGen nor any of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will be obligated to pay any additional fees, milestone payments, royalties or other payments of any kind to or on behalf of HFB or any of its Affiliates under this Agreement.</w:t>
      </w:r>
    </w:p>
    <w:p>
      <w:pPr>
        <w:spacing w:after="0" w:line="164"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010000"/>
        </w:rPr>
        <w:t>8.11</w:t>
      </w:r>
      <w:r>
        <w:rPr>
          <w:sz w:val="20"/>
          <w:szCs w:val="20"/>
          <w:color w:val="auto"/>
        </w:rPr>
        <w:tab/>
      </w:r>
      <w:r>
        <w:rPr>
          <w:rFonts w:ascii="Arial" w:cs="Arial" w:eastAsia="Arial" w:hAnsi="Arial"/>
          <w:sz w:val="20"/>
          <w:szCs w:val="20"/>
          <w:b w:val="1"/>
          <w:bCs w:val="1"/>
          <w:color w:val="auto"/>
        </w:rPr>
        <w:t>Other Amounts Payable</w:t>
      </w:r>
      <w:r>
        <w:rPr>
          <w:rFonts w:ascii="Arial" w:cs="Arial" w:eastAsia="Arial" w:hAnsi="Arial"/>
          <w:sz w:val="20"/>
          <w:szCs w:val="20"/>
          <w:color w:val="auto"/>
        </w:rPr>
        <w:t>. With respect to any amounts owed under this Agreement by a Party to the other Party for which no</w:t>
      </w:r>
      <w:r>
        <w:rPr>
          <w:rFonts w:ascii="Arial" w:cs="Arial" w:eastAsia="Arial" w:hAnsi="Arial"/>
          <w:sz w:val="20"/>
          <w:szCs w:val="20"/>
          <w:b w:val="1"/>
          <w:bCs w:val="1"/>
          <w:color w:val="auto"/>
        </w:rPr>
        <w:t xml:space="preserve"> </w:t>
      </w:r>
      <w:r>
        <w:rPr>
          <w:rFonts w:ascii="Arial" w:cs="Arial" w:eastAsia="Arial" w:hAnsi="Arial"/>
          <w:sz w:val="20"/>
          <w:szCs w:val="20"/>
          <w:color w:val="auto"/>
        </w:rPr>
        <w:t>other invoicing and payment procedure is specified in this Agreement, the payee Party will provide an invoice, together with reasonable supporting documentation, to the paying Party for such amounts owed. The paying Party will pay any undisputed amounts no later [*] after receipt of the invoice, and will pay any disputed amounts owed by the paying Party no later than [*] after resolution of the dispute.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w:t>
      </w:r>
    </w:p>
    <w:p>
      <w:pPr>
        <w:spacing w:after="0" w:line="87"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b w:val="1"/>
          <w:bCs w:val="1"/>
          <w:color w:val="auto"/>
        </w:rPr>
        <w:t>Background Technology</w:t>
      </w:r>
      <w:r>
        <w:rPr>
          <w:rFonts w:ascii="Arial" w:cs="Arial" w:eastAsia="Arial" w:hAnsi="Arial"/>
          <w:sz w:val="20"/>
          <w:szCs w:val="20"/>
          <w:color w:val="auto"/>
        </w:rPr>
        <w:t>. As between the Parties, (a) HFB will retain all rights, title, and interest in and to any Patent</w:t>
      </w:r>
      <w:r>
        <w:rPr>
          <w:rFonts w:ascii="Arial" w:cs="Arial" w:eastAsia="Arial" w:hAnsi="Arial"/>
          <w:sz w:val="19"/>
          <w:szCs w:val="19"/>
          <w:b w:val="1"/>
          <w:bCs w:val="1"/>
          <w:color w:val="auto"/>
        </w:rPr>
        <w:t xml:space="preserve"> </w:t>
      </w:r>
      <w:r>
        <w:rPr>
          <w:rFonts w:ascii="Arial" w:cs="Arial" w:eastAsia="Arial" w:hAnsi="Arial"/>
          <w:sz w:val="20"/>
          <w:szCs w:val="20"/>
          <w:color w:val="auto"/>
        </w:rPr>
        <w:t>Rights, Know-How, and other intellectual property rights owned or Controlled by HFB or any of its Affiliates as of the Effective Date or generated or obtained by or on behalf of HFB or any of its Affiliates during the Term outside of the scope of performance of activities under this Agreement (the “</w:t>
      </w:r>
      <w:r>
        <w:rPr>
          <w:rFonts w:ascii="Arial" w:cs="Arial" w:eastAsia="Arial" w:hAnsi="Arial"/>
          <w:sz w:val="20"/>
          <w:szCs w:val="20"/>
          <w:b w:val="1"/>
          <w:bCs w:val="1"/>
          <w:color w:val="auto"/>
        </w:rPr>
        <w:t>HFB Background Technology</w:t>
      </w:r>
      <w:r>
        <w:rPr>
          <w:rFonts w:ascii="Arial" w:cs="Arial" w:eastAsia="Arial" w:hAnsi="Arial"/>
          <w:sz w:val="20"/>
          <w:szCs w:val="20"/>
          <w:color w:val="auto"/>
        </w:rPr>
        <w:t>”), and (b) FibroGen will retain all rights, title, and interest in and to any Patent Rights, Know-How, and other intellectual property rights owned or Controlled by FibroGen or any of its Affiliates as of the Effective Date or generated or obtained by or on behalf of FibroGen or any of its Affiliates during the Term outside of the scope of performance of activities under this Agreement (the “</w:t>
      </w:r>
      <w:r>
        <w:rPr>
          <w:rFonts w:ascii="Arial" w:cs="Arial" w:eastAsia="Arial" w:hAnsi="Arial"/>
          <w:sz w:val="20"/>
          <w:szCs w:val="20"/>
          <w:b w:val="1"/>
          <w:bCs w:val="1"/>
          <w:color w:val="auto"/>
        </w:rPr>
        <w:t>FibroGen Background Technology</w:t>
      </w:r>
      <w:r>
        <w:rPr>
          <w:rFonts w:ascii="Arial" w:cs="Arial" w:eastAsia="Arial" w:hAnsi="Arial"/>
          <w:sz w:val="20"/>
          <w:szCs w:val="20"/>
          <w:color w:val="auto"/>
        </w:rPr>
        <w:t>”). Other than as set forth in Sections 9.3(e) (Licensed Patent Rights) and 9.5 (Enforcement), each Party has the sole right, responsibility, and discretion to file, prosecute (including the defense of any oppositions, interferences, reissue proceedings, re-examinations, and other post-grant proceedings originating in a patent office), maintain, and enforce all of their background Patent Rights as follows: (i) FibroGen shall control the Patent Rights within the FibroGen Background Technology, [*] and (ii) HFB shall control Patent Rights within the HFB Background Technology, including HFB Screening Patent Rights, [*].</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9.2</w:t>
      </w:r>
      <w:r>
        <w:rPr>
          <w:sz w:val="20"/>
          <w:szCs w:val="20"/>
          <w:color w:val="auto"/>
        </w:rPr>
        <w:tab/>
      </w:r>
      <w:r>
        <w:rPr>
          <w:rFonts w:ascii="Arial" w:cs="Arial" w:eastAsia="Arial" w:hAnsi="Arial"/>
          <w:sz w:val="17"/>
          <w:szCs w:val="17"/>
          <w:b w:val="1"/>
          <w:bCs w:val="1"/>
          <w:color w:val="auto"/>
        </w:rPr>
        <w:t>Ownership</w:t>
      </w:r>
      <w:r>
        <w:rPr>
          <w:rFonts w:ascii="Arial" w:cs="Arial" w:eastAsia="Arial" w:hAnsi="Arial"/>
          <w:sz w:val="18"/>
          <w:szCs w:val="18"/>
          <w:color w:val="auto"/>
        </w:rPr>
        <w:t>.</w:t>
      </w:r>
    </w:p>
    <w:p>
      <w:pPr>
        <w:spacing w:after="0" w:line="214" w:lineRule="exact"/>
        <w:rPr>
          <w:sz w:val="20"/>
          <w:szCs w:val="20"/>
          <w:color w:val="auto"/>
        </w:rPr>
      </w:pPr>
    </w:p>
    <w:p>
      <w:pPr>
        <w:ind w:left="1700" w:hanging="842"/>
        <w:spacing w:after="0"/>
        <w:tabs>
          <w:tab w:leader="none" w:pos="1700" w:val="left"/>
        </w:tabs>
        <w:numPr>
          <w:ilvl w:val="0"/>
          <w:numId w:val="170"/>
        </w:numPr>
        <w:rPr>
          <w:rFonts w:ascii="Arial" w:cs="Arial" w:eastAsia="Arial" w:hAnsi="Arial"/>
          <w:sz w:val="20"/>
          <w:szCs w:val="20"/>
          <w:color w:val="010000"/>
        </w:rPr>
      </w:pPr>
      <w:r>
        <w:rPr>
          <w:rFonts w:ascii="Arial" w:cs="Arial" w:eastAsia="Arial" w:hAnsi="Arial"/>
          <w:sz w:val="20"/>
          <w:szCs w:val="20"/>
          <w:b w:val="1"/>
          <w:bCs w:val="1"/>
          <w:color w:val="auto"/>
        </w:rPr>
        <w:t>Arising Technology</w:t>
      </w:r>
      <w:r>
        <w:rPr>
          <w:rFonts w:ascii="Arial" w:cs="Arial" w:eastAsia="Arial" w:hAnsi="Arial"/>
          <w:sz w:val="20"/>
          <w:szCs w:val="20"/>
          <w:color w:val="auto"/>
        </w:rPr>
        <w:t>.</w:t>
      </w:r>
    </w:p>
    <w:p>
      <w:pPr>
        <w:spacing w:after="0" w:line="113" w:lineRule="exact"/>
        <w:rPr>
          <w:rFonts w:ascii="Arial" w:cs="Arial" w:eastAsia="Arial" w:hAnsi="Arial"/>
          <w:sz w:val="20"/>
          <w:szCs w:val="20"/>
          <w:color w:val="010000"/>
        </w:rPr>
      </w:pPr>
    </w:p>
    <w:p>
      <w:pPr>
        <w:jc w:val="both"/>
        <w:ind w:left="2580" w:hanging="858"/>
        <w:spacing w:after="0" w:line="257" w:lineRule="auto"/>
        <w:tabs>
          <w:tab w:leader="none" w:pos="2580" w:val="left"/>
        </w:tabs>
        <w:numPr>
          <w:ilvl w:val="1"/>
          <w:numId w:val="170"/>
        </w:numPr>
        <w:rPr>
          <w:rFonts w:ascii="Arial" w:cs="Arial" w:eastAsia="Arial" w:hAnsi="Arial"/>
          <w:sz w:val="19"/>
          <w:szCs w:val="19"/>
          <w:color w:val="010000"/>
        </w:rPr>
      </w:pPr>
      <w:r>
        <w:rPr>
          <w:rFonts w:ascii="Arial" w:cs="Arial" w:eastAsia="Arial" w:hAnsi="Arial"/>
          <w:sz w:val="19"/>
          <w:szCs w:val="19"/>
          <w:color w:val="auto"/>
        </w:rPr>
        <w:t>Ownership will follow inventorship for (A) any and all Know-How developed, created, conceived, or reduced to practice during the Term solely by or on behalf of a Party or any of its Affiliates in a Party’s performance of activities under this Agreement with respect to a Licensed Program (“</w:t>
      </w:r>
      <w:r>
        <w:rPr>
          <w:rFonts w:ascii="Arial" w:cs="Arial" w:eastAsia="Arial" w:hAnsi="Arial"/>
          <w:sz w:val="19"/>
          <w:szCs w:val="19"/>
          <w:b w:val="1"/>
          <w:bCs w:val="1"/>
          <w:color w:val="auto"/>
        </w:rPr>
        <w:t>Arising Know-How</w:t>
      </w:r>
      <w:r>
        <w:rPr>
          <w:rFonts w:ascii="Arial" w:cs="Arial" w:eastAsia="Arial" w:hAnsi="Arial"/>
          <w:sz w:val="19"/>
          <w:szCs w:val="19"/>
          <w:color w:val="auto"/>
        </w:rPr>
        <w:t>”) and (B) any Patent Right claiming, in whole or in part, any such Know-How described in clause (A) (the “</w:t>
      </w:r>
      <w:r>
        <w:rPr>
          <w:rFonts w:ascii="Arial" w:cs="Arial" w:eastAsia="Arial" w:hAnsi="Arial"/>
          <w:sz w:val="19"/>
          <w:szCs w:val="19"/>
          <w:b w:val="1"/>
          <w:bCs w:val="1"/>
          <w:color w:val="auto"/>
        </w:rPr>
        <w:t>Arising Patent Rights</w:t>
      </w:r>
      <w:r>
        <w:rPr>
          <w:rFonts w:ascii="Arial" w:cs="Arial" w:eastAsia="Arial" w:hAnsi="Arial"/>
          <w:sz w:val="19"/>
          <w:szCs w:val="19"/>
          <w:color w:val="auto"/>
        </w:rPr>
        <w:t>” and the Arising Know-How and Arising Patent Rights, the “</w:t>
      </w:r>
      <w:r>
        <w:rPr>
          <w:rFonts w:ascii="Arial" w:cs="Arial" w:eastAsia="Arial" w:hAnsi="Arial"/>
          <w:sz w:val="19"/>
          <w:szCs w:val="19"/>
          <w:b w:val="1"/>
          <w:bCs w:val="1"/>
          <w:color w:val="auto"/>
        </w:rPr>
        <w:t>Arising Technology</w:t>
      </w:r>
      <w:r>
        <w:rPr>
          <w:rFonts w:ascii="Arial" w:cs="Arial" w:eastAsia="Arial" w:hAnsi="Arial"/>
          <w:sz w:val="19"/>
          <w:szCs w:val="19"/>
          <w:color w:val="auto"/>
        </w:rPr>
        <w:t>”), with inventorship being determined in accordance with United States patent laws (regardless of where the applicable activities occurred). Arising Know-How invented solely by or on behalf of HFB or any of its Affiliates, and all Arising Patent Rights claiming any such Arising</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119" w:lineRule="exact"/>
        <w:rPr>
          <w:sz w:val="20"/>
          <w:szCs w:val="20"/>
          <w:color w:val="auto"/>
        </w:rPr>
      </w:pPr>
    </w:p>
    <w:p>
      <w:pPr>
        <w:ind w:right="220" w:firstLine="8"/>
        <w:spacing w:after="0" w:line="277" w:lineRule="auto"/>
        <w:tabs>
          <w:tab w:leader="none" w:pos="255" w:val="left"/>
        </w:tabs>
        <w:numPr>
          <w:ilvl w:val="0"/>
          <w:numId w:val="171"/>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5" w:name="page146"/>
    <w:bookmarkEnd w:id="145"/>
    <w:p>
      <w:pPr>
        <w:jc w:val="both"/>
        <w:ind w:left="2580"/>
        <w:spacing w:after="0" w:line="243" w:lineRule="auto"/>
        <w:rPr>
          <w:sz w:val="20"/>
          <w:szCs w:val="20"/>
          <w:color w:val="auto"/>
        </w:rPr>
      </w:pPr>
      <w:r>
        <w:rPr>
          <w:rFonts w:ascii="Arial" w:cs="Arial" w:eastAsia="Arial" w:hAnsi="Arial"/>
          <w:sz w:val="20"/>
          <w:szCs w:val="20"/>
          <w:color w:val="auto"/>
        </w:rPr>
        <w:t>Know-How (the “</w:t>
      </w:r>
      <w:r>
        <w:rPr>
          <w:rFonts w:ascii="Arial" w:cs="Arial" w:eastAsia="Arial" w:hAnsi="Arial"/>
          <w:sz w:val="20"/>
          <w:szCs w:val="20"/>
          <w:b w:val="1"/>
          <w:bCs w:val="1"/>
          <w:color w:val="auto"/>
        </w:rPr>
        <w:t>HFB Arising Patent Rights</w:t>
      </w:r>
      <w:r>
        <w:rPr>
          <w:rFonts w:ascii="Arial" w:cs="Arial" w:eastAsia="Arial" w:hAnsi="Arial"/>
          <w:sz w:val="20"/>
          <w:szCs w:val="20"/>
          <w:color w:val="auto"/>
        </w:rPr>
        <w:t>”) will be solely owned by HFB or any of its Affiliates (“</w:t>
      </w:r>
      <w:r>
        <w:rPr>
          <w:rFonts w:ascii="Arial" w:cs="Arial" w:eastAsia="Arial" w:hAnsi="Arial"/>
          <w:sz w:val="20"/>
          <w:szCs w:val="20"/>
          <w:b w:val="1"/>
          <w:bCs w:val="1"/>
          <w:color w:val="auto"/>
        </w:rPr>
        <w:t>HFB</w:t>
      </w:r>
      <w:r>
        <w:rPr>
          <w:rFonts w:ascii="Arial" w:cs="Arial" w:eastAsia="Arial" w:hAnsi="Arial"/>
          <w:sz w:val="20"/>
          <w:szCs w:val="20"/>
          <w:color w:val="auto"/>
        </w:rPr>
        <w:t xml:space="preserve"> </w:t>
      </w:r>
      <w:r>
        <w:rPr>
          <w:rFonts w:ascii="Arial" w:cs="Arial" w:eastAsia="Arial" w:hAnsi="Arial"/>
          <w:sz w:val="20"/>
          <w:szCs w:val="20"/>
          <w:b w:val="1"/>
          <w:bCs w:val="1"/>
          <w:color w:val="auto"/>
        </w:rPr>
        <w:t>Arising Technology</w:t>
      </w:r>
      <w:r>
        <w:rPr>
          <w:rFonts w:ascii="Arial" w:cs="Arial" w:eastAsia="Arial" w:hAnsi="Arial"/>
          <w:sz w:val="20"/>
          <w:szCs w:val="20"/>
          <w:color w:val="auto"/>
        </w:rPr>
        <w:t>”). Arising Know-How invented solely by or on behalf of FibroGen or any of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and all Arising Patent Rights claiming, in whole or in part, any such Arising Know-How (the “</w:t>
      </w:r>
      <w:r>
        <w:rPr>
          <w:rFonts w:ascii="Arial" w:cs="Arial" w:eastAsia="Arial" w:hAnsi="Arial"/>
          <w:sz w:val="20"/>
          <w:szCs w:val="20"/>
          <w:b w:val="1"/>
          <w:bCs w:val="1"/>
          <w:color w:val="auto"/>
        </w:rPr>
        <w:t>FibroGen Arising Patent Rights</w:t>
      </w:r>
      <w:r>
        <w:rPr>
          <w:rFonts w:ascii="Arial" w:cs="Arial" w:eastAsia="Arial" w:hAnsi="Arial"/>
          <w:sz w:val="20"/>
          <w:szCs w:val="20"/>
          <w:color w:val="auto"/>
        </w:rPr>
        <w:t>”), [*] will be solely owned by FibroGen or any of its Affiliates (“</w:t>
      </w:r>
      <w:r>
        <w:rPr>
          <w:rFonts w:ascii="Arial" w:cs="Arial" w:eastAsia="Arial" w:hAnsi="Arial"/>
          <w:sz w:val="20"/>
          <w:szCs w:val="20"/>
          <w:b w:val="1"/>
          <w:bCs w:val="1"/>
          <w:color w:val="auto"/>
        </w:rPr>
        <w:t>FibroGen Arising Technology</w:t>
      </w:r>
      <w:r>
        <w:rPr>
          <w:rFonts w:ascii="Arial" w:cs="Arial" w:eastAsia="Arial" w:hAnsi="Arial"/>
          <w:sz w:val="20"/>
          <w:szCs w:val="20"/>
          <w:color w:val="auto"/>
        </w:rPr>
        <w:t>”). Arising Know-How invented jointly by HFB or any of its Affiliates and FibroGen or any of its Affiliates (“</w:t>
      </w:r>
      <w:r>
        <w:rPr>
          <w:rFonts w:ascii="Arial" w:cs="Arial" w:eastAsia="Arial" w:hAnsi="Arial"/>
          <w:sz w:val="20"/>
          <w:szCs w:val="20"/>
          <w:b w:val="1"/>
          <w:bCs w:val="1"/>
          <w:color w:val="auto"/>
        </w:rPr>
        <w:t>Joint Arising Know-How</w:t>
      </w:r>
      <w:r>
        <w:rPr>
          <w:rFonts w:ascii="Arial" w:cs="Arial" w:eastAsia="Arial" w:hAnsi="Arial"/>
          <w:sz w:val="20"/>
          <w:szCs w:val="20"/>
          <w:color w:val="auto"/>
        </w:rPr>
        <w:t>”), and all Arising Patent Rights claiming, in whole or in part, any such Arising Know-How (the “</w:t>
      </w:r>
      <w:r>
        <w:rPr>
          <w:rFonts w:ascii="Arial" w:cs="Arial" w:eastAsia="Arial" w:hAnsi="Arial"/>
          <w:sz w:val="20"/>
          <w:szCs w:val="20"/>
          <w:b w:val="1"/>
          <w:bCs w:val="1"/>
          <w:color w:val="auto"/>
        </w:rPr>
        <w:t>Joint Arising Patent Rights</w:t>
      </w:r>
      <w:r>
        <w:rPr>
          <w:rFonts w:ascii="Arial" w:cs="Arial" w:eastAsia="Arial" w:hAnsi="Arial"/>
          <w:sz w:val="20"/>
          <w:szCs w:val="20"/>
          <w:color w:val="auto"/>
        </w:rPr>
        <w:t>”) will be jointly owned by both Parties (“</w:t>
      </w:r>
      <w:r>
        <w:rPr>
          <w:rFonts w:ascii="Arial" w:cs="Arial" w:eastAsia="Arial" w:hAnsi="Arial"/>
          <w:sz w:val="20"/>
          <w:szCs w:val="20"/>
          <w:b w:val="1"/>
          <w:bCs w:val="1"/>
          <w:color w:val="auto"/>
        </w:rPr>
        <w:t>Joint Arising Technology</w:t>
      </w:r>
      <w:r>
        <w:rPr>
          <w:rFonts w:ascii="Arial" w:cs="Arial" w:eastAsia="Arial" w:hAnsi="Arial"/>
          <w:sz w:val="20"/>
          <w:szCs w:val="20"/>
          <w:color w:val="auto"/>
        </w:rPr>
        <w:t>”).</w:t>
      </w:r>
    </w:p>
    <w:p>
      <w:pPr>
        <w:spacing w:after="0" w:line="87" w:lineRule="exact"/>
        <w:rPr>
          <w:sz w:val="20"/>
          <w:szCs w:val="20"/>
          <w:color w:val="auto"/>
        </w:rPr>
      </w:pPr>
    </w:p>
    <w:p>
      <w:pPr>
        <w:ind w:left="2580" w:hanging="858"/>
        <w:spacing w:after="0"/>
        <w:tabs>
          <w:tab w:leader="none" w:pos="2580" w:val="left"/>
        </w:tabs>
        <w:numPr>
          <w:ilvl w:val="1"/>
          <w:numId w:val="172"/>
        </w:numPr>
        <w:rPr>
          <w:rFonts w:ascii="Arial" w:cs="Arial" w:eastAsia="Arial" w:hAnsi="Arial"/>
          <w:sz w:val="18"/>
          <w:szCs w:val="18"/>
          <w:color w:val="010000"/>
        </w:rPr>
      </w:pPr>
      <w:r>
        <w:rPr>
          <w:rFonts w:ascii="Arial" w:cs="Arial" w:eastAsia="Arial" w:hAnsi="Arial"/>
          <w:sz w:val="18"/>
          <w:szCs w:val="18"/>
          <w:color w:val="auto"/>
        </w:rPr>
        <w:t>HFB will promptly disclose to FibroGen any (A) HFB Arising Technology that is Licensed Technology or</w:t>
      </w:r>
    </w:p>
    <w:p>
      <w:pPr>
        <w:spacing w:after="0" w:line="38" w:lineRule="exact"/>
        <w:rPr>
          <w:rFonts w:ascii="Arial" w:cs="Arial" w:eastAsia="Arial" w:hAnsi="Arial"/>
          <w:sz w:val="18"/>
          <w:szCs w:val="18"/>
          <w:color w:val="010000"/>
        </w:rPr>
      </w:pPr>
    </w:p>
    <w:p>
      <w:pPr>
        <w:jc w:val="both"/>
        <w:ind w:left="2580" w:hanging="7"/>
        <w:spacing w:after="0" w:line="257" w:lineRule="auto"/>
        <w:tabs>
          <w:tab w:leader="none" w:pos="2908" w:val="left"/>
        </w:tabs>
        <w:numPr>
          <w:ilvl w:val="2"/>
          <w:numId w:val="172"/>
        </w:numPr>
        <w:rPr>
          <w:rFonts w:ascii="Arial" w:cs="Arial" w:eastAsia="Arial" w:hAnsi="Arial"/>
          <w:sz w:val="19"/>
          <w:szCs w:val="19"/>
          <w:color w:val="auto"/>
        </w:rPr>
      </w:pPr>
      <w:r>
        <w:rPr>
          <w:rFonts w:ascii="Arial" w:cs="Arial" w:eastAsia="Arial" w:hAnsi="Arial"/>
          <w:sz w:val="19"/>
          <w:szCs w:val="19"/>
          <w:color w:val="auto"/>
        </w:rPr>
        <w:t>Joint Arising Technology, as applicable, developed, created, conceived, or reduced to practice by or on behalf of HFB or any of its Affiliates during the Term. FibroGen will promptly disclose to HFB any FibroGen Arising Technology or Joint Arising Technology, as applicable, developed, created, conceived, or reduced to practice by or on behalf of FibroGen or any of its Affiliates during the Term.</w:t>
      </w:r>
    </w:p>
    <w:p>
      <w:pPr>
        <w:spacing w:after="0" w:line="168" w:lineRule="exact"/>
        <w:rPr>
          <w:rFonts w:ascii="Arial" w:cs="Arial" w:eastAsia="Arial" w:hAnsi="Arial"/>
          <w:sz w:val="19"/>
          <w:szCs w:val="19"/>
          <w:color w:val="auto"/>
        </w:rPr>
      </w:pPr>
    </w:p>
    <w:p>
      <w:pPr>
        <w:jc w:val="both"/>
        <w:ind w:left="2580" w:hanging="858"/>
        <w:spacing w:after="0" w:line="255" w:lineRule="auto"/>
        <w:tabs>
          <w:tab w:leader="none" w:pos="2580" w:val="left"/>
        </w:tabs>
        <w:numPr>
          <w:ilvl w:val="1"/>
          <w:numId w:val="172"/>
        </w:numPr>
        <w:rPr>
          <w:rFonts w:ascii="Arial" w:cs="Arial" w:eastAsia="Arial" w:hAnsi="Arial"/>
          <w:sz w:val="19"/>
          <w:szCs w:val="19"/>
          <w:color w:val="010000"/>
        </w:rPr>
      </w:pPr>
      <w:r>
        <w:rPr>
          <w:rFonts w:ascii="Arial" w:cs="Arial" w:eastAsia="Arial" w:hAnsi="Arial"/>
          <w:sz w:val="19"/>
          <w:szCs w:val="19"/>
          <w:color w:val="auto"/>
        </w:rPr>
        <w:t>Each Party will have an undivided one-half (1/2) interest in and to the Joint Arising Technology. Each Party may exercise its ownership rights in and to such Joint Arising Technology, including the right to license and sublicense or otherwise to exploit, transfer, or encumber its ownership interest, without an accounting or obligation to, or consent required from, the other Party, but subject to the licenses hereunder and the other relevant terms and conditions of this Agreement. Each Party hereby [*] is required to effect the foregoing regarding Joint Arising Technology. Each Party, for itself and on behalf of any of its Affiliates, licensees, and Sublicensees, and employees, subcontractors, consultants, and agents of any of the foregoing, hereby assigns (and to the extent such assignment can only be made in the future, hereby agrees to assign), to the other Party (and the other Party hereby accepts such assignment) a joint and undivided interest in and to all Joint Arising Technology.</w:t>
      </w:r>
    </w:p>
    <w:p>
      <w:pPr>
        <w:spacing w:after="0" w:line="81" w:lineRule="exact"/>
        <w:rPr>
          <w:rFonts w:ascii="Arial" w:cs="Arial" w:eastAsia="Arial" w:hAnsi="Arial"/>
          <w:sz w:val="19"/>
          <w:szCs w:val="19"/>
          <w:color w:val="010000"/>
        </w:rPr>
      </w:pPr>
    </w:p>
    <w:p>
      <w:pPr>
        <w:jc w:val="both"/>
        <w:ind w:left="1700" w:hanging="842"/>
        <w:spacing w:after="0" w:line="250" w:lineRule="auto"/>
        <w:tabs>
          <w:tab w:leader="none" w:pos="1700" w:val="left"/>
        </w:tabs>
        <w:numPr>
          <w:ilvl w:val="0"/>
          <w:numId w:val="173"/>
        </w:numPr>
        <w:rPr>
          <w:rFonts w:ascii="Arial" w:cs="Arial" w:eastAsia="Arial" w:hAnsi="Arial"/>
          <w:sz w:val="20"/>
          <w:szCs w:val="20"/>
          <w:color w:val="010000"/>
        </w:rPr>
      </w:pPr>
      <w:r>
        <w:rPr>
          <w:rFonts w:ascii="Arial" w:cs="Arial" w:eastAsia="Arial" w:hAnsi="Arial"/>
          <w:sz w:val="20"/>
          <w:szCs w:val="20"/>
          <w:color w:val="auto"/>
        </w:rPr>
        <w:t>Notwithstanding any provision to the contrary set forth in this Agreement, neither Party may invoke this Agreement as a “joint research agreement” pursuant to the Cooperative Research and Technology Enhancement Act, 35 U.S.C. § 102(c) without the prior written consent of the other Party.</w:t>
      </w:r>
    </w:p>
    <w:p>
      <w:pPr>
        <w:spacing w:after="0" w:line="7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7"/>
          <w:szCs w:val="17"/>
          <w:b w:val="1"/>
          <w:bCs w:val="1"/>
          <w:color w:val="auto"/>
        </w:rPr>
        <w:t>Prosecution, Maintenance &amp; Enforcement</w:t>
      </w:r>
      <w:r>
        <w:rPr>
          <w:rFonts w:ascii="Arial" w:cs="Arial" w:eastAsia="Arial" w:hAnsi="Arial"/>
          <w:sz w:val="18"/>
          <w:szCs w:val="18"/>
          <w:color w:val="auto"/>
        </w:rPr>
        <w:t>.</w:t>
      </w:r>
    </w:p>
    <w:p>
      <w:pPr>
        <w:spacing w:after="0" w:line="214" w:lineRule="exact"/>
        <w:rPr>
          <w:sz w:val="20"/>
          <w:szCs w:val="20"/>
          <w:color w:val="auto"/>
        </w:rPr>
      </w:pPr>
    </w:p>
    <w:p>
      <w:pPr>
        <w:jc w:val="both"/>
        <w:ind w:left="1700" w:hanging="842"/>
        <w:spacing w:after="0" w:line="248" w:lineRule="auto"/>
        <w:tabs>
          <w:tab w:leader="none" w:pos="1700" w:val="left"/>
        </w:tabs>
        <w:numPr>
          <w:ilvl w:val="0"/>
          <w:numId w:val="174"/>
        </w:numPr>
        <w:rPr>
          <w:rFonts w:ascii="Arial" w:cs="Arial" w:eastAsia="Arial" w:hAnsi="Arial"/>
          <w:sz w:val="20"/>
          <w:szCs w:val="20"/>
          <w:color w:val="010000"/>
        </w:rPr>
      </w:pPr>
      <w:r>
        <w:rPr>
          <w:rFonts w:ascii="Arial" w:cs="Arial" w:eastAsia="Arial" w:hAnsi="Arial"/>
          <w:sz w:val="20"/>
          <w:szCs w:val="20"/>
          <w:b w:val="1"/>
          <w:bCs w:val="1"/>
          <w:color w:val="auto"/>
        </w:rPr>
        <w:t>FibroGen Arising Patent Rights</w:t>
      </w:r>
      <w:r>
        <w:rPr>
          <w:rFonts w:ascii="Arial" w:cs="Arial" w:eastAsia="Arial" w:hAnsi="Arial"/>
          <w:sz w:val="20"/>
          <w:szCs w:val="20"/>
          <w:color w:val="auto"/>
        </w:rPr>
        <w:t>. FibroGen will have the sole right, responsibility, and discretion to file, prosecute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defense of any oppositions, interferences, reissue proceedings, re-examinations, and other post-grant proceedings originating in a patent office), and maintain all FibroGen Arising Patent Rights and at its sole cost and expense.</w:t>
      </w:r>
    </w:p>
    <w:p>
      <w:pPr>
        <w:spacing w:after="0" w:line="75" w:lineRule="exact"/>
        <w:rPr>
          <w:rFonts w:ascii="Arial" w:cs="Arial" w:eastAsia="Arial" w:hAnsi="Arial"/>
          <w:sz w:val="20"/>
          <w:szCs w:val="20"/>
          <w:color w:val="010000"/>
        </w:rPr>
      </w:pPr>
    </w:p>
    <w:p>
      <w:pPr>
        <w:jc w:val="both"/>
        <w:ind w:left="1700" w:hanging="842"/>
        <w:spacing w:after="0" w:line="265" w:lineRule="auto"/>
        <w:tabs>
          <w:tab w:leader="none" w:pos="1700" w:val="left"/>
        </w:tabs>
        <w:numPr>
          <w:ilvl w:val="0"/>
          <w:numId w:val="174"/>
        </w:numPr>
        <w:rPr>
          <w:rFonts w:ascii="Arial" w:cs="Arial" w:eastAsia="Arial" w:hAnsi="Arial"/>
          <w:sz w:val="19"/>
          <w:szCs w:val="19"/>
          <w:color w:val="010000"/>
        </w:rPr>
      </w:pPr>
      <w:r>
        <w:rPr>
          <w:rFonts w:ascii="Arial" w:cs="Arial" w:eastAsia="Arial" w:hAnsi="Arial"/>
          <w:sz w:val="19"/>
          <w:szCs w:val="19"/>
          <w:b w:val="1"/>
          <w:bCs w:val="1"/>
          <w:color w:val="auto"/>
        </w:rPr>
        <w:t>HFB Arising Patent Rights</w:t>
      </w:r>
      <w:r>
        <w:rPr>
          <w:rFonts w:ascii="Arial" w:cs="Arial" w:eastAsia="Arial" w:hAnsi="Arial"/>
          <w:sz w:val="19"/>
          <w:szCs w:val="19"/>
          <w:color w:val="auto"/>
        </w:rPr>
        <w:t>. HFB will have the sole right, responsibility and discretion to file, prosecute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defense of any oppositions, interferences, reissue proceedings, re-examinations and other post-grant proceedings originating in a patent office), and maintain all HFB Arising Patent Rights at its sole cost and expense, </w:t>
      </w:r>
      <w:r>
        <w:rPr>
          <w:rFonts w:ascii="Arial" w:cs="Arial" w:eastAsia="Arial" w:hAnsi="Arial"/>
          <w:sz w:val="19"/>
          <w:szCs w:val="19"/>
          <w:i w:val="1"/>
          <w:iCs w:val="1"/>
          <w:color w:val="auto"/>
        </w:rPr>
        <w:t>provided</w:t>
      </w:r>
      <w:r>
        <w:rPr>
          <w:rFonts w:ascii="Arial" w:cs="Arial" w:eastAsia="Arial" w:hAnsi="Arial"/>
          <w:sz w:val="19"/>
          <w:szCs w:val="19"/>
          <w:color w:val="auto"/>
        </w:rPr>
        <w:t>, that (i) any HFB Arising Patent Rights that are Option Patent Rights will be subject to</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119" w:lineRule="exact"/>
        <w:rPr>
          <w:sz w:val="20"/>
          <w:szCs w:val="20"/>
          <w:color w:val="auto"/>
        </w:rPr>
      </w:pPr>
    </w:p>
    <w:p>
      <w:pPr>
        <w:ind w:right="220" w:firstLine="8"/>
        <w:spacing w:after="0" w:line="277" w:lineRule="auto"/>
        <w:tabs>
          <w:tab w:leader="none" w:pos="255" w:val="left"/>
        </w:tabs>
        <w:numPr>
          <w:ilvl w:val="0"/>
          <w:numId w:val="175"/>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6" w:name="page147"/>
    <w:bookmarkEnd w:id="146"/>
    <w:p>
      <w:pPr>
        <w:ind w:left="1700" w:right="20"/>
        <w:spacing w:after="0" w:line="260" w:lineRule="auto"/>
        <w:rPr>
          <w:sz w:val="20"/>
          <w:szCs w:val="20"/>
          <w:color w:val="auto"/>
        </w:rPr>
      </w:pPr>
      <w:r>
        <w:rPr>
          <w:rFonts w:ascii="Arial" w:cs="Arial" w:eastAsia="Arial" w:hAnsi="Arial"/>
          <w:sz w:val="20"/>
          <w:szCs w:val="20"/>
          <w:color w:val="auto"/>
        </w:rPr>
        <w:t>Section 9.3(d) (Option Patent Rights) and any HFB Arising Patent Rights that are Licensed Patent Rights will be subject to Section 9.3(e) (Licensed Patent Rights).</w:t>
      </w:r>
    </w:p>
    <w:p>
      <w:pPr>
        <w:spacing w:after="0" w:line="63" w:lineRule="exact"/>
        <w:rPr>
          <w:sz w:val="20"/>
          <w:szCs w:val="20"/>
          <w:color w:val="auto"/>
        </w:rPr>
      </w:pPr>
    </w:p>
    <w:p>
      <w:pPr>
        <w:jc w:val="both"/>
        <w:ind w:left="1700" w:hanging="842"/>
        <w:spacing w:after="0" w:line="257" w:lineRule="auto"/>
        <w:tabs>
          <w:tab w:leader="none" w:pos="1700" w:val="left"/>
        </w:tabs>
        <w:numPr>
          <w:ilvl w:val="0"/>
          <w:numId w:val="176"/>
        </w:numPr>
        <w:rPr>
          <w:rFonts w:ascii="Arial" w:cs="Arial" w:eastAsia="Arial" w:hAnsi="Arial"/>
          <w:sz w:val="19"/>
          <w:szCs w:val="19"/>
          <w:color w:val="010000"/>
        </w:rPr>
      </w:pPr>
      <w:r>
        <w:rPr>
          <w:rFonts w:ascii="Arial" w:cs="Arial" w:eastAsia="Arial" w:hAnsi="Arial"/>
          <w:sz w:val="19"/>
          <w:szCs w:val="19"/>
          <w:b w:val="1"/>
          <w:bCs w:val="1"/>
          <w:color w:val="auto"/>
        </w:rPr>
        <w:t>Joint Arising Patent Rights</w:t>
      </w:r>
      <w:r>
        <w:rPr>
          <w:rFonts w:ascii="Arial" w:cs="Arial" w:eastAsia="Arial" w:hAnsi="Arial"/>
          <w:sz w:val="19"/>
          <w:szCs w:val="19"/>
          <w:color w:val="auto"/>
        </w:rPr>
        <w:t>. FibroGen will have the first right, responsibility, and discretion to file, prosecute</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the defense of any oppositions, interferences, reissue proceedings, re-examinations, and other post-grant proceedings originating in a patent office), and maintain all Joint Arising Patent Rights, in the Territory using counsel mutually agreed by the Parties (such agreement not to be unreasonably withheld by either Party), which may [*]. The Parties will use good faith efforts to agree on a mutually acceptable strategy and will coordinate with each other for the prosecution and maintenance of all Joint Arising Patent Rights. If FibroGen decides it is no longer interested in the prosecution or maintenance of a particular Joint Arising Patent Right in any country the Territory, or [*], then it will promptly provide written notice to HFB of such decision. HFB may, upon written notice to FibroGen, assume the prosecution and maintenance of such Patent Rights in such country in the Territory.</w:t>
      </w:r>
    </w:p>
    <w:p>
      <w:pPr>
        <w:spacing w:after="0" w:line="162" w:lineRule="exact"/>
        <w:rPr>
          <w:rFonts w:ascii="Arial" w:cs="Arial" w:eastAsia="Arial" w:hAnsi="Arial"/>
          <w:sz w:val="19"/>
          <w:szCs w:val="19"/>
          <w:color w:val="010000"/>
        </w:rPr>
      </w:pPr>
    </w:p>
    <w:p>
      <w:pPr>
        <w:jc w:val="both"/>
        <w:ind w:left="1700" w:hanging="842"/>
        <w:spacing w:after="0" w:line="274" w:lineRule="auto"/>
        <w:tabs>
          <w:tab w:leader="none" w:pos="1700" w:val="left"/>
        </w:tabs>
        <w:numPr>
          <w:ilvl w:val="0"/>
          <w:numId w:val="176"/>
        </w:numPr>
        <w:rPr>
          <w:rFonts w:ascii="Arial" w:cs="Arial" w:eastAsia="Arial" w:hAnsi="Arial"/>
          <w:sz w:val="18"/>
          <w:szCs w:val="18"/>
          <w:color w:val="010000"/>
        </w:rPr>
      </w:pPr>
      <w:r>
        <w:rPr>
          <w:rFonts w:ascii="Arial" w:cs="Arial" w:eastAsia="Arial" w:hAnsi="Arial"/>
          <w:sz w:val="18"/>
          <w:szCs w:val="18"/>
          <w:b w:val="1"/>
          <w:bCs w:val="1"/>
          <w:color w:val="auto"/>
        </w:rPr>
        <w:t>Option Patent Rights</w:t>
      </w:r>
      <w:r>
        <w:rPr>
          <w:rFonts w:ascii="Arial" w:cs="Arial" w:eastAsia="Arial" w:hAnsi="Arial"/>
          <w:sz w:val="18"/>
          <w:szCs w:val="18"/>
          <w:color w:val="auto"/>
        </w:rPr>
        <w:t>. [*], HFB will have the sole right, responsibility and discretion to file, prosecute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defense of any oppositions, interferences, reissue proceedings, re-examinations and other post-grant proceedings originating in a patent office), and maintain all Option Patent Rights [*], </w:t>
      </w:r>
      <w:r>
        <w:rPr>
          <w:rFonts w:ascii="Arial" w:cs="Arial" w:eastAsia="Arial" w:hAnsi="Arial"/>
          <w:sz w:val="18"/>
          <w:szCs w:val="18"/>
          <w:i w:val="1"/>
          <w:iCs w:val="1"/>
          <w:color w:val="auto"/>
        </w:rPr>
        <w:t>provided</w:t>
      </w:r>
      <w:r>
        <w:rPr>
          <w:rFonts w:ascii="Arial" w:cs="Arial" w:eastAsia="Arial" w:hAnsi="Arial"/>
          <w:sz w:val="18"/>
          <w:szCs w:val="18"/>
          <w:color w:val="auto"/>
        </w:rPr>
        <w:t>, that, HFB will provide to FibroGen [*] provided by FibroGen with respect thereto. HFB will provide to FibroGen electronic copies of all submitted filings related to any Option Patent Rights as part of the Option Notice in accordance with Section 2.9(c)(i) (Delivery). For the avoidance of doubt, upon the Option Exercise Date with respect to an Option Program, the Option Patent Rights with respect to such Option Program will automatically become Licensed Patent Rights for all purposes under this Agreement, including without limitation Section 9.3(e) (Licensed Patent Rights).</w:t>
      </w:r>
    </w:p>
    <w:p>
      <w:pPr>
        <w:spacing w:after="0" w:line="53" w:lineRule="exact"/>
        <w:rPr>
          <w:rFonts w:ascii="Arial" w:cs="Arial" w:eastAsia="Arial" w:hAnsi="Arial"/>
          <w:sz w:val="18"/>
          <w:szCs w:val="18"/>
          <w:color w:val="010000"/>
        </w:rPr>
      </w:pPr>
    </w:p>
    <w:p>
      <w:pPr>
        <w:ind w:left="1700" w:hanging="842"/>
        <w:spacing w:after="0"/>
        <w:tabs>
          <w:tab w:leader="none" w:pos="1700" w:val="left"/>
        </w:tabs>
        <w:numPr>
          <w:ilvl w:val="0"/>
          <w:numId w:val="176"/>
        </w:numPr>
        <w:rPr>
          <w:rFonts w:ascii="Arial" w:cs="Arial" w:eastAsia="Arial" w:hAnsi="Arial"/>
          <w:sz w:val="20"/>
          <w:szCs w:val="20"/>
          <w:color w:val="010000"/>
        </w:rPr>
      </w:pPr>
      <w:r>
        <w:rPr>
          <w:rFonts w:ascii="Arial" w:cs="Arial" w:eastAsia="Arial" w:hAnsi="Arial"/>
          <w:sz w:val="20"/>
          <w:szCs w:val="20"/>
          <w:b w:val="1"/>
          <w:bCs w:val="1"/>
          <w:color w:val="auto"/>
        </w:rPr>
        <w:t>Licensed Patent Rights</w:t>
      </w:r>
      <w:r>
        <w:rPr>
          <w:rFonts w:ascii="Arial" w:cs="Arial" w:eastAsia="Arial" w:hAnsi="Arial"/>
          <w:sz w:val="20"/>
          <w:szCs w:val="20"/>
          <w:color w:val="auto"/>
        </w:rPr>
        <w:t>.</w:t>
      </w:r>
    </w:p>
    <w:p>
      <w:pPr>
        <w:spacing w:after="0" w:line="114" w:lineRule="exact"/>
        <w:rPr>
          <w:sz w:val="20"/>
          <w:szCs w:val="20"/>
          <w:color w:val="auto"/>
        </w:rPr>
      </w:pPr>
    </w:p>
    <w:p>
      <w:pPr>
        <w:jc w:val="both"/>
        <w:ind w:left="2580" w:hanging="858"/>
        <w:spacing w:after="0" w:line="260" w:lineRule="auto"/>
        <w:tabs>
          <w:tab w:leader="none" w:pos="2580" w:val="left"/>
        </w:tabs>
        <w:numPr>
          <w:ilvl w:val="0"/>
          <w:numId w:val="177"/>
        </w:numPr>
        <w:rPr>
          <w:rFonts w:ascii="Arial" w:cs="Arial" w:eastAsia="Arial" w:hAnsi="Arial"/>
          <w:sz w:val="19"/>
          <w:szCs w:val="19"/>
          <w:color w:val="010000"/>
        </w:rPr>
      </w:pPr>
      <w:r>
        <w:rPr>
          <w:rFonts w:ascii="Arial" w:cs="Arial" w:eastAsia="Arial" w:hAnsi="Arial"/>
          <w:sz w:val="19"/>
          <w:szCs w:val="19"/>
          <w:color w:val="auto"/>
        </w:rPr>
        <w:t xml:space="preserve">[*] If FibroGen declines to file for, prosecute, or maintain (including defending or prosecuting office actions, prosecutions or interferences) any Licensed Patent Right in the Territory, then it will give HFB reasonable notice thereof and thereafter, HFB may, upon written notice to FibroGen and at HFB’s sole cost, control the filing for, prosecution and maintenance of such Licensed Patent Right in the Territory thereafter in accordance with this Section 9.3(e)(i) (Licensed Technology),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72" w:lineRule="exact"/>
        <w:rPr>
          <w:rFonts w:ascii="Arial" w:cs="Arial" w:eastAsia="Arial" w:hAnsi="Arial"/>
          <w:sz w:val="19"/>
          <w:szCs w:val="19"/>
          <w:color w:val="010000"/>
        </w:rPr>
      </w:pPr>
    </w:p>
    <w:p>
      <w:pPr>
        <w:jc w:val="both"/>
        <w:ind w:left="2580" w:hanging="858"/>
        <w:spacing w:after="0" w:line="271" w:lineRule="auto"/>
        <w:tabs>
          <w:tab w:leader="none" w:pos="2580"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No later than [*], HFB will (A) provide FibroGen, [*], with electronic copies of documents (including file histories and then current dockets) for the applicable Licensed Patent Rights that are in the file maintained by HFB’s in-house or outside patent counsel for such Patent Rights in the Territory or otherwise available to HFB, including any communications, filings and drafts as well as written notice of any pending deadlines or communications for such Licensed Patent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HFB will provide notice of pending deadlines as promptly as possible after the Effective Date so as to ensure adequate time and coordination with respect to such deadlines), and (B) execute and deliver any legal papers reasonably requested by FibroGen to effectuate transfer of control of the filing, prosecution, and maintenance of the Licensed Patent Rights in the Territory. In the event HFB assumes control of the preparation of, filing for, and prosecution and maintenance (including the defense of any oppositions, interferences, reissue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119" w:lineRule="exact"/>
        <w:rPr>
          <w:sz w:val="20"/>
          <w:szCs w:val="20"/>
          <w:color w:val="auto"/>
        </w:rPr>
      </w:pPr>
    </w:p>
    <w:p>
      <w:pPr>
        <w:ind w:right="220" w:firstLine="8"/>
        <w:spacing w:after="0" w:line="277" w:lineRule="auto"/>
        <w:tabs>
          <w:tab w:leader="none" w:pos="255" w:val="left"/>
        </w:tabs>
        <w:numPr>
          <w:ilvl w:val="0"/>
          <w:numId w:val="178"/>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7" w:name="page148"/>
    <w:bookmarkEnd w:id="147"/>
    <w:p>
      <w:pPr>
        <w:jc w:val="both"/>
        <w:ind w:left="2580"/>
        <w:spacing w:after="0" w:line="257" w:lineRule="auto"/>
        <w:rPr>
          <w:sz w:val="20"/>
          <w:szCs w:val="20"/>
          <w:color w:val="auto"/>
        </w:rPr>
      </w:pPr>
      <w:r>
        <w:rPr>
          <w:rFonts w:ascii="Arial" w:cs="Arial" w:eastAsia="Arial" w:hAnsi="Arial"/>
          <w:sz w:val="19"/>
          <w:szCs w:val="19"/>
          <w:color w:val="auto"/>
        </w:rPr>
        <w:t>proceedings, re-examinations and other post-grant proceedings originating in a patent office) in the Territory with respect to any Licensed Patent Rights pursuant to Section 9.3(e)(i) (Licensed Patent Rights), then FibroGen will (1) provide HFB with electronic copies of any relevant communications, filings, drafts, and documents not previously provided to HFB as well as written notice of any pending deadlines or communications applicable thereto (including file histories and then current dockets), and (2) execute and deliver any legal papers reasonably requested by HFB to effectuate transfer of control of the filing, prosecution, and maintenance of such Licensed Patent Rights.</w:t>
      </w:r>
    </w:p>
    <w:p>
      <w:pPr>
        <w:spacing w:after="0" w:line="77" w:lineRule="exact"/>
        <w:rPr>
          <w:sz w:val="20"/>
          <w:szCs w:val="20"/>
          <w:color w:val="auto"/>
        </w:rPr>
      </w:pPr>
    </w:p>
    <w:p>
      <w:pPr>
        <w:jc w:val="both"/>
        <w:ind w:left="2580" w:hanging="858"/>
        <w:spacing w:after="0" w:line="257" w:lineRule="auto"/>
        <w:tabs>
          <w:tab w:leader="none" w:pos="2580" w:val="left"/>
        </w:tabs>
        <w:numPr>
          <w:ilvl w:val="0"/>
          <w:numId w:val="179"/>
        </w:numPr>
        <w:rPr>
          <w:rFonts w:ascii="Arial" w:cs="Arial" w:eastAsia="Arial" w:hAnsi="Arial"/>
          <w:sz w:val="19"/>
          <w:szCs w:val="19"/>
          <w:color w:val="010000"/>
        </w:rPr>
      </w:pPr>
      <w:r>
        <w:rPr>
          <w:rFonts w:ascii="Arial" w:cs="Arial" w:eastAsia="Arial" w:hAnsi="Arial"/>
          <w:sz w:val="19"/>
          <w:szCs w:val="19"/>
          <w:color w:val="auto"/>
        </w:rPr>
        <w:t>Each Party will reasonably cooperate with the other Party in the filing, prosecution, defense, and maintenance of the Licensed Patent Rights. Such cooperation includes promptly executing all documents, requiring inventors to be reasonably available to discuss and review applications and other filings, and requiring inventors, subcontractors, employees and consultants and agents of such Party and any of its Affiliates, and for the prosecuting Party and any of its Affiliates and Sublicensees (with respect to FibroGen), to execute all documents, as reasonable and appropriate so as to enable the prosecution and maintenance of any such Licensed Patent Rights.</w:t>
      </w:r>
    </w:p>
    <w:p>
      <w:pPr>
        <w:spacing w:after="0" w:line="72"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Arial" w:cs="Arial" w:eastAsia="Arial" w:hAnsi="Arial"/>
          <w:sz w:val="20"/>
          <w:szCs w:val="20"/>
          <w:color w:val="010000"/>
        </w:rPr>
        <w:t>9.4</w:t>
      </w:r>
      <w:r>
        <w:rPr>
          <w:sz w:val="20"/>
          <w:szCs w:val="20"/>
          <w:color w:val="auto"/>
        </w:rPr>
        <w:tab/>
      </w:r>
      <w:r>
        <w:rPr>
          <w:rFonts w:ascii="Arial" w:cs="Arial" w:eastAsia="Arial" w:hAnsi="Arial"/>
          <w:sz w:val="19"/>
          <w:szCs w:val="19"/>
          <w:b w:val="1"/>
          <w:bCs w:val="1"/>
          <w:color w:val="auto"/>
        </w:rPr>
        <w:t>Defense and Settlement of Third Party Claims</w:t>
      </w:r>
      <w:r>
        <w:rPr>
          <w:rFonts w:ascii="Arial" w:cs="Arial" w:eastAsia="Arial" w:hAnsi="Arial"/>
          <w:sz w:val="20"/>
          <w:szCs w:val="20"/>
          <w:color w:val="auto"/>
        </w:rPr>
        <w:t>. From and after the Effective Date, if a</w:t>
      </w:r>
      <w:r>
        <w:rPr>
          <w:rFonts w:ascii="Arial" w:cs="Arial" w:eastAsia="Arial" w:hAnsi="Arial"/>
          <w:sz w:val="19"/>
          <w:szCs w:val="19"/>
          <w:b w:val="1"/>
          <w:bCs w:val="1"/>
          <w:color w:val="auto"/>
        </w:rPr>
        <w:t xml:space="preserve"> </w:t>
      </w:r>
      <w:r>
        <w:rPr>
          <w:rFonts w:ascii="Arial" w:cs="Arial" w:eastAsia="Arial" w:hAnsi="Arial"/>
          <w:sz w:val="20"/>
          <w:szCs w:val="20"/>
          <w:color w:val="010000"/>
        </w:rPr>
        <w:t>Third Party</w:t>
      </w:r>
      <w:r>
        <w:rPr>
          <w:rFonts w:ascii="Arial" w:cs="Arial" w:eastAsia="Arial" w:hAnsi="Arial"/>
          <w:sz w:val="19"/>
          <w:szCs w:val="19"/>
          <w:b w:val="1"/>
          <w:bCs w:val="1"/>
          <w:color w:val="auto"/>
        </w:rPr>
        <w:t xml:space="preserve"> </w:t>
      </w:r>
      <w:r>
        <w:rPr>
          <w:rFonts w:ascii="Arial" w:cs="Arial" w:eastAsia="Arial" w:hAnsi="Arial"/>
          <w:sz w:val="20"/>
          <w:szCs w:val="20"/>
          <w:color w:val="auto"/>
        </w:rPr>
        <w:t>asserts that a Patent</w:t>
      </w:r>
      <w:r>
        <w:rPr>
          <w:rFonts w:ascii="Arial" w:cs="Arial" w:eastAsia="Arial" w:hAnsi="Arial"/>
          <w:sz w:val="19"/>
          <w:szCs w:val="19"/>
          <w:b w:val="1"/>
          <w:bCs w:val="1"/>
          <w:color w:val="auto"/>
        </w:rPr>
        <w:t xml:space="preserve"> </w:t>
      </w:r>
      <w:r>
        <w:rPr>
          <w:rFonts w:ascii="Arial" w:cs="Arial" w:eastAsia="Arial" w:hAnsi="Arial"/>
          <w:sz w:val="20"/>
          <w:szCs w:val="20"/>
          <w:color w:val="auto"/>
        </w:rPr>
        <w:t xml:space="preserve">Right or other right owned by it is infringed by the </w:t>
      </w:r>
      <w:r>
        <w:rPr>
          <w:rFonts w:ascii="Arial" w:cs="Arial" w:eastAsia="Arial" w:hAnsi="Arial"/>
          <w:sz w:val="20"/>
          <w:szCs w:val="20"/>
          <w:color w:val="010000"/>
        </w:rPr>
        <w:t>Exploitation</w:t>
      </w:r>
      <w:r>
        <w:rPr>
          <w:rFonts w:ascii="Arial" w:cs="Arial" w:eastAsia="Arial" w:hAnsi="Arial"/>
          <w:sz w:val="20"/>
          <w:szCs w:val="20"/>
          <w:color w:val="auto"/>
        </w:rPr>
        <w:t xml:space="preserve"> of any </w:t>
      </w:r>
      <w:r>
        <w:rPr>
          <w:rFonts w:ascii="Arial" w:cs="Arial" w:eastAsia="Arial" w:hAnsi="Arial"/>
          <w:sz w:val="20"/>
          <w:szCs w:val="20"/>
          <w:color w:val="010000"/>
        </w:rPr>
        <w:t>Licensed Compound</w:t>
      </w:r>
      <w:r>
        <w:rPr>
          <w:rFonts w:ascii="Arial" w:cs="Arial" w:eastAsia="Arial" w:hAnsi="Arial"/>
          <w:sz w:val="20"/>
          <w:szCs w:val="20"/>
          <w:color w:val="auto"/>
        </w:rPr>
        <w:t xml:space="preserve"> or </w:t>
      </w:r>
      <w:r>
        <w:rPr>
          <w:rFonts w:ascii="Arial" w:cs="Arial" w:eastAsia="Arial" w:hAnsi="Arial"/>
          <w:sz w:val="20"/>
          <w:szCs w:val="20"/>
          <w:color w:val="010000"/>
        </w:rPr>
        <w:t>Licensed Product</w:t>
      </w:r>
      <w:r>
        <w:rPr>
          <w:rFonts w:ascii="Arial" w:cs="Arial" w:eastAsia="Arial" w:hAnsi="Arial"/>
          <w:sz w:val="20"/>
          <w:szCs w:val="20"/>
          <w:color w:val="auto"/>
        </w:rPr>
        <w:t xml:space="preserve"> in the </w:t>
      </w:r>
      <w:r>
        <w:rPr>
          <w:rFonts w:ascii="Arial" w:cs="Arial" w:eastAsia="Arial" w:hAnsi="Arial"/>
          <w:sz w:val="20"/>
          <w:szCs w:val="20"/>
          <w:color w:val="010000"/>
        </w:rPr>
        <w:t>Field in the Territory</w:t>
      </w:r>
      <w:r>
        <w:rPr>
          <w:rFonts w:ascii="Arial" w:cs="Arial" w:eastAsia="Arial" w:hAnsi="Arial"/>
          <w:sz w:val="20"/>
          <w:szCs w:val="20"/>
          <w:color w:val="000000"/>
        </w:rPr>
        <w:t>.</w:t>
      </w:r>
      <w:r>
        <w:rPr>
          <w:rFonts w:ascii="Arial" w:cs="Arial" w:eastAsia="Arial" w:hAnsi="Arial"/>
          <w:sz w:val="20"/>
          <w:szCs w:val="20"/>
          <w:color w:val="010000"/>
        </w:rPr>
        <w:t xml:space="preserve"> Each Party will </w:t>
      </w:r>
      <w:r>
        <w:rPr>
          <w:rFonts w:ascii="Arial" w:cs="Arial" w:eastAsia="Arial" w:hAnsi="Arial"/>
          <w:sz w:val="20"/>
          <w:szCs w:val="20"/>
          <w:color w:val="000000"/>
        </w:rPr>
        <w:t>give the other Party prompt written notice of any allegation by any</w:t>
      </w:r>
      <w:r>
        <w:rPr>
          <w:rFonts w:ascii="Arial" w:cs="Arial" w:eastAsia="Arial" w:hAnsi="Arial"/>
          <w:sz w:val="20"/>
          <w:szCs w:val="20"/>
          <w:color w:val="010000"/>
        </w:rPr>
        <w:t xml:space="preserve"> Third Party </w:t>
      </w:r>
      <w:r>
        <w:rPr>
          <w:rFonts w:ascii="Arial" w:cs="Arial" w:eastAsia="Arial" w:hAnsi="Arial"/>
          <w:sz w:val="20"/>
          <w:szCs w:val="20"/>
          <w:color w:val="000000"/>
        </w:rPr>
        <w:t xml:space="preserve">that a Patent Right or other right owned by it is infringed by the </w:t>
      </w:r>
      <w:r>
        <w:rPr>
          <w:rFonts w:ascii="Arial" w:cs="Arial" w:eastAsia="Arial" w:hAnsi="Arial"/>
          <w:sz w:val="20"/>
          <w:szCs w:val="20"/>
          <w:color w:val="010000"/>
        </w:rPr>
        <w:t>Exploitation</w:t>
      </w:r>
      <w:r>
        <w:rPr>
          <w:rFonts w:ascii="Arial" w:cs="Arial" w:eastAsia="Arial" w:hAnsi="Arial"/>
          <w:sz w:val="20"/>
          <w:szCs w:val="20"/>
          <w:color w:val="000000"/>
        </w:rPr>
        <w:t xml:space="preserve"> of any </w:t>
      </w:r>
      <w:r>
        <w:rPr>
          <w:rFonts w:ascii="Arial" w:cs="Arial" w:eastAsia="Arial" w:hAnsi="Arial"/>
          <w:sz w:val="20"/>
          <w:szCs w:val="20"/>
          <w:color w:val="010000"/>
        </w:rPr>
        <w:t>Licensed Compound</w:t>
      </w:r>
      <w:r>
        <w:rPr>
          <w:rFonts w:ascii="Arial" w:cs="Arial" w:eastAsia="Arial" w:hAnsi="Arial"/>
          <w:sz w:val="20"/>
          <w:szCs w:val="20"/>
          <w:color w:val="000000"/>
        </w:rPr>
        <w:t xml:space="preserve"> or </w:t>
      </w:r>
      <w:r>
        <w:rPr>
          <w:rFonts w:ascii="Arial" w:cs="Arial" w:eastAsia="Arial" w:hAnsi="Arial"/>
          <w:sz w:val="20"/>
          <w:szCs w:val="20"/>
          <w:color w:val="010000"/>
        </w:rPr>
        <w:t>Licensed</w:t>
      </w:r>
      <w:r>
        <w:rPr>
          <w:rFonts w:ascii="Arial" w:cs="Arial" w:eastAsia="Arial" w:hAnsi="Arial"/>
          <w:sz w:val="20"/>
          <w:szCs w:val="20"/>
          <w:color w:val="000000"/>
        </w:rPr>
        <w:t xml:space="preserve"> </w:t>
      </w:r>
      <w:r>
        <w:rPr>
          <w:rFonts w:ascii="Arial" w:cs="Arial" w:eastAsia="Arial" w:hAnsi="Arial"/>
          <w:sz w:val="20"/>
          <w:szCs w:val="20"/>
          <w:color w:val="010000"/>
        </w:rPr>
        <w:t>Product in the Territory and then the Parties shall confer</w:t>
      </w:r>
      <w:r>
        <w:rPr>
          <w:rFonts w:ascii="Arial" w:cs="Arial" w:eastAsia="Arial" w:hAnsi="Arial"/>
          <w:sz w:val="20"/>
          <w:szCs w:val="20"/>
          <w:color w:val="000000"/>
        </w:rPr>
        <w:t>.</w:t>
      </w:r>
      <w:r>
        <w:rPr>
          <w:rFonts w:ascii="Arial" w:cs="Arial" w:eastAsia="Arial" w:hAnsi="Arial"/>
          <w:sz w:val="20"/>
          <w:szCs w:val="20"/>
          <w:color w:val="010000"/>
        </w:rPr>
        <w:t xml:space="preserve"> FibroGen will </w:t>
      </w:r>
      <w:r>
        <w:rPr>
          <w:rFonts w:ascii="Arial" w:cs="Arial" w:eastAsia="Arial" w:hAnsi="Arial"/>
          <w:sz w:val="20"/>
          <w:szCs w:val="20"/>
          <w:color w:val="000000"/>
        </w:rPr>
        <w:t>have the first right, but not the obligation, to</w:t>
      </w:r>
      <w:r>
        <w:rPr>
          <w:rFonts w:ascii="Arial" w:cs="Arial" w:eastAsia="Arial" w:hAnsi="Arial"/>
          <w:sz w:val="20"/>
          <w:szCs w:val="20"/>
          <w:color w:val="010000"/>
        </w:rPr>
        <w:t xml:space="preserve"> </w:t>
      </w:r>
      <w:r>
        <w:rPr>
          <w:rFonts w:ascii="Arial" w:cs="Arial" w:eastAsia="Arial" w:hAnsi="Arial"/>
          <w:sz w:val="20"/>
          <w:szCs w:val="20"/>
          <w:color w:val="000000"/>
        </w:rPr>
        <w:t xml:space="preserve">defend against any such assertions at </w:t>
      </w:r>
      <w:r>
        <w:rPr>
          <w:rFonts w:ascii="Arial" w:cs="Arial" w:eastAsia="Arial" w:hAnsi="Arial"/>
          <w:sz w:val="20"/>
          <w:szCs w:val="20"/>
          <w:color w:val="010000"/>
        </w:rPr>
        <w:t>FibroGen’s</w:t>
      </w:r>
      <w:r>
        <w:rPr>
          <w:rFonts w:ascii="Arial" w:cs="Arial" w:eastAsia="Arial" w:hAnsi="Arial"/>
          <w:sz w:val="20"/>
          <w:szCs w:val="20"/>
          <w:color w:val="000000"/>
        </w:rPr>
        <w:t xml:space="preserve"> sole cost or elect to settle such claims </w:t>
      </w:r>
      <w:r>
        <w:rPr>
          <w:rFonts w:ascii="Arial" w:cs="Arial" w:eastAsia="Arial" w:hAnsi="Arial"/>
          <w:sz w:val="20"/>
          <w:szCs w:val="20"/>
          <w:color w:val="010000"/>
        </w:rPr>
        <w:t>(except as set forth below)</w:t>
      </w:r>
      <w:r>
        <w:rPr>
          <w:rFonts w:ascii="Arial" w:cs="Arial" w:eastAsia="Arial" w:hAnsi="Arial"/>
          <w:sz w:val="20"/>
          <w:szCs w:val="20"/>
          <w:color w:val="000000"/>
        </w:rPr>
        <w:t>. FibroGen will promptly inform HFB if it elects not to exercise its first right under this Section 9.4 (Defense and Settlement of Third Party Claims) to defend against such assertion and, following discussion with FibroGen, [*], HFB will have the second right, but not the obligation, to defend against any such assertions at HFB</w:t>
      </w:r>
      <w:r>
        <w:rPr>
          <w:rFonts w:ascii="Arial" w:cs="Arial" w:eastAsia="Arial" w:hAnsi="Arial"/>
          <w:sz w:val="20"/>
          <w:szCs w:val="20"/>
          <w:color w:val="010000"/>
        </w:rPr>
        <w:t>’s</w:t>
      </w:r>
      <w:r>
        <w:rPr>
          <w:rFonts w:ascii="Arial" w:cs="Arial" w:eastAsia="Arial" w:hAnsi="Arial"/>
          <w:sz w:val="20"/>
          <w:szCs w:val="20"/>
          <w:color w:val="000000"/>
        </w:rPr>
        <w:t xml:space="preserve"> sole cost. The other Party and </w:t>
      </w:r>
      <w:r>
        <w:rPr>
          <w:rFonts w:ascii="Arial" w:cs="Arial" w:eastAsia="Arial" w:hAnsi="Arial"/>
          <w:sz w:val="20"/>
          <w:szCs w:val="20"/>
          <w:color w:val="010000"/>
        </w:rPr>
        <w:t>any of its Affiliates will</w:t>
      </w:r>
      <w:r>
        <w:rPr>
          <w:rFonts w:ascii="Arial" w:cs="Arial" w:eastAsia="Arial" w:hAnsi="Arial"/>
          <w:sz w:val="20"/>
          <w:szCs w:val="20"/>
          <w:color w:val="000000"/>
        </w:rPr>
        <w:t xml:space="preserve"> assist </w:t>
      </w:r>
      <w:r>
        <w:rPr>
          <w:rFonts w:ascii="Arial" w:cs="Arial" w:eastAsia="Arial" w:hAnsi="Arial"/>
          <w:sz w:val="20"/>
          <w:szCs w:val="20"/>
          <w:color w:val="010000"/>
        </w:rPr>
        <w:t>the defending Party</w:t>
      </w:r>
      <w:r>
        <w:rPr>
          <w:rFonts w:ascii="Arial" w:cs="Arial" w:eastAsia="Arial" w:hAnsi="Arial"/>
          <w:sz w:val="20"/>
          <w:szCs w:val="20"/>
          <w:color w:val="000000"/>
        </w:rPr>
        <w:t xml:space="preserve"> and cooperate in any such litigation at </w:t>
      </w:r>
      <w:r>
        <w:rPr>
          <w:rFonts w:ascii="Arial" w:cs="Arial" w:eastAsia="Arial" w:hAnsi="Arial"/>
          <w:sz w:val="20"/>
          <w:szCs w:val="20"/>
          <w:color w:val="010000"/>
        </w:rPr>
        <w:t>the defending</w:t>
      </w:r>
      <w:r>
        <w:rPr>
          <w:rFonts w:ascii="Arial" w:cs="Arial" w:eastAsia="Arial" w:hAnsi="Arial"/>
          <w:sz w:val="20"/>
          <w:szCs w:val="20"/>
          <w:color w:val="000000"/>
        </w:rPr>
        <w:t xml:space="preserve"> </w:t>
      </w:r>
      <w:r>
        <w:rPr>
          <w:rFonts w:ascii="Arial" w:cs="Arial" w:eastAsia="Arial" w:hAnsi="Arial"/>
          <w:sz w:val="20"/>
          <w:szCs w:val="20"/>
          <w:color w:val="010000"/>
        </w:rPr>
        <w:t xml:space="preserve">Party’s </w:t>
      </w:r>
      <w:r>
        <w:rPr>
          <w:rFonts w:ascii="Arial" w:cs="Arial" w:eastAsia="Arial" w:hAnsi="Arial"/>
          <w:sz w:val="20"/>
          <w:szCs w:val="20"/>
          <w:color w:val="000000"/>
        </w:rPr>
        <w:t>request.</w:t>
      </w:r>
      <w:r>
        <w:rPr>
          <w:rFonts w:ascii="Arial" w:cs="Arial" w:eastAsia="Arial" w:hAnsi="Arial"/>
          <w:sz w:val="20"/>
          <w:szCs w:val="20"/>
          <w:color w:val="010000"/>
        </w:rPr>
        <w:t xml:space="preserve"> The other Party </w:t>
      </w:r>
      <w:r>
        <w:rPr>
          <w:rFonts w:ascii="Arial" w:cs="Arial" w:eastAsia="Arial" w:hAnsi="Arial"/>
          <w:sz w:val="20"/>
          <w:szCs w:val="20"/>
          <w:color w:val="000000"/>
        </w:rPr>
        <w:t>may join any defense pursuant to this Section 9.4 (Defense and Settlement of Third</w:t>
      </w:r>
      <w:r>
        <w:rPr>
          <w:rFonts w:ascii="Arial" w:cs="Arial" w:eastAsia="Arial" w:hAnsi="Arial"/>
          <w:sz w:val="20"/>
          <w:szCs w:val="20"/>
          <w:color w:val="010000"/>
        </w:rPr>
        <w:t xml:space="preserve"> </w:t>
      </w:r>
      <w:r>
        <w:rPr>
          <w:rFonts w:ascii="Arial" w:cs="Arial" w:eastAsia="Arial" w:hAnsi="Arial"/>
          <w:sz w:val="20"/>
          <w:szCs w:val="20"/>
          <w:color w:val="000000"/>
        </w:rPr>
        <w:t xml:space="preserve">Party Claims), with its own counsel, [*]. </w:t>
      </w:r>
      <w:r>
        <w:rPr>
          <w:rFonts w:ascii="Arial" w:cs="Arial" w:eastAsia="Arial" w:hAnsi="Arial"/>
          <w:sz w:val="20"/>
          <w:szCs w:val="20"/>
          <w:color w:val="010000"/>
        </w:rPr>
        <w:t>The defending Party or any of its Affiliates may</w:t>
      </w:r>
      <w:r>
        <w:rPr>
          <w:rFonts w:ascii="Arial" w:cs="Arial" w:eastAsia="Arial" w:hAnsi="Arial"/>
          <w:sz w:val="20"/>
          <w:szCs w:val="20"/>
          <w:color w:val="000000"/>
        </w:rPr>
        <w:t xml:space="preserve"> settle or consent to the entry of any judgment in any enforcement action </w:t>
      </w:r>
      <w:r>
        <w:rPr>
          <w:rFonts w:ascii="Arial" w:cs="Arial" w:eastAsia="Arial" w:hAnsi="Arial"/>
          <w:sz w:val="20"/>
          <w:szCs w:val="20"/>
          <w:color w:val="010000"/>
        </w:rPr>
        <w:t>hereunder</w:t>
      </w:r>
      <w:r>
        <w:rPr>
          <w:rFonts w:ascii="Arial" w:cs="Arial" w:eastAsia="Arial" w:hAnsi="Arial"/>
          <w:sz w:val="20"/>
          <w:szCs w:val="20"/>
          <w:color w:val="000000"/>
        </w:rPr>
        <w:t xml:space="preserve"> without the other Party</w:t>
      </w:r>
      <w:r>
        <w:rPr>
          <w:rFonts w:ascii="Arial" w:cs="Arial" w:eastAsia="Arial" w:hAnsi="Arial"/>
          <w:sz w:val="20"/>
          <w:szCs w:val="20"/>
          <w:color w:val="010000"/>
        </w:rPr>
        <w:t>’s</w:t>
      </w:r>
      <w:r>
        <w:rPr>
          <w:rFonts w:ascii="Arial" w:cs="Arial" w:eastAsia="Arial" w:hAnsi="Arial"/>
          <w:sz w:val="20"/>
          <w:szCs w:val="20"/>
          <w:color w:val="000000"/>
        </w:rPr>
        <w:t xml:space="preserve"> prior consent; </w:t>
      </w:r>
      <w:r>
        <w:rPr>
          <w:rFonts w:ascii="Arial" w:cs="Arial" w:eastAsia="Arial" w:hAnsi="Arial"/>
          <w:sz w:val="20"/>
          <w:szCs w:val="20"/>
          <w:i w:val="1"/>
          <w:iCs w:val="1"/>
          <w:color w:val="000000"/>
        </w:rPr>
        <w:t>provided</w:t>
      </w:r>
      <w:r>
        <w:rPr>
          <w:rFonts w:ascii="Arial" w:cs="Arial" w:eastAsia="Arial" w:hAnsi="Arial"/>
          <w:sz w:val="20"/>
          <w:szCs w:val="20"/>
          <w:color w:val="000000"/>
        </w:rPr>
        <w:t xml:space="preserve">, </w:t>
      </w:r>
      <w:r>
        <w:rPr>
          <w:rFonts w:ascii="Arial" w:cs="Arial" w:eastAsia="Arial" w:hAnsi="Arial"/>
          <w:sz w:val="20"/>
          <w:szCs w:val="20"/>
          <w:i w:val="1"/>
          <w:iCs w:val="1"/>
          <w:color w:val="000000"/>
        </w:rPr>
        <w:t>however</w:t>
      </w:r>
      <w:r>
        <w:rPr>
          <w:rFonts w:ascii="Arial" w:cs="Arial" w:eastAsia="Arial" w:hAnsi="Arial"/>
          <w:sz w:val="20"/>
          <w:szCs w:val="20"/>
          <w:color w:val="000000"/>
        </w:rPr>
        <w:t>, that any such settlement or consent judgment will not, without the prior written consent of the other Party (such consent not to be unreasonably withheld, conditioned or delayed), impose any liability or obligation on the other Party or any of its Affiliates.</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9.5</w:t>
      </w:r>
      <w:r>
        <w:rPr>
          <w:sz w:val="20"/>
          <w:szCs w:val="20"/>
          <w:color w:val="auto"/>
        </w:rPr>
        <w:tab/>
      </w:r>
      <w:r>
        <w:rPr>
          <w:rFonts w:ascii="Arial" w:cs="Arial" w:eastAsia="Arial" w:hAnsi="Arial"/>
          <w:sz w:val="17"/>
          <w:szCs w:val="17"/>
          <w:b w:val="1"/>
          <w:bCs w:val="1"/>
          <w:color w:val="auto"/>
        </w:rPr>
        <w:t>Enforcement</w:t>
      </w:r>
      <w:r>
        <w:rPr>
          <w:rFonts w:ascii="Arial" w:cs="Arial" w:eastAsia="Arial" w:hAnsi="Arial"/>
          <w:sz w:val="18"/>
          <w:szCs w:val="18"/>
          <w:color w:val="auto"/>
        </w:rPr>
        <w:t>.</w:t>
      </w:r>
    </w:p>
    <w:p>
      <w:pPr>
        <w:spacing w:after="0" w:line="214" w:lineRule="exact"/>
        <w:rPr>
          <w:sz w:val="20"/>
          <w:szCs w:val="20"/>
          <w:color w:val="auto"/>
        </w:rPr>
      </w:pPr>
    </w:p>
    <w:p>
      <w:pPr>
        <w:jc w:val="both"/>
        <w:ind w:left="1700" w:hanging="842"/>
        <w:spacing w:after="0" w:line="265" w:lineRule="auto"/>
        <w:tabs>
          <w:tab w:leader="none" w:pos="1700" w:val="left"/>
        </w:tabs>
        <w:numPr>
          <w:ilvl w:val="0"/>
          <w:numId w:val="180"/>
        </w:numPr>
        <w:rPr>
          <w:rFonts w:ascii="Arial" w:cs="Arial" w:eastAsia="Arial" w:hAnsi="Arial"/>
          <w:sz w:val="19"/>
          <w:szCs w:val="19"/>
          <w:color w:val="010000"/>
        </w:rPr>
      </w:pPr>
      <w:r>
        <w:rPr>
          <w:rFonts w:ascii="Arial" w:cs="Arial" w:eastAsia="Arial" w:hAnsi="Arial"/>
          <w:sz w:val="19"/>
          <w:szCs w:val="19"/>
          <w:b w:val="1"/>
          <w:bCs w:val="1"/>
          <w:color w:val="auto"/>
        </w:rPr>
        <w:t>Enforcement and Cooperation</w:t>
      </w:r>
      <w:r>
        <w:rPr>
          <w:rFonts w:ascii="Arial" w:cs="Arial" w:eastAsia="Arial" w:hAnsi="Arial"/>
          <w:sz w:val="19"/>
          <w:szCs w:val="19"/>
          <w:color w:val="auto"/>
        </w:rPr>
        <w:t>. If in the Territory, (i) HFB or FibroGen becomes aware of any actual or suspected</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of any Licensed Patent Right or Joint Arising Patent Right, or (ii) any such Licensed Patent Right or Joint Arising Patent Right is challenged in any action or proceeding (other than any interferences, oppositions, reissue proceedings or re-examinations, which are addressed in Section 9.3(e) (Licensed Patent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119" w:lineRule="exact"/>
        <w:rPr>
          <w:sz w:val="20"/>
          <w:szCs w:val="20"/>
          <w:color w:val="auto"/>
        </w:rPr>
      </w:pPr>
    </w:p>
    <w:p>
      <w:pPr>
        <w:ind w:right="220" w:firstLine="8"/>
        <w:spacing w:after="0" w:line="277" w:lineRule="auto"/>
        <w:tabs>
          <w:tab w:leader="none" w:pos="255" w:val="left"/>
        </w:tabs>
        <w:numPr>
          <w:ilvl w:val="0"/>
          <w:numId w:val="181"/>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8" w:name="page149"/>
    <w:bookmarkEnd w:id="148"/>
    <w:p>
      <w:pPr>
        <w:jc w:val="both"/>
        <w:ind w:left="1700"/>
        <w:spacing w:after="0" w:line="254" w:lineRule="auto"/>
        <w:rPr>
          <w:sz w:val="20"/>
          <w:szCs w:val="20"/>
          <w:color w:val="auto"/>
        </w:rPr>
      </w:pPr>
      <w:r>
        <w:rPr>
          <w:rFonts w:ascii="Arial" w:cs="Arial" w:eastAsia="Arial" w:hAnsi="Arial"/>
          <w:sz w:val="19"/>
          <w:szCs w:val="19"/>
          <w:color w:val="auto"/>
        </w:rPr>
        <w:t>Rights)), then such Party will notify the other Party promptly, and following such notification, the Parties will confer. FibroGen will have the first right, but will not be obligated, to defend any such action or proceeding in the Territory or bring an infringement action with respect to such infringement in the Territory [*]. FibroGen will promptly inform HFB if it elects not to exercise its first right under this Section 9.5(a) (Enforcement and Cooperation) to defend any such action in the Territory or proceeding or to bring an infringement action, and HFB will thereafter have the second right, but will not be obligated, to defend any such action or proceeding in the Territory or bring an infringement action with respect to such infringement in the Territory [*]. HFB will keep FibroGen reasonably informed of all developments in any action or proceeding. Regardless of which Party exercises its right this Section 9.5(a) (Enforcement and Cooperation), the other Party and its Affiliates will reasonably assist such enforcing Party in any action or proceeding being defended or prosecuted if so requested, and will agree to be named in the filing or join in such action or proceeding if requested by such enforcing Party. If the other Party elects to be represented by legal counsel, then the enforcing Party will bear all of such Party’s related and reasonable legal costs and expenses if the other Party is required to be named in the filing or joined in such action or proceeding or is joined in such action or proceeding at the enforcing Party’s request.</w:t>
      </w:r>
    </w:p>
    <w:p>
      <w:pPr>
        <w:spacing w:after="0" w:line="78" w:lineRule="exact"/>
        <w:rPr>
          <w:sz w:val="20"/>
          <w:szCs w:val="20"/>
          <w:color w:val="auto"/>
        </w:rPr>
      </w:pPr>
    </w:p>
    <w:p>
      <w:pPr>
        <w:jc w:val="both"/>
        <w:ind w:left="1700" w:hanging="842"/>
        <w:spacing w:after="0" w:line="248" w:lineRule="auto"/>
        <w:tabs>
          <w:tab w:leader="none" w:pos="1700" w:val="left"/>
        </w:tabs>
        <w:numPr>
          <w:ilvl w:val="0"/>
          <w:numId w:val="182"/>
        </w:numPr>
        <w:rPr>
          <w:rFonts w:ascii="Arial" w:cs="Arial" w:eastAsia="Arial" w:hAnsi="Arial"/>
          <w:sz w:val="20"/>
          <w:szCs w:val="20"/>
          <w:color w:val="010000"/>
        </w:rPr>
      </w:pPr>
      <w:r>
        <w:rPr>
          <w:rFonts w:ascii="Arial" w:cs="Arial" w:eastAsia="Arial" w:hAnsi="Arial"/>
          <w:sz w:val="20"/>
          <w:szCs w:val="20"/>
          <w:b w:val="1"/>
          <w:bCs w:val="1"/>
          <w:color w:val="auto"/>
        </w:rPr>
        <w:t>Damages</w:t>
      </w:r>
      <w:r>
        <w:rPr>
          <w:rFonts w:ascii="Arial" w:cs="Arial" w:eastAsia="Arial" w:hAnsi="Arial"/>
          <w:sz w:val="20"/>
          <w:szCs w:val="20"/>
          <w:color w:val="auto"/>
        </w:rPr>
        <w:t>. In the event that either Party exercises the rights conferred in this Section 9.5 (Enforcement) and recovers</w:t>
      </w:r>
      <w:r>
        <w:rPr>
          <w:rFonts w:ascii="Arial" w:cs="Arial" w:eastAsia="Arial" w:hAnsi="Arial"/>
          <w:sz w:val="20"/>
          <w:szCs w:val="20"/>
          <w:b w:val="1"/>
          <w:bCs w:val="1"/>
          <w:color w:val="auto"/>
        </w:rPr>
        <w:t xml:space="preserve"> </w:t>
      </w:r>
      <w:r>
        <w:rPr>
          <w:rFonts w:ascii="Arial" w:cs="Arial" w:eastAsia="Arial" w:hAnsi="Arial"/>
          <w:sz w:val="20"/>
          <w:szCs w:val="20"/>
          <w:color w:val="auto"/>
        </w:rPr>
        <w:t>any damages, payments, or other sums in such action or proceeding or in settlement thereof, then such damages or other sums recovered will first be applied to all out-of-pocket costs and expenses incurred by such enforcing Party in connection therewith (including attorney’s fees). [*]</w:t>
      </w:r>
    </w:p>
    <w:p>
      <w:pPr>
        <w:spacing w:after="0" w:line="77" w:lineRule="exact"/>
        <w:rPr>
          <w:sz w:val="20"/>
          <w:szCs w:val="20"/>
          <w:color w:val="auto"/>
        </w:rPr>
      </w:pPr>
    </w:p>
    <w:p>
      <w:pPr>
        <w:jc w:val="both"/>
        <w:ind w:left="860" w:hanging="849"/>
        <w:spacing w:after="0" w:line="249" w:lineRule="auto"/>
        <w:tabs>
          <w:tab w:leader="none" w:pos="840" w:val="left"/>
        </w:tabs>
        <w:rPr>
          <w:sz w:val="20"/>
          <w:szCs w:val="20"/>
          <w:color w:val="auto"/>
        </w:rPr>
      </w:pPr>
      <w:r>
        <w:rPr>
          <w:rFonts w:ascii="Arial" w:cs="Arial" w:eastAsia="Arial" w:hAnsi="Arial"/>
          <w:sz w:val="20"/>
          <w:szCs w:val="20"/>
          <w:color w:val="010000"/>
        </w:rPr>
        <w:t>9.6</w:t>
      </w:r>
      <w:r>
        <w:rPr>
          <w:sz w:val="20"/>
          <w:szCs w:val="20"/>
          <w:color w:val="auto"/>
        </w:rPr>
        <w:tab/>
      </w:r>
      <w:r>
        <w:rPr>
          <w:rFonts w:ascii="Arial" w:cs="Arial" w:eastAsia="Arial" w:hAnsi="Arial"/>
          <w:sz w:val="20"/>
          <w:szCs w:val="20"/>
          <w:b w:val="1"/>
          <w:bCs w:val="1"/>
          <w:color w:val="auto"/>
        </w:rPr>
        <w:t>Trademarks</w:t>
      </w:r>
      <w:r>
        <w:rPr>
          <w:rFonts w:ascii="Arial" w:cs="Arial" w:eastAsia="Arial" w:hAnsi="Arial"/>
          <w:sz w:val="21"/>
          <w:szCs w:val="21"/>
          <w:color w:val="010000"/>
        </w:rPr>
        <w:t>. FibroGen will have the sole right to brand the Licensed Products in the Territory using trademarks, logos,</w:t>
      </w:r>
      <w:r>
        <w:rPr>
          <w:rFonts w:ascii="Arial" w:cs="Arial" w:eastAsia="Arial" w:hAnsi="Arial"/>
          <w:sz w:val="20"/>
          <w:szCs w:val="20"/>
          <w:b w:val="1"/>
          <w:bCs w:val="1"/>
          <w:color w:val="auto"/>
        </w:rPr>
        <w:t xml:space="preserve"> </w:t>
      </w:r>
      <w:r>
        <w:rPr>
          <w:rFonts w:ascii="Arial" w:cs="Arial" w:eastAsia="Arial" w:hAnsi="Arial"/>
          <w:sz w:val="21"/>
          <w:szCs w:val="21"/>
          <w:color w:val="010000"/>
        </w:rPr>
        <w:t>and trade names that it determines appropriate, which may vary by region or within a region (the “</w:t>
      </w:r>
      <w:r>
        <w:rPr>
          <w:rFonts w:ascii="Arial" w:cs="Arial" w:eastAsia="Arial" w:hAnsi="Arial"/>
          <w:sz w:val="21"/>
          <w:szCs w:val="21"/>
          <w:b w:val="1"/>
          <w:bCs w:val="1"/>
          <w:color w:val="010000"/>
        </w:rPr>
        <w:t>Product Marks</w:t>
      </w:r>
      <w:r>
        <w:rPr>
          <w:rFonts w:ascii="Arial" w:cs="Arial" w:eastAsia="Arial" w:hAnsi="Arial"/>
          <w:sz w:val="21"/>
          <w:szCs w:val="21"/>
          <w:color w:val="010000"/>
        </w:rPr>
        <w:t>”). FibroGen will solely own all rights, title, and interest in and to any Product Marks adopted for use with the Licensed Products in the Territory, and will be responsible for the registration, filing, maintenance, and enforcement thereof at its own cost and expense.</w:t>
      </w:r>
    </w:p>
    <w:p>
      <w:pPr>
        <w:spacing w:after="0" w:line="165" w:lineRule="exact"/>
        <w:rPr>
          <w:sz w:val="20"/>
          <w:szCs w:val="20"/>
          <w:color w:val="auto"/>
        </w:rPr>
      </w:pPr>
    </w:p>
    <w:p>
      <w:pPr>
        <w:jc w:val="both"/>
        <w:ind w:left="860" w:hanging="849"/>
        <w:spacing w:after="0" w:line="244" w:lineRule="auto"/>
        <w:tabs>
          <w:tab w:leader="none" w:pos="840" w:val="left"/>
        </w:tabs>
        <w:rPr>
          <w:sz w:val="20"/>
          <w:szCs w:val="20"/>
          <w:color w:val="auto"/>
        </w:rPr>
      </w:pPr>
      <w:r>
        <w:rPr>
          <w:rFonts w:ascii="Arial" w:cs="Arial" w:eastAsia="Arial" w:hAnsi="Arial"/>
          <w:sz w:val="20"/>
          <w:szCs w:val="20"/>
          <w:color w:val="010000"/>
        </w:rPr>
        <w:t>9.7</w:t>
      </w:r>
      <w:r>
        <w:rPr>
          <w:sz w:val="20"/>
          <w:szCs w:val="20"/>
          <w:color w:val="auto"/>
        </w:rPr>
        <w:tab/>
      </w:r>
      <w:r>
        <w:rPr>
          <w:rFonts w:ascii="Arial" w:cs="Arial" w:eastAsia="Arial" w:hAnsi="Arial"/>
          <w:sz w:val="20"/>
          <w:szCs w:val="20"/>
          <w:b w:val="1"/>
          <w:bCs w:val="1"/>
          <w:color w:val="auto"/>
        </w:rPr>
        <w:t>CREATE Act</w:t>
      </w:r>
      <w:r>
        <w:rPr>
          <w:rFonts w:ascii="Arial" w:cs="Arial" w:eastAsia="Arial" w:hAnsi="Arial"/>
          <w:sz w:val="21"/>
          <w:szCs w:val="21"/>
          <w:color w:val="auto"/>
        </w:rPr>
        <w:t>. Notwithstanding anything to the contrary in this Article 9 (Intellectual Property), neither Party will have</w:t>
      </w:r>
      <w:r>
        <w:rPr>
          <w:rFonts w:ascii="Arial" w:cs="Arial" w:eastAsia="Arial" w:hAnsi="Arial"/>
          <w:sz w:val="20"/>
          <w:szCs w:val="20"/>
          <w:b w:val="1"/>
          <w:bCs w:val="1"/>
          <w:color w:val="auto"/>
        </w:rPr>
        <w:t xml:space="preserve"> </w:t>
      </w:r>
      <w:r>
        <w:rPr>
          <w:rFonts w:ascii="Arial" w:cs="Arial" w:eastAsia="Arial" w:hAnsi="Arial"/>
          <w:sz w:val="21"/>
          <w:szCs w:val="21"/>
          <w:color w:val="auto"/>
        </w:rPr>
        <w:t>the right to make an election under the CREATE Act when exercising its rights under this Article 9 (Intellectual Property) without the prior written consent of the other Party, which will not be unreasonably withheld, conditioned or delayed. With respect to any such permitted election, the Parties will use reasonable efforts to cooperate and coordinate their activities with respect to any submissions, filings or other activities in support thereof. The Parties acknowledge and agree that this Agreement is a “joint research agreement” as defined in the CREATE Act. Notwithstanding the foregoing, HFB’s consent under this Section 9.7 (CREATE Act) will not be required in connection with an obviousness-type double patenting rejection in any patent application filed by FibroGen or its Affiliate claiming a Licensed Compound, Licensed Product, or uses thereof. In the event of an obviousness-type double patenting rejection in any patent application filed by FibroGen or its Affiliate claiming a Licensed Compound or Licensed Product where such rejection is due to any Patent Right within the HFB Background Technology, HFB will discuss and consider [*] such Patent Right to FibroGen.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119" w:lineRule="exact"/>
        <w:rPr>
          <w:sz w:val="20"/>
          <w:szCs w:val="20"/>
          <w:color w:val="auto"/>
        </w:rPr>
      </w:pPr>
    </w:p>
    <w:p>
      <w:pPr>
        <w:ind w:right="220" w:firstLine="8"/>
        <w:spacing w:after="0" w:line="277" w:lineRule="auto"/>
        <w:tabs>
          <w:tab w:leader="none" w:pos="255" w:val="left"/>
        </w:tabs>
        <w:numPr>
          <w:ilvl w:val="0"/>
          <w:numId w:val="183"/>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9" w:name="page150"/>
    <w:bookmarkEnd w:id="149"/>
    <w:p>
      <w:pPr>
        <w:spacing w:after="0"/>
        <w:tabs>
          <w:tab w:leader="none" w:pos="840" w:val="left"/>
        </w:tabs>
        <w:rPr>
          <w:sz w:val="20"/>
          <w:szCs w:val="20"/>
          <w:color w:val="auto"/>
        </w:rPr>
      </w:pPr>
      <w:r>
        <w:rPr>
          <w:rFonts w:ascii="Arial" w:cs="Arial" w:eastAsia="Arial" w:hAnsi="Arial"/>
          <w:sz w:val="20"/>
          <w:szCs w:val="20"/>
          <w:color w:val="010000"/>
        </w:rPr>
        <w:t>9.8</w:t>
      </w:r>
      <w:r>
        <w:rPr>
          <w:sz w:val="20"/>
          <w:szCs w:val="20"/>
          <w:color w:val="auto"/>
        </w:rPr>
        <w:tab/>
      </w:r>
      <w:r>
        <w:rPr>
          <w:rFonts w:ascii="Arial" w:cs="Arial" w:eastAsia="Arial" w:hAnsi="Arial"/>
          <w:sz w:val="17"/>
          <w:szCs w:val="17"/>
          <w:b w:val="1"/>
          <w:bCs w:val="1"/>
          <w:color w:val="auto"/>
        </w:rPr>
        <w:t>Patent Right Extensions; Regulatory Exclusivity</w:t>
      </w:r>
      <w:r>
        <w:rPr>
          <w:rFonts w:ascii="Arial" w:cs="Arial" w:eastAsia="Arial" w:hAnsi="Arial"/>
          <w:sz w:val="18"/>
          <w:szCs w:val="18"/>
          <w:color w:val="auto"/>
        </w:rPr>
        <w:t>.</w:t>
      </w:r>
    </w:p>
    <w:p>
      <w:pPr>
        <w:spacing w:after="0" w:line="214" w:lineRule="exact"/>
        <w:rPr>
          <w:sz w:val="20"/>
          <w:szCs w:val="20"/>
          <w:color w:val="auto"/>
        </w:rPr>
      </w:pPr>
    </w:p>
    <w:p>
      <w:pPr>
        <w:jc w:val="both"/>
        <w:ind w:left="1700" w:hanging="842"/>
        <w:spacing w:after="0" w:line="273" w:lineRule="auto"/>
        <w:tabs>
          <w:tab w:leader="none" w:pos="1700" w:val="left"/>
        </w:tabs>
        <w:numPr>
          <w:ilvl w:val="0"/>
          <w:numId w:val="184"/>
        </w:numPr>
        <w:rPr>
          <w:rFonts w:ascii="Arial" w:cs="Arial" w:eastAsia="Arial" w:hAnsi="Arial"/>
          <w:sz w:val="18"/>
          <w:szCs w:val="18"/>
          <w:color w:val="010000"/>
        </w:rPr>
      </w:pPr>
      <w:r>
        <w:rPr>
          <w:rFonts w:ascii="Arial" w:cs="Arial" w:eastAsia="Arial" w:hAnsi="Arial"/>
          <w:sz w:val="18"/>
          <w:szCs w:val="18"/>
          <w:b w:val="1"/>
          <w:bCs w:val="1"/>
          <w:color w:val="auto"/>
        </w:rPr>
        <w:t>Patent Right Term Extension</w:t>
      </w:r>
      <w:r>
        <w:rPr>
          <w:rFonts w:ascii="Arial" w:cs="Arial" w:eastAsia="Arial" w:hAnsi="Arial"/>
          <w:sz w:val="18"/>
          <w:szCs w:val="18"/>
          <w:color w:val="auto"/>
        </w:rPr>
        <w:t>. If elections with respect to obtaining patent term extension or supplemental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or their equivalents in any country in the Territory with respect to any Licensed Product becomes available, upon Regulatory Approval or otherwise, then FibroGen will have the sole right to file for patent term extension or supplemental protection certificates or their equivalents and to determine which issued patent to extend. HFB and any of its Affiliates will reasonably cooperate with FibroGen so as to enable FibroGen to exercise its rights under this Section 9.8(a) (Patent Right Term Extension). Such cooperation includes promptly executing all documents, requiring inventors to be available to discuss and review any filings, and requiring inventors, subcontractors, employees, consultants, and agents of HFB or any of its Affiliates to execute all documents, as reasonable and appropriate so as to enable FibroGen to exercise its rights under this Section 9.8(a) (Patent Right Term Extension).</w:t>
      </w:r>
    </w:p>
    <w:p>
      <w:pPr>
        <w:spacing w:after="0" w:line="54" w:lineRule="exact"/>
        <w:rPr>
          <w:rFonts w:ascii="Arial" w:cs="Arial" w:eastAsia="Arial" w:hAnsi="Arial"/>
          <w:sz w:val="18"/>
          <w:szCs w:val="18"/>
          <w:color w:val="010000"/>
        </w:rPr>
      </w:pPr>
    </w:p>
    <w:p>
      <w:pPr>
        <w:jc w:val="both"/>
        <w:ind w:left="1700" w:hanging="842"/>
        <w:spacing w:after="0" w:line="253" w:lineRule="auto"/>
        <w:tabs>
          <w:tab w:leader="none" w:pos="1700" w:val="left"/>
        </w:tabs>
        <w:numPr>
          <w:ilvl w:val="0"/>
          <w:numId w:val="184"/>
        </w:numPr>
        <w:rPr>
          <w:rFonts w:ascii="Arial" w:cs="Arial" w:eastAsia="Arial" w:hAnsi="Arial"/>
          <w:sz w:val="20"/>
          <w:szCs w:val="20"/>
          <w:color w:val="010000"/>
        </w:rPr>
      </w:pPr>
      <w:r>
        <w:rPr>
          <w:rFonts w:ascii="Arial" w:cs="Arial" w:eastAsia="Arial" w:hAnsi="Arial"/>
          <w:sz w:val="20"/>
          <w:szCs w:val="20"/>
          <w:b w:val="1"/>
          <w:bCs w:val="1"/>
          <w:color w:val="auto"/>
        </w:rPr>
        <w:t>Regulatory Exclusivity</w:t>
      </w:r>
      <w:r>
        <w:rPr>
          <w:rFonts w:ascii="Arial" w:cs="Arial" w:eastAsia="Arial" w:hAnsi="Arial"/>
          <w:sz w:val="20"/>
          <w:szCs w:val="20"/>
          <w:color w:val="auto"/>
        </w:rPr>
        <w:t>. With respect to Regulatory Exclusivity periods (such as orphan drug exclusivity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available pediatric extensions), FibroGen will have the sole right to seek and maintain all such Regulatory Exclusivity periods that may be available for the Licensed Products in the Field in the Territory.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WARRANTIES, AND COVENANTS</w:t>
      </w:r>
    </w:p>
    <w:p>
      <w:pPr>
        <w:spacing w:after="0" w:line="87"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10.1</w:t>
      </w:r>
      <w:r>
        <w:rPr>
          <w:sz w:val="20"/>
          <w:szCs w:val="20"/>
          <w:color w:val="auto"/>
        </w:rPr>
        <w:tab/>
      </w:r>
      <w:r>
        <w:rPr>
          <w:rFonts w:ascii="Arial" w:cs="Arial" w:eastAsia="Arial" w:hAnsi="Arial"/>
          <w:sz w:val="20"/>
          <w:szCs w:val="20"/>
          <w:b w:val="1"/>
          <w:bCs w:val="1"/>
          <w:color w:val="auto"/>
        </w:rPr>
        <w:t>Mutual Representations, Warranties, and Covenants</w:t>
      </w:r>
      <w:r>
        <w:rPr>
          <w:rFonts w:ascii="Arial" w:cs="Arial" w:eastAsia="Arial" w:hAnsi="Arial"/>
          <w:sz w:val="21"/>
          <w:szCs w:val="21"/>
          <w:color w:val="auto"/>
        </w:rPr>
        <w:t>. Each Party hereby represents and warrants to the other Party as of</w:t>
      </w:r>
      <w:r>
        <w:rPr>
          <w:rFonts w:ascii="Arial" w:cs="Arial" w:eastAsia="Arial" w:hAnsi="Arial"/>
          <w:sz w:val="20"/>
          <w:szCs w:val="20"/>
          <w:b w:val="1"/>
          <w:bCs w:val="1"/>
          <w:color w:val="auto"/>
        </w:rPr>
        <w:t xml:space="preserve"> </w:t>
      </w:r>
      <w:r>
        <w:rPr>
          <w:rFonts w:ascii="Arial" w:cs="Arial" w:eastAsia="Arial" w:hAnsi="Arial"/>
          <w:sz w:val="21"/>
          <w:szCs w:val="21"/>
          <w:color w:val="auto"/>
        </w:rPr>
        <w:t>the Effective Date, and covenants, as applicable, as a material inducement for such other Party’s entry into this Agreement, as follows:</w:t>
      </w:r>
    </w:p>
    <w:p>
      <w:pPr>
        <w:spacing w:after="0" w:line="154" w:lineRule="exact"/>
        <w:rPr>
          <w:sz w:val="20"/>
          <w:szCs w:val="20"/>
          <w:color w:val="auto"/>
        </w:rPr>
      </w:pPr>
    </w:p>
    <w:p>
      <w:pPr>
        <w:jc w:val="both"/>
        <w:ind w:left="1700" w:hanging="842"/>
        <w:spacing w:after="0" w:line="285" w:lineRule="auto"/>
        <w:tabs>
          <w:tab w:leader="none" w:pos="1700" w:val="left"/>
        </w:tabs>
        <w:numPr>
          <w:ilvl w:val="0"/>
          <w:numId w:val="185"/>
        </w:numPr>
        <w:rPr>
          <w:rFonts w:ascii="Arial" w:cs="Arial" w:eastAsia="Arial" w:hAnsi="Arial"/>
          <w:sz w:val="18"/>
          <w:szCs w:val="18"/>
          <w:color w:val="010000"/>
        </w:rPr>
      </w:pPr>
      <w:r>
        <w:rPr>
          <w:rFonts w:ascii="Arial" w:cs="Arial" w:eastAsia="Arial" w:hAnsi="Arial"/>
          <w:sz w:val="18"/>
          <w:szCs w:val="18"/>
          <w:b w:val="1"/>
          <w:bCs w:val="1"/>
          <w:color w:val="auto"/>
        </w:rPr>
        <w:t>Corporate Existence and Power</w:t>
      </w:r>
      <w:r>
        <w:rPr>
          <w:rFonts w:ascii="Arial" w:cs="Arial" w:eastAsia="Arial" w:hAnsi="Arial"/>
          <w:sz w:val="18"/>
          <w:szCs w:val="18"/>
          <w:color w:val="auto"/>
        </w:rPr>
        <w:t>. It is a company or corporation duly organized, validly existing, and in good 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the 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42" w:lineRule="exact"/>
        <w:rPr>
          <w:rFonts w:ascii="Arial" w:cs="Arial" w:eastAsia="Arial" w:hAnsi="Arial"/>
          <w:sz w:val="18"/>
          <w:szCs w:val="18"/>
          <w:color w:val="010000"/>
        </w:rPr>
      </w:pPr>
    </w:p>
    <w:p>
      <w:pPr>
        <w:jc w:val="both"/>
        <w:ind w:left="1700" w:hanging="842"/>
        <w:spacing w:after="0" w:line="280" w:lineRule="auto"/>
        <w:tabs>
          <w:tab w:leader="none" w:pos="1700" w:val="left"/>
        </w:tabs>
        <w:numPr>
          <w:ilvl w:val="0"/>
          <w:numId w:val="185"/>
        </w:numPr>
        <w:rPr>
          <w:rFonts w:ascii="Arial" w:cs="Arial" w:eastAsia="Arial" w:hAnsi="Arial"/>
          <w:sz w:val="18"/>
          <w:szCs w:val="18"/>
          <w:color w:val="010000"/>
        </w:rPr>
      </w:pPr>
      <w:r>
        <w:rPr>
          <w:rFonts w:ascii="Arial" w:cs="Arial" w:eastAsia="Arial" w:hAnsi="Arial"/>
          <w:sz w:val="18"/>
          <w:szCs w:val="18"/>
          <w:b w:val="1"/>
          <w:bCs w:val="1"/>
          <w:color w:val="auto"/>
        </w:rPr>
        <w:t>Authority and Binding Agreement</w:t>
      </w:r>
      <w:r>
        <w:rPr>
          <w:rFonts w:ascii="Arial" w:cs="Arial" w:eastAsia="Arial" w:hAnsi="Arial"/>
          <w:sz w:val="18"/>
          <w:szCs w:val="18"/>
          <w:color w:val="auto"/>
        </w:rPr>
        <w:t>. (i) It has the corporate power and authority and the legal right to enter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48" w:lineRule="exact"/>
        <w:rPr>
          <w:rFonts w:ascii="Arial" w:cs="Arial" w:eastAsia="Arial" w:hAnsi="Arial"/>
          <w:sz w:val="18"/>
          <w:szCs w:val="18"/>
          <w:color w:val="010000"/>
        </w:rPr>
      </w:pPr>
    </w:p>
    <w:p>
      <w:pPr>
        <w:jc w:val="both"/>
        <w:ind w:left="1700" w:hanging="842"/>
        <w:spacing w:after="0" w:line="253" w:lineRule="auto"/>
        <w:tabs>
          <w:tab w:leader="none" w:pos="1700" w:val="left"/>
        </w:tabs>
        <w:numPr>
          <w:ilvl w:val="0"/>
          <w:numId w:val="185"/>
        </w:numPr>
        <w:rPr>
          <w:rFonts w:ascii="Arial" w:cs="Arial" w:eastAsia="Arial" w:hAnsi="Arial"/>
          <w:sz w:val="20"/>
          <w:szCs w:val="20"/>
          <w:color w:val="010000"/>
        </w:rPr>
      </w:pPr>
      <w:r>
        <w:rPr>
          <w:rFonts w:ascii="Arial" w:cs="Arial" w:eastAsia="Arial" w:hAnsi="Arial"/>
          <w:sz w:val="20"/>
          <w:szCs w:val="20"/>
          <w:b w:val="1"/>
          <w:bCs w:val="1"/>
          <w:color w:val="auto"/>
        </w:rPr>
        <w:t>No Conflict</w:t>
      </w:r>
      <w:r>
        <w:rPr>
          <w:rFonts w:ascii="Arial" w:cs="Arial" w:eastAsia="Arial" w:hAnsi="Arial"/>
          <w:sz w:val="20"/>
          <w:szCs w:val="20"/>
          <w:color w:val="auto"/>
        </w:rPr>
        <w:t>. It is not a party to and will not enter into any agreement that would prevent it from granting the rights or</w:t>
      </w:r>
      <w:r>
        <w:rPr>
          <w:rFonts w:ascii="Arial" w:cs="Arial" w:eastAsia="Arial" w:hAnsi="Arial"/>
          <w:sz w:val="20"/>
          <w:szCs w:val="20"/>
          <w:b w:val="1"/>
          <w:bCs w:val="1"/>
          <w:color w:val="auto"/>
        </w:rPr>
        <w:t xml:space="preserve"> </w:t>
      </w:r>
      <w:r>
        <w:rPr>
          <w:rFonts w:ascii="Arial" w:cs="Arial" w:eastAsia="Arial" w:hAnsi="Arial"/>
          <w:sz w:val="20"/>
          <w:szCs w:val="20"/>
          <w:color w:val="auto"/>
        </w:rPr>
        <w:t>exclusivity granted or intended to be granted to the other Party under this Agreement or performing its obligations under this Agreement.</w:t>
      </w:r>
    </w:p>
    <w:p>
      <w:pPr>
        <w:spacing w:after="0" w:line="69" w:lineRule="exact"/>
        <w:rPr>
          <w:rFonts w:ascii="Arial" w:cs="Arial" w:eastAsia="Arial" w:hAnsi="Arial"/>
          <w:sz w:val="20"/>
          <w:szCs w:val="20"/>
          <w:color w:val="010000"/>
        </w:rPr>
      </w:pPr>
    </w:p>
    <w:p>
      <w:pPr>
        <w:ind w:left="1700" w:hanging="842"/>
        <w:spacing w:after="0" w:line="267" w:lineRule="auto"/>
        <w:tabs>
          <w:tab w:leader="none" w:pos="1700" w:val="left"/>
        </w:tabs>
        <w:numPr>
          <w:ilvl w:val="0"/>
          <w:numId w:val="185"/>
        </w:numPr>
        <w:rPr>
          <w:rFonts w:ascii="Arial" w:cs="Arial" w:eastAsia="Arial" w:hAnsi="Arial"/>
          <w:sz w:val="20"/>
          <w:szCs w:val="20"/>
          <w:color w:val="010000"/>
        </w:rPr>
      </w:pPr>
      <w:r>
        <w:rPr>
          <w:rFonts w:ascii="Arial" w:cs="Arial" w:eastAsia="Arial" w:hAnsi="Arial"/>
          <w:sz w:val="20"/>
          <w:szCs w:val="20"/>
          <w:b w:val="1"/>
          <w:bCs w:val="1"/>
          <w:color w:val="auto"/>
        </w:rPr>
        <w:t>Consents</w:t>
      </w:r>
      <w:r>
        <w:rPr>
          <w:rFonts w:ascii="Arial" w:cs="Arial" w:eastAsia="Arial" w:hAnsi="Arial"/>
          <w:sz w:val="20"/>
          <w:szCs w:val="20"/>
          <w:color w:val="auto"/>
        </w:rPr>
        <w:t>. All consents, approvals, and authorizations from all governmental authorities or other Third Parties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to be obtained by such Party in connection with this Agreement have been obtained.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119" w:lineRule="exact"/>
        <w:rPr>
          <w:sz w:val="20"/>
          <w:szCs w:val="20"/>
          <w:color w:val="auto"/>
        </w:rPr>
      </w:pPr>
    </w:p>
    <w:p>
      <w:pPr>
        <w:ind w:right="220" w:firstLine="8"/>
        <w:spacing w:after="0" w:line="277" w:lineRule="auto"/>
        <w:tabs>
          <w:tab w:leader="none" w:pos="255" w:val="left"/>
        </w:tabs>
        <w:numPr>
          <w:ilvl w:val="0"/>
          <w:numId w:val="186"/>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0" w:name="page151"/>
    <w:bookmarkEnd w:id="150"/>
    <w:p>
      <w:pPr>
        <w:jc w:val="both"/>
        <w:ind w:left="1700" w:hanging="842"/>
        <w:spacing w:after="0" w:line="285" w:lineRule="auto"/>
        <w:tabs>
          <w:tab w:leader="none" w:pos="1700" w:val="left"/>
        </w:tabs>
        <w:numPr>
          <w:ilvl w:val="0"/>
          <w:numId w:val="187"/>
        </w:numPr>
        <w:rPr>
          <w:rFonts w:ascii="Arial" w:cs="Arial" w:eastAsia="Arial" w:hAnsi="Arial"/>
          <w:sz w:val="18"/>
          <w:szCs w:val="18"/>
          <w:color w:val="010000"/>
        </w:rPr>
      </w:pPr>
      <w:r>
        <w:rPr>
          <w:rFonts w:ascii="Arial" w:cs="Arial" w:eastAsia="Arial" w:hAnsi="Arial"/>
          <w:sz w:val="18"/>
          <w:szCs w:val="18"/>
          <w:b w:val="1"/>
          <w:bCs w:val="1"/>
          <w:color w:val="auto"/>
        </w:rPr>
        <w:t>Bankruptcy; Insolvency</w:t>
      </w:r>
      <w:r>
        <w:rPr>
          <w:rFonts w:ascii="Arial" w:cs="Arial" w:eastAsia="Arial" w:hAnsi="Arial"/>
          <w:sz w:val="18"/>
          <w:szCs w:val="18"/>
          <w:color w:val="auto"/>
        </w:rPr>
        <w:t>. It and its Affiliates are not subject to any action or petition, pending or otherwise, for</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or insolvency in any state, country, or other jurisdiction, and it is not aware of any facts or circumstances that could result in such Party or any of its Affiliates becoming or being declared insolvent, bankrupt, or otherwise incapable of meeting its obligations under this Agreement as they become due in the ordinary course of business.</w:t>
      </w:r>
    </w:p>
    <w:p>
      <w:pPr>
        <w:spacing w:after="0" w:line="42" w:lineRule="exact"/>
        <w:rPr>
          <w:rFonts w:ascii="Arial" w:cs="Arial" w:eastAsia="Arial" w:hAnsi="Arial"/>
          <w:sz w:val="18"/>
          <w:szCs w:val="18"/>
          <w:color w:val="010000"/>
        </w:rPr>
      </w:pPr>
    </w:p>
    <w:p>
      <w:pPr>
        <w:jc w:val="both"/>
        <w:ind w:left="1700" w:hanging="842"/>
        <w:spacing w:after="0" w:line="265" w:lineRule="auto"/>
        <w:tabs>
          <w:tab w:leader="none" w:pos="1700" w:val="left"/>
        </w:tabs>
        <w:numPr>
          <w:ilvl w:val="0"/>
          <w:numId w:val="187"/>
        </w:numPr>
        <w:rPr>
          <w:rFonts w:ascii="Arial" w:cs="Arial" w:eastAsia="Arial" w:hAnsi="Arial"/>
          <w:sz w:val="19"/>
          <w:szCs w:val="19"/>
          <w:color w:val="010000"/>
        </w:rPr>
      </w:pPr>
      <w:r>
        <w:rPr>
          <w:rFonts w:ascii="Arial" w:cs="Arial" w:eastAsia="Arial" w:hAnsi="Arial"/>
          <w:sz w:val="19"/>
          <w:szCs w:val="19"/>
          <w:b w:val="1"/>
          <w:bCs w:val="1"/>
          <w:color w:val="auto"/>
        </w:rPr>
        <w:t>No Debarment</w:t>
      </w:r>
      <w:r>
        <w:rPr>
          <w:rFonts w:ascii="Arial" w:cs="Arial" w:eastAsia="Arial" w:hAnsi="Arial"/>
          <w:sz w:val="19"/>
          <w:szCs w:val="19"/>
          <w:color w:val="auto"/>
        </w:rPr>
        <w:t>. Neither it nor any of its employees nor to its knowledge, any of the agents performing hereunder, has</w:t>
      </w:r>
      <w:r>
        <w:rPr>
          <w:rFonts w:ascii="Arial" w:cs="Arial" w:eastAsia="Arial" w:hAnsi="Arial"/>
          <w:sz w:val="19"/>
          <w:szCs w:val="19"/>
          <w:b w:val="1"/>
          <w:bCs w:val="1"/>
          <w:color w:val="auto"/>
        </w:rPr>
        <w:t xml:space="preserve"> </w:t>
      </w:r>
      <w:r>
        <w:rPr>
          <w:rFonts w:ascii="Arial" w:cs="Arial" w:eastAsia="Arial" w:hAnsi="Arial"/>
          <w:sz w:val="19"/>
          <w:szCs w:val="19"/>
          <w:color w:val="auto"/>
        </w:rPr>
        <w:t>ever been, is currently, or is the subject of a proceeding that could lead to it or such employees or agents becoming, as applicable, a Debarred Entity or Debarred Individual, an Excluded Entity, or Excluded Individual or a Convicted Entity or Convicted Individual. For purposes of this Agreement, the following definitions will apply:</w:t>
      </w:r>
    </w:p>
    <w:p>
      <w:pPr>
        <w:spacing w:after="0" w:line="61" w:lineRule="exact"/>
        <w:rPr>
          <w:rFonts w:ascii="Arial" w:cs="Arial" w:eastAsia="Arial" w:hAnsi="Arial"/>
          <w:sz w:val="19"/>
          <w:szCs w:val="19"/>
          <w:color w:val="010000"/>
        </w:rPr>
      </w:pPr>
    </w:p>
    <w:p>
      <w:pPr>
        <w:ind w:left="2580" w:hanging="858"/>
        <w:spacing w:after="0"/>
        <w:tabs>
          <w:tab w:leader="none" w:pos="2580" w:val="left"/>
        </w:tabs>
        <w:numPr>
          <w:ilvl w:val="1"/>
          <w:numId w:val="187"/>
        </w:numPr>
        <w:rPr>
          <w:rFonts w:ascii="Arial" w:cs="Arial" w:eastAsia="Arial" w:hAnsi="Arial"/>
          <w:sz w:val="18"/>
          <w:szCs w:val="18"/>
          <w:color w:val="010000"/>
        </w:rPr>
      </w:pPr>
      <w:r>
        <w:rPr>
          <w:rFonts w:ascii="Arial" w:cs="Arial" w:eastAsia="Arial" w:hAnsi="Arial"/>
          <w:sz w:val="18"/>
          <w:szCs w:val="18"/>
          <w:color w:val="auto"/>
        </w:rPr>
        <w:t>A “</w:t>
      </w:r>
      <w:r>
        <w:rPr>
          <w:rFonts w:ascii="Arial" w:cs="Arial" w:eastAsia="Arial" w:hAnsi="Arial"/>
          <w:sz w:val="18"/>
          <w:szCs w:val="18"/>
          <w:b w:val="1"/>
          <w:bCs w:val="1"/>
          <w:color w:val="auto"/>
        </w:rPr>
        <w:t>Debarred Individual</w:t>
      </w:r>
      <w:r>
        <w:rPr>
          <w:rFonts w:ascii="Arial" w:cs="Arial" w:eastAsia="Arial" w:hAnsi="Arial"/>
          <w:sz w:val="18"/>
          <w:szCs w:val="18"/>
          <w:color w:val="auto"/>
        </w:rPr>
        <w:t>” is an individual who has been debarred by the FDA pursuant to 21 U.S.C. §335a</w:t>
      </w:r>
    </w:p>
    <w:p>
      <w:pPr>
        <w:spacing w:after="0" w:line="44" w:lineRule="exact"/>
        <w:rPr>
          <w:rFonts w:ascii="Arial" w:cs="Arial" w:eastAsia="Arial" w:hAnsi="Arial"/>
          <w:sz w:val="18"/>
          <w:szCs w:val="18"/>
          <w:color w:val="010000"/>
        </w:rPr>
      </w:pPr>
    </w:p>
    <w:p>
      <w:pPr>
        <w:ind w:left="2580" w:hanging="7"/>
        <w:spacing w:after="0" w:line="244" w:lineRule="auto"/>
        <w:tabs>
          <w:tab w:leader="none" w:pos="2882" w:val="left"/>
        </w:tabs>
        <w:numPr>
          <w:ilvl w:val="2"/>
          <w:numId w:val="187"/>
        </w:numPr>
        <w:rPr>
          <w:rFonts w:ascii="Arial" w:cs="Arial" w:eastAsia="Arial" w:hAnsi="Arial"/>
          <w:sz w:val="20"/>
          <w:szCs w:val="20"/>
          <w:color w:val="auto"/>
        </w:rPr>
      </w:pPr>
      <w:r>
        <w:rPr>
          <w:rFonts w:ascii="Arial" w:cs="Arial" w:eastAsia="Arial" w:hAnsi="Arial"/>
          <w:sz w:val="20"/>
          <w:szCs w:val="20"/>
          <w:color w:val="auto"/>
        </w:rPr>
        <w:t>or (b) from providing services in any capacity to a person that has an approved or pending drug or biological product application.</w:t>
      </w:r>
    </w:p>
    <w:p>
      <w:pPr>
        <w:spacing w:after="0" w:line="172" w:lineRule="exact"/>
        <w:rPr>
          <w:sz w:val="20"/>
          <w:szCs w:val="20"/>
          <w:color w:val="auto"/>
        </w:rPr>
      </w:pPr>
    </w:p>
    <w:p>
      <w:pPr>
        <w:jc w:val="both"/>
        <w:ind w:left="2580" w:hanging="858"/>
        <w:spacing w:after="0" w:line="253" w:lineRule="auto"/>
        <w:tabs>
          <w:tab w:leader="none" w:pos="2580" w:val="left"/>
        </w:tabs>
        <w:numPr>
          <w:ilvl w:val="0"/>
          <w:numId w:val="188"/>
        </w:numPr>
        <w:rPr>
          <w:rFonts w:ascii="Arial" w:cs="Arial" w:eastAsia="Arial" w:hAnsi="Arial"/>
          <w:sz w:val="20"/>
          <w:szCs w:val="20"/>
          <w:color w:val="010000"/>
        </w:rPr>
      </w:pPr>
      <w:r>
        <w:rPr>
          <w:rFonts w:ascii="Arial" w:cs="Arial" w:eastAsia="Arial" w:hAnsi="Arial"/>
          <w:sz w:val="20"/>
          <w:szCs w:val="20"/>
          <w:color w:val="auto"/>
        </w:rPr>
        <w:t>A “</w:t>
      </w:r>
      <w:r>
        <w:rPr>
          <w:rFonts w:ascii="Arial" w:cs="Arial" w:eastAsia="Arial" w:hAnsi="Arial"/>
          <w:sz w:val="20"/>
          <w:szCs w:val="20"/>
          <w:b w:val="1"/>
          <w:bCs w:val="1"/>
          <w:color w:val="auto"/>
        </w:rPr>
        <w:t>Debarred Entity</w:t>
      </w:r>
      <w:r>
        <w:rPr>
          <w:rFonts w:ascii="Arial" w:cs="Arial" w:eastAsia="Arial" w:hAnsi="Arial"/>
          <w:sz w:val="20"/>
          <w:szCs w:val="20"/>
          <w:color w:val="auto"/>
        </w:rPr>
        <w:t>” is a corporation, partnership or association that has been debarred by the FDA pursuant to 21 U.S.C. §335a (a) or (b) from submitting or assisting in the submission of any abbreviated drug application, or a subsidiary or Affiliate of a Debarred Entity.</w:t>
      </w:r>
    </w:p>
    <w:p>
      <w:pPr>
        <w:spacing w:after="0" w:line="163" w:lineRule="exact"/>
        <w:rPr>
          <w:rFonts w:ascii="Arial" w:cs="Arial" w:eastAsia="Arial" w:hAnsi="Arial"/>
          <w:sz w:val="20"/>
          <w:szCs w:val="20"/>
          <w:color w:val="010000"/>
        </w:rPr>
      </w:pPr>
    </w:p>
    <w:p>
      <w:pPr>
        <w:jc w:val="both"/>
        <w:ind w:left="2580" w:hanging="858"/>
        <w:spacing w:after="0" w:line="277" w:lineRule="auto"/>
        <w:tabs>
          <w:tab w:leader="none" w:pos="2580" w:val="left"/>
        </w:tabs>
        <w:numPr>
          <w:ilvl w:val="0"/>
          <w:numId w:val="188"/>
        </w:numPr>
        <w:rPr>
          <w:rFonts w:ascii="Arial" w:cs="Arial" w:eastAsia="Arial" w:hAnsi="Arial"/>
          <w:sz w:val="18"/>
          <w:szCs w:val="18"/>
          <w:color w:val="010000"/>
        </w:rPr>
      </w:pPr>
      <w:r>
        <w:rPr>
          <w:rFonts w:ascii="Arial" w:cs="Arial" w:eastAsia="Arial" w:hAnsi="Arial"/>
          <w:sz w:val="18"/>
          <w:szCs w:val="18"/>
          <w:color w:val="auto"/>
        </w:rPr>
        <w:t>An “</w:t>
      </w:r>
      <w:r>
        <w:rPr>
          <w:rFonts w:ascii="Arial" w:cs="Arial" w:eastAsia="Arial" w:hAnsi="Arial"/>
          <w:sz w:val="18"/>
          <w:szCs w:val="18"/>
          <w:b w:val="1"/>
          <w:bCs w:val="1"/>
          <w:color w:val="auto"/>
        </w:rPr>
        <w:t>Excluded Individual</w:t>
      </w:r>
      <w:r>
        <w:rPr>
          <w:rFonts w:ascii="Arial" w:cs="Arial" w:eastAsia="Arial" w:hAnsi="Arial"/>
          <w:sz w:val="18"/>
          <w:szCs w:val="18"/>
          <w:color w:val="auto"/>
        </w:rPr>
        <w:t>” or “</w:t>
      </w:r>
      <w:r>
        <w:rPr>
          <w:rFonts w:ascii="Arial" w:cs="Arial" w:eastAsia="Arial" w:hAnsi="Arial"/>
          <w:sz w:val="18"/>
          <w:szCs w:val="18"/>
          <w:b w:val="1"/>
          <w:bCs w:val="1"/>
          <w:color w:val="auto"/>
        </w:rPr>
        <w:t>Excluded Entity</w:t>
      </w:r>
      <w:r>
        <w:rPr>
          <w:rFonts w:ascii="Arial" w:cs="Arial" w:eastAsia="Arial" w:hAnsi="Arial"/>
          <w:sz w:val="18"/>
          <w:szCs w:val="18"/>
          <w:color w:val="auto"/>
        </w:rPr>
        <w:t>” is (A) an individual or entity, as applicable, who has been excluded, debarred, suspended or is otherwise ineligible to participate in federal health care programs such as Medicare or Medicaid by the Office of the Inspector General (OIG/HHS) of the U.S. Department of Health and Human Services, or (B) is an individual or entity, as applicable, who has been excluded, debarred, suspended or is otherwise ineligible to participate in federal procurement and non-procurement programs, including those produced by the U.S. General Services Administration (GSA).</w:t>
      </w:r>
    </w:p>
    <w:p>
      <w:pPr>
        <w:spacing w:after="0" w:line="146" w:lineRule="exact"/>
        <w:rPr>
          <w:rFonts w:ascii="Arial" w:cs="Arial" w:eastAsia="Arial" w:hAnsi="Arial"/>
          <w:sz w:val="18"/>
          <w:szCs w:val="18"/>
          <w:color w:val="010000"/>
        </w:rPr>
      </w:pPr>
    </w:p>
    <w:p>
      <w:pPr>
        <w:jc w:val="both"/>
        <w:ind w:left="2580" w:hanging="858"/>
        <w:spacing w:after="0" w:line="272" w:lineRule="auto"/>
        <w:tabs>
          <w:tab w:leader="none" w:pos="2580" w:val="left"/>
        </w:tabs>
        <w:numPr>
          <w:ilvl w:val="0"/>
          <w:numId w:val="188"/>
        </w:numPr>
        <w:rPr>
          <w:rFonts w:ascii="Arial" w:cs="Arial" w:eastAsia="Arial" w:hAnsi="Arial"/>
          <w:sz w:val="19"/>
          <w:szCs w:val="19"/>
          <w:color w:val="010000"/>
        </w:rPr>
      </w:pPr>
      <w:r>
        <w:rPr>
          <w:rFonts w:ascii="Arial" w:cs="Arial" w:eastAsia="Arial" w:hAnsi="Arial"/>
          <w:sz w:val="19"/>
          <w:szCs w:val="19"/>
          <w:color w:val="auto"/>
        </w:rPr>
        <w:t>A “</w:t>
      </w:r>
      <w:r>
        <w:rPr>
          <w:rFonts w:ascii="Arial" w:cs="Arial" w:eastAsia="Arial" w:hAnsi="Arial"/>
          <w:sz w:val="19"/>
          <w:szCs w:val="19"/>
          <w:b w:val="1"/>
          <w:bCs w:val="1"/>
          <w:color w:val="auto"/>
        </w:rPr>
        <w:t>Convicted Individual</w:t>
      </w:r>
      <w:r>
        <w:rPr>
          <w:rFonts w:ascii="Arial" w:cs="Arial" w:eastAsia="Arial" w:hAnsi="Arial"/>
          <w:sz w:val="19"/>
          <w:szCs w:val="19"/>
          <w:color w:val="auto"/>
        </w:rPr>
        <w:t>” or “</w:t>
      </w:r>
      <w:r>
        <w:rPr>
          <w:rFonts w:ascii="Arial" w:cs="Arial" w:eastAsia="Arial" w:hAnsi="Arial"/>
          <w:sz w:val="19"/>
          <w:szCs w:val="19"/>
          <w:b w:val="1"/>
          <w:bCs w:val="1"/>
          <w:color w:val="auto"/>
        </w:rPr>
        <w:t>Convicted Entity</w:t>
      </w:r>
      <w:r>
        <w:rPr>
          <w:rFonts w:ascii="Arial" w:cs="Arial" w:eastAsia="Arial" w:hAnsi="Arial"/>
          <w:sz w:val="19"/>
          <w:szCs w:val="19"/>
          <w:color w:val="auto"/>
        </w:rPr>
        <w:t>” is an individual or entity, as applicable, who has been convicted of a criminal offense that falls within the ambit of 21 U.S.C. §335a (a) or 42 U.–.C. §1320a - 7(a), but has not yet been excluded, debarred, suspended, or otherwise declared ineligible.</w:t>
      </w:r>
    </w:p>
    <w:p>
      <w:pPr>
        <w:spacing w:after="0" w:line="150" w:lineRule="exact"/>
        <w:rPr>
          <w:sz w:val="20"/>
          <w:szCs w:val="20"/>
          <w:color w:val="auto"/>
        </w:rPr>
      </w:pPr>
    </w:p>
    <w:p>
      <w:pPr>
        <w:jc w:val="right"/>
        <w:spacing w:after="0" w:line="262" w:lineRule="auto"/>
        <w:rPr>
          <w:sz w:val="20"/>
          <w:szCs w:val="20"/>
          <w:color w:val="auto"/>
        </w:rPr>
      </w:pPr>
      <w:r>
        <w:rPr>
          <w:rFonts w:ascii="Arial" w:cs="Arial" w:eastAsia="Arial" w:hAnsi="Arial"/>
          <w:sz w:val="19"/>
          <w:szCs w:val="19"/>
          <w:color w:val="010000"/>
        </w:rPr>
        <w:t xml:space="preserve">10.2     </w:t>
      </w:r>
      <w:r>
        <w:rPr>
          <w:rFonts w:ascii="Arial" w:cs="Arial" w:eastAsia="Arial" w:hAnsi="Arial"/>
          <w:sz w:val="19"/>
          <w:szCs w:val="19"/>
          <w:b w:val="1"/>
          <w:bCs w:val="1"/>
          <w:color w:val="000000"/>
        </w:rPr>
        <w:t>Representations and Warranties by HFB</w:t>
      </w:r>
      <w:r>
        <w:rPr>
          <w:rFonts w:ascii="Arial" w:cs="Arial" w:eastAsia="Arial" w:hAnsi="Arial"/>
          <w:sz w:val="20"/>
          <w:szCs w:val="20"/>
          <w:color w:val="000000"/>
        </w:rPr>
        <w:t>.</w:t>
      </w:r>
      <w:r>
        <w:rPr>
          <w:rFonts w:ascii="Arial" w:cs="Arial" w:eastAsia="Arial" w:hAnsi="Arial"/>
          <w:sz w:val="19"/>
          <w:szCs w:val="19"/>
          <w:color w:val="010000"/>
        </w:rPr>
        <w:t xml:space="preserve"> </w:t>
      </w:r>
      <w:r>
        <w:rPr>
          <w:rFonts w:ascii="Arial" w:cs="Arial" w:eastAsia="Arial" w:hAnsi="Arial"/>
          <w:sz w:val="20"/>
          <w:szCs w:val="20"/>
          <w:color w:val="010000"/>
        </w:rPr>
        <w:t>HFB further represents and warrants to FibroGen (I) with respect to the Gal-9</w:t>
      </w:r>
      <w:r>
        <w:rPr>
          <w:rFonts w:ascii="Arial" w:cs="Arial" w:eastAsia="Arial" w:hAnsi="Arial"/>
          <w:sz w:val="19"/>
          <w:szCs w:val="19"/>
          <w:color w:val="010000"/>
        </w:rPr>
        <w:t xml:space="preserve"> </w:t>
      </w:r>
      <w:r>
        <w:rPr>
          <w:rFonts w:ascii="Arial" w:cs="Arial" w:eastAsia="Arial" w:hAnsi="Arial"/>
          <w:sz w:val="20"/>
          <w:szCs w:val="20"/>
          <w:color w:val="010000"/>
        </w:rPr>
        <w:t xml:space="preserve">Licensed Program, </w:t>
      </w:r>
      <w:r>
        <w:rPr>
          <w:rFonts w:ascii="Arial" w:cs="Arial" w:eastAsia="Arial" w:hAnsi="Arial"/>
          <w:sz w:val="20"/>
          <w:szCs w:val="20"/>
          <w:color w:val="000000"/>
        </w:rPr>
        <w:t>[*]</w:t>
      </w:r>
      <w:r>
        <w:rPr>
          <w:rFonts w:ascii="Arial" w:cs="Arial" w:eastAsia="Arial" w:hAnsi="Arial"/>
          <w:sz w:val="20"/>
          <w:szCs w:val="20"/>
          <w:color w:val="010000"/>
        </w:rPr>
        <w:t>, except as set forth in Schedule 10.2 and (II) on an Option Program-by-Option Program basis,</w:t>
      </w:r>
    </w:p>
    <w:p>
      <w:pPr>
        <w:spacing w:after="0" w:line="2" w:lineRule="exact"/>
        <w:rPr>
          <w:sz w:val="20"/>
          <w:szCs w:val="20"/>
          <w:color w:val="auto"/>
        </w:rPr>
      </w:pPr>
    </w:p>
    <w:p>
      <w:pPr>
        <w:ind w:left="860" w:hanging="2"/>
        <w:spacing w:after="0" w:line="236" w:lineRule="auto"/>
        <w:tabs>
          <w:tab w:leader="none" w:pos="1178" w:val="left"/>
        </w:tabs>
        <w:numPr>
          <w:ilvl w:val="0"/>
          <w:numId w:val="189"/>
        </w:numPr>
        <w:rPr>
          <w:rFonts w:ascii="Arial" w:cs="Arial" w:eastAsia="Arial" w:hAnsi="Arial"/>
          <w:sz w:val="22"/>
          <w:szCs w:val="22"/>
          <w:color w:val="auto"/>
        </w:rPr>
      </w:pPr>
      <w:r>
        <w:rPr>
          <w:rFonts w:ascii="Arial" w:cs="Arial" w:eastAsia="Arial" w:hAnsi="Arial"/>
          <w:sz w:val="22"/>
          <w:szCs w:val="22"/>
          <w:color w:val="010000"/>
        </w:rPr>
        <w:t>in accordance with Section 2.9(c) (Option Notice) (the “</w:t>
      </w:r>
      <w:r>
        <w:rPr>
          <w:rFonts w:ascii="Arial" w:cs="Arial" w:eastAsia="Arial" w:hAnsi="Arial"/>
          <w:sz w:val="22"/>
          <w:szCs w:val="22"/>
          <w:b w:val="1"/>
          <w:bCs w:val="1"/>
          <w:color w:val="010000"/>
        </w:rPr>
        <w:t>Option Notice Delivery Date</w:t>
      </w:r>
      <w:r>
        <w:rPr>
          <w:rFonts w:ascii="Arial" w:cs="Arial" w:eastAsia="Arial" w:hAnsi="Arial"/>
          <w:sz w:val="22"/>
          <w:szCs w:val="22"/>
          <w:color w:val="010000"/>
        </w:rPr>
        <w:t xml:space="preserve">”), except as set forth in the disclosure letter delivered to FibroGen </w:t>
      </w:r>
      <w:r>
        <w:rPr>
          <w:rFonts w:ascii="Arial" w:cs="Arial" w:eastAsia="Arial" w:hAnsi="Arial"/>
          <w:sz w:val="22"/>
          <w:szCs w:val="22"/>
          <w:color w:val="000000"/>
        </w:rPr>
        <w:t>[*]</w:t>
      </w:r>
      <w:r>
        <w:rPr>
          <w:rFonts w:ascii="Arial" w:cs="Arial" w:eastAsia="Arial" w:hAnsi="Arial"/>
          <w:sz w:val="22"/>
          <w:szCs w:val="22"/>
          <w:color w:val="010000"/>
        </w:rPr>
        <w:t xml:space="preserve"> (the “</w:t>
      </w:r>
      <w:r>
        <w:rPr>
          <w:rFonts w:ascii="Arial" w:cs="Arial" w:eastAsia="Arial" w:hAnsi="Arial"/>
          <w:sz w:val="22"/>
          <w:szCs w:val="22"/>
          <w:b w:val="1"/>
          <w:bCs w:val="1"/>
          <w:color w:val="010000"/>
        </w:rPr>
        <w:t>Disclosure Letter</w:t>
      </w:r>
      <w:r>
        <w:rPr>
          <w:rFonts w:ascii="Arial" w:cs="Arial" w:eastAsia="Arial" w:hAnsi="Arial"/>
          <w:sz w:val="22"/>
          <w:szCs w:val="22"/>
          <w:color w:val="010000"/>
        </w:rPr>
        <w:t>”), as follows:</w:t>
      </w:r>
    </w:p>
    <w:p>
      <w:pPr>
        <w:spacing w:after="0" w:line="172" w:lineRule="exact"/>
        <w:rPr>
          <w:sz w:val="20"/>
          <w:szCs w:val="20"/>
          <w:color w:val="auto"/>
        </w:rPr>
      </w:pPr>
    </w:p>
    <w:p>
      <w:pPr>
        <w:jc w:val="both"/>
        <w:ind w:left="1700" w:hanging="842"/>
        <w:spacing w:after="0" w:line="244" w:lineRule="auto"/>
        <w:tabs>
          <w:tab w:leader="none" w:pos="1700" w:val="left"/>
        </w:tabs>
        <w:numPr>
          <w:ilvl w:val="0"/>
          <w:numId w:val="190"/>
        </w:numPr>
        <w:rPr>
          <w:rFonts w:ascii="Arial" w:cs="Arial" w:eastAsia="Arial" w:hAnsi="Arial"/>
          <w:sz w:val="20"/>
          <w:szCs w:val="20"/>
          <w:color w:val="010000"/>
        </w:rPr>
      </w:pPr>
      <w:r>
        <w:rPr>
          <w:rFonts w:ascii="Arial" w:cs="Arial" w:eastAsia="Arial" w:hAnsi="Arial"/>
          <w:sz w:val="20"/>
          <w:szCs w:val="20"/>
          <w:b w:val="1"/>
          <w:bCs w:val="1"/>
          <w:color w:val="auto"/>
        </w:rPr>
        <w:t>No Conflicts</w:t>
      </w:r>
      <w:r>
        <w:rPr>
          <w:rFonts w:ascii="Arial" w:cs="Arial" w:eastAsia="Arial" w:hAnsi="Arial"/>
          <w:sz w:val="20"/>
          <w:szCs w:val="20"/>
          <w:color w:val="auto"/>
        </w:rPr>
        <w:t>. Neither HFB nor any of its Affiliates has entered into any agreement (other than agreements with</w:t>
      </w:r>
      <w:r>
        <w:rPr>
          <w:rFonts w:ascii="Arial" w:cs="Arial" w:eastAsia="Arial" w:hAnsi="Arial"/>
          <w:sz w:val="20"/>
          <w:szCs w:val="20"/>
          <w:b w:val="1"/>
          <w:bCs w:val="1"/>
          <w:color w:val="auto"/>
        </w:rPr>
        <w:t xml:space="preserve"> </w:t>
      </w:r>
      <w:r>
        <w:rPr>
          <w:rFonts w:ascii="Arial" w:cs="Arial" w:eastAsia="Arial" w:hAnsi="Arial"/>
          <w:sz w:val="20"/>
          <w:szCs w:val="20"/>
          <w:color w:val="auto"/>
        </w:rPr>
        <w:t>subcontractors) granting any right, interest or claim in or to, any Licensed Technology or Option Technology to any Third Party that would conflict with the licenses and other rights granted to FibroGen under this Agreement. The Licensed Technology constitutes all intellectual property rights Controlled by HFB and any of its Affiliates that are necessary or reasonably useful for the Exploitation of the Licensed Compounds in the Field in the Territory. All Existing Patent Rights are exclusively owned or exclusively licensed by HFB or any of its Affiliates, and are free and clear of any (i)</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119" w:lineRule="exact"/>
        <w:rPr>
          <w:sz w:val="20"/>
          <w:szCs w:val="20"/>
          <w:color w:val="auto"/>
        </w:rPr>
      </w:pPr>
    </w:p>
    <w:p>
      <w:pPr>
        <w:ind w:right="220" w:firstLine="8"/>
        <w:spacing w:after="0" w:line="277" w:lineRule="auto"/>
        <w:tabs>
          <w:tab w:leader="none" w:pos="255" w:val="left"/>
        </w:tabs>
        <w:numPr>
          <w:ilvl w:val="0"/>
          <w:numId w:val="191"/>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1" w:name="page152"/>
    <w:bookmarkEnd w:id="151"/>
    <w:p>
      <w:pPr>
        <w:jc w:val="both"/>
        <w:ind w:left="1700" w:right="20"/>
        <w:spacing w:after="0" w:line="244" w:lineRule="auto"/>
        <w:rPr>
          <w:sz w:val="20"/>
          <w:szCs w:val="20"/>
          <w:color w:val="auto"/>
        </w:rPr>
      </w:pPr>
      <w:r>
        <w:rPr>
          <w:rFonts w:ascii="Arial" w:cs="Arial" w:eastAsia="Arial" w:hAnsi="Arial"/>
          <w:sz w:val="20"/>
          <w:szCs w:val="20"/>
          <w:color w:val="auto"/>
        </w:rPr>
        <w:t>liens, charges, security interests, and encumbrances or licenses and (ii) claims or covenants, in each case that would conflict with or limit the scope of any of the rights or licenses granted to FibroGen hereunder, or would give rise to any Third Party claims for payment against FibroGen or any of its Affiliates. HFB is entitled to grant the license granted to FibroGen under Section 2.1 (License to FibroGen), and HFB has taken all appropriate measures under all applicable laws to grant such licenses.</w:t>
      </w:r>
    </w:p>
    <w:p>
      <w:pPr>
        <w:spacing w:after="0" w:line="175" w:lineRule="exact"/>
        <w:rPr>
          <w:sz w:val="20"/>
          <w:szCs w:val="20"/>
          <w:color w:val="auto"/>
        </w:rPr>
      </w:pPr>
    </w:p>
    <w:p>
      <w:pPr>
        <w:jc w:val="both"/>
        <w:ind w:left="1700" w:hanging="842"/>
        <w:spacing w:after="0" w:line="256" w:lineRule="auto"/>
        <w:tabs>
          <w:tab w:leader="none" w:pos="1700" w:val="left"/>
        </w:tabs>
        <w:numPr>
          <w:ilvl w:val="0"/>
          <w:numId w:val="192"/>
        </w:numPr>
        <w:rPr>
          <w:rFonts w:ascii="Arial" w:cs="Arial" w:eastAsia="Arial" w:hAnsi="Arial"/>
          <w:sz w:val="19"/>
          <w:szCs w:val="19"/>
          <w:color w:val="010000"/>
        </w:rPr>
      </w:pPr>
      <w:r>
        <w:rPr>
          <w:rFonts w:ascii="Arial" w:cs="Arial" w:eastAsia="Arial" w:hAnsi="Arial"/>
          <w:sz w:val="19"/>
          <w:szCs w:val="19"/>
          <w:b w:val="1"/>
          <w:bCs w:val="1"/>
          <w:color w:val="auto"/>
        </w:rPr>
        <w:t>No Notice of Infringement or Misappropriation</w:t>
      </w:r>
      <w:r>
        <w:rPr>
          <w:rFonts w:ascii="Arial" w:cs="Arial" w:eastAsia="Arial" w:hAnsi="Arial"/>
          <w:sz w:val="19"/>
          <w:szCs w:val="19"/>
          <w:color w:val="auto"/>
        </w:rPr>
        <w:t>. (i) Neither HFB nor any of its Affiliates have received or is aware</w:t>
      </w:r>
      <w:r>
        <w:rPr>
          <w:rFonts w:ascii="Arial" w:cs="Arial" w:eastAsia="Arial" w:hAnsi="Arial"/>
          <w:sz w:val="19"/>
          <w:szCs w:val="19"/>
          <w:b w:val="1"/>
          <w:bCs w:val="1"/>
          <w:color w:val="auto"/>
        </w:rPr>
        <w:t xml:space="preserve"> </w:t>
      </w:r>
      <w:r>
        <w:rPr>
          <w:rFonts w:ascii="Arial" w:cs="Arial" w:eastAsia="Arial" w:hAnsi="Arial"/>
          <w:sz w:val="19"/>
          <w:szCs w:val="19"/>
          <w:color w:val="auto"/>
        </w:rPr>
        <w:t>of any written notice from any Third Party asserting or alleging that any Exploitation of any Licensed Technology, any Licensed Compound, any Option Technology, or any Option Compound has infringed or misappropriated, or would infringe or misappropriate, the intellectual property rights of any Third Party, and (ii) no claim is pending, and HFB and any of its Affiliates and, to HFB’s knowledge, any Third Party collaborator, has not received from a Third Party notice of a claim or threatened claim to the effect that any granted Patent Right rights within the Licensed Technology licensed to FibroGen under this Agreement, or the Option Technology, is invalid or unenforceable. To HFB’s knowledge, the Exploitation of the Licensed Compound, and Option Compound as contemplated hereunder will not infringe, misappropriate, or otherwise violate the intellectual property rights of any Third Party. Additionally, to HFB’s knowledge, there is no unauthorized use, infringement or misappropriation of any Licensed Technology or Option Technology by any Third Party as of the Effective Date.</w:t>
      </w:r>
    </w:p>
    <w:p>
      <w:pPr>
        <w:spacing w:after="0" w:line="68" w:lineRule="exact"/>
        <w:rPr>
          <w:rFonts w:ascii="Arial" w:cs="Arial" w:eastAsia="Arial" w:hAnsi="Arial"/>
          <w:sz w:val="19"/>
          <w:szCs w:val="19"/>
          <w:color w:val="010000"/>
        </w:rPr>
      </w:pPr>
    </w:p>
    <w:p>
      <w:pPr>
        <w:ind w:left="1700" w:hanging="842"/>
        <w:spacing w:after="0" w:line="293" w:lineRule="auto"/>
        <w:tabs>
          <w:tab w:leader="none" w:pos="1700" w:val="left"/>
        </w:tabs>
        <w:numPr>
          <w:ilvl w:val="0"/>
          <w:numId w:val="192"/>
        </w:numPr>
        <w:rPr>
          <w:rFonts w:ascii="Arial" w:cs="Arial" w:eastAsia="Arial" w:hAnsi="Arial"/>
          <w:sz w:val="19"/>
          <w:szCs w:val="19"/>
          <w:color w:val="010000"/>
        </w:rPr>
      </w:pPr>
      <w:r>
        <w:rPr>
          <w:rFonts w:ascii="Arial" w:cs="Arial" w:eastAsia="Arial" w:hAnsi="Arial"/>
          <w:sz w:val="19"/>
          <w:szCs w:val="19"/>
          <w:b w:val="1"/>
          <w:bCs w:val="1"/>
          <w:color w:val="auto"/>
        </w:rPr>
        <w:t>No Misappropriation</w:t>
      </w:r>
      <w:r>
        <w:rPr>
          <w:rFonts w:ascii="Arial" w:cs="Arial" w:eastAsia="Arial" w:hAnsi="Arial"/>
          <w:sz w:val="19"/>
          <w:szCs w:val="19"/>
          <w:color w:val="auto"/>
        </w:rPr>
        <w:t>. To HFB’s knowledge, no employee, consultant, agent or independent contractor of HFB,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or Third Party, has misappropriated any Licensed Technology or Option Technology.</w:t>
      </w:r>
    </w:p>
    <w:p>
      <w:pPr>
        <w:spacing w:after="0" w:line="33" w:lineRule="exact"/>
        <w:rPr>
          <w:rFonts w:ascii="Arial" w:cs="Arial" w:eastAsia="Arial" w:hAnsi="Arial"/>
          <w:sz w:val="19"/>
          <w:szCs w:val="19"/>
          <w:color w:val="010000"/>
        </w:rPr>
      </w:pPr>
    </w:p>
    <w:p>
      <w:pPr>
        <w:jc w:val="both"/>
        <w:ind w:left="1700" w:hanging="842"/>
        <w:spacing w:after="0" w:line="244" w:lineRule="auto"/>
        <w:tabs>
          <w:tab w:leader="none" w:pos="1700" w:val="left"/>
        </w:tabs>
        <w:numPr>
          <w:ilvl w:val="0"/>
          <w:numId w:val="192"/>
        </w:numPr>
        <w:rPr>
          <w:rFonts w:ascii="Arial" w:cs="Arial" w:eastAsia="Arial" w:hAnsi="Arial"/>
          <w:sz w:val="20"/>
          <w:szCs w:val="20"/>
          <w:color w:val="010000"/>
        </w:rPr>
      </w:pPr>
      <w:r>
        <w:rPr>
          <w:rFonts w:ascii="Arial" w:cs="Arial" w:eastAsia="Arial" w:hAnsi="Arial"/>
          <w:sz w:val="20"/>
          <w:szCs w:val="20"/>
          <w:b w:val="1"/>
          <w:bCs w:val="1"/>
          <w:color w:val="auto"/>
        </w:rPr>
        <w:t>Licensed Technology</w:t>
      </w:r>
      <w:r>
        <w:rPr>
          <w:rFonts w:ascii="Arial" w:cs="Arial" w:eastAsia="Arial" w:hAnsi="Arial"/>
          <w:sz w:val="20"/>
          <w:szCs w:val="20"/>
          <w:color w:val="auto"/>
        </w:rPr>
        <w:t>. All Existing Patent Rights are listed on Schedule 1.89 (Existing Patent Rights). All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Patent Rights have been and are being diligently prosecuted in the respective patent offices in the Territory in accordance with applicable law, have been and are being filed and maintained properly, and all applicable fees have been paid on or before the due date for payment, and the Existing Patent Rights that have issued are subsisting and not invalid or unenforceable, in whole or in part. The Existing Patent Rights represent all Patent Rights Controlled by HFB and any of its Affiliates that are necessary or reasonably useful for the Exploitation of the Licensed Compounds in the Territory.</w:t>
      </w:r>
    </w:p>
    <w:p>
      <w:pPr>
        <w:spacing w:after="0" w:line="77" w:lineRule="exact"/>
        <w:rPr>
          <w:rFonts w:ascii="Arial" w:cs="Arial" w:eastAsia="Arial" w:hAnsi="Arial"/>
          <w:sz w:val="20"/>
          <w:szCs w:val="20"/>
          <w:color w:val="010000"/>
        </w:rPr>
      </w:pPr>
    </w:p>
    <w:p>
      <w:pPr>
        <w:jc w:val="both"/>
        <w:ind w:left="1700" w:hanging="842"/>
        <w:spacing w:after="0" w:line="248" w:lineRule="auto"/>
        <w:tabs>
          <w:tab w:leader="none" w:pos="1700" w:val="left"/>
        </w:tabs>
        <w:numPr>
          <w:ilvl w:val="0"/>
          <w:numId w:val="192"/>
        </w:numPr>
        <w:rPr>
          <w:rFonts w:ascii="Arial" w:cs="Arial" w:eastAsia="Arial" w:hAnsi="Arial"/>
          <w:sz w:val="20"/>
          <w:szCs w:val="20"/>
          <w:color w:val="010000"/>
        </w:rPr>
      </w:pPr>
      <w:r>
        <w:rPr>
          <w:rFonts w:ascii="Arial" w:cs="Arial" w:eastAsia="Arial" w:hAnsi="Arial"/>
          <w:sz w:val="20"/>
          <w:szCs w:val="20"/>
          <w:b w:val="1"/>
          <w:bCs w:val="1"/>
          <w:color w:val="auto"/>
        </w:rPr>
        <w:t>Option Programs</w:t>
      </w:r>
      <w:r>
        <w:rPr>
          <w:rFonts w:ascii="Arial" w:cs="Arial" w:eastAsia="Arial" w:hAnsi="Arial"/>
          <w:sz w:val="20"/>
          <w:szCs w:val="20"/>
          <w:color w:val="auto"/>
        </w:rPr>
        <w:t>. (i) HFB has the right to use all Option Technology to Exploit the Option Compounds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Territory as contemplated under this Agreement; and (ii) the Development, Commercialization, or other Exploitation of the Option Compounds as contemplated herein will not conflict with any other license or agreement to which HFB or any of its Affiliates is a party.</w:t>
      </w:r>
    </w:p>
    <w:p>
      <w:pPr>
        <w:spacing w:after="0" w:line="75" w:lineRule="exact"/>
        <w:rPr>
          <w:rFonts w:ascii="Arial" w:cs="Arial" w:eastAsia="Arial" w:hAnsi="Arial"/>
          <w:sz w:val="20"/>
          <w:szCs w:val="20"/>
          <w:color w:val="010000"/>
        </w:rPr>
      </w:pPr>
    </w:p>
    <w:p>
      <w:pPr>
        <w:jc w:val="both"/>
        <w:ind w:left="1700" w:hanging="842"/>
        <w:spacing w:after="0" w:line="260" w:lineRule="auto"/>
        <w:tabs>
          <w:tab w:leader="none" w:pos="1700" w:val="left"/>
        </w:tabs>
        <w:numPr>
          <w:ilvl w:val="0"/>
          <w:numId w:val="192"/>
        </w:numPr>
        <w:rPr>
          <w:rFonts w:ascii="Arial" w:cs="Arial" w:eastAsia="Arial" w:hAnsi="Arial"/>
          <w:sz w:val="19"/>
          <w:szCs w:val="19"/>
          <w:color w:val="010000"/>
        </w:rPr>
      </w:pPr>
      <w:r>
        <w:rPr>
          <w:rFonts w:ascii="Arial" w:cs="Arial" w:eastAsia="Arial" w:hAnsi="Arial"/>
          <w:sz w:val="19"/>
          <w:szCs w:val="19"/>
          <w:b w:val="1"/>
          <w:bCs w:val="1"/>
          <w:color w:val="auto"/>
        </w:rPr>
        <w:t>Option Technology</w:t>
      </w:r>
      <w:r>
        <w:rPr>
          <w:rFonts w:ascii="Arial" w:cs="Arial" w:eastAsia="Arial" w:hAnsi="Arial"/>
          <w:sz w:val="19"/>
          <w:szCs w:val="19"/>
          <w:color w:val="auto"/>
        </w:rPr>
        <w:t>. (i) Schedule 10.2(f) (Option Patent Rights) sets forth a complete and accurate list of all Patent</w:t>
      </w:r>
      <w:r>
        <w:rPr>
          <w:rFonts w:ascii="Arial" w:cs="Arial" w:eastAsia="Arial" w:hAnsi="Arial"/>
          <w:sz w:val="19"/>
          <w:szCs w:val="19"/>
          <w:b w:val="1"/>
          <w:bCs w:val="1"/>
          <w:color w:val="auto"/>
        </w:rPr>
        <w:t xml:space="preserve"> </w:t>
      </w:r>
      <w:r>
        <w:rPr>
          <w:rFonts w:ascii="Arial" w:cs="Arial" w:eastAsia="Arial" w:hAnsi="Arial"/>
          <w:sz w:val="19"/>
          <w:szCs w:val="19"/>
          <w:color w:val="auto"/>
        </w:rPr>
        <w:t>Rights existing as of [*] that are Controlled by HFB or any of its Affiliates that are necessary or reasonably useful to Develop, Manufacture, Commercialize, or otherwise Exploit any Option Compound in the Territory (the “</w:t>
      </w:r>
      <w:r>
        <w:rPr>
          <w:rFonts w:ascii="Arial" w:cs="Arial" w:eastAsia="Arial" w:hAnsi="Arial"/>
          <w:sz w:val="19"/>
          <w:szCs w:val="19"/>
          <w:b w:val="1"/>
          <w:bCs w:val="1"/>
          <w:color w:val="auto"/>
        </w:rPr>
        <w:t>Option</w:t>
      </w:r>
      <w:r>
        <w:rPr>
          <w:rFonts w:ascii="Arial" w:cs="Arial" w:eastAsia="Arial" w:hAnsi="Arial"/>
          <w:sz w:val="19"/>
          <w:szCs w:val="19"/>
          <w:color w:val="auto"/>
        </w:rPr>
        <w:t xml:space="preserve"> </w:t>
      </w:r>
      <w:r>
        <w:rPr>
          <w:rFonts w:ascii="Arial" w:cs="Arial" w:eastAsia="Arial" w:hAnsi="Arial"/>
          <w:sz w:val="19"/>
          <w:szCs w:val="19"/>
          <w:b w:val="1"/>
          <w:bCs w:val="1"/>
          <w:color w:val="auto"/>
        </w:rPr>
        <w:t>Patent Rights</w:t>
      </w:r>
      <w:r>
        <w:rPr>
          <w:rFonts w:ascii="Arial" w:cs="Arial" w:eastAsia="Arial" w:hAnsi="Arial"/>
          <w:sz w:val="19"/>
          <w:szCs w:val="19"/>
          <w:color w:val="auto"/>
        </w:rPr>
        <w:t>”) and (ii) HFB does not own or hold rights to any Patent Rights that would otherwise fall within the</w:t>
      </w:r>
      <w:r>
        <w:rPr>
          <w:rFonts w:ascii="Arial" w:cs="Arial" w:eastAsia="Arial" w:hAnsi="Arial"/>
          <w:sz w:val="19"/>
          <w:szCs w:val="19"/>
          <w:b w:val="1"/>
          <w:bCs w:val="1"/>
          <w:color w:val="auto"/>
        </w:rPr>
        <w:t xml:space="preserve"> </w:t>
      </w:r>
      <w:r>
        <w:rPr>
          <w:rFonts w:ascii="Arial" w:cs="Arial" w:eastAsia="Arial" w:hAnsi="Arial"/>
          <w:sz w:val="19"/>
          <w:szCs w:val="19"/>
          <w:color w:val="auto"/>
        </w:rPr>
        <w:t>foregoing clause (i) but for the fact that it does not Control such Patent Rights, HFB exclusively owns or exclusively licenses all rights, title, and interests in and to all Option Patent Rights.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119" w:lineRule="exact"/>
        <w:rPr>
          <w:sz w:val="20"/>
          <w:szCs w:val="20"/>
          <w:color w:val="auto"/>
        </w:rPr>
      </w:pPr>
    </w:p>
    <w:p>
      <w:pPr>
        <w:ind w:right="220" w:firstLine="8"/>
        <w:spacing w:after="0" w:line="277" w:lineRule="auto"/>
        <w:tabs>
          <w:tab w:leader="none" w:pos="255" w:val="left"/>
        </w:tabs>
        <w:numPr>
          <w:ilvl w:val="0"/>
          <w:numId w:val="193"/>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2" w:name="page153"/>
    <w:bookmarkEnd w:id="152"/>
    <w:p>
      <w:pPr>
        <w:ind w:left="1700" w:hanging="842"/>
        <w:spacing w:after="0" w:line="267" w:lineRule="auto"/>
        <w:tabs>
          <w:tab w:leader="none" w:pos="1700" w:val="left"/>
        </w:tabs>
        <w:numPr>
          <w:ilvl w:val="0"/>
          <w:numId w:val="194"/>
        </w:numPr>
        <w:rPr>
          <w:rFonts w:ascii="Arial" w:cs="Arial" w:eastAsia="Arial" w:hAnsi="Arial"/>
          <w:sz w:val="20"/>
          <w:szCs w:val="20"/>
          <w:color w:val="010000"/>
        </w:rPr>
      </w:pPr>
      <w:r>
        <w:rPr>
          <w:rFonts w:ascii="Arial" w:cs="Arial" w:eastAsia="Arial" w:hAnsi="Arial"/>
          <w:sz w:val="20"/>
          <w:szCs w:val="20"/>
          <w:b w:val="1"/>
          <w:bCs w:val="1"/>
          <w:color w:val="auto"/>
        </w:rPr>
        <w:t>Licensed Compound</w:t>
      </w:r>
      <w:r>
        <w:rPr>
          <w:rFonts w:ascii="Arial" w:cs="Arial" w:eastAsia="Arial" w:hAnsi="Arial"/>
          <w:sz w:val="20"/>
          <w:szCs w:val="20"/>
          <w:color w:val="auto"/>
        </w:rPr>
        <w:t>. HFB has disclosed to FibroGen all compounds that HFB or any of its Affiliates owns or in-licenses that are the subject of the Gal-9 Licensed Program or each Option Program, as applicable.</w:t>
      </w:r>
    </w:p>
    <w:p>
      <w:pPr>
        <w:spacing w:after="0" w:line="55" w:lineRule="exact"/>
        <w:rPr>
          <w:rFonts w:ascii="Arial" w:cs="Arial" w:eastAsia="Arial" w:hAnsi="Arial"/>
          <w:sz w:val="20"/>
          <w:szCs w:val="20"/>
          <w:color w:val="010000"/>
        </w:rPr>
      </w:pPr>
    </w:p>
    <w:p>
      <w:pPr>
        <w:jc w:val="both"/>
        <w:ind w:left="1700" w:hanging="842"/>
        <w:spacing w:after="0" w:line="280" w:lineRule="auto"/>
        <w:tabs>
          <w:tab w:leader="none" w:pos="1700" w:val="left"/>
        </w:tabs>
        <w:numPr>
          <w:ilvl w:val="0"/>
          <w:numId w:val="194"/>
        </w:numPr>
        <w:rPr>
          <w:rFonts w:ascii="Arial" w:cs="Arial" w:eastAsia="Arial" w:hAnsi="Arial"/>
          <w:sz w:val="18"/>
          <w:szCs w:val="18"/>
          <w:color w:val="010000"/>
        </w:rPr>
      </w:pPr>
      <w:r>
        <w:rPr>
          <w:rFonts w:ascii="Arial" w:cs="Arial" w:eastAsia="Arial" w:hAnsi="Arial"/>
          <w:sz w:val="18"/>
          <w:szCs w:val="18"/>
          <w:b w:val="1"/>
          <w:bCs w:val="1"/>
          <w:color w:val="auto"/>
        </w:rPr>
        <w:t>HFB Assignment</w:t>
      </w:r>
      <w:r>
        <w:rPr>
          <w:rFonts w:ascii="Arial" w:cs="Arial" w:eastAsia="Arial" w:hAnsi="Arial"/>
          <w:sz w:val="18"/>
          <w:szCs w:val="18"/>
          <w:color w:val="auto"/>
        </w:rPr>
        <w:t>. For the Existing Patent Rights that are owned by HFB or its Affiliates, all employees, consultants,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and other Persons who have contributed to the development, creation, conception or invention of any of the Existing Patent Rights have executed a written agreement assigning to HFB or any of its Affiliates all rights to such developments, creations, conceptions or inventions, or Existing Patent Rights, and neither HFB nor any of its Affiliates has received any written communication challenging HFB’s ownership or right to the Existing Patent Rights.</w:t>
      </w:r>
    </w:p>
    <w:p>
      <w:pPr>
        <w:spacing w:after="0" w:line="142" w:lineRule="exact"/>
        <w:rPr>
          <w:rFonts w:ascii="Arial" w:cs="Arial" w:eastAsia="Arial" w:hAnsi="Arial"/>
          <w:sz w:val="18"/>
          <w:szCs w:val="18"/>
          <w:color w:val="010000"/>
        </w:rPr>
      </w:pPr>
    </w:p>
    <w:p>
      <w:pPr>
        <w:jc w:val="both"/>
        <w:ind w:left="1700" w:hanging="842"/>
        <w:spacing w:after="0" w:line="280" w:lineRule="auto"/>
        <w:tabs>
          <w:tab w:leader="none" w:pos="1700" w:val="left"/>
        </w:tabs>
        <w:numPr>
          <w:ilvl w:val="0"/>
          <w:numId w:val="194"/>
        </w:numPr>
        <w:rPr>
          <w:rFonts w:ascii="Arial" w:cs="Arial" w:eastAsia="Arial" w:hAnsi="Arial"/>
          <w:sz w:val="18"/>
          <w:szCs w:val="18"/>
          <w:color w:val="010000"/>
        </w:rPr>
      </w:pPr>
      <w:r>
        <w:rPr>
          <w:rFonts w:ascii="Arial" w:cs="Arial" w:eastAsia="Arial" w:hAnsi="Arial"/>
          <w:sz w:val="18"/>
          <w:szCs w:val="18"/>
          <w:b w:val="1"/>
          <w:bCs w:val="1"/>
          <w:color w:val="auto"/>
        </w:rPr>
        <w:t>All Material Information Furnished</w:t>
      </w:r>
      <w:r>
        <w:rPr>
          <w:rFonts w:ascii="Arial" w:cs="Arial" w:eastAsia="Arial" w:hAnsi="Arial"/>
          <w:sz w:val="18"/>
          <w:szCs w:val="18"/>
          <w:color w:val="auto"/>
        </w:rPr>
        <w:t>. HFB has furnished or made available to FibroGen or its agents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(i) all [*] requested by FibroGen, (ii) all material safety and efficacy data, (iii) all material regulatory filings and other correspondence with Regulatory Authorities, and (iv) [*], in each case ((i) through (iv)), concerning the Licensed Compounds, the Option Compounds, the Licensed Technology and the Option Technology. All such material information and data, regulatory filings and other correspondence with Regulatory Authorities is [*].</w:t>
      </w:r>
    </w:p>
    <w:p>
      <w:pPr>
        <w:spacing w:after="0" w:line="48" w:lineRule="exact"/>
        <w:rPr>
          <w:rFonts w:ascii="Arial" w:cs="Arial" w:eastAsia="Arial" w:hAnsi="Arial"/>
          <w:sz w:val="18"/>
          <w:szCs w:val="18"/>
          <w:color w:val="010000"/>
        </w:rPr>
      </w:pPr>
    </w:p>
    <w:p>
      <w:pPr>
        <w:ind w:left="1700" w:hanging="842"/>
        <w:spacing w:after="0" w:line="267" w:lineRule="auto"/>
        <w:tabs>
          <w:tab w:leader="none" w:pos="1700" w:val="left"/>
        </w:tabs>
        <w:numPr>
          <w:ilvl w:val="0"/>
          <w:numId w:val="194"/>
        </w:numPr>
        <w:rPr>
          <w:rFonts w:ascii="Arial" w:cs="Arial" w:eastAsia="Arial" w:hAnsi="Arial"/>
          <w:sz w:val="20"/>
          <w:szCs w:val="20"/>
          <w:color w:val="010000"/>
        </w:rPr>
      </w:pPr>
      <w:r>
        <w:rPr>
          <w:rFonts w:ascii="Arial" w:cs="Arial" w:eastAsia="Arial" w:hAnsi="Arial"/>
          <w:sz w:val="20"/>
          <w:szCs w:val="20"/>
          <w:b w:val="1"/>
          <w:bCs w:val="1"/>
          <w:color w:val="auto"/>
        </w:rPr>
        <w:t>Conduct of Research and Development</w:t>
      </w:r>
      <w:r>
        <w:rPr>
          <w:rFonts w:ascii="Arial" w:cs="Arial" w:eastAsia="Arial" w:hAnsi="Arial"/>
          <w:sz w:val="20"/>
          <w:szCs w:val="20"/>
          <w:color w:val="auto"/>
        </w:rPr>
        <w:t>. HFB and its Affiliates have conducted all Development of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Compound and Option Compound in accordance with all Applicable Law.</w:t>
      </w:r>
    </w:p>
    <w:p>
      <w:pPr>
        <w:spacing w:after="0" w:line="55" w:lineRule="exact"/>
        <w:rPr>
          <w:rFonts w:ascii="Arial" w:cs="Arial" w:eastAsia="Arial" w:hAnsi="Arial"/>
          <w:sz w:val="20"/>
          <w:szCs w:val="20"/>
          <w:color w:val="010000"/>
        </w:rPr>
      </w:pPr>
    </w:p>
    <w:p>
      <w:pPr>
        <w:jc w:val="both"/>
        <w:ind w:left="1700" w:hanging="842"/>
        <w:spacing w:after="0" w:line="255" w:lineRule="auto"/>
        <w:tabs>
          <w:tab w:leader="none" w:pos="1700" w:val="left"/>
        </w:tabs>
        <w:numPr>
          <w:ilvl w:val="0"/>
          <w:numId w:val="194"/>
        </w:numPr>
        <w:rPr>
          <w:rFonts w:ascii="Arial" w:cs="Arial" w:eastAsia="Arial" w:hAnsi="Arial"/>
          <w:sz w:val="19"/>
          <w:szCs w:val="19"/>
          <w:color w:val="010000"/>
        </w:rPr>
      </w:pPr>
      <w:r>
        <w:rPr>
          <w:rFonts w:ascii="Arial" w:cs="Arial" w:eastAsia="Arial" w:hAnsi="Arial"/>
          <w:sz w:val="19"/>
          <w:szCs w:val="19"/>
          <w:b w:val="1"/>
          <w:bCs w:val="1"/>
          <w:color w:val="auto"/>
        </w:rPr>
        <w:t>Upstream License</w:t>
      </w:r>
      <w:r>
        <w:rPr>
          <w:rFonts w:ascii="Arial" w:cs="Arial" w:eastAsia="Arial" w:hAnsi="Arial"/>
          <w:sz w:val="19"/>
          <w:szCs w:val="19"/>
          <w:color w:val="auto"/>
        </w:rPr>
        <w:t>. The Upstream License represents a complete and accurate list of all written agreements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any Third Party (other than pursuant to Section 10.2(h) (Representations and Warranties by HFB)) has a license, covenant not to sue, option or other similar right that would be necessary or reasonably useful with respect to the Exploitation of any Licensed Compound, but not including [*]. The Upstream License remains in full force and effect. HFB is in compliance with all material terms of the Upstream License, and no circumstances exist which could reasonably be expected to result in a breach or default of any Upstream License. All consents or approvals required under the Upstream License in order for HFB to grant the rights granted to FibroGen under this Agreement have been obtained. Subject to and except as set forth in the Standby Letter, this Agreement is consistent in all material respects with the terms and condition, and meets all material requirements of, the Upstream License. HFB has provided FibroGen with a complete and correct copy of the Upstream License. HFB has not waived any of its material rights under the Upstream License, and, to its knowledge, no such material rights have lapsed or otherwise expired or been terminated.</w:t>
      </w:r>
    </w:p>
    <w:p>
      <w:pPr>
        <w:spacing w:after="0" w:line="170" w:lineRule="exact"/>
        <w:rPr>
          <w:rFonts w:ascii="Arial" w:cs="Arial" w:eastAsia="Arial" w:hAnsi="Arial"/>
          <w:sz w:val="19"/>
          <w:szCs w:val="19"/>
          <w:color w:val="010000"/>
        </w:rPr>
      </w:pPr>
    </w:p>
    <w:p>
      <w:pPr>
        <w:jc w:val="both"/>
        <w:ind w:left="1700" w:hanging="842"/>
        <w:spacing w:after="0" w:line="248" w:lineRule="auto"/>
        <w:tabs>
          <w:tab w:leader="none" w:pos="1700" w:val="left"/>
        </w:tabs>
        <w:numPr>
          <w:ilvl w:val="0"/>
          <w:numId w:val="194"/>
        </w:numPr>
        <w:rPr>
          <w:rFonts w:ascii="Arial" w:cs="Arial" w:eastAsia="Arial" w:hAnsi="Arial"/>
          <w:sz w:val="20"/>
          <w:szCs w:val="20"/>
          <w:color w:val="010000"/>
        </w:rPr>
      </w:pPr>
      <w:r>
        <w:rPr>
          <w:rFonts w:ascii="Arial" w:cs="Arial" w:eastAsia="Arial" w:hAnsi="Arial"/>
          <w:sz w:val="20"/>
          <w:szCs w:val="20"/>
          <w:b w:val="1"/>
          <w:bCs w:val="1"/>
          <w:color w:val="auto"/>
        </w:rPr>
        <w:t>Government Funding</w:t>
      </w:r>
      <w:r>
        <w:rPr>
          <w:rFonts w:ascii="Arial" w:cs="Arial" w:eastAsia="Arial" w:hAnsi="Arial"/>
          <w:sz w:val="20"/>
          <w:szCs w:val="20"/>
          <w:color w:val="auto"/>
        </w:rPr>
        <w:t>. (i) To HFB’s knowledge, no Licensed Technology that is licensed to HFB under the Upstream</w:t>
      </w:r>
      <w:r>
        <w:rPr>
          <w:rFonts w:ascii="Arial" w:cs="Arial" w:eastAsia="Arial" w:hAnsi="Arial"/>
          <w:sz w:val="20"/>
          <w:szCs w:val="20"/>
          <w:b w:val="1"/>
          <w:bCs w:val="1"/>
          <w:color w:val="auto"/>
        </w:rPr>
        <w:t xml:space="preserve"> </w:t>
      </w:r>
      <w:r>
        <w:rPr>
          <w:rFonts w:ascii="Arial" w:cs="Arial" w:eastAsia="Arial" w:hAnsi="Arial"/>
          <w:sz w:val="20"/>
          <w:szCs w:val="20"/>
          <w:color w:val="auto"/>
        </w:rPr>
        <w:t>License is subject to any funding agreement with any government or governmental agency, and (ii) no Licensed Technology owned by HFB or any of its Affiliates is subject to any funding agreement with any government or governmental agency.</w:t>
      </w:r>
    </w:p>
    <w:p>
      <w:pPr>
        <w:spacing w:after="0" w:line="75" w:lineRule="exact"/>
        <w:rPr>
          <w:rFonts w:ascii="Arial" w:cs="Arial" w:eastAsia="Arial" w:hAnsi="Arial"/>
          <w:sz w:val="20"/>
          <w:szCs w:val="20"/>
          <w:color w:val="010000"/>
        </w:rPr>
      </w:pPr>
    </w:p>
    <w:p>
      <w:pPr>
        <w:ind w:left="1700" w:hanging="842"/>
        <w:spacing w:after="0" w:line="293" w:lineRule="auto"/>
        <w:tabs>
          <w:tab w:leader="none" w:pos="1700" w:val="left"/>
        </w:tabs>
        <w:numPr>
          <w:ilvl w:val="0"/>
          <w:numId w:val="194"/>
        </w:numPr>
        <w:rPr>
          <w:rFonts w:ascii="Arial" w:cs="Arial" w:eastAsia="Arial" w:hAnsi="Arial"/>
          <w:sz w:val="19"/>
          <w:szCs w:val="19"/>
          <w:color w:val="010000"/>
        </w:rPr>
      </w:pPr>
      <w:r>
        <w:rPr>
          <w:rFonts w:ascii="Arial" w:cs="Arial" w:eastAsia="Arial" w:hAnsi="Arial"/>
          <w:sz w:val="19"/>
          <w:szCs w:val="19"/>
          <w:b w:val="1"/>
          <w:bCs w:val="1"/>
          <w:color w:val="auto"/>
        </w:rPr>
        <w:t>Downstream Licenses</w:t>
      </w:r>
      <w:r>
        <w:rPr>
          <w:rFonts w:ascii="Arial" w:cs="Arial" w:eastAsia="Arial" w:hAnsi="Arial"/>
          <w:sz w:val="19"/>
          <w:szCs w:val="19"/>
          <w:color w:val="auto"/>
        </w:rPr>
        <w:t>. Neither HFB nor any of its Affiliates have granted to any Third Party a license, covenant not to</w:t>
      </w:r>
      <w:r>
        <w:rPr>
          <w:rFonts w:ascii="Arial" w:cs="Arial" w:eastAsia="Arial" w:hAnsi="Arial"/>
          <w:sz w:val="19"/>
          <w:szCs w:val="19"/>
          <w:b w:val="1"/>
          <w:bCs w:val="1"/>
          <w:color w:val="auto"/>
        </w:rPr>
        <w:t xml:space="preserve"> </w:t>
      </w:r>
      <w:r>
        <w:rPr>
          <w:rFonts w:ascii="Arial" w:cs="Arial" w:eastAsia="Arial" w:hAnsi="Arial"/>
          <w:sz w:val="19"/>
          <w:szCs w:val="19"/>
          <w:color w:val="auto"/>
        </w:rPr>
        <w:t>sue, option, or other right with respect to any Licensed Compound, or Option Compound in the Territory.</w:t>
      </w:r>
    </w:p>
    <w:p>
      <w:pPr>
        <w:spacing w:after="0" w:line="33" w:lineRule="exact"/>
        <w:rPr>
          <w:rFonts w:ascii="Arial" w:cs="Arial" w:eastAsia="Arial" w:hAnsi="Arial"/>
          <w:sz w:val="19"/>
          <w:szCs w:val="19"/>
          <w:color w:val="010000"/>
        </w:rPr>
      </w:pPr>
    </w:p>
    <w:p>
      <w:pPr>
        <w:ind w:left="1700" w:right="20" w:hanging="842"/>
        <w:spacing w:after="0" w:line="267" w:lineRule="auto"/>
        <w:tabs>
          <w:tab w:leader="none" w:pos="1700" w:val="left"/>
        </w:tabs>
        <w:numPr>
          <w:ilvl w:val="0"/>
          <w:numId w:val="194"/>
        </w:numPr>
        <w:rPr>
          <w:rFonts w:ascii="Arial" w:cs="Arial" w:eastAsia="Arial" w:hAnsi="Arial"/>
          <w:sz w:val="20"/>
          <w:szCs w:val="20"/>
          <w:color w:val="010000"/>
        </w:rPr>
      </w:pPr>
      <w:r>
        <w:rPr>
          <w:rFonts w:ascii="Arial" w:cs="Arial" w:eastAsia="Arial" w:hAnsi="Arial"/>
          <w:sz w:val="20"/>
          <w:szCs w:val="20"/>
          <w:b w:val="1"/>
          <w:bCs w:val="1"/>
          <w:color w:val="auto"/>
        </w:rPr>
        <w:t>Consents</w:t>
      </w:r>
      <w:r>
        <w:rPr>
          <w:rFonts w:ascii="Arial" w:cs="Arial" w:eastAsia="Arial" w:hAnsi="Arial"/>
          <w:sz w:val="20"/>
          <w:szCs w:val="20"/>
          <w:color w:val="auto"/>
        </w:rPr>
        <w:t>. Without limitation to Section 10.1(d) (Consents), each Party and its Affiliates have obtained all consents,</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and authorizations from all governmental authorities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119" w:lineRule="exact"/>
        <w:rPr>
          <w:sz w:val="20"/>
          <w:szCs w:val="20"/>
          <w:color w:val="auto"/>
        </w:rPr>
      </w:pPr>
    </w:p>
    <w:p>
      <w:pPr>
        <w:ind w:right="220" w:firstLine="8"/>
        <w:spacing w:after="0" w:line="277" w:lineRule="auto"/>
        <w:tabs>
          <w:tab w:leader="none" w:pos="255" w:val="left"/>
        </w:tabs>
        <w:numPr>
          <w:ilvl w:val="0"/>
          <w:numId w:val="195"/>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3" w:name="page154"/>
    <w:bookmarkEnd w:id="153"/>
    <w:p>
      <w:pPr>
        <w:jc w:val="both"/>
        <w:ind w:left="1700"/>
        <w:spacing w:after="0" w:line="291" w:lineRule="auto"/>
        <w:rPr>
          <w:sz w:val="20"/>
          <w:szCs w:val="20"/>
          <w:color w:val="auto"/>
        </w:rPr>
      </w:pPr>
      <w:r>
        <w:rPr>
          <w:rFonts w:ascii="Arial" w:cs="Arial" w:eastAsia="Arial" w:hAnsi="Arial"/>
          <w:sz w:val="18"/>
          <w:szCs w:val="18"/>
          <w:color w:val="auto"/>
        </w:rPr>
        <w:t>required to be obtained by such Party or its Affiliates in connection with this Agreement and, as between the Parties, the Party responsible for obtaining any such consent, approval or authorization will be [*] to any governmental authority for the failure by such Party or its Affiliates to obtain any such consent, approval or authorization.</w:t>
      </w:r>
    </w:p>
    <w:p>
      <w:pPr>
        <w:spacing w:after="0" w:line="3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10.3</w:t>
      </w:r>
      <w:r>
        <w:rPr>
          <w:sz w:val="20"/>
          <w:szCs w:val="20"/>
          <w:color w:val="auto"/>
        </w:rPr>
        <w:tab/>
      </w:r>
      <w:r>
        <w:rPr>
          <w:rFonts w:ascii="Arial" w:cs="Arial" w:eastAsia="Arial" w:hAnsi="Arial"/>
          <w:sz w:val="18"/>
          <w:szCs w:val="18"/>
          <w:b w:val="1"/>
          <w:bCs w:val="1"/>
          <w:color w:val="auto"/>
        </w:rPr>
        <w:t>HFB Covenants</w:t>
      </w:r>
      <w:r>
        <w:rPr>
          <w:rFonts w:ascii="Arial" w:cs="Arial" w:eastAsia="Arial" w:hAnsi="Arial"/>
          <w:sz w:val="19"/>
          <w:szCs w:val="19"/>
          <w:color w:val="auto"/>
        </w:rPr>
        <w:t>.</w:t>
      </w:r>
    </w:p>
    <w:p>
      <w:pPr>
        <w:spacing w:after="0" w:line="214" w:lineRule="exact"/>
        <w:rPr>
          <w:sz w:val="20"/>
          <w:szCs w:val="20"/>
          <w:color w:val="auto"/>
        </w:rPr>
      </w:pPr>
    </w:p>
    <w:p>
      <w:pPr>
        <w:jc w:val="both"/>
        <w:ind w:left="1700" w:hanging="842"/>
        <w:spacing w:after="0" w:line="248" w:lineRule="auto"/>
        <w:tabs>
          <w:tab w:leader="none" w:pos="1700" w:val="left"/>
        </w:tabs>
        <w:numPr>
          <w:ilvl w:val="0"/>
          <w:numId w:val="196"/>
        </w:numPr>
        <w:rPr>
          <w:rFonts w:ascii="Arial" w:cs="Arial" w:eastAsia="Arial" w:hAnsi="Arial"/>
          <w:sz w:val="20"/>
          <w:szCs w:val="20"/>
          <w:color w:val="010000"/>
        </w:rPr>
      </w:pPr>
      <w:r>
        <w:rPr>
          <w:rFonts w:ascii="Arial" w:cs="Arial" w:eastAsia="Arial" w:hAnsi="Arial"/>
          <w:sz w:val="20"/>
          <w:szCs w:val="20"/>
          <w:b w:val="1"/>
          <w:bCs w:val="1"/>
          <w:color w:val="auto"/>
        </w:rPr>
        <w:t>No Conflicting Grants</w:t>
      </w:r>
      <w:r>
        <w:rPr>
          <w:rFonts w:ascii="Arial" w:cs="Arial" w:eastAsia="Arial" w:hAnsi="Arial"/>
          <w:sz w:val="20"/>
          <w:szCs w:val="20"/>
          <w:color w:val="auto"/>
        </w:rPr>
        <w:t>. Following the Effective Date, HFB will not, and will cause its Affiliates not to, enter into any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with any Affiliate or Third Party that materially conflicts with or contradicts the terms and conditions set forth in this Agreement, including any agreement that would limit the grant of licenses or rights hereunder to the Licensed Technology or Option Technology.</w:t>
      </w:r>
    </w:p>
    <w:p>
      <w:pPr>
        <w:spacing w:after="0" w:line="169" w:lineRule="exact"/>
        <w:rPr>
          <w:rFonts w:ascii="Arial" w:cs="Arial" w:eastAsia="Arial" w:hAnsi="Arial"/>
          <w:sz w:val="20"/>
          <w:szCs w:val="20"/>
          <w:color w:val="010000"/>
        </w:rPr>
      </w:pPr>
    </w:p>
    <w:p>
      <w:pPr>
        <w:jc w:val="both"/>
        <w:ind w:left="1700" w:hanging="842"/>
        <w:spacing w:after="0" w:line="259" w:lineRule="auto"/>
        <w:tabs>
          <w:tab w:leader="none" w:pos="1700" w:val="left"/>
        </w:tabs>
        <w:numPr>
          <w:ilvl w:val="0"/>
          <w:numId w:val="196"/>
        </w:numPr>
        <w:rPr>
          <w:rFonts w:ascii="Arial" w:cs="Arial" w:eastAsia="Arial" w:hAnsi="Arial"/>
          <w:sz w:val="19"/>
          <w:szCs w:val="19"/>
          <w:color w:val="010000"/>
        </w:rPr>
      </w:pPr>
      <w:r>
        <w:rPr>
          <w:rFonts w:ascii="Arial" w:cs="Arial" w:eastAsia="Arial" w:hAnsi="Arial"/>
          <w:sz w:val="19"/>
          <w:szCs w:val="19"/>
          <w:b w:val="1"/>
          <w:bCs w:val="1"/>
          <w:color w:val="auto"/>
        </w:rPr>
        <w:t>Upstream License</w:t>
      </w:r>
      <w:r>
        <w:rPr>
          <w:rFonts w:ascii="Arial" w:cs="Arial" w:eastAsia="Arial" w:hAnsi="Arial"/>
          <w:sz w:val="19"/>
          <w:szCs w:val="19"/>
          <w:color w:val="auto"/>
        </w:rPr>
        <w:t>. During the Term, HFB shall fulfill its obligations under the Upstream License and will not, [*].</w:t>
      </w:r>
      <w:r>
        <w:rPr>
          <w:rFonts w:ascii="Arial" w:cs="Arial" w:eastAsia="Arial" w:hAnsi="Arial"/>
          <w:sz w:val="19"/>
          <w:szCs w:val="19"/>
          <w:b w:val="1"/>
          <w:bCs w:val="1"/>
          <w:color w:val="auto"/>
        </w:rPr>
        <w:t xml:space="preserve"> </w:t>
      </w:r>
      <w:r>
        <w:rPr>
          <w:rFonts w:ascii="Arial" w:cs="Arial" w:eastAsia="Arial" w:hAnsi="Arial"/>
          <w:sz w:val="19"/>
          <w:szCs w:val="19"/>
          <w:color w:val="auto"/>
        </w:rPr>
        <w:t>HFB will provide FibroGen promptly with notice of the occurrence of any breach, amendment or termination (or HFB’s receipt of notice of an allegation of any such breach or termination, and a copy thereof) of the Upstream License, and if HFB fails to cure such breach in a timely manner, will permit FibroGen to cure such breach on HFB’s behalf. HFB shall furnish FibroGen with copies of all notices and correspondence that HFB receives in connection with the Upstream License related to FibroGen’s rights or obligations under this Agreement or that could reasonably be expected to adversely affect FibroGen’s right or obligations under this Agreement, [*].</w:t>
      </w:r>
    </w:p>
    <w:p>
      <w:pPr>
        <w:spacing w:after="0" w:line="158" w:lineRule="exact"/>
        <w:rPr>
          <w:rFonts w:ascii="Arial" w:cs="Arial" w:eastAsia="Arial" w:hAnsi="Arial"/>
          <w:sz w:val="19"/>
          <w:szCs w:val="19"/>
          <w:color w:val="010000"/>
        </w:rPr>
      </w:pPr>
    </w:p>
    <w:p>
      <w:pPr>
        <w:jc w:val="both"/>
        <w:ind w:left="1700" w:hanging="842"/>
        <w:spacing w:after="0" w:line="262" w:lineRule="auto"/>
        <w:tabs>
          <w:tab w:leader="none" w:pos="1700" w:val="left"/>
        </w:tabs>
        <w:numPr>
          <w:ilvl w:val="0"/>
          <w:numId w:val="196"/>
        </w:numPr>
        <w:rPr>
          <w:rFonts w:ascii="Arial" w:cs="Arial" w:eastAsia="Arial" w:hAnsi="Arial"/>
          <w:sz w:val="19"/>
          <w:szCs w:val="19"/>
          <w:color w:val="010000"/>
        </w:rPr>
      </w:pPr>
      <w:r>
        <w:rPr>
          <w:rFonts w:ascii="Arial" w:cs="Arial" w:eastAsia="Arial" w:hAnsi="Arial"/>
          <w:sz w:val="19"/>
          <w:szCs w:val="19"/>
          <w:b w:val="1"/>
          <w:bCs w:val="1"/>
          <w:color w:val="auto"/>
        </w:rPr>
        <w:t>Control of Licensed Technology</w:t>
      </w:r>
      <w:r>
        <w:rPr>
          <w:rFonts w:ascii="Arial" w:cs="Arial" w:eastAsia="Arial" w:hAnsi="Arial"/>
          <w:sz w:val="19"/>
          <w:szCs w:val="19"/>
          <w:color w:val="auto"/>
        </w:rPr>
        <w:t>. HFB and its Affiliates will (a) maintain (i) ownership or Control of all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owned by HFB or its Affiliates at any time during the Term and (ii) Control of all Licensed Technology in-licensed by HFB or its Affiliates at any time during the Term, and (b) not assign, transfer, encumber, or otherwise grant any Third Party any rights with respect thereto, in the case of either (a) or (b) that would conflict with, limit the scope of, or materially adversely affect the rights granted to FibroGen under this Agreement;</w:t>
      </w:r>
    </w:p>
    <w:p>
      <w:pPr>
        <w:spacing w:after="0" w:line="157" w:lineRule="exact"/>
        <w:rPr>
          <w:rFonts w:ascii="Arial" w:cs="Arial" w:eastAsia="Arial" w:hAnsi="Arial"/>
          <w:sz w:val="19"/>
          <w:szCs w:val="19"/>
          <w:color w:val="010000"/>
        </w:rPr>
      </w:pPr>
    </w:p>
    <w:p>
      <w:pPr>
        <w:jc w:val="both"/>
        <w:ind w:left="1700" w:hanging="842"/>
        <w:spacing w:after="0" w:line="245" w:lineRule="auto"/>
        <w:tabs>
          <w:tab w:leader="none" w:pos="1700" w:val="left"/>
        </w:tabs>
        <w:numPr>
          <w:ilvl w:val="0"/>
          <w:numId w:val="196"/>
        </w:numPr>
        <w:rPr>
          <w:rFonts w:ascii="Arial" w:cs="Arial" w:eastAsia="Arial" w:hAnsi="Arial"/>
          <w:sz w:val="20"/>
          <w:szCs w:val="20"/>
          <w:color w:val="010000"/>
        </w:rPr>
      </w:pPr>
      <w:r>
        <w:rPr>
          <w:rFonts w:ascii="Arial" w:cs="Arial" w:eastAsia="Arial" w:hAnsi="Arial"/>
          <w:sz w:val="20"/>
          <w:szCs w:val="20"/>
          <w:b w:val="1"/>
          <w:bCs w:val="1"/>
          <w:color w:val="auto"/>
        </w:rPr>
        <w:t>Control of Option Technology</w:t>
      </w:r>
      <w:r>
        <w:rPr>
          <w:rFonts w:ascii="Arial" w:cs="Arial" w:eastAsia="Arial" w:hAnsi="Arial"/>
          <w:sz w:val="20"/>
          <w:szCs w:val="20"/>
          <w:color w:val="auto"/>
        </w:rPr>
        <w:t>. HFB and its Affiliates will (a) maintain (i) ownership or Control of all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owned by HFB or its Affiliates at any time during the Option Term for each Option Program and (ii) Control of all Option Technology in-licensed by HFB or its Affiliates at any time during the Option Term for each Option Program, and (b) not assign, transfer, encumber, or otherwise grant any Third Party any rights with respect thereto, in the case of either (a) or (b), that would conflict with, limit the scope of, or materially adversely affect the rights granted to FibroGen under this Agreement.</w:t>
      </w:r>
    </w:p>
    <w:p>
      <w:pPr>
        <w:spacing w:after="0" w:line="170" w:lineRule="exact"/>
        <w:rPr>
          <w:rFonts w:ascii="Arial" w:cs="Arial" w:eastAsia="Arial" w:hAnsi="Arial"/>
          <w:sz w:val="20"/>
          <w:szCs w:val="20"/>
          <w:color w:val="010000"/>
        </w:rPr>
      </w:pPr>
    </w:p>
    <w:p>
      <w:pPr>
        <w:jc w:val="both"/>
        <w:ind w:left="1700" w:hanging="842"/>
        <w:spacing w:after="0" w:line="259" w:lineRule="auto"/>
        <w:tabs>
          <w:tab w:leader="none" w:pos="1700" w:val="left"/>
        </w:tabs>
        <w:numPr>
          <w:ilvl w:val="0"/>
          <w:numId w:val="196"/>
        </w:numPr>
        <w:rPr>
          <w:rFonts w:ascii="Arial" w:cs="Arial" w:eastAsia="Arial" w:hAnsi="Arial"/>
          <w:sz w:val="19"/>
          <w:szCs w:val="19"/>
          <w:color w:val="010000"/>
        </w:rPr>
      </w:pPr>
      <w:r>
        <w:rPr>
          <w:rFonts w:ascii="Arial" w:cs="Arial" w:eastAsia="Arial" w:hAnsi="Arial"/>
          <w:sz w:val="19"/>
          <w:szCs w:val="19"/>
          <w:b w:val="1"/>
          <w:bCs w:val="1"/>
          <w:color w:val="auto"/>
        </w:rPr>
        <w:t>Negative Events</w:t>
      </w:r>
      <w:r>
        <w:rPr>
          <w:rFonts w:ascii="Arial" w:cs="Arial" w:eastAsia="Arial" w:hAnsi="Arial"/>
          <w:sz w:val="19"/>
          <w:szCs w:val="19"/>
          <w:color w:val="auto"/>
        </w:rPr>
        <w:t>. During the Term, [*] will provide prompt written notice to [*] if [*] reasonably believes that any of</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events set forth in Schedule 10.3(e) (Negative Events) have occurred or are reasonably likely to occur. Upon occurrence of any of the events set forth in Schedule 10.3(e) (Negative Events), (i) the Parties will cooperate and exercise their commercially reasonable efforts to agree on and carry out remediation plans with respect to such events and (ii) except to the extent required by applicable law, [*] will not take any action that conflicts with, limits the scope of, or materially adversely affects or diminishes the rights [*] under this Agreement. This Section 10.3(e) (Negative Events) is without limitation to any other remedy available [*] under this Agreement.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119" w:lineRule="exact"/>
        <w:rPr>
          <w:sz w:val="20"/>
          <w:szCs w:val="20"/>
          <w:color w:val="auto"/>
        </w:rPr>
      </w:pPr>
    </w:p>
    <w:p>
      <w:pPr>
        <w:ind w:right="220" w:firstLine="8"/>
        <w:spacing w:after="0" w:line="277" w:lineRule="auto"/>
        <w:tabs>
          <w:tab w:leader="none" w:pos="255" w:val="left"/>
        </w:tabs>
        <w:numPr>
          <w:ilvl w:val="0"/>
          <w:numId w:val="197"/>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4" w:name="page155"/>
    <w:bookmarkEnd w:id="154"/>
    <w:p>
      <w:pPr>
        <w:spacing w:after="0"/>
        <w:tabs>
          <w:tab w:leader="none" w:pos="8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b w:val="1"/>
          <w:bCs w:val="1"/>
          <w:color w:val="auto"/>
        </w:rPr>
        <w:t>Mutual Covenants</w:t>
      </w:r>
      <w:r>
        <w:rPr>
          <w:rFonts w:ascii="Arial" w:cs="Arial" w:eastAsia="Arial" w:hAnsi="Arial"/>
          <w:sz w:val="19"/>
          <w:szCs w:val="19"/>
          <w:color w:val="auto"/>
        </w:rPr>
        <w:t>.</w:t>
      </w:r>
    </w:p>
    <w:p>
      <w:pPr>
        <w:spacing w:after="0" w:line="214" w:lineRule="exact"/>
        <w:rPr>
          <w:sz w:val="20"/>
          <w:szCs w:val="20"/>
          <w:color w:val="auto"/>
        </w:rPr>
      </w:pPr>
    </w:p>
    <w:p>
      <w:pPr>
        <w:jc w:val="both"/>
        <w:ind w:left="1700" w:hanging="842"/>
        <w:spacing w:after="0" w:line="233" w:lineRule="exact"/>
        <w:tabs>
          <w:tab w:leader="none" w:pos="1700" w:val="left"/>
        </w:tabs>
        <w:numPr>
          <w:ilvl w:val="0"/>
          <w:numId w:val="198"/>
        </w:numPr>
        <w:rPr>
          <w:rFonts w:ascii="Arial" w:cs="Arial" w:eastAsia="Arial" w:hAnsi="Arial"/>
          <w:sz w:val="19"/>
          <w:szCs w:val="19"/>
          <w:color w:val="010000"/>
        </w:rPr>
      </w:pPr>
      <w:r>
        <w:rPr>
          <w:rFonts w:ascii="Arial" w:cs="Arial" w:eastAsia="Arial" w:hAnsi="Arial"/>
          <w:sz w:val="19"/>
          <w:szCs w:val="19"/>
          <w:b w:val="1"/>
          <w:bCs w:val="1"/>
          <w:color w:val="auto"/>
        </w:rPr>
        <w:t>Compliance with Applicable Law</w:t>
      </w:r>
      <w:r>
        <w:rPr>
          <w:rFonts w:ascii="Arial" w:cs="Arial" w:eastAsia="Arial" w:hAnsi="Arial"/>
          <w:sz w:val="19"/>
          <w:szCs w:val="19"/>
          <w:color w:val="auto"/>
        </w:rPr>
        <w:t>. Each Party will comply, and will ensure that its Affiliates, Sublicensees, and</w:t>
      </w:r>
      <w:r>
        <w:rPr>
          <w:rFonts w:ascii="Arial" w:cs="Arial" w:eastAsia="Arial" w:hAnsi="Arial"/>
          <w:sz w:val="19"/>
          <w:szCs w:val="19"/>
          <w:b w:val="1"/>
          <w:bCs w:val="1"/>
          <w:color w:val="auto"/>
        </w:rPr>
        <w:t xml:space="preserve"> </w:t>
      </w:r>
      <w:r>
        <w:rPr>
          <w:rFonts w:ascii="Arial" w:cs="Arial" w:eastAsia="Arial" w:hAnsi="Arial"/>
          <w:sz w:val="19"/>
          <w:szCs w:val="19"/>
          <w:color w:val="auto"/>
        </w:rPr>
        <w:t>subcontractors will comply, with the applicable law, including as applicable GLP, GCP, and cGMP and any applicable anti</w:t>
      </w:r>
      <w:r>
        <w:rPr>
          <w:rFonts w:ascii="MS PGothic" w:cs="MS PGothic" w:eastAsia="MS PGothic" w:hAnsi="MS PGothic"/>
          <w:sz w:val="19"/>
          <w:szCs w:val="19"/>
          <w:color w:val="auto"/>
        </w:rPr>
        <w:t>‑</w:t>
      </w:r>
      <w:r>
        <w:rPr>
          <w:rFonts w:ascii="Arial" w:cs="Arial" w:eastAsia="Arial" w:hAnsi="Arial"/>
          <w:sz w:val="19"/>
          <w:szCs w:val="19"/>
          <w:color w:val="auto"/>
        </w:rPr>
        <w:t>corruption or anti</w:t>
      </w:r>
      <w:r>
        <w:rPr>
          <w:rFonts w:ascii="MS PGothic" w:cs="MS PGothic" w:eastAsia="MS PGothic" w:hAnsi="MS PGothic"/>
          <w:sz w:val="19"/>
          <w:szCs w:val="19"/>
          <w:color w:val="auto"/>
        </w:rPr>
        <w:t>‑</w:t>
      </w:r>
      <w:r>
        <w:rPr>
          <w:rFonts w:ascii="Arial" w:cs="Arial" w:eastAsia="Arial" w:hAnsi="Arial"/>
          <w:sz w:val="19"/>
          <w:szCs w:val="19"/>
          <w:color w:val="auto"/>
        </w:rPr>
        <w:t>bribery laws or regulations of any governmental authority with jurisdiction over the activities performed by or on behalf of such Party or its Affiliates, Sublicensees, and subcontractors in each case, in the course of performing its obligations or exercising its rights pursuant to this Agreement. Neither Party nor its Affiliates, Sublicensees, and subcontractors will knowingly engage any agent to perform activities under this Agreement that has ever been, is currently, or is the subject of a proceeding that could lead to it or such employees or agents becoming, as applicable, a Debarred Entity or Debarred Individual, an Excluded Entity or Excluded Individual, or a Convicted Entity or Convicted Individual.</w:t>
      </w:r>
    </w:p>
    <w:p>
      <w:pPr>
        <w:spacing w:after="0" w:line="178" w:lineRule="exact"/>
        <w:rPr>
          <w:rFonts w:ascii="Arial" w:cs="Arial" w:eastAsia="Arial" w:hAnsi="Arial"/>
          <w:sz w:val="19"/>
          <w:szCs w:val="19"/>
          <w:color w:val="010000"/>
        </w:rPr>
      </w:pPr>
    </w:p>
    <w:p>
      <w:pPr>
        <w:jc w:val="both"/>
        <w:ind w:left="1700" w:hanging="842"/>
        <w:spacing w:after="0" w:line="274" w:lineRule="auto"/>
        <w:tabs>
          <w:tab w:leader="none" w:pos="1700" w:val="left"/>
        </w:tabs>
        <w:numPr>
          <w:ilvl w:val="0"/>
          <w:numId w:val="198"/>
        </w:numPr>
        <w:rPr>
          <w:rFonts w:ascii="Arial" w:cs="Arial" w:eastAsia="Arial" w:hAnsi="Arial"/>
          <w:sz w:val="18"/>
          <w:szCs w:val="18"/>
          <w:color w:val="010000"/>
        </w:rPr>
      </w:pPr>
      <w:r>
        <w:rPr>
          <w:rFonts w:ascii="Arial" w:cs="Arial" w:eastAsia="Arial" w:hAnsi="Arial"/>
          <w:sz w:val="18"/>
          <w:szCs w:val="18"/>
          <w:b w:val="1"/>
          <w:bCs w:val="1"/>
          <w:color w:val="auto"/>
        </w:rPr>
        <w:t>Assignment of Inventions</w:t>
      </w:r>
      <w:r>
        <w:rPr>
          <w:rFonts w:ascii="Arial" w:cs="Arial" w:eastAsia="Arial" w:hAnsi="Arial"/>
          <w:sz w:val="18"/>
          <w:szCs w:val="18"/>
          <w:color w:val="auto"/>
        </w:rPr>
        <w:t>. Each Party will ensure, and will ensure that its Affiliates, Sublicensees, and subcontractors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any and all Persons involved in or performing any activities under this agreement by or on behalf of such Party have an obligation to assign such Persons’ rights, title, and interests in and to any Know-How and Patent Rights to such Party prior to any such person performing such activities. As between the Parties, each Party, Sublicensees, and subcontractors will be solely responsible for the payment of, and such will pay, any rewards, remuneration, or other amounts payable with respect to inventions and technical achievements required by applicable law to be paid to its and its Affiliates’, Sublicensees’, and subcontractors’ employees, consultants, contractors, or other Persons for the development or invention of any Know-How or Patent Rights; and</w:t>
      </w:r>
    </w:p>
    <w:p>
      <w:pPr>
        <w:spacing w:after="0" w:line="148" w:lineRule="exact"/>
        <w:rPr>
          <w:rFonts w:ascii="Arial" w:cs="Arial" w:eastAsia="Arial" w:hAnsi="Arial"/>
          <w:sz w:val="18"/>
          <w:szCs w:val="18"/>
          <w:color w:val="010000"/>
        </w:rPr>
      </w:pPr>
    </w:p>
    <w:p>
      <w:pPr>
        <w:jc w:val="both"/>
        <w:ind w:left="1700" w:hanging="842"/>
        <w:spacing w:after="0" w:line="273" w:lineRule="auto"/>
        <w:tabs>
          <w:tab w:leader="none" w:pos="1700" w:val="left"/>
        </w:tabs>
        <w:numPr>
          <w:ilvl w:val="0"/>
          <w:numId w:val="198"/>
        </w:numPr>
        <w:rPr>
          <w:rFonts w:ascii="Arial" w:cs="Arial" w:eastAsia="Arial" w:hAnsi="Arial"/>
          <w:sz w:val="18"/>
          <w:szCs w:val="18"/>
          <w:color w:val="010000"/>
        </w:rPr>
      </w:pPr>
      <w:r>
        <w:rPr>
          <w:rFonts w:ascii="Arial" w:cs="Arial" w:eastAsia="Arial" w:hAnsi="Arial"/>
          <w:sz w:val="18"/>
          <w:szCs w:val="18"/>
          <w:b w:val="1"/>
          <w:bCs w:val="1"/>
          <w:color w:val="auto"/>
        </w:rPr>
        <w:t>Debarment</w:t>
      </w:r>
      <w:r>
        <w:rPr>
          <w:rFonts w:ascii="Arial" w:cs="Arial" w:eastAsia="Arial" w:hAnsi="Arial"/>
          <w:sz w:val="18"/>
          <w:szCs w:val="18"/>
          <w:color w:val="auto"/>
        </w:rPr>
        <w:t>. In the performance of activities under this Agreement, each Party will not knowingly employ or use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that: (i) has ever been debarred or is subject to debarment or convicted of a crime for which an entity or person could be a Debarred Entity or Debarred Individual; or (ii) has ever been under indictment for a crime for which a person or entity could be so debarred. Each Party will inform the other Party in writing immediately if it or any Person that is performing activities under this Agreement is debarred or is subject to debarment or is the subject of a conviction described in Section 306 of the FD&amp;C Act, or if any action, suit, claim, investigation, or legal or administrative proceeding is pending or threatened, relating to the debarment or conviction of such Party or any Person or entity used in any capacity by such Party or any of its Affiliates, Sublicensees, and subcontractors with respect to this Agreement or the performance of its other obligations or exercise of its rights under this Agreement.</w:t>
      </w:r>
    </w:p>
    <w:p>
      <w:pPr>
        <w:spacing w:after="0" w:line="148" w:lineRule="exact"/>
        <w:rPr>
          <w:rFonts w:ascii="Arial" w:cs="Arial" w:eastAsia="Arial" w:hAnsi="Arial"/>
          <w:sz w:val="18"/>
          <w:szCs w:val="18"/>
          <w:color w:val="010000"/>
        </w:rPr>
      </w:pPr>
    </w:p>
    <w:p>
      <w:pPr>
        <w:jc w:val="both"/>
        <w:ind w:left="1700" w:hanging="842"/>
        <w:spacing w:after="0" w:line="260" w:lineRule="auto"/>
        <w:tabs>
          <w:tab w:leader="none" w:pos="1700" w:val="left"/>
        </w:tabs>
        <w:numPr>
          <w:ilvl w:val="0"/>
          <w:numId w:val="198"/>
        </w:numPr>
        <w:rPr>
          <w:rFonts w:ascii="Arial" w:cs="Arial" w:eastAsia="Arial" w:hAnsi="Arial"/>
          <w:sz w:val="19"/>
          <w:szCs w:val="19"/>
          <w:color w:val="010000"/>
        </w:rPr>
      </w:pPr>
      <w:r>
        <w:rPr>
          <w:rFonts w:ascii="Arial" w:cs="Arial" w:eastAsia="Arial" w:hAnsi="Arial"/>
          <w:sz w:val="19"/>
          <w:szCs w:val="19"/>
          <w:b w:val="1"/>
          <w:bCs w:val="1"/>
          <w:color w:val="auto"/>
        </w:rPr>
        <w:t>Consents</w:t>
      </w:r>
      <w:r>
        <w:rPr>
          <w:rFonts w:ascii="Arial" w:cs="Arial" w:eastAsia="Arial" w:hAnsi="Arial"/>
          <w:sz w:val="19"/>
          <w:szCs w:val="19"/>
          <w:color w:val="auto"/>
        </w:rPr>
        <w:t>. In the event that either Party determines that HFB would have been, [*] in breach of Section 10.2(n), but for</w:t>
      </w:r>
      <w:r>
        <w:rPr>
          <w:rFonts w:ascii="Arial" w:cs="Arial" w:eastAsia="Arial" w:hAnsi="Arial"/>
          <w:sz w:val="19"/>
          <w:szCs w:val="19"/>
          <w:b w:val="1"/>
          <w:bCs w:val="1"/>
          <w:color w:val="auto"/>
        </w:rPr>
        <w:t xml:space="preserve"> </w:t>
      </w:r>
      <w:r>
        <w:rPr>
          <w:rFonts w:ascii="Arial" w:cs="Arial" w:eastAsia="Arial" w:hAnsi="Arial"/>
          <w:sz w:val="19"/>
          <w:szCs w:val="19"/>
          <w:color w:val="auto"/>
        </w:rPr>
        <w:t>the [*], such Party will notify the other in writing and provide all relevant information with respect thereto. The Parties will thereafter work together promptly in good faith, [*] to take all steps necessary in order to remedy such breach (including, if required, obtaining all consents, approvals and authorizations from all government authorities and paying any amounts required by applicable law to be paid to any governmental authority for the failure by such Party or its Affiliates to obtain any such consent, approval or authorization).</w:t>
      </w:r>
    </w:p>
    <w:p>
      <w:pPr>
        <w:spacing w:after="0" w:line="161"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010000"/>
        </w:rPr>
        <w:t>10.5</w:t>
      </w:r>
      <w:r>
        <w:rPr>
          <w:sz w:val="20"/>
          <w:szCs w:val="20"/>
          <w:color w:val="auto"/>
        </w:rPr>
        <w:tab/>
      </w:r>
      <w:r>
        <w:rPr>
          <w:rFonts w:ascii="Arial" w:cs="Arial" w:eastAsia="Arial" w:hAnsi="Arial"/>
          <w:sz w:val="20"/>
          <w:szCs w:val="20"/>
          <w:b w:val="1"/>
          <w:bCs w:val="1"/>
          <w:color w:val="auto"/>
        </w:rPr>
        <w:t>NO OTHER REPRESENTATIONS OR WARRANTIES</w:t>
      </w:r>
      <w:r>
        <w:rPr>
          <w:rFonts w:ascii="Arial" w:cs="Arial" w:eastAsia="Arial" w:hAnsi="Arial"/>
          <w:sz w:val="21"/>
          <w:szCs w:val="21"/>
          <w:color w:val="auto"/>
        </w:rPr>
        <w:t>. EXCEPT AS EXPRESSLY STATED IN THIS ARTICLE 10</w:t>
      </w:r>
      <w:r>
        <w:rPr>
          <w:rFonts w:ascii="Arial" w:cs="Arial" w:eastAsia="Arial" w:hAnsi="Arial"/>
          <w:sz w:val="20"/>
          <w:szCs w:val="20"/>
          <w:b w:val="1"/>
          <w:bCs w:val="1"/>
          <w:color w:val="auto"/>
        </w:rPr>
        <w:t xml:space="preserve"> </w:t>
      </w:r>
      <w:r>
        <w:rPr>
          <w:rFonts w:ascii="Arial" w:cs="Arial" w:eastAsia="Arial" w:hAnsi="Arial"/>
          <w:sz w:val="21"/>
          <w:szCs w:val="21"/>
          <w:color w:val="auto"/>
        </w:rPr>
        <w:t>(REPRESENTATIONS, WARRANTIES AND COVENANTS), NO REPRESENTATIONS OR WARRANTIES WHATSOEVER, WHETHER EXPRESS OR IMPLIED, INCLUDING WARRANTIES OF MERCHANTABILITY, FITNESS FOR A PARTICULAR PURPOSE, NON-INFRINGEMENT, OR NON-MISAPPROPRIATION OF THIRD PARTY INTELLECTUAL PROPERTY RIGHTS, IS MADE OR GIVEN BY OR ON BEHALF OF A PARTY. ALL MATERIALS ARE PROVIDED “AS-IS.” EXCEPT AS EXPRESSLY STATED IN THIS AGREEMENT, ALL REPRESENTATIONS AND WARRANTIES, WHETHER ARISING BY OPERATION OF LAW OR OTHERWISE, ARE HEREBY EXPRESSLY EXCLUDED.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119" w:lineRule="exact"/>
        <w:rPr>
          <w:sz w:val="20"/>
          <w:szCs w:val="20"/>
          <w:color w:val="auto"/>
        </w:rPr>
      </w:pPr>
    </w:p>
    <w:p>
      <w:pPr>
        <w:ind w:right="220" w:firstLine="8"/>
        <w:spacing w:after="0" w:line="277" w:lineRule="auto"/>
        <w:tabs>
          <w:tab w:leader="none" w:pos="255" w:val="left"/>
        </w:tabs>
        <w:numPr>
          <w:ilvl w:val="0"/>
          <w:numId w:val="199"/>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0"/>
          <w:szCs w:val="20"/>
          <w:b w:val="1"/>
          <w:bCs w:val="1"/>
          <w:color w:val="010000"/>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87"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Arial" w:cs="Arial" w:eastAsia="Arial" w:hAnsi="Arial"/>
          <w:sz w:val="20"/>
          <w:szCs w:val="20"/>
          <w:color w:val="010000"/>
        </w:rPr>
        <w:t>11.1</w:t>
      </w:r>
      <w:r>
        <w:rPr>
          <w:sz w:val="20"/>
          <w:szCs w:val="20"/>
          <w:color w:val="auto"/>
        </w:rPr>
        <w:tab/>
      </w:r>
      <w:r>
        <w:rPr>
          <w:rFonts w:ascii="Arial" w:cs="Arial" w:eastAsia="Arial" w:hAnsi="Arial"/>
          <w:sz w:val="19"/>
          <w:szCs w:val="19"/>
          <w:b w:val="1"/>
          <w:bCs w:val="1"/>
          <w:color w:val="auto"/>
        </w:rPr>
        <w:t>Indemnification by HFB</w:t>
      </w:r>
      <w:r>
        <w:rPr>
          <w:rFonts w:ascii="Arial" w:cs="Arial" w:eastAsia="Arial" w:hAnsi="Arial"/>
          <w:sz w:val="20"/>
          <w:szCs w:val="20"/>
          <w:color w:val="auto"/>
        </w:rPr>
        <w:t>. Subject to the remainder of this Article 11 (Indemnification), HFB will defend, indemnify, and</w:t>
      </w:r>
      <w:r>
        <w:rPr>
          <w:rFonts w:ascii="Arial" w:cs="Arial" w:eastAsia="Arial" w:hAnsi="Arial"/>
          <w:sz w:val="19"/>
          <w:szCs w:val="19"/>
          <w:b w:val="1"/>
          <w:bCs w:val="1"/>
          <w:color w:val="auto"/>
        </w:rPr>
        <w:t xml:space="preserve"> </w:t>
      </w:r>
      <w:r>
        <w:rPr>
          <w:rFonts w:ascii="Arial" w:cs="Arial" w:eastAsia="Arial" w:hAnsi="Arial"/>
          <w:sz w:val="20"/>
          <w:szCs w:val="20"/>
          <w:color w:val="auto"/>
        </w:rPr>
        <w:t>hold FibroGen, its Affiliates, and its and their respective officers, directors, employees, and agents (the “</w:t>
      </w:r>
      <w:r>
        <w:rPr>
          <w:rFonts w:ascii="Arial" w:cs="Arial" w:eastAsia="Arial" w:hAnsi="Arial"/>
          <w:sz w:val="20"/>
          <w:szCs w:val="20"/>
          <w:b w:val="1"/>
          <w:bCs w:val="1"/>
          <w:color w:val="auto"/>
        </w:rPr>
        <w:t>FibroGen</w:t>
      </w:r>
      <w:r>
        <w:rPr>
          <w:rFonts w:ascii="Arial" w:cs="Arial" w:eastAsia="Arial" w:hAnsi="Arial"/>
          <w:sz w:val="20"/>
          <w:szCs w:val="20"/>
          <w:color w:val="auto"/>
        </w:rPr>
        <w:t xml:space="preserve"> </w:t>
      </w:r>
      <w:r>
        <w:rPr>
          <w:rFonts w:ascii="Arial" w:cs="Arial" w:eastAsia="Arial" w:hAnsi="Arial"/>
          <w:sz w:val="20"/>
          <w:szCs w:val="20"/>
          <w:b w:val="1"/>
          <w:bCs w:val="1"/>
          <w:color w:val="auto"/>
        </w:rPr>
        <w:t>Indemnitees</w:t>
      </w:r>
      <w:r>
        <w:rPr>
          <w:rFonts w:ascii="Arial" w:cs="Arial" w:eastAsia="Arial" w:hAnsi="Arial"/>
          <w:sz w:val="20"/>
          <w:szCs w:val="20"/>
          <w:color w:val="auto"/>
        </w:rPr>
        <w:t>”) harmless from and against any and all liabilities, losses, costs, damages, fees, expenses,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payable to a Third Party claimant, as well as any reasonable attorneys’ fees and costs of litigation incurred by such FibroGen Indemnitees, all to the extent resulting from claims, suits, proceedings, or causes of action brought by or on behalf of such Third Party against such FibroGen Indemnitees that arise from or relate to: (a) the [*] of any Licensed Compound, Licensed Product, Option Compound, or Option Product by or on behalf of HFB or any of its Affiliates [*] with respect to such Licensed Compound, Licensed Product, Option Compound, or Option Product, (b) any activities performed by or on behalf of HFB or any of its Affiliates under this Agreement; (c) a breach of any of HFB’s representations, warranties, or Development or other obligations under this Agreement; (d) the willful misconduct or grossly negligent acts of HFB or any of its Affiliates; (e) violation of applicable law by any HFB Indemnitee; or (f) any claim or demand from any employee, consultant, contractor of HFB or its Affiliate or other Person who is an inventor of any Licensed Know-How or Licensed Patent Right with respect to the ownership thereof; excluding, in each case ((a), (b), (c), (d), (e) and (f)), any damages or other amounts for which FibroGen has an obligation to indemnify any HFB Indemnitee pursuant to Section 11.2 (Indemnification by FibroGen).</w:t>
      </w:r>
    </w:p>
    <w:p>
      <w:pPr>
        <w:spacing w:after="0" w:line="168"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0"/>
          <w:szCs w:val="20"/>
          <w:color w:val="010000"/>
        </w:rPr>
        <w:t>11.2</w:t>
      </w:r>
      <w:r>
        <w:rPr>
          <w:sz w:val="20"/>
          <w:szCs w:val="20"/>
          <w:color w:val="auto"/>
        </w:rPr>
        <w:tab/>
      </w:r>
      <w:r>
        <w:rPr>
          <w:rFonts w:ascii="Arial" w:cs="Arial" w:eastAsia="Arial" w:hAnsi="Arial"/>
          <w:sz w:val="20"/>
          <w:szCs w:val="20"/>
          <w:b w:val="1"/>
          <w:bCs w:val="1"/>
          <w:color w:val="auto"/>
        </w:rPr>
        <w:t>Indemnification by FibroGen</w:t>
      </w:r>
      <w:r>
        <w:rPr>
          <w:rFonts w:ascii="Arial" w:cs="Arial" w:eastAsia="Arial" w:hAnsi="Arial"/>
          <w:sz w:val="21"/>
          <w:szCs w:val="21"/>
          <w:color w:val="auto"/>
        </w:rPr>
        <w:t>. Subject to the remainder of this Article 11 (Indemnification), FibroGen will defend,</w:t>
      </w:r>
      <w:r>
        <w:rPr>
          <w:rFonts w:ascii="Arial" w:cs="Arial" w:eastAsia="Arial" w:hAnsi="Arial"/>
          <w:sz w:val="20"/>
          <w:szCs w:val="20"/>
          <w:b w:val="1"/>
          <w:bCs w:val="1"/>
          <w:color w:val="auto"/>
        </w:rPr>
        <w:t xml:space="preserve"> </w:t>
      </w:r>
      <w:r>
        <w:rPr>
          <w:rFonts w:ascii="Arial" w:cs="Arial" w:eastAsia="Arial" w:hAnsi="Arial"/>
          <w:sz w:val="21"/>
          <w:szCs w:val="21"/>
          <w:color w:val="auto"/>
        </w:rPr>
        <w:t>indemnify, and hold HFB, its Affiliates, and each of their respective officers, directors, employees, and agents (the “</w:t>
      </w:r>
      <w:r>
        <w:rPr>
          <w:rFonts w:ascii="Arial" w:cs="Arial" w:eastAsia="Arial" w:hAnsi="Arial"/>
          <w:sz w:val="21"/>
          <w:szCs w:val="21"/>
          <w:b w:val="1"/>
          <w:bCs w:val="1"/>
          <w:color w:val="auto"/>
        </w:rPr>
        <w:t>HFB Indemnitees</w:t>
      </w:r>
      <w:r>
        <w:rPr>
          <w:rFonts w:ascii="Arial" w:cs="Arial" w:eastAsia="Arial" w:hAnsi="Arial"/>
          <w:sz w:val="21"/>
          <w:szCs w:val="21"/>
          <w:color w:val="auto"/>
        </w:rPr>
        <w:t>”) harmless from and against any and all damages or other amounts payable to a Third Party claimant, as well as any reasonable attorneys’ fees and costs of litigation incurred by such HFB Indemnitees, all to the extent resulting from any claims, suits, proceedings, or causes of action brought by such Third Party against such HFB Indemnitees that arise from or relate to: (a) the Exploitation of Licensed Compound or Licensed Products by FibroGen or any of its Affiliates or Sublicensees in the Territory [*]; (b) a breach of any of FibroGen’s representations, warranties, or obligations under this Agreement; (c) the willful misconduct or grossly negligent acts of FibroGen or any of its Affiliates; (d) violation of applicable law by any FibroGen Indemnitee or (e) any claim or demand from any 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119" w:lineRule="exact"/>
        <w:rPr>
          <w:sz w:val="20"/>
          <w:szCs w:val="20"/>
          <w:color w:val="auto"/>
        </w:rPr>
      </w:pPr>
    </w:p>
    <w:p>
      <w:pPr>
        <w:ind w:right="220" w:firstLine="8"/>
        <w:spacing w:after="0" w:line="277" w:lineRule="auto"/>
        <w:tabs>
          <w:tab w:leader="none" w:pos="255" w:val="left"/>
        </w:tabs>
        <w:numPr>
          <w:ilvl w:val="0"/>
          <w:numId w:val="200"/>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6" w:name="page157"/>
    <w:bookmarkEnd w:id="156"/>
    <w:p>
      <w:pPr>
        <w:jc w:val="both"/>
        <w:ind w:left="860"/>
        <w:spacing w:after="0" w:line="297" w:lineRule="auto"/>
        <w:rPr>
          <w:sz w:val="20"/>
          <w:szCs w:val="20"/>
          <w:color w:val="auto"/>
        </w:rPr>
      </w:pPr>
      <w:r>
        <w:rPr>
          <w:rFonts w:ascii="Arial" w:cs="Arial" w:eastAsia="Arial" w:hAnsi="Arial"/>
          <w:sz w:val="19"/>
          <w:szCs w:val="19"/>
          <w:color w:val="auto"/>
        </w:rPr>
        <w:t>consultant, contractor of FGEN or its Affiliate or Sublicensee who is an inventor of any Patent Right with respect to the ownership thereof; excluding, in each case ((a), (b), (c), (d), and (e)), any damages or other amounts for which HFB has an obligation to indemnify any FibroGen Indemnitee pursuant to Section 11.1 (Indemnification by HFB).</w:t>
      </w:r>
    </w:p>
    <w:p>
      <w:pPr>
        <w:spacing w:after="0" w:line="114" w:lineRule="exact"/>
        <w:rPr>
          <w:sz w:val="20"/>
          <w:szCs w:val="20"/>
          <w:color w:val="auto"/>
        </w:rPr>
      </w:pPr>
    </w:p>
    <w:p>
      <w:pPr>
        <w:jc w:val="both"/>
        <w:ind w:left="860" w:hanging="849"/>
        <w:spacing w:after="0" w:line="255" w:lineRule="auto"/>
        <w:tabs>
          <w:tab w:leader="none" w:pos="840" w:val="left"/>
        </w:tabs>
        <w:rPr>
          <w:sz w:val="20"/>
          <w:szCs w:val="20"/>
          <w:color w:val="auto"/>
        </w:rPr>
      </w:pPr>
      <w:r>
        <w:rPr>
          <w:rFonts w:ascii="Arial" w:cs="Arial" w:eastAsia="Arial" w:hAnsi="Arial"/>
          <w:sz w:val="20"/>
          <w:szCs w:val="20"/>
          <w:color w:val="010000"/>
        </w:rPr>
        <w:t>11.3</w:t>
      </w:r>
      <w:r>
        <w:rPr>
          <w:sz w:val="20"/>
          <w:szCs w:val="20"/>
          <w:color w:val="auto"/>
        </w:rPr>
        <w:tab/>
      </w:r>
      <w:r>
        <w:rPr>
          <w:rFonts w:ascii="Arial" w:cs="Arial" w:eastAsia="Arial" w:hAnsi="Arial"/>
          <w:sz w:val="19"/>
          <w:szCs w:val="19"/>
          <w:b w:val="1"/>
          <w:bCs w:val="1"/>
          <w:color w:val="auto"/>
        </w:rPr>
        <w:t>Indemnification Procedures</w:t>
      </w:r>
      <w:r>
        <w:rPr>
          <w:rFonts w:ascii="Arial" w:cs="Arial" w:eastAsia="Arial" w:hAnsi="Arial"/>
          <w:sz w:val="20"/>
          <w:szCs w:val="20"/>
          <w:color w:val="auto"/>
        </w:rPr>
        <w:t>. The Party claiming indemnity under this Article 11 (Indemnification) (the “</w:t>
      </w:r>
      <w:r>
        <w:rPr>
          <w:rFonts w:ascii="Arial" w:cs="Arial" w:eastAsia="Arial" w:hAnsi="Arial"/>
          <w:sz w:val="20"/>
          <w:szCs w:val="20"/>
          <w:b w:val="1"/>
          <w:bCs w:val="1"/>
          <w:color w:val="auto"/>
        </w:rPr>
        <w:t>Indemnified</w:t>
      </w:r>
      <w:r>
        <w:rPr>
          <w:rFonts w:ascii="Arial" w:cs="Arial" w:eastAsia="Arial" w:hAnsi="Arial"/>
          <w:sz w:val="19"/>
          <w:szCs w:val="19"/>
          <w:b w:val="1"/>
          <w:bCs w:val="1"/>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will give written notice to the Party from whom indemnity is being sought (the “</w:t>
      </w:r>
      <w:r>
        <w:rPr>
          <w:rFonts w:ascii="Arial" w:cs="Arial" w:eastAsia="Arial" w:hAnsi="Arial"/>
          <w:sz w:val="20"/>
          <w:szCs w:val="20"/>
          <w:b w:val="1"/>
          <w:bCs w:val="1"/>
          <w:color w:val="auto"/>
        </w:rPr>
        <w:t>Indemnifying Party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promptly after learning of the claim, suit, proceeding or cause of action for which indemnity is being sought (“</w:t>
      </w:r>
      <w:r>
        <w:rPr>
          <w:rFonts w:ascii="Arial" w:cs="Arial" w:eastAsia="Arial" w:hAnsi="Arial"/>
          <w:sz w:val="20"/>
          <w:szCs w:val="20"/>
          <w:b w:val="1"/>
          <w:bCs w:val="1"/>
          <w:color w:val="auto"/>
        </w:rPr>
        <w:t>Claim</w:t>
      </w:r>
      <w:r>
        <w:rPr>
          <w:rFonts w:ascii="Arial" w:cs="Arial" w:eastAsia="Arial" w:hAnsi="Arial"/>
          <w:sz w:val="20"/>
          <w:szCs w:val="20"/>
          <w:color w:val="auto"/>
        </w:rPr>
        <w:t xml:space="preserve">”). The Indemnifying Party’s obligation to defend, indemnify, and hold harmless pursuant to Section 11.1 (Indemnification by HFB) or Section 11.2 (Indemnification by FibroGen), as applicable, will be reduced to the extent the Indemnified Party’s delay in providing notification pursuant to the previous sentence results in actual prejudice to the Indemnifying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failure by an Indemnified Party to give such notice or otherwise meet its obligations under this Section 11.3 (Indemnification Procedures) will not relieve the Indemnifying Party of its indemnification obligation under this Agreement. At its option, the Indemnifying Party may assume the defense and have exclusive control, at its own expense, of any Claim for which indemnity is being sought by giving written notice to the Indemnified Party within thirty (30) days after receipt of the notice of the Claim. The assumption of defense of the Claim will not be construed as an acknowledgment that the Indemnifying Party is liable to indemnify any Indemnified Party in respect of the Claim, nor will it constitute waiver by the Indemnifying Party of any defenses it may assert against the Indemnified Party’s claim for indemnification. The Indemnified Party will provide the Indemnifying Party with reasonable assistance, at the Indemnifying Party’s expense, in connection with the defense. The Indemnified Party may participate in and monitor such defense with counsel of its own choosing at its sole expense;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The Indemnified Party will not settle any such Claim without the prior written consent of the Indemnifying Party, which consent will not be unreasonably withheld, conditioned or delayed.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(b) the Indemnified Party reserves any right it may have under this Article 11 (Indemnification) to obtain indemnification from the Indemnifying Party.</w:t>
      </w:r>
    </w:p>
    <w:p>
      <w:pPr>
        <w:spacing w:after="0" w:line="173" w:lineRule="exact"/>
        <w:rPr>
          <w:sz w:val="20"/>
          <w:szCs w:val="20"/>
          <w:color w:val="auto"/>
        </w:rPr>
      </w:pPr>
    </w:p>
    <w:p>
      <w:pPr>
        <w:jc w:val="both"/>
        <w:ind w:left="860" w:hanging="849"/>
        <w:spacing w:after="0" w:line="252" w:lineRule="auto"/>
        <w:tabs>
          <w:tab w:leader="none" w:pos="840" w:val="left"/>
        </w:tabs>
        <w:rPr>
          <w:sz w:val="20"/>
          <w:szCs w:val="20"/>
          <w:color w:val="auto"/>
        </w:rPr>
      </w:pPr>
      <w:r>
        <w:rPr>
          <w:rFonts w:ascii="Arial" w:cs="Arial" w:eastAsia="Arial" w:hAnsi="Arial"/>
          <w:sz w:val="20"/>
          <w:szCs w:val="20"/>
          <w:color w:val="010000"/>
        </w:rPr>
        <w:t>11.4</w:t>
      </w:r>
      <w:r>
        <w:rPr>
          <w:sz w:val="20"/>
          <w:szCs w:val="20"/>
          <w:color w:val="auto"/>
        </w:rPr>
        <w:tab/>
      </w:r>
      <w:r>
        <w:rPr>
          <w:rFonts w:ascii="Arial" w:cs="Arial" w:eastAsia="Arial" w:hAnsi="Arial"/>
          <w:sz w:val="20"/>
          <w:szCs w:val="20"/>
          <w:b w:val="1"/>
          <w:bCs w:val="1"/>
          <w:color w:val="auto"/>
        </w:rPr>
        <w:t>Limitation of Liability</w:t>
      </w:r>
      <w:r>
        <w:rPr>
          <w:rFonts w:ascii="Arial" w:cs="Arial" w:eastAsia="Arial" w:hAnsi="Arial"/>
          <w:sz w:val="21"/>
          <w:szCs w:val="21"/>
          <w:color w:val="auto"/>
        </w:rPr>
        <w:t>. IN NO EVENT WILL EITHER PARTY BE LIABLE TO THE OTHER FOR ANY SPECIAL,</w:t>
      </w:r>
      <w:r>
        <w:rPr>
          <w:rFonts w:ascii="Arial" w:cs="Arial" w:eastAsia="Arial" w:hAnsi="Arial"/>
          <w:sz w:val="20"/>
          <w:szCs w:val="20"/>
          <w:b w:val="1"/>
          <w:bCs w:val="1"/>
          <w:color w:val="auto"/>
        </w:rPr>
        <w:t xml:space="preserve"> </w:t>
      </w:r>
      <w:r>
        <w:rPr>
          <w:rFonts w:ascii="Arial" w:cs="Arial" w:eastAsia="Arial" w:hAnsi="Arial"/>
          <w:sz w:val="21"/>
          <w:szCs w:val="21"/>
          <w:color w:val="auto"/>
        </w:rPr>
        <w:t>CONSEQUENTIAL, INCIDENTAL, PUNITIVE, EXEMPLARY, OR INDIRECT DAMAGES OF ANY KIND ARISING FROM OR RELATING TO ANY BREACH OF THIS AGREEMENT OR ANY CLAIMS ARISING HEREUNDER, HOWEVER CAUSED AND ON ANY THEORY OF LIABILITY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119" w:lineRule="exact"/>
        <w:rPr>
          <w:sz w:val="20"/>
          <w:szCs w:val="20"/>
          <w:color w:val="auto"/>
        </w:rPr>
      </w:pPr>
    </w:p>
    <w:p>
      <w:pPr>
        <w:ind w:right="220" w:firstLine="8"/>
        <w:spacing w:after="0" w:line="277" w:lineRule="auto"/>
        <w:tabs>
          <w:tab w:leader="none" w:pos="255" w:val="left"/>
        </w:tabs>
        <w:numPr>
          <w:ilvl w:val="0"/>
          <w:numId w:val="201"/>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57" w:name="page158"/>
    <w:bookmarkEnd w:id="157"/>
    <w:p>
      <w:pPr>
        <w:jc w:val="both"/>
        <w:ind w:left="860"/>
        <w:spacing w:after="0" w:line="245" w:lineRule="auto"/>
        <w:rPr>
          <w:sz w:val="20"/>
          <w:szCs w:val="20"/>
          <w:color w:val="auto"/>
        </w:rPr>
      </w:pPr>
      <w:r>
        <w:rPr>
          <w:rFonts w:ascii="Arial" w:cs="Arial" w:eastAsia="Arial" w:hAnsi="Arial"/>
          <w:sz w:val="21"/>
          <w:szCs w:val="21"/>
          <w:color w:val="auto"/>
        </w:rPr>
        <w:t>(WHETHER IN CONTRACT, TORT (INCLUDING NEGLIGENCE), STRICT LIABILITY OR OTHERWISE), REGARDLESS OF ANY NOTICE OF THE POSSIBILITY OF SUCH DAMAGES. NOTWITHSTANDING THE FOREGOING, NOTHING IN THIS SECTION 11.4 (LIMITATION OF LIABILITY) IS INTENDED TO OR WILL LIMIT OR RESTRICT (A) THE INDEMNIFICATION RIGHTS OR OBLIGATIONS OF ANY PARTY UNDER SECTION 11.1 (INDEMNIFICATION BY HFB) OR SECTION 11.2 (INDEMNIFICATION BY FIBROGEN), (B)</w:t>
      </w:r>
    </w:p>
    <w:p>
      <w:pPr>
        <w:jc w:val="both"/>
        <w:ind w:left="860"/>
        <w:spacing w:after="0" w:line="233" w:lineRule="auto"/>
        <w:rPr>
          <w:sz w:val="20"/>
          <w:szCs w:val="20"/>
          <w:color w:val="auto"/>
        </w:rPr>
      </w:pPr>
      <w:r>
        <w:rPr>
          <w:rFonts w:ascii="Arial" w:cs="Arial" w:eastAsia="Arial" w:hAnsi="Arial"/>
          <w:sz w:val="22"/>
          <w:szCs w:val="22"/>
          <w:color w:val="auto"/>
        </w:rPr>
        <w:t>DAMAGES AVAILABLE IN THE CASE OF A PARTY’S FRAUD, GROSS NEGLIGENCE, OR INTENTIONAL MISCONDUCT, OR (C) DAMAGES AVAILABLE TO A PARTY FOR A BREACH BY THE OTHER PARTY OF THE CONFIDENTIALITY OBLIGATIONS UNDER ARTICLE 12 (CONFIDENTIALITY), MISAPPROPRIATION OR INFRINGEMENT OF INTELLECTUAL PROPERTY RIGHTS, OR THE OTHER PARTY’S BREACH OF ITS OBLIGATIONS UNDER SECTION 2.8 (EXCLUSIVITY).</w:t>
      </w:r>
    </w:p>
    <w:p>
      <w:pPr>
        <w:spacing w:after="0" w:line="172"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010000"/>
        </w:rPr>
        <w:t>11.5</w:t>
      </w:r>
      <w:r>
        <w:rPr>
          <w:sz w:val="20"/>
          <w:szCs w:val="20"/>
          <w:color w:val="auto"/>
        </w:rPr>
        <w:tab/>
      </w:r>
      <w:r>
        <w:rPr>
          <w:rFonts w:ascii="Arial" w:cs="Arial" w:eastAsia="Arial" w:hAnsi="Arial"/>
          <w:sz w:val="20"/>
          <w:szCs w:val="20"/>
          <w:b w:val="1"/>
          <w:bCs w:val="1"/>
          <w:color w:val="auto"/>
        </w:rPr>
        <w:t>Insurance</w:t>
      </w:r>
      <w:r>
        <w:rPr>
          <w:rFonts w:ascii="Arial" w:cs="Arial" w:eastAsia="Arial" w:hAnsi="Arial"/>
          <w:sz w:val="21"/>
          <w:szCs w:val="21"/>
          <w:color w:val="auto"/>
        </w:rPr>
        <w:t>. Each Party will maintain during the Term and [*] of any Licensed Product for which it is responsible</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hereunder, and at its cost, reasonable insurance with a reputable solvent insurer against liability and other risks associated with its activities contemplated by this Agreement in an amount appropriate for its business and products of the type that are the subject of this Agreement, and for its obligations under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a minimum, each Party will maintain, in force beginning at least [*] prior to enrollment of the first subject in a Clinical Trial, product liability insurance policy providing coverage of at least [*]. Each Party will furnish to the other Party evidence of such insurance upon request. Notwithstanding the foregoing, such obligation may be satisfied by a program of self-insurance.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w:t>
      </w:r>
    </w:p>
    <w:p>
      <w:pPr>
        <w:spacing w:after="0" w:line="87"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12.1</w:t>
      </w:r>
      <w:r>
        <w:rPr>
          <w:sz w:val="20"/>
          <w:szCs w:val="20"/>
          <w:color w:val="auto"/>
        </w:rPr>
        <w:tab/>
      </w:r>
      <w:r>
        <w:rPr>
          <w:rFonts w:ascii="Arial" w:cs="Arial" w:eastAsia="Arial" w:hAnsi="Arial"/>
          <w:sz w:val="19"/>
          <w:szCs w:val="19"/>
          <w:b w:val="1"/>
          <w:bCs w:val="1"/>
          <w:color w:val="auto"/>
        </w:rPr>
        <w:t>Confidentiality; Exceptions</w:t>
      </w:r>
      <w:r>
        <w:rPr>
          <w:rFonts w:ascii="Arial" w:cs="Arial" w:eastAsia="Arial" w:hAnsi="Arial"/>
          <w:sz w:val="20"/>
          <w:szCs w:val="20"/>
          <w:color w:val="auto"/>
        </w:rPr>
        <w:t>. Except to the extent expressly authorized by this Agreement or otherwise agreed in writing,</w:t>
      </w:r>
      <w:r>
        <w:rPr>
          <w:rFonts w:ascii="Arial" w:cs="Arial" w:eastAsia="Arial" w:hAnsi="Arial"/>
          <w:sz w:val="19"/>
          <w:szCs w:val="19"/>
          <w:b w:val="1"/>
          <w:bCs w:val="1"/>
          <w:color w:val="auto"/>
        </w:rPr>
        <w:t xml:space="preserve"> </w:t>
      </w:r>
      <w:r>
        <w:rPr>
          <w:rFonts w:ascii="Arial" w:cs="Arial" w:eastAsia="Arial" w:hAnsi="Arial"/>
          <w:sz w:val="20"/>
          <w:szCs w:val="20"/>
          <w:color w:val="auto"/>
        </w:rPr>
        <w:t>during the Term and for [*] thereafter, the Parties agree that the receiving Party will keep confidential and will not publish or otherwise disclose or use for any purpose other than as provided for in this Agreement any information and materials furnished to it by or on behalf of the other Party or any of its Affiliates or generated pursuant to this Agreement (collectively,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For any Confidential Information that constitutes a trade secret of either Party, the foregoing non-disclosure obligations will continue for as long as such Confidential Information remains a trade secret. Confidential Information of a Party or any of its Affiliates will include all information and materials disclosed by such Party or any of its Affiliates or their respective designees that (a) is marked as “Confidential,” “Proprietary,” or with similar designation at the time of disclosure or (b) by its nature can reasonably be expected to be considered Confidential Information by the recipient. Know-How disclosed orally will not be required to be identified as such to be considered Confidential Information. The terms of this Agreement and all Licensed Know-How will be deemed to be the Confidential Information of both Parties. All reports delivered by FibroGen to HFB hereunder will be the Confidential Information of FibroGen. On an Option Program-by-Option Program basis, all information and data regarding Option Compounds or Option Products with respect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119" w:lineRule="exact"/>
        <w:rPr>
          <w:sz w:val="20"/>
          <w:szCs w:val="20"/>
          <w:color w:val="auto"/>
        </w:rPr>
      </w:pPr>
    </w:p>
    <w:p>
      <w:pPr>
        <w:ind w:right="220" w:firstLine="8"/>
        <w:spacing w:after="0" w:line="277" w:lineRule="auto"/>
        <w:tabs>
          <w:tab w:leader="none" w:pos="255" w:val="left"/>
        </w:tabs>
        <w:numPr>
          <w:ilvl w:val="0"/>
          <w:numId w:val="202"/>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58" w:name="page159"/>
    <w:bookmarkEnd w:id="158"/>
    <w:p>
      <w:pPr>
        <w:jc w:val="both"/>
        <w:ind w:left="860"/>
        <w:spacing w:after="0" w:line="271" w:lineRule="auto"/>
        <w:rPr>
          <w:sz w:val="20"/>
          <w:szCs w:val="20"/>
          <w:color w:val="auto"/>
        </w:rPr>
      </w:pPr>
      <w:r>
        <w:rPr>
          <w:rFonts w:ascii="Arial" w:cs="Arial" w:eastAsia="Arial" w:hAnsi="Arial"/>
          <w:sz w:val="19"/>
          <w:szCs w:val="19"/>
          <w:color w:val="auto"/>
        </w:rPr>
        <w:t>an Option Program whether generated before or after the Effective Date, including pursuant to activities contemplated by this Agreement, will be considered Confidential Information of both Parties, with both Parties deemed to be the receiving Party of such Confidential Information during the applicable Option Term, and the exceptions set forth in clauses (a), (d) and (e) below will not apply to such information and data during the Option Term. For the avoidance of doubt, Notwithstanding the foregoing, Confidential Information will not include any information to the extent that it can be established by written documentation by the receiving Party that such information (a) was already known to the receiving Party, other than under an obligation of confidentiality (except to the extent such obligation has expired or an exception is applicable under the relevant agreement pursuant to which such obligation was established), at the time of disclosure, (b) was generally available to the public or otherwise part of the public domain at the time of its disclosure to the receiving Party, (c) became generally available to the public or otherwise part of the public domain after its disclosure and other than through any act or omission of the receiving Party in breach of this Agreement, (d) was independently developed by the receiving Party as demonstrated by written documentation prepared contemporaneously with such independent development, or (e) was disclosed to the receiving Party, other than under an obligation of confidentiality (except to the extent such obligation has expired or an exception is applicable under the relevant agreement pursuant to which such obligation was established), by a Third Party who had no obligation not to disclose such information to others.</w:t>
      </w:r>
    </w:p>
    <w:p>
      <w:pPr>
        <w:spacing w:after="0" w:line="39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12.2</w:t>
      </w:r>
      <w:r>
        <w:rPr>
          <w:sz w:val="20"/>
          <w:szCs w:val="20"/>
          <w:color w:val="auto"/>
        </w:rPr>
        <w:tab/>
      </w:r>
      <w:r>
        <w:rPr>
          <w:rFonts w:ascii="Arial" w:cs="Arial" w:eastAsia="Arial" w:hAnsi="Arial"/>
          <w:sz w:val="17"/>
          <w:szCs w:val="17"/>
          <w:b w:val="1"/>
          <w:bCs w:val="1"/>
          <w:color w:val="auto"/>
        </w:rPr>
        <w:t>Authorized Disclosure</w:t>
      </w:r>
      <w:r>
        <w:rPr>
          <w:rFonts w:ascii="Arial" w:cs="Arial" w:eastAsia="Arial" w:hAnsi="Arial"/>
          <w:sz w:val="18"/>
          <w:szCs w:val="18"/>
          <w:color w:val="auto"/>
        </w:rPr>
        <w:t>.</w:t>
      </w:r>
    </w:p>
    <w:p>
      <w:pPr>
        <w:spacing w:after="0" w:line="214" w:lineRule="exact"/>
        <w:rPr>
          <w:sz w:val="20"/>
          <w:szCs w:val="20"/>
          <w:color w:val="auto"/>
        </w:rPr>
      </w:pPr>
    </w:p>
    <w:p>
      <w:pPr>
        <w:jc w:val="both"/>
        <w:ind w:left="1700" w:hanging="842"/>
        <w:spacing w:after="0" w:line="271" w:lineRule="auto"/>
        <w:tabs>
          <w:tab w:leader="none" w:pos="1700" w:val="left"/>
        </w:tabs>
        <w:numPr>
          <w:ilvl w:val="0"/>
          <w:numId w:val="203"/>
        </w:numPr>
        <w:rPr>
          <w:rFonts w:ascii="Arial" w:cs="Arial" w:eastAsia="Arial" w:hAnsi="Arial"/>
          <w:sz w:val="18"/>
          <w:szCs w:val="18"/>
          <w:color w:val="010000"/>
        </w:rPr>
      </w:pPr>
      <w:r>
        <w:rPr>
          <w:rFonts w:ascii="Arial" w:cs="Arial" w:eastAsia="Arial" w:hAnsi="Arial"/>
          <w:sz w:val="18"/>
          <w:szCs w:val="18"/>
          <w:b w:val="1"/>
          <w:bCs w:val="1"/>
          <w:color w:val="auto"/>
        </w:rPr>
        <w:t>Permitted Disclosure</w:t>
      </w:r>
      <w:r>
        <w:rPr>
          <w:rFonts w:ascii="Arial" w:cs="Arial" w:eastAsia="Arial" w:hAnsi="Arial"/>
          <w:sz w:val="18"/>
          <w:szCs w:val="18"/>
          <w:color w:val="auto"/>
        </w:rPr>
        <w:t>. Except as expressly provided otherwise in this Agreement, each Party may use and disclose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of the other Party solely as follows: (i) under appropriate confidentiality provisions substantially as protective or equivalent to those in this Agreement (but of shorter duration of no less than five (5) years from termination or expiration of the Agreement; provided, that in the case of the Third Parties described in the following clause (C), such terms of confidentiality need extend for no more than two years from the date of disclosure):</w:t>
      </w:r>
    </w:p>
    <w:p>
      <w:pPr>
        <w:jc w:val="both"/>
        <w:ind w:left="1700" w:right="20" w:firstLine="9"/>
        <w:spacing w:after="0" w:line="299" w:lineRule="auto"/>
        <w:tabs>
          <w:tab w:leader="none" w:pos="2048" w:val="left"/>
        </w:tabs>
        <w:numPr>
          <w:ilvl w:val="1"/>
          <w:numId w:val="203"/>
        </w:numPr>
        <w:rPr>
          <w:rFonts w:ascii="Arial" w:cs="Arial" w:eastAsia="Arial" w:hAnsi="Arial"/>
          <w:sz w:val="16"/>
          <w:szCs w:val="16"/>
          <w:color w:val="auto"/>
        </w:rPr>
      </w:pPr>
      <w:r>
        <w:rPr>
          <w:rFonts w:ascii="Arial" w:cs="Arial" w:eastAsia="Arial" w:hAnsi="Arial"/>
          <w:sz w:val="16"/>
          <w:szCs w:val="16"/>
          <w:color w:val="auto"/>
        </w:rPr>
        <w:t>in connection with the performance of its obligations or as necessary or reasonably useful in the exercise of its rights under this Agreement, including the right to grant licenses or sublicenses as permitted hereunder, (B) to the extent such disclosure is reasonably necessary or reasonably useful in conducting Clinical Trials under this Agreement, or</w:t>
      </w:r>
    </w:p>
    <w:p>
      <w:pPr>
        <w:jc w:val="both"/>
        <w:ind w:left="1700" w:firstLine="9"/>
        <w:spacing w:after="0" w:line="230" w:lineRule="exact"/>
        <w:tabs>
          <w:tab w:leader="none" w:pos="202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to actual 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potential (sub)licensees, acquirers or assignees, collaborators, investment bankers, investors or lenders (including in connection with any royalty factoring transaction), or; (ii) to the extent such disclosure is to a governmental authority as reasonably necessary in filing or prosecuting Patent Right, copyright, and trademark applications in accordance with this Agreement, prosecuting or defending litigation related to this Agreement, complying with applicable governmental regulations with respect to performance under this Agreement (including any disclosure to any securities exchange), obtaining Regulatory Approval or fulfilling post</w:t>
      </w:r>
      <w:r>
        <w:rPr>
          <w:rFonts w:ascii="MS PGothic" w:cs="MS PGothic" w:eastAsia="MS PGothic" w:hAnsi="MS PGothic"/>
          <w:sz w:val="18"/>
          <w:szCs w:val="18"/>
          <w:color w:val="auto"/>
        </w:rPr>
        <w:t>‑</w:t>
      </w:r>
      <w:r>
        <w:rPr>
          <w:rFonts w:ascii="Arial" w:cs="Arial" w:eastAsia="Arial" w:hAnsi="Arial"/>
          <w:sz w:val="18"/>
          <w:szCs w:val="18"/>
          <w:color w:val="auto"/>
        </w:rPr>
        <w:t xml:space="preserve">approval regulatory obligations for the Licensed Compound or Licensed Products, or otherwise required by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 Party is required by applicable law or the rules of any securities exchange or automated quotation system to make any such disclosure of the other Party’s Confidential Information then it will, except where impracticable for necessary disclosures (for example, in the event of medical emergency),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119" w:lineRule="exact"/>
        <w:rPr>
          <w:sz w:val="20"/>
          <w:szCs w:val="20"/>
          <w:color w:val="auto"/>
        </w:rPr>
      </w:pPr>
    </w:p>
    <w:p>
      <w:pPr>
        <w:ind w:right="220" w:firstLine="8"/>
        <w:spacing w:after="0" w:line="277" w:lineRule="auto"/>
        <w:tabs>
          <w:tab w:leader="none" w:pos="255" w:val="left"/>
        </w:tabs>
        <w:numPr>
          <w:ilvl w:val="0"/>
          <w:numId w:val="205"/>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59" w:name="page160"/>
    <w:bookmarkEnd w:id="159"/>
    <w:p>
      <w:pPr>
        <w:jc w:val="both"/>
        <w:ind w:left="1700"/>
        <w:spacing w:after="0" w:line="243" w:lineRule="auto"/>
        <w:rPr>
          <w:sz w:val="20"/>
          <w:szCs w:val="20"/>
          <w:color w:val="auto"/>
        </w:rPr>
      </w:pPr>
      <w:r>
        <w:rPr>
          <w:rFonts w:ascii="Arial" w:cs="Arial" w:eastAsia="Arial" w:hAnsi="Arial"/>
          <w:sz w:val="20"/>
          <w:szCs w:val="20"/>
          <w:color w:val="auto"/>
        </w:rPr>
        <w:t>give reasonable advance notice to the other Party of such disclosure requirement and, in each of the foregoing, will use its reasonable efforts to secure confidential treatment of such Confidential Information required to be disclosed and will only disclose that Confidential Information that is required to be disclosed; (iii) to advisors (including lawyers and accountants) on a need to know basis, in each case under appropriate confidentiality provisions or professional standards of confidentiality substantially equivalent to those of this Agreement, or (iv) to the extent agreed to by the Parties.</w:t>
      </w:r>
    </w:p>
    <w:p>
      <w:pPr>
        <w:spacing w:after="0" w:line="176" w:lineRule="exact"/>
        <w:rPr>
          <w:sz w:val="20"/>
          <w:szCs w:val="20"/>
          <w:color w:val="auto"/>
        </w:rPr>
      </w:pPr>
    </w:p>
    <w:p>
      <w:pPr>
        <w:jc w:val="both"/>
        <w:ind w:left="1700" w:hanging="842"/>
        <w:spacing w:after="0" w:line="258" w:lineRule="auto"/>
        <w:tabs>
          <w:tab w:leader="none" w:pos="1700" w:val="left"/>
        </w:tabs>
        <w:numPr>
          <w:ilvl w:val="0"/>
          <w:numId w:val="206"/>
        </w:numPr>
        <w:rPr>
          <w:rFonts w:ascii="Arial" w:cs="Arial" w:eastAsia="Arial" w:hAnsi="Arial"/>
          <w:sz w:val="19"/>
          <w:szCs w:val="19"/>
          <w:color w:val="010000"/>
        </w:rPr>
      </w:pPr>
      <w:r>
        <w:rPr>
          <w:rFonts w:ascii="Arial" w:cs="Arial" w:eastAsia="Arial" w:hAnsi="Arial"/>
          <w:sz w:val="19"/>
          <w:szCs w:val="19"/>
          <w:b w:val="1"/>
          <w:bCs w:val="1"/>
          <w:color w:val="auto"/>
        </w:rPr>
        <w:t>SEC Filings and Other Disclosures</w:t>
      </w:r>
      <w:r>
        <w:rPr>
          <w:rFonts w:ascii="Arial" w:cs="Arial" w:eastAsia="Arial" w:hAnsi="Arial"/>
          <w:sz w:val="19"/>
          <w:szCs w:val="19"/>
          <w:color w:val="auto"/>
        </w:rPr>
        <w:t>. Either Party may disclose the terms of this Agreement to the extent required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comply with applicable law, including the rules and regulations promulgated by the United States Securities and Exchange Commission or any equivalent governmental agency in any country in the Territory; </w:t>
      </w:r>
      <w:r>
        <w:rPr>
          <w:rFonts w:ascii="Arial" w:cs="Arial" w:eastAsia="Arial" w:hAnsi="Arial"/>
          <w:sz w:val="19"/>
          <w:szCs w:val="19"/>
          <w:i w:val="1"/>
          <w:iCs w:val="1"/>
          <w:color w:val="auto"/>
        </w:rPr>
        <w:t>provided</w:t>
      </w:r>
      <w:r>
        <w:rPr>
          <w:rFonts w:ascii="Arial" w:cs="Arial" w:eastAsia="Arial" w:hAnsi="Arial"/>
          <w:sz w:val="19"/>
          <w:szCs w:val="19"/>
          <w:color w:val="auto"/>
        </w:rPr>
        <w:t>, that such Party will provide the other Party a reasonable opportunity to review such disclosure and reasonably consider the other Party’s comments regarding confidential treatment sought for such disclosure, including redaction of financial terms and milestone events. The Parties will use Commercially Reasonable Efforts to conform their respective disclosures made pursuant to this Section 12.2(b) (SEC Filings and Other Disclosures) to the extent allowed under applicable law and the rules of any applicable securities exchange.</w:t>
      </w:r>
    </w:p>
    <w:p>
      <w:pPr>
        <w:spacing w:after="0" w:line="159" w:lineRule="exact"/>
        <w:rPr>
          <w:rFonts w:ascii="Arial" w:cs="Arial" w:eastAsia="Arial" w:hAnsi="Arial"/>
          <w:sz w:val="19"/>
          <w:szCs w:val="19"/>
          <w:color w:val="010000"/>
        </w:rPr>
      </w:pPr>
    </w:p>
    <w:p>
      <w:pPr>
        <w:jc w:val="both"/>
        <w:ind w:left="1700" w:hanging="842"/>
        <w:spacing w:after="0" w:line="256" w:lineRule="auto"/>
        <w:tabs>
          <w:tab w:leader="none" w:pos="1700" w:val="left"/>
        </w:tabs>
        <w:numPr>
          <w:ilvl w:val="0"/>
          <w:numId w:val="206"/>
        </w:numPr>
        <w:rPr>
          <w:rFonts w:ascii="Arial" w:cs="Arial" w:eastAsia="Arial" w:hAnsi="Arial"/>
          <w:sz w:val="19"/>
          <w:szCs w:val="19"/>
          <w:color w:val="010000"/>
        </w:rPr>
      </w:pPr>
      <w:r>
        <w:rPr>
          <w:rFonts w:ascii="Arial" w:cs="Arial" w:eastAsia="Arial" w:hAnsi="Arial"/>
          <w:sz w:val="19"/>
          <w:szCs w:val="19"/>
          <w:b w:val="1"/>
          <w:bCs w:val="1"/>
          <w:color w:val="auto"/>
        </w:rPr>
        <w:t>Press Release</w:t>
      </w:r>
      <w:r>
        <w:rPr>
          <w:rFonts w:ascii="Arial" w:cs="Arial" w:eastAsia="Arial" w:hAnsi="Arial"/>
          <w:sz w:val="19"/>
          <w:szCs w:val="19"/>
          <w:color w:val="auto"/>
        </w:rPr>
        <w:t>. The Parties shall issue the mutually agreed press release set forth on Schedule 12.2(c) hereto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Press Release) on a mutually agreed upon date following the Effective Date. Other than public disclosure permitted by Section 12.2(a) (Permitted Disclosures), Section 12.2(b) (Disclosure to SEC), this Section 12.2(c) (Press Release), and disclosures required by applicable law, the Parties agree that the portions of any other news release or other public announcement relating to this Agreement or the performance hereunder that would disclose information that is not already in the public domain, must first be reviewed and approved by both Parties (with such approval not to be unreasonably withheld or delayed). After a disclosure or other public announcement has been reviewed and approved by both Parties under this Section 12.2 (Authorized Disclosure), either Party may make subsequent public disclosures reiterating such information without having to obtain the other Party’s prior consent and approval, so long as the information in such disclosure or other public announcement remains true, correct, and the most current information with respect to the subject matters set forth therein.</w:t>
      </w:r>
    </w:p>
    <w:p>
      <w:pPr>
        <w:spacing w:after="0" w:line="165"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12.3</w:t>
      </w:r>
      <w:r>
        <w:rPr>
          <w:sz w:val="20"/>
          <w:szCs w:val="20"/>
          <w:color w:val="auto"/>
        </w:rPr>
        <w:tab/>
      </w:r>
      <w:r>
        <w:rPr>
          <w:rFonts w:ascii="Arial" w:cs="Arial" w:eastAsia="Arial" w:hAnsi="Arial"/>
          <w:sz w:val="20"/>
          <w:szCs w:val="20"/>
          <w:b w:val="1"/>
          <w:bCs w:val="1"/>
          <w:color w:val="auto"/>
        </w:rPr>
        <w:t>Prior Agreement</w:t>
      </w:r>
      <w:r>
        <w:rPr>
          <w:rFonts w:ascii="Arial" w:cs="Arial" w:eastAsia="Arial" w:hAnsi="Arial"/>
          <w:sz w:val="21"/>
          <w:szCs w:val="21"/>
          <w:color w:val="auto"/>
        </w:rPr>
        <w:t>. This Agreement supersedes the Existing Nondisclosure Agreement. All confidential information</w:t>
      </w:r>
      <w:r>
        <w:rPr>
          <w:rFonts w:ascii="Arial" w:cs="Arial" w:eastAsia="Arial" w:hAnsi="Arial"/>
          <w:sz w:val="20"/>
          <w:szCs w:val="20"/>
          <w:b w:val="1"/>
          <w:bCs w:val="1"/>
          <w:color w:val="auto"/>
        </w:rPr>
        <w:t xml:space="preserve"> </w:t>
      </w:r>
      <w:r>
        <w:rPr>
          <w:rFonts w:ascii="Arial" w:cs="Arial" w:eastAsia="Arial" w:hAnsi="Arial"/>
          <w:sz w:val="21"/>
          <w:szCs w:val="21"/>
          <w:color w:val="auto"/>
        </w:rPr>
        <w:t>exchanged between the Parties under the Existing Nondisclosure Agreement will be deemed Confidential Information of the disclosing Party and will be subject to the terms of this Agreement.</w:t>
      </w:r>
    </w:p>
    <w:p>
      <w:pPr>
        <w:spacing w:after="0" w:line="156" w:lineRule="exact"/>
        <w:rPr>
          <w:sz w:val="20"/>
          <w:szCs w:val="20"/>
          <w:color w:val="auto"/>
        </w:rPr>
      </w:pPr>
    </w:p>
    <w:p>
      <w:pPr>
        <w:jc w:val="both"/>
        <w:ind w:left="860" w:hanging="849"/>
        <w:spacing w:after="0" w:line="261" w:lineRule="auto"/>
        <w:tabs>
          <w:tab w:leader="none" w:pos="840" w:val="left"/>
        </w:tabs>
        <w:rPr>
          <w:sz w:val="20"/>
          <w:szCs w:val="20"/>
          <w:color w:val="auto"/>
        </w:rPr>
      </w:pPr>
      <w:r>
        <w:rPr>
          <w:rFonts w:ascii="Arial" w:cs="Arial" w:eastAsia="Arial" w:hAnsi="Arial"/>
          <w:sz w:val="20"/>
          <w:szCs w:val="20"/>
          <w:color w:val="010000"/>
        </w:rPr>
        <w:t>12.4</w:t>
      </w:r>
      <w:r>
        <w:rPr>
          <w:sz w:val="20"/>
          <w:szCs w:val="20"/>
          <w:color w:val="auto"/>
        </w:rPr>
        <w:tab/>
      </w:r>
      <w:r>
        <w:rPr>
          <w:rFonts w:ascii="Arial" w:cs="Arial" w:eastAsia="Arial" w:hAnsi="Arial"/>
          <w:sz w:val="19"/>
          <w:szCs w:val="19"/>
          <w:b w:val="1"/>
          <w:bCs w:val="1"/>
          <w:color w:val="auto"/>
        </w:rPr>
        <w:t>Residual Knowledge</w:t>
      </w:r>
      <w:r>
        <w:rPr>
          <w:rFonts w:ascii="Arial" w:cs="Arial" w:eastAsia="Arial" w:hAnsi="Arial"/>
          <w:sz w:val="20"/>
          <w:szCs w:val="20"/>
          <w:color w:val="010000"/>
        </w:rPr>
        <w:t>. Notwithstanding any provision to the contrary set forth in this Agreement, use or disclosure by an</w:t>
      </w:r>
      <w:r>
        <w:rPr>
          <w:rFonts w:ascii="Arial" w:cs="Arial" w:eastAsia="Arial" w:hAnsi="Arial"/>
          <w:sz w:val="19"/>
          <w:szCs w:val="19"/>
          <w:b w:val="1"/>
          <w:bCs w:val="1"/>
          <w:color w:val="auto"/>
        </w:rPr>
        <w:t xml:space="preserve"> </w:t>
      </w:r>
      <w:r>
        <w:rPr>
          <w:rFonts w:ascii="Arial" w:cs="Arial" w:eastAsia="Arial" w:hAnsi="Arial"/>
          <w:sz w:val="20"/>
          <w:szCs w:val="20"/>
          <w:color w:val="010000"/>
        </w:rPr>
        <w:t>authorized representative of a receiving Party of Confidential Information that is knowledge, technique, experience, or Know-How retained in the unaided memory of such authorized representative of the receiving Party that had authorized access to such Confidential Information (“</w:t>
      </w:r>
      <w:r>
        <w:rPr>
          <w:rFonts w:ascii="Arial" w:cs="Arial" w:eastAsia="Arial" w:hAnsi="Arial"/>
          <w:sz w:val="20"/>
          <w:szCs w:val="20"/>
          <w:b w:val="1"/>
          <w:bCs w:val="1"/>
          <w:color w:val="010000"/>
        </w:rPr>
        <w:t>Residual Knowledge</w:t>
      </w:r>
      <w:r>
        <w:rPr>
          <w:rFonts w:ascii="Arial" w:cs="Arial" w:eastAsia="Arial" w:hAnsi="Arial"/>
          <w:sz w:val="20"/>
          <w:szCs w:val="20"/>
          <w:color w:val="010000"/>
        </w:rPr>
        <w:t xml:space="preserve">”) will not violate the confidentiality, non-use and non-disclosure obligations set forth in this Agreement, </w:t>
      </w:r>
      <w:r>
        <w:rPr>
          <w:rFonts w:ascii="Arial" w:cs="Arial" w:eastAsia="Arial" w:hAnsi="Arial"/>
          <w:sz w:val="20"/>
          <w:szCs w:val="20"/>
          <w:i w:val="1"/>
          <w:iCs w:val="1"/>
          <w:color w:val="010000"/>
        </w:rPr>
        <w:t>provided</w:t>
      </w:r>
      <w:r>
        <w:rPr>
          <w:rFonts w:ascii="Arial" w:cs="Arial" w:eastAsia="Arial" w:hAnsi="Arial"/>
          <w:sz w:val="20"/>
          <w:szCs w:val="20"/>
          <w:color w:val="010000"/>
        </w:rPr>
        <w:t xml:space="preserve"> that such authorized representative did not intentionally memorize such Confidential Information for use outside of this Agreement. Any use made by the receiving Party of any such Residual Knowledge is on an “as is, where is” basis, with all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119" w:lineRule="exact"/>
        <w:rPr>
          <w:sz w:val="20"/>
          <w:szCs w:val="20"/>
          <w:color w:val="auto"/>
        </w:rPr>
      </w:pPr>
    </w:p>
    <w:p>
      <w:pPr>
        <w:ind w:right="220" w:firstLine="8"/>
        <w:spacing w:after="0" w:line="277" w:lineRule="auto"/>
        <w:tabs>
          <w:tab w:leader="none" w:pos="255" w:val="left"/>
        </w:tabs>
        <w:numPr>
          <w:ilvl w:val="0"/>
          <w:numId w:val="207"/>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0" w:name="page161"/>
    <w:bookmarkEnd w:id="160"/>
    <w:p>
      <w:pPr>
        <w:ind w:left="860"/>
        <w:spacing w:after="0"/>
        <w:rPr>
          <w:sz w:val="20"/>
          <w:szCs w:val="20"/>
          <w:color w:val="auto"/>
        </w:rPr>
      </w:pPr>
      <w:r>
        <w:rPr>
          <w:rFonts w:ascii="Arial" w:cs="Arial" w:eastAsia="Arial" w:hAnsi="Arial"/>
          <w:sz w:val="22"/>
          <w:szCs w:val="22"/>
          <w:color w:val="010000"/>
        </w:rPr>
        <w:t>faults and all representations and warranties disclaimed and at its sole risk.</w:t>
      </w:r>
    </w:p>
    <w:p>
      <w:pPr>
        <w:spacing w:after="0" w:line="193"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010000"/>
        </w:rPr>
        <w:t>12.5</w:t>
      </w:r>
      <w:r>
        <w:rPr>
          <w:sz w:val="20"/>
          <w:szCs w:val="20"/>
          <w:color w:val="auto"/>
        </w:rPr>
        <w:tab/>
      </w:r>
      <w:r>
        <w:rPr>
          <w:rFonts w:ascii="Arial" w:cs="Arial" w:eastAsia="Arial" w:hAnsi="Arial"/>
          <w:sz w:val="20"/>
          <w:szCs w:val="20"/>
          <w:b w:val="1"/>
          <w:bCs w:val="1"/>
          <w:color w:val="auto"/>
        </w:rPr>
        <w:t>Publications</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010000"/>
        </w:rPr>
        <w:t>FibroGen will be the exclusive owner of any publication rights with respect to the Licensed Compounds</w:t>
      </w:r>
      <w:r>
        <w:rPr>
          <w:rFonts w:ascii="Arial" w:cs="Arial" w:eastAsia="Arial" w:hAnsi="Arial"/>
          <w:sz w:val="20"/>
          <w:szCs w:val="20"/>
          <w:b w:val="1"/>
          <w:bCs w:val="1"/>
          <w:color w:val="auto"/>
        </w:rPr>
        <w:t xml:space="preserve"> </w:t>
      </w:r>
      <w:r>
        <w:rPr>
          <w:rFonts w:ascii="Arial" w:cs="Arial" w:eastAsia="Arial" w:hAnsi="Arial"/>
          <w:sz w:val="21"/>
          <w:szCs w:val="21"/>
          <w:color w:val="010000"/>
        </w:rPr>
        <w:t xml:space="preserve">and Licensed Products in the Territory, and will have the sole and exclusive right to publish on such Licensed Compounds and Licensed Products in the Territory without the prior consent of HFB, </w:t>
      </w:r>
      <w:r>
        <w:rPr>
          <w:rFonts w:ascii="Arial" w:cs="Arial" w:eastAsia="Arial" w:hAnsi="Arial"/>
          <w:sz w:val="21"/>
          <w:szCs w:val="21"/>
          <w:i w:val="1"/>
          <w:iCs w:val="1"/>
          <w:color w:val="010000"/>
        </w:rPr>
        <w:t>provided</w:t>
      </w:r>
      <w:r>
        <w:rPr>
          <w:rFonts w:ascii="Arial" w:cs="Arial" w:eastAsia="Arial" w:hAnsi="Arial"/>
          <w:sz w:val="21"/>
          <w:szCs w:val="21"/>
          <w:color w:val="010000"/>
        </w:rPr>
        <w:t xml:space="preserve"> that no such publication may include the Confidential Information of HFB. Prior to </w:t>
      </w:r>
      <w:r>
        <w:rPr>
          <w:rFonts w:ascii="Arial" w:cs="Arial" w:eastAsia="Arial" w:hAnsi="Arial"/>
          <w:sz w:val="21"/>
          <w:szCs w:val="21"/>
          <w:color w:val="000000"/>
        </w:rPr>
        <w:t>[*]</w:t>
      </w:r>
      <w:r>
        <w:rPr>
          <w:rFonts w:ascii="Arial" w:cs="Arial" w:eastAsia="Arial" w:hAnsi="Arial"/>
          <w:sz w:val="21"/>
          <w:szCs w:val="21"/>
          <w:color w:val="010000"/>
        </w:rPr>
        <w:t xml:space="preserve"> with respect to an Option Program, neither Party will make any academic, scientific or medical publication or academic, scientific or medical public presentation related to such Option Program, any Option Compound or Option Product with respect to such Option Program or any activities conducted pursuant to this Agreement with respect to such Option Program, in each case, without the JSC’s prior written consent.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AND TERMINATION</w:t>
      </w:r>
    </w:p>
    <w:p>
      <w:pPr>
        <w:spacing w:after="0" w:line="87" w:lineRule="exact"/>
        <w:rPr>
          <w:sz w:val="20"/>
          <w:szCs w:val="20"/>
          <w:color w:val="auto"/>
        </w:rPr>
      </w:pPr>
    </w:p>
    <w:p>
      <w:pPr>
        <w:jc w:val="both"/>
        <w:ind w:left="860" w:hanging="849"/>
        <w:spacing w:after="0" w:line="249" w:lineRule="auto"/>
        <w:tabs>
          <w:tab w:leader="none" w:pos="8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0"/>
          <w:szCs w:val="20"/>
          <w:b w:val="1"/>
          <w:bCs w:val="1"/>
          <w:color w:val="auto"/>
        </w:rPr>
        <w:t>Term</w:t>
      </w:r>
      <w:r>
        <w:rPr>
          <w:rFonts w:ascii="Arial" w:cs="Arial" w:eastAsia="Arial" w:hAnsi="Arial"/>
          <w:sz w:val="21"/>
          <w:szCs w:val="21"/>
          <w:color w:val="auto"/>
        </w:rPr>
        <w:t>. This Agreement will commence on the Effective Date and, unless earlier terminated pursuant to this Article 13</w:t>
      </w:r>
      <w:r>
        <w:rPr>
          <w:rFonts w:ascii="Arial" w:cs="Arial" w:eastAsia="Arial" w:hAnsi="Arial"/>
          <w:sz w:val="20"/>
          <w:szCs w:val="20"/>
          <w:b w:val="1"/>
          <w:bCs w:val="1"/>
          <w:color w:val="auto"/>
        </w:rPr>
        <w:t xml:space="preserve"> </w:t>
      </w:r>
      <w:r>
        <w:rPr>
          <w:rFonts w:ascii="Arial" w:cs="Arial" w:eastAsia="Arial" w:hAnsi="Arial"/>
          <w:sz w:val="21"/>
          <w:szCs w:val="21"/>
          <w:color w:val="auto"/>
        </w:rPr>
        <w:t>(Term and Termination), will expire on a Licensed Product-by-Licensed Product and country-by-country basis at the end of the applicable Royalty Term (the “</w:t>
      </w:r>
      <w:r>
        <w:rPr>
          <w:rFonts w:ascii="Arial" w:cs="Arial" w:eastAsia="Arial" w:hAnsi="Arial"/>
          <w:sz w:val="21"/>
          <w:szCs w:val="21"/>
          <w:b w:val="1"/>
          <w:bCs w:val="1"/>
          <w:color w:val="auto"/>
        </w:rPr>
        <w:t>Term</w:t>
      </w:r>
      <w:r>
        <w:rPr>
          <w:rFonts w:ascii="Arial" w:cs="Arial" w:eastAsia="Arial" w:hAnsi="Arial"/>
          <w:sz w:val="21"/>
          <w:szCs w:val="21"/>
          <w:color w:val="auto"/>
        </w:rPr>
        <w:t>”). Following the end of the Term for the Licensed Products and in such country by expiration (but not termination), the license granted to FibroGen under Section 2.1 (License to FibroGen) will become perpetual, irrevocable, fully paid-up, and royalty-free.</w:t>
      </w:r>
    </w:p>
    <w:p>
      <w:pPr>
        <w:spacing w:after="0" w:line="165"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010000"/>
        </w:rPr>
        <w:t>13.2</w:t>
      </w:r>
      <w:r>
        <w:rPr>
          <w:sz w:val="20"/>
          <w:szCs w:val="20"/>
          <w:color w:val="auto"/>
        </w:rPr>
        <w:tab/>
      </w:r>
      <w:r>
        <w:rPr>
          <w:rFonts w:ascii="Arial" w:cs="Arial" w:eastAsia="Arial" w:hAnsi="Arial"/>
          <w:sz w:val="20"/>
          <w:szCs w:val="20"/>
          <w:b w:val="1"/>
          <w:bCs w:val="1"/>
          <w:color w:val="auto"/>
        </w:rPr>
        <w:t>Termination by FibroGen</w:t>
      </w:r>
      <w:r>
        <w:rPr>
          <w:rFonts w:ascii="Arial" w:cs="Arial" w:eastAsia="Arial" w:hAnsi="Arial"/>
          <w:sz w:val="21"/>
          <w:szCs w:val="21"/>
          <w:color w:val="auto"/>
        </w:rPr>
        <w:t>. FibroGen will have the right for any or no reason to terminate this Agreement in its entirety</w:t>
      </w:r>
      <w:r>
        <w:rPr>
          <w:rFonts w:ascii="Arial" w:cs="Arial" w:eastAsia="Arial" w:hAnsi="Arial"/>
          <w:sz w:val="20"/>
          <w:szCs w:val="20"/>
          <w:b w:val="1"/>
          <w:bCs w:val="1"/>
          <w:color w:val="auto"/>
        </w:rPr>
        <w:t xml:space="preserve"> </w:t>
      </w:r>
      <w:r>
        <w:rPr>
          <w:rFonts w:ascii="Arial" w:cs="Arial" w:eastAsia="Arial" w:hAnsi="Arial"/>
          <w:sz w:val="21"/>
          <w:szCs w:val="21"/>
          <w:color w:val="auto"/>
        </w:rPr>
        <w:t>or on a Licensed Program-by-Licensed Program basis (“</w:t>
      </w:r>
      <w:r>
        <w:rPr>
          <w:rFonts w:ascii="Arial" w:cs="Arial" w:eastAsia="Arial" w:hAnsi="Arial"/>
          <w:sz w:val="21"/>
          <w:szCs w:val="21"/>
          <w:b w:val="1"/>
          <w:bCs w:val="1"/>
          <w:color w:val="auto"/>
        </w:rPr>
        <w:t>Terminated Licensed Program</w:t>
      </w:r>
      <w:r>
        <w:rPr>
          <w:rFonts w:ascii="Arial" w:cs="Arial" w:eastAsia="Arial" w:hAnsi="Arial"/>
          <w:sz w:val="21"/>
          <w:szCs w:val="21"/>
          <w:color w:val="auto"/>
        </w:rPr>
        <w:t>”), which for the avoidance of doubt, terminates FibroGen’s license and rights for any Licensed Products Directed to the applicable Exclusive Target, upon [*] prior written notice to HFB (“</w:t>
      </w:r>
      <w:r>
        <w:rPr>
          <w:rFonts w:ascii="Arial" w:cs="Arial" w:eastAsia="Arial" w:hAnsi="Arial"/>
          <w:sz w:val="21"/>
          <w:szCs w:val="21"/>
          <w:b w:val="1"/>
          <w:bCs w:val="1"/>
          <w:color w:val="auto"/>
        </w:rPr>
        <w:t>Termination for Convenience Notice Period</w:t>
      </w:r>
      <w:r>
        <w:rPr>
          <w:rFonts w:ascii="Arial" w:cs="Arial" w:eastAsia="Arial" w:hAnsi="Arial"/>
          <w:sz w:val="21"/>
          <w:szCs w:val="21"/>
          <w:color w:val="auto"/>
        </w:rPr>
        <w:t>”). Effective upon receipt by HFB of such written notice to terminate from FibroGen and upon written notice to FibroGen, HFB may elect in their sole discretion to have such termination be effective on a Licensed Program-by-Licensed Program basis at any time during the Termination for Convenience Notice Period.</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13.3</w:t>
      </w:r>
      <w:r>
        <w:rPr>
          <w:sz w:val="20"/>
          <w:szCs w:val="20"/>
          <w:color w:val="auto"/>
        </w:rPr>
        <w:tab/>
      </w:r>
      <w:r>
        <w:rPr>
          <w:rFonts w:ascii="Arial" w:cs="Arial" w:eastAsia="Arial" w:hAnsi="Arial"/>
          <w:sz w:val="17"/>
          <w:szCs w:val="17"/>
          <w:b w:val="1"/>
          <w:bCs w:val="1"/>
          <w:color w:val="auto"/>
        </w:rPr>
        <w:t>Termination for Cause</w:t>
      </w:r>
      <w:r>
        <w:rPr>
          <w:rFonts w:ascii="Arial" w:cs="Arial" w:eastAsia="Arial" w:hAnsi="Arial"/>
          <w:sz w:val="18"/>
          <w:szCs w:val="18"/>
          <w:color w:val="010000"/>
        </w:rPr>
        <w:t>.</w:t>
      </w:r>
    </w:p>
    <w:p>
      <w:pPr>
        <w:spacing w:after="0" w:line="214" w:lineRule="exact"/>
        <w:rPr>
          <w:sz w:val="20"/>
          <w:szCs w:val="20"/>
          <w:color w:val="auto"/>
        </w:rPr>
      </w:pPr>
    </w:p>
    <w:p>
      <w:pPr>
        <w:ind w:left="1700" w:hanging="842"/>
        <w:spacing w:after="0"/>
        <w:tabs>
          <w:tab w:leader="none" w:pos="1700" w:val="left"/>
        </w:tabs>
        <w:numPr>
          <w:ilvl w:val="0"/>
          <w:numId w:val="208"/>
        </w:numPr>
        <w:rPr>
          <w:rFonts w:ascii="Arial" w:cs="Arial" w:eastAsia="Arial" w:hAnsi="Arial"/>
          <w:sz w:val="18"/>
          <w:szCs w:val="18"/>
          <w:color w:val="010000"/>
        </w:rPr>
      </w:pPr>
      <w:r>
        <w:rPr>
          <w:rFonts w:ascii="Arial" w:cs="Arial" w:eastAsia="Arial" w:hAnsi="Arial"/>
          <w:sz w:val="18"/>
          <w:szCs w:val="18"/>
          <w:b w:val="1"/>
          <w:bCs w:val="1"/>
          <w:color w:val="auto"/>
        </w:rPr>
        <w:t>By FibroGen</w:t>
      </w:r>
      <w:r>
        <w:rPr>
          <w:rFonts w:ascii="Arial" w:cs="Arial" w:eastAsia="Arial" w:hAnsi="Arial"/>
          <w:sz w:val="18"/>
          <w:szCs w:val="18"/>
          <w:color w:val="auto"/>
        </w:rPr>
        <w:t>. In the event of a material breach of this Agreement by HFB, which material breach remains uncured for</w:t>
      </w:r>
    </w:p>
    <w:p>
      <w:pPr>
        <w:spacing w:after="0" w:line="44" w:lineRule="exact"/>
        <w:rPr>
          <w:rFonts w:ascii="Arial" w:cs="Arial" w:eastAsia="Arial" w:hAnsi="Arial"/>
          <w:sz w:val="18"/>
          <w:szCs w:val="18"/>
          <w:color w:val="010000"/>
        </w:rPr>
      </w:pPr>
    </w:p>
    <w:p>
      <w:pPr>
        <w:jc w:val="both"/>
        <w:ind w:left="1700" w:firstLine="9"/>
        <w:spacing w:after="0"/>
        <w:tabs>
          <w:tab w:leader="none" w:pos="1982" w:val="left"/>
        </w:tabs>
        <w:numPr>
          <w:ilvl w:val="1"/>
          <w:numId w:val="208"/>
        </w:numPr>
        <w:rPr>
          <w:rFonts w:ascii="Arial" w:cs="Arial" w:eastAsia="Arial" w:hAnsi="Arial"/>
          <w:sz w:val="20"/>
          <w:szCs w:val="20"/>
          <w:color w:val="auto"/>
        </w:rPr>
      </w:pPr>
      <w:r>
        <w:rPr>
          <w:rFonts w:ascii="Arial" w:cs="Arial" w:eastAsia="Arial" w:hAnsi="Arial"/>
          <w:sz w:val="20"/>
          <w:szCs w:val="20"/>
          <w:color w:val="auto"/>
        </w:rPr>
        <w:t>measured from the date of written notice of such material breach by FibroGen that identifies the material breach and the actions or conduct that FibroGen considers would be an acceptable cure of such material breach, FibroGen may terminate this Agreement in whole or with respect to those Licensed Programs (and all Licensed Products that include such Licensed Compound) to which such material breach relates at any time during the Term of this Agreement by written notice of termination to HFB.</w:t>
      </w:r>
    </w:p>
    <w:p>
      <w:pPr>
        <w:spacing w:after="0" w:line="83" w:lineRule="exact"/>
        <w:rPr>
          <w:rFonts w:ascii="Arial" w:cs="Arial" w:eastAsia="Arial" w:hAnsi="Arial"/>
          <w:sz w:val="20"/>
          <w:szCs w:val="20"/>
          <w:color w:val="auto"/>
        </w:rPr>
      </w:pPr>
    </w:p>
    <w:p>
      <w:pPr>
        <w:ind w:left="1700" w:hanging="842"/>
        <w:spacing w:after="0"/>
        <w:tabs>
          <w:tab w:leader="none" w:pos="1700" w:val="left"/>
        </w:tabs>
        <w:numPr>
          <w:ilvl w:val="0"/>
          <w:numId w:val="208"/>
        </w:numPr>
        <w:rPr>
          <w:rFonts w:ascii="Arial" w:cs="Arial" w:eastAsia="Arial" w:hAnsi="Arial"/>
          <w:sz w:val="18"/>
          <w:szCs w:val="18"/>
          <w:color w:val="010000"/>
        </w:rPr>
      </w:pPr>
      <w:r>
        <w:rPr>
          <w:rFonts w:ascii="Arial" w:cs="Arial" w:eastAsia="Arial" w:hAnsi="Arial"/>
          <w:sz w:val="18"/>
          <w:szCs w:val="18"/>
          <w:b w:val="1"/>
          <w:bCs w:val="1"/>
          <w:color w:val="auto"/>
        </w:rPr>
        <w:t>By HFB</w:t>
      </w:r>
      <w:r>
        <w:rPr>
          <w:rFonts w:ascii="Arial" w:cs="Arial" w:eastAsia="Arial" w:hAnsi="Arial"/>
          <w:sz w:val="18"/>
          <w:szCs w:val="18"/>
          <w:color w:val="auto"/>
        </w:rPr>
        <w:t>. In the event of a material breach of this Agreement by FibroGen, which material breach remains uncured for</w:t>
      </w:r>
    </w:p>
    <w:p>
      <w:pPr>
        <w:spacing w:after="0" w:line="44" w:lineRule="exact"/>
        <w:rPr>
          <w:rFonts w:ascii="Arial" w:cs="Arial" w:eastAsia="Arial" w:hAnsi="Arial"/>
          <w:sz w:val="18"/>
          <w:szCs w:val="18"/>
          <w:color w:val="010000"/>
        </w:rPr>
      </w:pPr>
    </w:p>
    <w:p>
      <w:pPr>
        <w:ind w:left="1700" w:firstLine="9"/>
        <w:spacing w:after="0" w:line="297" w:lineRule="auto"/>
        <w:tabs>
          <w:tab w:leader="none" w:pos="198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measured from the date of written notice of such material breach by HFB that identifies the material breach and the actions or conduct that it considers would be an acceptable cure of such material breach, HFB may terminate this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119" w:lineRule="exact"/>
        <w:rPr>
          <w:sz w:val="20"/>
          <w:szCs w:val="20"/>
          <w:color w:val="auto"/>
        </w:rPr>
      </w:pPr>
    </w:p>
    <w:p>
      <w:pPr>
        <w:ind w:right="220" w:firstLine="8"/>
        <w:spacing w:after="0" w:line="277" w:lineRule="auto"/>
        <w:tabs>
          <w:tab w:leader="none" w:pos="255" w:val="left"/>
        </w:tabs>
        <w:numPr>
          <w:ilvl w:val="0"/>
          <w:numId w:val="209"/>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61" w:name="page162"/>
    <w:bookmarkEnd w:id="161"/>
    <w:p>
      <w:pPr>
        <w:jc w:val="both"/>
        <w:ind w:left="1700"/>
        <w:spacing w:after="0" w:line="250" w:lineRule="auto"/>
        <w:rPr>
          <w:sz w:val="20"/>
          <w:szCs w:val="20"/>
          <w:color w:val="auto"/>
        </w:rPr>
      </w:pPr>
      <w:r>
        <w:rPr>
          <w:rFonts w:ascii="Arial" w:cs="Arial" w:eastAsia="Arial" w:hAnsi="Arial"/>
          <w:sz w:val="20"/>
          <w:szCs w:val="20"/>
          <w:color w:val="auto"/>
        </w:rPr>
        <w:t>Agreement in part with respect to those Licensed Programs (and all Licensed Products that include such Licensed Compound) to which such material breach relates or the Agreement as a whole at any time during the Term of this Agreement by written notice of termination to FibroGen.</w:t>
      </w:r>
    </w:p>
    <w:p>
      <w:pPr>
        <w:spacing w:after="0" w:line="72" w:lineRule="exact"/>
        <w:rPr>
          <w:sz w:val="20"/>
          <w:szCs w:val="20"/>
          <w:color w:val="auto"/>
        </w:rPr>
      </w:pPr>
    </w:p>
    <w:p>
      <w:pPr>
        <w:jc w:val="both"/>
        <w:ind w:left="1700" w:hanging="842"/>
        <w:spacing w:after="0" w:line="270" w:lineRule="auto"/>
        <w:tabs>
          <w:tab w:leader="none" w:pos="1700" w:val="left"/>
        </w:tabs>
        <w:numPr>
          <w:ilvl w:val="0"/>
          <w:numId w:val="210"/>
        </w:numPr>
        <w:rPr>
          <w:rFonts w:ascii="Arial" w:cs="Arial" w:eastAsia="Arial" w:hAnsi="Arial"/>
          <w:sz w:val="18"/>
          <w:szCs w:val="18"/>
          <w:color w:val="010000"/>
        </w:rPr>
      </w:pPr>
      <w:r>
        <w:rPr>
          <w:rFonts w:ascii="Arial" w:cs="Arial" w:eastAsia="Arial" w:hAnsi="Arial"/>
          <w:sz w:val="18"/>
          <w:szCs w:val="18"/>
          <w:b w:val="1"/>
          <w:bCs w:val="1"/>
          <w:color w:val="auto"/>
        </w:rPr>
        <w:t>Disputes Regarding Material Breach</w:t>
      </w:r>
      <w:r>
        <w:rPr>
          <w:rFonts w:ascii="Arial" w:cs="Arial" w:eastAsia="Arial" w:hAnsi="Arial"/>
          <w:sz w:val="18"/>
          <w:szCs w:val="18"/>
          <w:color w:val="auto"/>
        </w:rPr>
        <w:t>. In case the Party (the “</w:t>
      </w:r>
      <w:r>
        <w:rPr>
          <w:rFonts w:ascii="Arial" w:cs="Arial" w:eastAsia="Arial" w:hAnsi="Arial"/>
          <w:sz w:val="18"/>
          <w:szCs w:val="18"/>
          <w:b w:val="1"/>
          <w:bCs w:val="1"/>
          <w:color w:val="auto"/>
        </w:rPr>
        <w:t>Defaulting Party</w:t>
      </w:r>
      <w:r>
        <w:rPr>
          <w:rFonts w:ascii="Arial" w:cs="Arial" w:eastAsia="Arial" w:hAnsi="Arial"/>
          <w:sz w:val="18"/>
          <w:szCs w:val="18"/>
          <w:color w:val="auto"/>
        </w:rPr>
        <w:t>”) alleged by the other Party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Non-Defaulting Party</w:t>
      </w:r>
      <w:r>
        <w:rPr>
          <w:rFonts w:ascii="Arial" w:cs="Arial" w:eastAsia="Arial" w:hAnsi="Arial"/>
          <w:sz w:val="18"/>
          <w:szCs w:val="18"/>
          <w:color w:val="auto"/>
        </w:rPr>
        <w:t>”) to have committed a material breach under Section 13.3(a) (By FibroGen) or Section 13.3(b) (By HFB) disputes occurrence of such material breach, then the issue of whether the Non-Defaulting Party may properly terminate this Agreement on expiration of the applicable cure period will be resolved in accordance with Article 14 (Dispute Resolution). If as a result of such dispute resolution process, it is determined that the Defaulting Party committed a material breach of this Agreement by a final written determination of the arbitrators, then such termination will be effective as of such final determination. If the Parties in good faith dispute whether a material breach has been cured prior to the final written determination of the arbitrators, then such dispute will also be determined in such arbitration in accordance with Article 15 (Dispute Resolution). This Agreement will remain in full force and effect during the pendency of any such dispute resolution proceeding and the cure periods set forth in Section 13.3(a) (By FibroGen) or Section 13.3(b) (By HFB), as applicable, will be [*], such proceeding will not suspend any obligations of either Party hereunder, and each Party will use reasonable efforts to mitigate any damage. If as a result of such dispute resolution proceeding it is determined that the Defaulting Party did not commit such material breach (or such material breach was cured in accordance with this Section 13.3 (Termination for Cause)), then no termination will be effective, and this Agreement will continue in full force and effect.</w:t>
      </w:r>
    </w:p>
    <w:p>
      <w:pPr>
        <w:spacing w:after="0" w:line="5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13.4</w:t>
      </w:r>
      <w:r>
        <w:rPr>
          <w:sz w:val="20"/>
          <w:szCs w:val="20"/>
          <w:color w:val="auto"/>
        </w:rPr>
        <w:tab/>
      </w:r>
      <w:r>
        <w:rPr>
          <w:rFonts w:ascii="Arial" w:cs="Arial" w:eastAsia="Arial" w:hAnsi="Arial"/>
          <w:sz w:val="18"/>
          <w:szCs w:val="18"/>
          <w:b w:val="1"/>
          <w:bCs w:val="1"/>
          <w:color w:val="auto"/>
        </w:rPr>
        <w:t>Termination for Bankruptcy</w:t>
      </w:r>
      <w:r>
        <w:rPr>
          <w:rFonts w:ascii="Arial" w:cs="Arial" w:eastAsia="Arial" w:hAnsi="Arial"/>
          <w:sz w:val="18"/>
          <w:szCs w:val="18"/>
          <w:color w:val="auto"/>
        </w:rPr>
        <w:t>.</w:t>
      </w:r>
    </w:p>
    <w:p>
      <w:pPr>
        <w:spacing w:after="0" w:line="108" w:lineRule="exact"/>
        <w:rPr>
          <w:sz w:val="20"/>
          <w:szCs w:val="20"/>
          <w:color w:val="auto"/>
        </w:rPr>
      </w:pPr>
    </w:p>
    <w:p>
      <w:pPr>
        <w:ind w:left="1700" w:hanging="842"/>
        <w:spacing w:after="0" w:line="267" w:lineRule="auto"/>
        <w:tabs>
          <w:tab w:leader="none" w:pos="1700" w:val="left"/>
        </w:tabs>
        <w:numPr>
          <w:ilvl w:val="0"/>
          <w:numId w:val="211"/>
        </w:numPr>
        <w:rPr>
          <w:rFonts w:ascii="Arial" w:cs="Arial" w:eastAsia="Arial" w:hAnsi="Arial"/>
          <w:sz w:val="20"/>
          <w:szCs w:val="20"/>
          <w:color w:val="010000"/>
        </w:rPr>
      </w:pPr>
      <w:r>
        <w:rPr>
          <w:rFonts w:ascii="Arial" w:cs="Arial" w:eastAsia="Arial" w:hAnsi="Arial"/>
          <w:sz w:val="20"/>
          <w:szCs w:val="20"/>
          <w:b w:val="1"/>
          <w:bCs w:val="1"/>
          <w:color w:val="auto"/>
        </w:rPr>
        <w:t>Bankruptcy</w:t>
      </w:r>
      <w:r>
        <w:rPr>
          <w:rFonts w:ascii="Arial" w:cs="Arial" w:eastAsia="Arial" w:hAnsi="Arial"/>
          <w:sz w:val="20"/>
          <w:szCs w:val="20"/>
          <w:color w:val="auto"/>
        </w:rPr>
        <w:t>. Either Party may terminate this Agreement in its entirety upon providing written notice to the other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upon a Bankruptcy Event of the other Party.</w:t>
      </w:r>
    </w:p>
    <w:p>
      <w:pPr>
        <w:spacing w:after="0" w:line="55" w:lineRule="exact"/>
        <w:rPr>
          <w:rFonts w:ascii="Arial" w:cs="Arial" w:eastAsia="Arial" w:hAnsi="Arial"/>
          <w:sz w:val="20"/>
          <w:szCs w:val="20"/>
          <w:color w:val="010000"/>
        </w:rPr>
      </w:pPr>
    </w:p>
    <w:p>
      <w:pPr>
        <w:jc w:val="both"/>
        <w:ind w:left="1700" w:hanging="842"/>
        <w:spacing w:after="0" w:line="274" w:lineRule="auto"/>
        <w:tabs>
          <w:tab w:leader="none" w:pos="1700" w:val="left"/>
        </w:tabs>
        <w:numPr>
          <w:ilvl w:val="0"/>
          <w:numId w:val="211"/>
        </w:numPr>
        <w:rPr>
          <w:rFonts w:ascii="Arial" w:cs="Arial" w:eastAsia="Arial" w:hAnsi="Arial"/>
          <w:sz w:val="18"/>
          <w:szCs w:val="18"/>
          <w:color w:val="010000"/>
        </w:rPr>
      </w:pPr>
      <w:r>
        <w:rPr>
          <w:rFonts w:ascii="Arial" w:cs="Arial" w:eastAsia="Arial" w:hAnsi="Arial"/>
          <w:sz w:val="18"/>
          <w:szCs w:val="18"/>
          <w:b w:val="1"/>
          <w:bCs w:val="1"/>
          <w:color w:val="auto"/>
        </w:rPr>
        <w:t>Bankruptcy Laws</w:t>
      </w:r>
      <w:r>
        <w:rPr>
          <w:rFonts w:ascii="Arial" w:cs="Arial" w:eastAsia="Arial" w:hAnsi="Arial"/>
          <w:sz w:val="18"/>
          <w:szCs w:val="18"/>
          <w:color w:val="auto"/>
        </w:rPr>
        <w:t>. All rights and licenses granted under or pursuant to this Agreement are, and shall otherwise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for purposes of Section 365(n) of Title 11 of the United States Code, as amended (the “</w:t>
      </w:r>
      <w:r>
        <w:rPr>
          <w:rFonts w:ascii="Arial" w:cs="Arial" w:eastAsia="Arial" w:hAnsi="Arial"/>
          <w:sz w:val="18"/>
          <w:szCs w:val="18"/>
          <w:b w:val="1"/>
          <w:bCs w:val="1"/>
          <w:color w:val="auto"/>
        </w:rPr>
        <w:t>Bankruptcy</w:t>
      </w:r>
      <w:r>
        <w:rPr>
          <w:rFonts w:ascii="Arial" w:cs="Arial" w:eastAsia="Arial" w:hAnsi="Arial"/>
          <w:sz w:val="18"/>
          <w:szCs w:val="18"/>
          <w:color w:val="auto"/>
        </w:rPr>
        <w:t xml:space="preserve"> </w:t>
      </w:r>
      <w:r>
        <w:rPr>
          <w:rFonts w:ascii="Arial" w:cs="Arial" w:eastAsia="Arial" w:hAnsi="Arial"/>
          <w:sz w:val="18"/>
          <w:szCs w:val="18"/>
          <w:b w:val="1"/>
          <w:bCs w:val="1"/>
          <w:color w:val="auto"/>
        </w:rPr>
        <w:t>Code</w:t>
      </w:r>
      <w:r>
        <w:rPr>
          <w:rFonts w:ascii="Arial" w:cs="Arial" w:eastAsia="Arial" w:hAnsi="Arial"/>
          <w:sz w:val="18"/>
          <w:szCs w:val="18"/>
          <w:color w:val="auto"/>
        </w:rPr>
        <w:t>”), or similar laws of any applicable state, the U.S., or foreign jurisdiction (collectively, the “</w:t>
      </w:r>
      <w:r>
        <w:rPr>
          <w:rFonts w:ascii="Arial" w:cs="Arial" w:eastAsia="Arial" w:hAnsi="Arial"/>
          <w:sz w:val="18"/>
          <w:szCs w:val="18"/>
          <w:b w:val="1"/>
          <w:bCs w:val="1"/>
          <w:color w:val="auto"/>
        </w:rPr>
        <w:t>Bankruptcy Laws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of rights to “intellectual property” as defined under the Bankruptcy Laws and are to include trademarks and trade names. In the event the Bankruptcy Laws in a jurisdiction outside the US do not have provisions similar to those in Section 365(n) of the Bankruptcy Code, the Parties acknowledge and agree that it is the intention of the Parties to incorporate such rights and remedies herein and the non-bankrupt Party may elect for this Agreement to be treated in accordance with Section 365(n) of the Bankruptcy Code in such jurisdiction.</w:t>
      </w:r>
    </w:p>
    <w:p>
      <w:pPr>
        <w:spacing w:after="0" w:line="59" w:lineRule="exact"/>
        <w:rPr>
          <w:rFonts w:ascii="Arial" w:cs="Arial" w:eastAsia="Arial" w:hAnsi="Arial"/>
          <w:sz w:val="18"/>
          <w:szCs w:val="18"/>
          <w:color w:val="010000"/>
        </w:rPr>
      </w:pPr>
    </w:p>
    <w:p>
      <w:pPr>
        <w:ind w:left="1700" w:hanging="842"/>
        <w:spacing w:after="0"/>
        <w:tabs>
          <w:tab w:leader="none" w:pos="1700" w:val="left"/>
        </w:tabs>
        <w:numPr>
          <w:ilvl w:val="0"/>
          <w:numId w:val="211"/>
        </w:numPr>
        <w:rPr>
          <w:rFonts w:ascii="Arial" w:cs="Arial" w:eastAsia="Arial" w:hAnsi="Arial"/>
          <w:sz w:val="20"/>
          <w:szCs w:val="20"/>
          <w:color w:val="010000"/>
        </w:rPr>
      </w:pPr>
      <w:r>
        <w:rPr>
          <w:rFonts w:ascii="Arial" w:cs="Arial" w:eastAsia="Arial" w:hAnsi="Arial"/>
          <w:sz w:val="20"/>
          <w:szCs w:val="20"/>
          <w:color w:val="auto"/>
        </w:rPr>
        <w:t>If a Bankruptcy Event occurs with respect to a Party during the Term under any Bankruptcy Laws:</w:t>
      </w:r>
    </w:p>
    <w:p>
      <w:pPr>
        <w:spacing w:after="0" w:line="107" w:lineRule="exact"/>
        <w:rPr>
          <w:rFonts w:ascii="Arial" w:cs="Arial" w:eastAsia="Arial" w:hAnsi="Arial"/>
          <w:sz w:val="20"/>
          <w:szCs w:val="20"/>
          <w:color w:val="010000"/>
        </w:rPr>
      </w:pPr>
    </w:p>
    <w:p>
      <w:pPr>
        <w:jc w:val="both"/>
        <w:ind w:left="2580" w:hanging="858"/>
        <w:spacing w:after="0" w:line="246" w:lineRule="auto"/>
        <w:tabs>
          <w:tab w:leader="none" w:pos="2580"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unless and until this Agreement is rejected as provided pursuant to such Bankruptcy Laws, such Party (in any capacity, including debtor-in-possession) and its successors and assigns (including a trustee under the Bankruptcy Code or other applicable Bankruptcy Laws) shall perform all of the obligations in this Agreement intended to be performed by such Party.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119" w:lineRule="exact"/>
        <w:rPr>
          <w:sz w:val="20"/>
          <w:szCs w:val="20"/>
          <w:color w:val="auto"/>
        </w:rPr>
      </w:pPr>
    </w:p>
    <w:p>
      <w:pPr>
        <w:ind w:right="220" w:firstLine="8"/>
        <w:spacing w:after="0" w:line="277" w:lineRule="auto"/>
        <w:tabs>
          <w:tab w:leader="none" w:pos="255" w:val="left"/>
        </w:tabs>
        <w:numPr>
          <w:ilvl w:val="0"/>
          <w:numId w:val="212"/>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2" w:name="page163"/>
    <w:bookmarkEnd w:id="162"/>
    <w:p>
      <w:pPr>
        <w:jc w:val="both"/>
        <w:ind w:left="2580" w:hanging="858"/>
        <w:spacing w:after="0" w:line="268" w:lineRule="auto"/>
        <w:tabs>
          <w:tab w:leader="none" w:pos="2580" w:val="left"/>
        </w:tabs>
        <w:numPr>
          <w:ilvl w:val="0"/>
          <w:numId w:val="213"/>
        </w:numPr>
        <w:rPr>
          <w:rFonts w:ascii="Arial" w:cs="Arial" w:eastAsia="Arial" w:hAnsi="Arial"/>
          <w:sz w:val="18"/>
          <w:szCs w:val="18"/>
          <w:color w:val="010000"/>
        </w:rPr>
      </w:pPr>
      <w:r>
        <w:rPr>
          <w:rFonts w:ascii="Arial" w:cs="Arial" w:eastAsia="Arial" w:hAnsi="Arial"/>
          <w:sz w:val="18"/>
          <w:szCs w:val="18"/>
          <w:color w:val="auto"/>
        </w:rPr>
        <w:t>if this Agreement is rejected as provided for under the Bankruptcy Laws, and the non-bankrupt Party elects to retain its rights hereunder as provided for under the Bankruptcy Laws, then the Party subject to such Bankruptcy Event (in any capacity, including debtor-in-possession) and its successors and assigns (including a trustee under the Bankruptcy Code or other applicable Bankruptcy Laws), shall provide to the non-bankrupt Party copies (or complete access to, as appropriate) of all Patent Rights and other information necessary for the non-bankrupt Party to prosecute, maintain and enjoy its rights under the terms of this Agreement. All rights, powers and remedies of the non-bankrupt Party as provided herein are in addition to and not in substitution for any and all other rights, powers and remedies now or hereafter existing at law or in equity (including the Bankruptcy Laws) in a Bankruptcy Event of the Party under the Bankruptcy Laws. In particular, it is the intention and understanding of the Parties to this Agreement that the rights granted to the Parties under this Section 13.4 (Termination for Bankruptcy) are essential to the Parties’ respective businesses and the Parties acknowledge that damages are not an adequate remedy. The Parties acknowledge and agree that the payments made under Section 8.4 (Royalties) shall (A) constitute royalties within the meaning of Section 365(n) of the Bankruptcy Code or any analogous provisions under other Bankruptcy Laws, and (B) relate to licenses of Intellectual Property. In the event that this Agreement is rejected or deemed rejected under the Bankruptcy Laws, the Party subject to such Bankruptcy Event (or its Representative, assignee or trustee in such case or proceeding) shall provide written notice thereof to the other Party. The Parties waive all rights to object to the application of Section 365(n) of the Bankruptcy Code or similar provisions under Bankruptcy Laws.</w:t>
      </w:r>
    </w:p>
    <w:p>
      <w:pPr>
        <w:spacing w:after="0" w:line="72" w:lineRule="exact"/>
        <w:rPr>
          <w:sz w:val="20"/>
          <w:szCs w:val="20"/>
          <w:color w:val="auto"/>
        </w:rPr>
      </w:pPr>
    </w:p>
    <w:p>
      <w:pPr>
        <w:jc w:val="both"/>
        <w:ind w:left="860" w:hanging="849"/>
        <w:spacing w:after="0" w:line="260" w:lineRule="auto"/>
        <w:tabs>
          <w:tab w:leader="none" w:pos="840" w:val="left"/>
        </w:tabs>
        <w:rPr>
          <w:sz w:val="20"/>
          <w:szCs w:val="20"/>
          <w:color w:val="auto"/>
        </w:rPr>
      </w:pPr>
      <w:r>
        <w:rPr>
          <w:rFonts w:ascii="Arial" w:cs="Arial" w:eastAsia="Arial" w:hAnsi="Arial"/>
          <w:sz w:val="20"/>
          <w:szCs w:val="20"/>
          <w:color w:val="010000"/>
        </w:rPr>
        <w:t>13.5</w:t>
      </w:r>
      <w:r>
        <w:rPr>
          <w:sz w:val="20"/>
          <w:szCs w:val="20"/>
          <w:color w:val="auto"/>
        </w:rPr>
        <w:tab/>
      </w:r>
      <w:r>
        <w:rPr>
          <w:rFonts w:ascii="Arial" w:cs="Arial" w:eastAsia="Arial" w:hAnsi="Arial"/>
          <w:sz w:val="19"/>
          <w:szCs w:val="19"/>
          <w:b w:val="1"/>
          <w:bCs w:val="1"/>
          <w:color w:val="auto"/>
        </w:rPr>
        <w:t>Termination for Patent Challenge</w:t>
      </w:r>
      <w:r>
        <w:rPr>
          <w:rFonts w:ascii="Arial" w:cs="Arial" w:eastAsia="Arial" w:hAnsi="Arial"/>
          <w:sz w:val="20"/>
          <w:szCs w:val="20"/>
          <w:color w:val="010000"/>
        </w:rPr>
        <w:t>. If FibroGen, its Affiliates or Sublicensees directly or indirectly and voluntarily</w:t>
      </w:r>
      <w:r>
        <w:rPr>
          <w:rFonts w:ascii="Arial" w:cs="Arial" w:eastAsia="Arial" w:hAnsi="Arial"/>
          <w:sz w:val="19"/>
          <w:szCs w:val="19"/>
          <w:b w:val="1"/>
          <w:bCs w:val="1"/>
          <w:color w:val="auto"/>
        </w:rPr>
        <w:t xml:space="preserve"> </w:t>
      </w:r>
      <w:r>
        <w:rPr>
          <w:rFonts w:ascii="Arial" w:cs="Arial" w:eastAsia="Arial" w:hAnsi="Arial"/>
          <w:sz w:val="20"/>
          <w:szCs w:val="20"/>
          <w:color w:val="010000"/>
        </w:rPr>
        <w:t>commences or participates in any Patent Challenge, HFB shall have the right to give a written “</w:t>
      </w:r>
      <w:r>
        <w:rPr>
          <w:rFonts w:ascii="Arial" w:cs="Arial" w:eastAsia="Arial" w:hAnsi="Arial"/>
          <w:sz w:val="20"/>
          <w:szCs w:val="20"/>
          <w:b w:val="1"/>
          <w:bCs w:val="1"/>
          <w:color w:val="010000"/>
        </w:rPr>
        <w:t>Patent Challenge</w:t>
      </w:r>
      <w:r>
        <w:rPr>
          <w:rFonts w:ascii="Arial" w:cs="Arial" w:eastAsia="Arial" w:hAnsi="Arial"/>
          <w:sz w:val="20"/>
          <w:szCs w:val="20"/>
          <w:color w:val="010000"/>
        </w:rPr>
        <w:t xml:space="preserve"> </w:t>
      </w:r>
      <w:r>
        <w:rPr>
          <w:rFonts w:ascii="Arial" w:cs="Arial" w:eastAsia="Arial" w:hAnsi="Arial"/>
          <w:sz w:val="20"/>
          <w:szCs w:val="20"/>
          <w:b w:val="1"/>
          <w:bCs w:val="1"/>
          <w:color w:val="010000"/>
        </w:rPr>
        <w:t>Notice</w:t>
      </w:r>
      <w:r>
        <w:rPr>
          <w:rFonts w:ascii="Arial" w:cs="Arial" w:eastAsia="Arial" w:hAnsi="Arial"/>
          <w:sz w:val="20"/>
          <w:szCs w:val="20"/>
          <w:color w:val="010000"/>
        </w:rPr>
        <w:t>” to FibroGen. Within [*] following FibroGen’s receipt of the Patent Challenge Notice, and, unless FibroGen or</w:t>
      </w:r>
      <w:r>
        <w:rPr>
          <w:rFonts w:ascii="Arial" w:cs="Arial" w:eastAsia="Arial" w:hAnsi="Arial"/>
          <w:sz w:val="20"/>
          <w:szCs w:val="20"/>
          <w:b w:val="1"/>
          <w:bCs w:val="1"/>
          <w:color w:val="010000"/>
        </w:rPr>
        <w:t xml:space="preserve"> </w:t>
      </w:r>
      <w:r>
        <w:rPr>
          <w:rFonts w:ascii="Arial" w:cs="Arial" w:eastAsia="Arial" w:hAnsi="Arial"/>
          <w:sz w:val="20"/>
          <w:szCs w:val="20"/>
          <w:color w:val="010000"/>
        </w:rPr>
        <w:t>its applicable Affiliate or Sublicensee withdraws or causes to be withdrawn all such Patent Challenges within such [*] following receipt of the Patent Challenge Notice, at HFB’s sole discretion, HFB may convert the licenses granted pursuant to Section 2.1 (Licenses to FibroGen) with respect to such Licensed Program to non-exclusive licenses and terminate FibroGen’s obligations under Section 2.8 (Exclusivity) with respect to such Licensed Program, or terminate this Agreement with respect to such Licensed Program, if permitted by applicable law.</w:t>
      </w:r>
    </w:p>
    <w:p>
      <w:pPr>
        <w:spacing w:after="0" w:line="153" w:lineRule="exact"/>
        <w:rPr>
          <w:sz w:val="20"/>
          <w:szCs w:val="20"/>
          <w:color w:val="auto"/>
        </w:rPr>
      </w:pPr>
    </w:p>
    <w:p>
      <w:pPr>
        <w:jc w:val="both"/>
        <w:ind w:left="860" w:hanging="849"/>
        <w:spacing w:after="0" w:line="252" w:lineRule="auto"/>
        <w:tabs>
          <w:tab w:leader="none" w:pos="840" w:val="left"/>
        </w:tabs>
        <w:rPr>
          <w:sz w:val="20"/>
          <w:szCs w:val="20"/>
          <w:color w:val="auto"/>
        </w:rPr>
      </w:pPr>
      <w:r>
        <w:rPr>
          <w:rFonts w:ascii="Arial" w:cs="Arial" w:eastAsia="Arial" w:hAnsi="Arial"/>
          <w:sz w:val="20"/>
          <w:szCs w:val="20"/>
          <w:color w:val="010000"/>
        </w:rPr>
        <w:t>13.6</w:t>
      </w:r>
      <w:r>
        <w:rPr>
          <w:sz w:val="20"/>
          <w:szCs w:val="20"/>
          <w:color w:val="auto"/>
        </w:rPr>
        <w:tab/>
      </w:r>
      <w:r>
        <w:rPr>
          <w:rFonts w:ascii="Arial" w:cs="Arial" w:eastAsia="Arial" w:hAnsi="Arial"/>
          <w:sz w:val="20"/>
          <w:szCs w:val="20"/>
          <w:b w:val="1"/>
          <w:bCs w:val="1"/>
          <w:color w:val="auto"/>
        </w:rPr>
        <w:t>Effects of Termination</w:t>
      </w:r>
      <w:r>
        <w:rPr>
          <w:rFonts w:ascii="Arial" w:cs="Arial" w:eastAsia="Arial" w:hAnsi="Arial"/>
          <w:sz w:val="21"/>
          <w:szCs w:val="21"/>
          <w:color w:val="auto"/>
        </w:rPr>
        <w:t>. Upon termination of this Agreement with respect to a Licensed Product or, with respect to a</w:t>
      </w:r>
      <w:r>
        <w:rPr>
          <w:rFonts w:ascii="Arial" w:cs="Arial" w:eastAsia="Arial" w:hAnsi="Arial"/>
          <w:sz w:val="20"/>
          <w:szCs w:val="20"/>
          <w:b w:val="1"/>
          <w:bCs w:val="1"/>
          <w:color w:val="auto"/>
        </w:rPr>
        <w:t xml:space="preserve"> </w:t>
      </w:r>
      <w:r>
        <w:rPr>
          <w:rFonts w:ascii="Arial" w:cs="Arial" w:eastAsia="Arial" w:hAnsi="Arial"/>
          <w:sz w:val="21"/>
          <w:szCs w:val="21"/>
          <w:color w:val="auto"/>
        </w:rPr>
        <w:t>Licensed Program, all Licensed Compounds and Licensed Products that are the subject of such Licensed Program (each a “</w:t>
      </w:r>
      <w:r>
        <w:rPr>
          <w:rFonts w:ascii="Arial" w:cs="Arial" w:eastAsia="Arial" w:hAnsi="Arial"/>
          <w:sz w:val="21"/>
          <w:szCs w:val="21"/>
          <w:b w:val="1"/>
          <w:bCs w:val="1"/>
          <w:color w:val="auto"/>
        </w:rPr>
        <w:t>Terminated Licensed Product</w:t>
      </w:r>
      <w:r>
        <w:rPr>
          <w:rFonts w:ascii="Arial" w:cs="Arial" w:eastAsia="Arial" w:hAnsi="Arial"/>
          <w:sz w:val="21"/>
          <w:szCs w:val="21"/>
          <w:color w:val="auto"/>
        </w:rPr>
        <w:t>”) shall terminate, and (in addition to any other rights and obligations under this Article 13 (Term and Termination)):</w:t>
      </w:r>
    </w:p>
    <w:p>
      <w:pPr>
        <w:spacing w:after="0" w:line="159" w:lineRule="exact"/>
        <w:rPr>
          <w:sz w:val="20"/>
          <w:szCs w:val="20"/>
          <w:color w:val="auto"/>
        </w:rPr>
      </w:pPr>
    </w:p>
    <w:p>
      <w:pPr>
        <w:jc w:val="both"/>
        <w:ind w:left="1700" w:hanging="842"/>
        <w:spacing w:after="0" w:line="294" w:lineRule="auto"/>
        <w:tabs>
          <w:tab w:leader="none" w:pos="1700" w:val="left"/>
        </w:tabs>
        <w:numPr>
          <w:ilvl w:val="0"/>
          <w:numId w:val="214"/>
        </w:numPr>
        <w:rPr>
          <w:rFonts w:ascii="Arial" w:cs="Arial" w:eastAsia="Arial" w:hAnsi="Arial"/>
          <w:sz w:val="18"/>
          <w:szCs w:val="18"/>
          <w:color w:val="010000"/>
        </w:rPr>
      </w:pPr>
      <w:r>
        <w:rPr>
          <w:rFonts w:ascii="Arial" w:cs="Arial" w:eastAsia="Arial" w:hAnsi="Arial"/>
          <w:sz w:val="18"/>
          <w:szCs w:val="18"/>
          <w:b w:val="1"/>
          <w:bCs w:val="1"/>
          <w:color w:val="auto"/>
        </w:rPr>
        <w:t>Licenses and Options</w:t>
      </w:r>
      <w:r>
        <w:rPr>
          <w:rFonts w:ascii="Arial" w:cs="Arial" w:eastAsia="Arial" w:hAnsi="Arial"/>
          <w:sz w:val="18"/>
          <w:szCs w:val="18"/>
          <w:color w:val="auto"/>
        </w:rPr>
        <w:t>. As of the effective date of termination of this Agreement with respect to a Terminated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all licenses and all other rights granted by HFB to FibroGen under Section 2.1 (License to FibroGen) with respect to such Terminated Licensed Program will terminate. In the event of termination of an Option Program, all</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119" w:lineRule="exact"/>
        <w:rPr>
          <w:sz w:val="20"/>
          <w:szCs w:val="20"/>
          <w:color w:val="auto"/>
        </w:rPr>
      </w:pPr>
    </w:p>
    <w:p>
      <w:pPr>
        <w:ind w:right="220" w:firstLine="8"/>
        <w:spacing w:after="0" w:line="277" w:lineRule="auto"/>
        <w:tabs>
          <w:tab w:leader="none" w:pos="255" w:val="left"/>
        </w:tabs>
        <w:numPr>
          <w:ilvl w:val="0"/>
          <w:numId w:val="215"/>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3" w:name="page164"/>
    <w:bookmarkEnd w:id="163"/>
    <w:p>
      <w:pPr>
        <w:jc w:val="both"/>
        <w:ind w:left="1700"/>
        <w:spacing w:after="0" w:line="250" w:lineRule="auto"/>
        <w:rPr>
          <w:sz w:val="20"/>
          <w:szCs w:val="20"/>
          <w:color w:val="auto"/>
        </w:rPr>
      </w:pPr>
      <w:r>
        <w:rPr>
          <w:rFonts w:ascii="Arial" w:cs="Arial" w:eastAsia="Arial" w:hAnsi="Arial"/>
          <w:sz w:val="20"/>
          <w:szCs w:val="20"/>
          <w:color w:val="auto"/>
        </w:rPr>
        <w:t>outstanding License Options granted by HFB to FibroGen under Section 2.9(a) (Grant of Options) for such Option Program will terminate and, if this Agreement is terminated in the entirety, all outstanding License Options shall terminate pursuant to Section 2.9(f) (Termination of Option).</w:t>
      </w:r>
    </w:p>
    <w:p>
      <w:pPr>
        <w:spacing w:after="0" w:line="72" w:lineRule="exact"/>
        <w:rPr>
          <w:sz w:val="20"/>
          <w:szCs w:val="20"/>
          <w:color w:val="auto"/>
        </w:rPr>
      </w:pPr>
    </w:p>
    <w:p>
      <w:pPr>
        <w:ind w:left="1700" w:hanging="842"/>
        <w:spacing w:after="0" w:line="267" w:lineRule="auto"/>
        <w:tabs>
          <w:tab w:leader="none" w:pos="1700" w:val="left"/>
        </w:tabs>
        <w:numPr>
          <w:ilvl w:val="0"/>
          <w:numId w:val="216"/>
        </w:numPr>
        <w:rPr>
          <w:rFonts w:ascii="Arial" w:cs="Arial" w:eastAsia="Arial" w:hAnsi="Arial"/>
          <w:sz w:val="20"/>
          <w:szCs w:val="20"/>
          <w:color w:val="010000"/>
        </w:rPr>
      </w:pPr>
      <w:r>
        <w:rPr>
          <w:rFonts w:ascii="Arial" w:cs="Arial" w:eastAsia="Arial" w:hAnsi="Arial"/>
          <w:sz w:val="20"/>
          <w:szCs w:val="20"/>
          <w:b w:val="1"/>
          <w:bCs w:val="1"/>
          <w:color w:val="auto"/>
        </w:rPr>
        <w:t>Reversion Rights</w:t>
      </w:r>
      <w:r>
        <w:rPr>
          <w:rFonts w:ascii="Arial" w:cs="Arial" w:eastAsia="Arial" w:hAnsi="Arial"/>
          <w:sz w:val="20"/>
          <w:szCs w:val="20"/>
          <w:color w:val="auto"/>
        </w:rPr>
        <w:t>. At HFB’s written request, FibroGen hereby agrees to [*] which FibroGen will and hereby does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effective date of termination:</w:t>
      </w:r>
    </w:p>
    <w:p>
      <w:pPr>
        <w:spacing w:after="0" w:line="61" w:lineRule="exact"/>
        <w:rPr>
          <w:rFonts w:ascii="Arial" w:cs="Arial" w:eastAsia="Arial" w:hAnsi="Arial"/>
          <w:sz w:val="20"/>
          <w:szCs w:val="20"/>
          <w:color w:val="010000"/>
        </w:rPr>
      </w:pPr>
    </w:p>
    <w:p>
      <w:pPr>
        <w:jc w:val="both"/>
        <w:ind w:left="2580" w:hanging="858"/>
        <w:spacing w:after="0" w:line="272" w:lineRule="auto"/>
        <w:tabs>
          <w:tab w:leader="none" w:pos="2580" w:val="left"/>
        </w:tabs>
        <w:numPr>
          <w:ilvl w:val="1"/>
          <w:numId w:val="216"/>
        </w:numPr>
        <w:rPr>
          <w:rFonts w:ascii="Arial" w:cs="Arial" w:eastAsia="Arial" w:hAnsi="Arial"/>
          <w:sz w:val="18"/>
          <w:szCs w:val="18"/>
          <w:color w:val="010000"/>
        </w:rPr>
      </w:pPr>
      <w:r>
        <w:rPr>
          <w:rFonts w:ascii="Arial" w:cs="Arial" w:eastAsia="Arial" w:hAnsi="Arial"/>
          <w:sz w:val="18"/>
          <w:szCs w:val="18"/>
          <w:color w:val="auto"/>
        </w:rPr>
        <w:t>grant HFB, with respect to each Terminated Licensed Product, a non-exclusive, royalty-bearing, worldwide license (with the right to sublicense in multiple tiers) to all FibroGen Arising Technology (with reasonable and customary comment and step-in rights for HFB), and FibroGen’s rights in the Joint Arising Technology,</w:t>
      </w:r>
    </w:p>
    <w:p>
      <w:pPr>
        <w:ind w:left="2580" w:hanging="7"/>
        <w:spacing w:after="0" w:line="244" w:lineRule="auto"/>
        <w:tabs>
          <w:tab w:leader="none" w:pos="2871" w:val="left"/>
        </w:tabs>
        <w:numPr>
          <w:ilvl w:val="2"/>
          <w:numId w:val="216"/>
        </w:numPr>
        <w:rPr>
          <w:rFonts w:ascii="Arial" w:cs="Arial" w:eastAsia="Arial" w:hAnsi="Arial"/>
          <w:sz w:val="20"/>
          <w:szCs w:val="20"/>
          <w:color w:val="auto"/>
        </w:rPr>
      </w:pPr>
      <w:r>
        <w:rPr>
          <w:rFonts w:ascii="Arial" w:cs="Arial" w:eastAsia="Arial" w:hAnsi="Arial"/>
          <w:sz w:val="20"/>
          <w:szCs w:val="20"/>
          <w:color w:val="auto"/>
        </w:rPr>
        <w:t>for the Exploitation of such Terminated Licensed Product and, if not terminated by HFB for FibroGen’s material breach in accordance with Section 13.3(b) (By HFB), [*];</w:t>
      </w:r>
    </w:p>
    <w:p>
      <w:pPr>
        <w:spacing w:after="0" w:line="83" w:lineRule="exact"/>
        <w:rPr>
          <w:rFonts w:ascii="Arial" w:cs="Arial" w:eastAsia="Arial" w:hAnsi="Arial"/>
          <w:sz w:val="20"/>
          <w:szCs w:val="20"/>
          <w:color w:val="auto"/>
        </w:rPr>
      </w:pPr>
    </w:p>
    <w:p>
      <w:pPr>
        <w:ind w:left="2580" w:hanging="858"/>
        <w:spacing w:after="0"/>
        <w:tabs>
          <w:tab w:leader="none" w:pos="2580"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effect a technology transfer to facilitate HFB’s practice of such license;</w:t>
      </w:r>
    </w:p>
    <w:p>
      <w:pPr>
        <w:spacing w:after="0" w:line="107" w:lineRule="exact"/>
        <w:rPr>
          <w:rFonts w:ascii="Arial" w:cs="Arial" w:eastAsia="Arial" w:hAnsi="Arial"/>
          <w:sz w:val="20"/>
          <w:szCs w:val="20"/>
          <w:color w:val="010000"/>
        </w:rPr>
      </w:pPr>
    </w:p>
    <w:p>
      <w:pPr>
        <w:ind w:left="2580" w:hanging="858"/>
        <w:spacing w:after="0"/>
        <w:tabs>
          <w:tab w:leader="none" w:pos="2580"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w:t>
      </w:r>
    </w:p>
    <w:p>
      <w:pPr>
        <w:spacing w:after="0" w:line="107" w:lineRule="exact"/>
        <w:rPr>
          <w:rFonts w:ascii="Arial" w:cs="Arial" w:eastAsia="Arial" w:hAnsi="Arial"/>
          <w:sz w:val="20"/>
          <w:szCs w:val="20"/>
          <w:color w:val="010000"/>
        </w:rPr>
      </w:pPr>
    </w:p>
    <w:p>
      <w:pPr>
        <w:ind w:left="2580" w:hanging="858"/>
        <w:spacing w:after="0"/>
        <w:tabs>
          <w:tab w:leader="none" w:pos="2580"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w:t>
      </w:r>
    </w:p>
    <w:p>
      <w:pPr>
        <w:spacing w:after="0" w:line="319"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19"/>
          <w:szCs w:val="19"/>
          <w:b w:val="1"/>
          <w:bCs w:val="1"/>
          <w:color w:val="auto"/>
        </w:rPr>
        <w:t>*</w:t>
      </w:r>
      <w:r>
        <w:rPr>
          <w:rFonts w:ascii="Arial" w:cs="Arial" w:eastAsia="Arial" w:hAnsi="Arial"/>
          <w:sz w:val="22"/>
          <w:szCs w:val="22"/>
          <w:color w:val="auto"/>
        </w:rPr>
        <w:t>]</w:t>
      </w:r>
    </w:p>
    <w:p>
      <w:pPr>
        <w:spacing w:after="0" w:line="211" w:lineRule="exact"/>
        <w:rPr>
          <w:sz w:val="20"/>
          <w:szCs w:val="20"/>
          <w:color w:val="auto"/>
        </w:rPr>
      </w:pPr>
    </w:p>
    <w:p>
      <w:pPr>
        <w:jc w:val="both"/>
        <w:ind w:left="1740"/>
        <w:spacing w:after="0" w:line="246" w:lineRule="auto"/>
        <w:rPr>
          <w:sz w:val="20"/>
          <w:szCs w:val="20"/>
          <w:color w:val="auto"/>
        </w:rPr>
      </w:pPr>
      <w:r>
        <w:rPr>
          <w:rFonts w:ascii="Arial" w:cs="Arial" w:eastAsia="Arial" w:hAnsi="Arial"/>
          <w:sz w:val="20"/>
          <w:szCs w:val="20"/>
          <w:color w:val="auto"/>
        </w:rPr>
        <w:t>In addition, if HFB reasonably believes that HFB requires a non-exclusive license under FibroGen Background Technology in order to Exploit such Terminated Licensed Product and provides a written request to FibroGen, FibroGen shall (to the extent it is permitted to do so) negotiate in good faith with HFB for commercially reasonable terms under which FibroGen will grant to HFB such license.</w:t>
      </w:r>
    </w:p>
    <w:p>
      <w:pPr>
        <w:spacing w:after="0" w:line="77" w:lineRule="exact"/>
        <w:rPr>
          <w:sz w:val="20"/>
          <w:szCs w:val="20"/>
          <w:color w:val="auto"/>
        </w:rPr>
      </w:pPr>
    </w:p>
    <w:p>
      <w:pPr>
        <w:ind w:left="1700" w:hanging="842"/>
        <w:spacing w:after="0"/>
        <w:tabs>
          <w:tab w:leader="none" w:pos="1700" w:val="left"/>
        </w:tabs>
        <w:numPr>
          <w:ilvl w:val="0"/>
          <w:numId w:val="217"/>
        </w:numPr>
        <w:rPr>
          <w:rFonts w:ascii="Arial" w:cs="Arial" w:eastAsia="Arial" w:hAnsi="Arial"/>
          <w:sz w:val="20"/>
          <w:szCs w:val="20"/>
          <w:color w:val="010000"/>
        </w:rPr>
      </w:pPr>
      <w:r>
        <w:rPr>
          <w:rFonts w:ascii="Arial" w:cs="Arial" w:eastAsia="Arial" w:hAnsi="Arial"/>
          <w:sz w:val="20"/>
          <w:szCs w:val="20"/>
          <w:b w:val="1"/>
          <w:bCs w:val="1"/>
          <w:color w:val="auto"/>
        </w:rPr>
        <w:t>Ongoing Clinical Trials</w:t>
      </w:r>
      <w:r>
        <w:rPr>
          <w:rFonts w:ascii="Arial" w:cs="Arial" w:eastAsia="Arial" w:hAnsi="Arial"/>
          <w:sz w:val="20"/>
          <w:szCs w:val="20"/>
          <w:color w:val="auto"/>
        </w:rPr>
        <w:t>.</w:t>
      </w:r>
    </w:p>
    <w:p>
      <w:pPr>
        <w:spacing w:after="0" w:line="107" w:lineRule="exact"/>
        <w:rPr>
          <w:rFonts w:ascii="Arial" w:cs="Arial" w:eastAsia="Arial" w:hAnsi="Arial"/>
          <w:sz w:val="20"/>
          <w:szCs w:val="20"/>
          <w:color w:val="010000"/>
        </w:rPr>
      </w:pPr>
    </w:p>
    <w:p>
      <w:pPr>
        <w:jc w:val="both"/>
        <w:ind w:left="2580" w:hanging="858"/>
        <w:spacing w:after="0" w:line="258" w:lineRule="auto"/>
        <w:tabs>
          <w:tab w:leader="none" w:pos="2580" w:val="left"/>
        </w:tabs>
        <w:numPr>
          <w:ilvl w:val="1"/>
          <w:numId w:val="217"/>
        </w:numPr>
        <w:rPr>
          <w:rFonts w:ascii="Arial" w:cs="Arial" w:eastAsia="Arial" w:hAnsi="Arial"/>
          <w:sz w:val="19"/>
          <w:szCs w:val="19"/>
          <w:color w:val="010000"/>
        </w:rPr>
      </w:pPr>
      <w:r>
        <w:rPr>
          <w:rFonts w:ascii="Arial" w:cs="Arial" w:eastAsia="Arial" w:hAnsi="Arial"/>
          <w:sz w:val="19"/>
          <w:szCs w:val="19"/>
          <w:b w:val="1"/>
          <w:bCs w:val="1"/>
          <w:color w:val="auto"/>
        </w:rPr>
        <w:t>Transfer to HFB</w:t>
      </w:r>
      <w:r>
        <w:rPr>
          <w:rFonts w:ascii="Arial" w:cs="Arial" w:eastAsia="Arial" w:hAnsi="Arial"/>
          <w:sz w:val="19"/>
          <w:szCs w:val="19"/>
          <w:color w:val="auto"/>
        </w:rPr>
        <w:t>. If, as of the effective date of termination of this Agreement with respect to a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FibroGen or its Affiliates are conducting any Clinical Trials for such Licensed Product, then, at HFB’s election on a Clinical Trial-by-Clinical Trial basis, FibroGen will either (A) reasonably cooperate, and ensure that its Affiliates reasonably cooperate, with HFB to transfer the conduct of such Clinical Trial (including any data, trial master files and clinical and safety databases) to HFB or its designees, or (B) subject to FibroGen’s approval, continue to conduct such Clinical Trial, at HFB’s cost (unless this Agreement is terminated by HFB pursuant to Section 13.3 (Termination for Cause) [*] for the conduct of such transferred Clinical Trial for such Licensed Products after the transfer date.</w:t>
      </w:r>
    </w:p>
    <w:p>
      <w:pPr>
        <w:spacing w:after="0" w:line="159" w:lineRule="exact"/>
        <w:rPr>
          <w:rFonts w:ascii="Arial" w:cs="Arial" w:eastAsia="Arial" w:hAnsi="Arial"/>
          <w:sz w:val="19"/>
          <w:szCs w:val="19"/>
          <w:color w:val="010000"/>
        </w:rPr>
      </w:pPr>
    </w:p>
    <w:p>
      <w:pPr>
        <w:jc w:val="both"/>
        <w:ind w:left="2580" w:hanging="858"/>
        <w:spacing w:after="0" w:line="280" w:lineRule="auto"/>
        <w:tabs>
          <w:tab w:leader="none" w:pos="2580" w:val="left"/>
        </w:tabs>
        <w:numPr>
          <w:ilvl w:val="1"/>
          <w:numId w:val="217"/>
        </w:numPr>
        <w:rPr>
          <w:rFonts w:ascii="Arial" w:cs="Arial" w:eastAsia="Arial" w:hAnsi="Arial"/>
          <w:sz w:val="18"/>
          <w:szCs w:val="18"/>
          <w:color w:val="010000"/>
        </w:rPr>
      </w:pPr>
      <w:r>
        <w:rPr>
          <w:rFonts w:ascii="Arial" w:cs="Arial" w:eastAsia="Arial" w:hAnsi="Arial"/>
          <w:sz w:val="18"/>
          <w:szCs w:val="18"/>
          <w:b w:val="1"/>
          <w:bCs w:val="1"/>
          <w:color w:val="auto"/>
        </w:rPr>
        <w:t>Wind-Down</w:t>
      </w:r>
      <w:r>
        <w:rPr>
          <w:rFonts w:ascii="Arial" w:cs="Arial" w:eastAsia="Arial" w:hAnsi="Arial"/>
          <w:sz w:val="18"/>
          <w:szCs w:val="18"/>
          <w:color w:val="auto"/>
        </w:rPr>
        <w:t>. If HFB does not elect to assume control of any such Clinical Trials for any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then FibroGen will, in accordance with accepted pharmaceutical industry norms and ethical practices, wind-down the conduct of any such Clinical Trial in an orderly manner. FibroGen will be responsible for any costs and expenses associated with such wind-down (unless this Agreement is terminated by FibroGen pursuant to Section 13.3 (Termination for Cause), in which case HFB will bear all such costs and expenses).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119" w:lineRule="exact"/>
        <w:rPr>
          <w:sz w:val="20"/>
          <w:szCs w:val="20"/>
          <w:color w:val="auto"/>
        </w:rPr>
      </w:pPr>
    </w:p>
    <w:p>
      <w:pPr>
        <w:ind w:right="220" w:firstLine="8"/>
        <w:spacing w:after="0" w:line="277" w:lineRule="auto"/>
        <w:tabs>
          <w:tab w:leader="none" w:pos="255" w:val="left"/>
        </w:tabs>
        <w:numPr>
          <w:ilvl w:val="0"/>
          <w:numId w:val="218"/>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4" w:name="page165"/>
    <w:bookmarkEnd w:id="164"/>
    <w:p>
      <w:pPr>
        <w:jc w:val="both"/>
        <w:ind w:left="1700" w:hanging="842"/>
        <w:spacing w:after="0" w:line="256" w:lineRule="auto"/>
        <w:tabs>
          <w:tab w:leader="none" w:pos="1700" w:val="left"/>
        </w:tabs>
        <w:numPr>
          <w:ilvl w:val="0"/>
          <w:numId w:val="219"/>
        </w:numPr>
        <w:rPr>
          <w:rFonts w:ascii="Arial" w:cs="Arial" w:eastAsia="Arial" w:hAnsi="Arial"/>
          <w:sz w:val="19"/>
          <w:szCs w:val="19"/>
          <w:color w:val="010000"/>
        </w:rPr>
      </w:pPr>
      <w:r>
        <w:rPr>
          <w:rFonts w:ascii="Arial" w:cs="Arial" w:eastAsia="Arial" w:hAnsi="Arial"/>
          <w:sz w:val="19"/>
          <w:szCs w:val="19"/>
          <w:b w:val="1"/>
          <w:bCs w:val="1"/>
          <w:color w:val="auto"/>
        </w:rPr>
        <w:t>Return of Confidential Information</w:t>
      </w:r>
      <w:r>
        <w:rPr>
          <w:rFonts w:ascii="Arial" w:cs="Arial" w:eastAsia="Arial" w:hAnsi="Arial"/>
          <w:sz w:val="19"/>
          <w:szCs w:val="19"/>
          <w:color w:val="auto"/>
        </w:rPr>
        <w:t>. As of the effective date of termination of this Agreement with respect to each</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Program, each Party will promptly return to the other Party (or as directed by such other Party destroy and certify to such other Party in writing as to such destruction) all of such other Party’s Confidential Information relating to such Terminated Licensed Program and the Exclusive Target to which such Terminated Licensed Program was Directed To provided by or on behalf of such other Party hereunder that is in the possession or control of such Party (or any of its Affiliates, Sublicensees or subcontractors), except that such Party will have the right to retain one copy of intangible Confidential Information of such other Party for legal purposes. Notwithstanding any provision to the contrary set forth in this Agreement, the receiving Party of any Confidential Information will not be required to destroy electronic files containing such Confidential Information that are made in the ordinary course of its business information back-up procedures pursuant to its electronic record retention and destruction practices that apply to its own general electronic files and information.</w:t>
      </w:r>
    </w:p>
    <w:p>
      <w:pPr>
        <w:spacing w:after="0" w:line="163" w:lineRule="exact"/>
        <w:rPr>
          <w:rFonts w:ascii="Arial" w:cs="Arial" w:eastAsia="Arial" w:hAnsi="Arial"/>
          <w:sz w:val="19"/>
          <w:szCs w:val="19"/>
          <w:color w:val="010000"/>
        </w:rPr>
      </w:pPr>
    </w:p>
    <w:p>
      <w:pPr>
        <w:jc w:val="both"/>
        <w:ind w:left="1700" w:hanging="842"/>
        <w:spacing w:after="0" w:line="260" w:lineRule="auto"/>
        <w:tabs>
          <w:tab w:leader="none" w:pos="1700" w:val="left"/>
        </w:tabs>
        <w:numPr>
          <w:ilvl w:val="0"/>
          <w:numId w:val="219"/>
        </w:numPr>
        <w:rPr>
          <w:rFonts w:ascii="Arial" w:cs="Arial" w:eastAsia="Arial" w:hAnsi="Arial"/>
          <w:sz w:val="19"/>
          <w:szCs w:val="19"/>
          <w:color w:val="010000"/>
        </w:rPr>
      </w:pPr>
      <w:r>
        <w:rPr>
          <w:rFonts w:ascii="Arial" w:cs="Arial" w:eastAsia="Arial" w:hAnsi="Arial"/>
          <w:sz w:val="19"/>
          <w:szCs w:val="19"/>
          <w:b w:val="1"/>
          <w:bCs w:val="1"/>
          <w:color w:val="auto"/>
        </w:rPr>
        <w:t>Other Remedies</w:t>
      </w:r>
      <w:r>
        <w:rPr>
          <w:rFonts w:ascii="Arial" w:cs="Arial" w:eastAsia="Arial" w:hAnsi="Arial"/>
          <w:sz w:val="19"/>
          <w:szCs w:val="19"/>
          <w:color w:val="auto"/>
        </w:rPr>
        <w:t>. Termination or expiration of this Agreement for any reason will not release either Party from any</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or obligation that already has accrued prior to such expiration or termination, nor affect the survival of any provision hereof to the extent it is expressly stated to survive such termination. Termination or expiration of this Agreement for any reason will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161" w:lineRule="exact"/>
        <w:rPr>
          <w:sz w:val="20"/>
          <w:szCs w:val="20"/>
          <w:color w:val="auto"/>
        </w:rPr>
      </w:pPr>
    </w:p>
    <w:p>
      <w:pPr>
        <w:jc w:val="both"/>
        <w:ind w:left="860" w:hanging="849"/>
        <w:spacing w:after="0" w:line="271" w:lineRule="auto"/>
        <w:tabs>
          <w:tab w:leader="none" w:pos="840" w:val="left"/>
        </w:tabs>
        <w:rPr>
          <w:sz w:val="20"/>
          <w:szCs w:val="20"/>
          <w:color w:val="auto"/>
        </w:rPr>
      </w:pPr>
      <w:r>
        <w:rPr>
          <w:rFonts w:ascii="Arial" w:cs="Arial" w:eastAsia="Arial" w:hAnsi="Arial"/>
          <w:sz w:val="20"/>
          <w:szCs w:val="20"/>
          <w:color w:val="010000"/>
        </w:rPr>
        <w:t>13.7</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9"/>
          <w:szCs w:val="19"/>
          <w:color w:val="auto"/>
        </w:rPr>
        <w:t>. Termination or expiration of this Agreement will not affect rights or obligations of the Parties under this</w:t>
      </w:r>
      <w:r>
        <w:rPr>
          <w:rFonts w:ascii="Arial" w:cs="Arial" w:eastAsia="Arial" w:hAnsi="Arial"/>
          <w:sz w:val="18"/>
          <w:szCs w:val="18"/>
          <w:b w:val="1"/>
          <w:bCs w:val="1"/>
          <w:color w:val="auto"/>
        </w:rPr>
        <w:t xml:space="preserve"> </w:t>
      </w:r>
      <w:r>
        <w:rPr>
          <w:rFonts w:ascii="Arial" w:cs="Arial" w:eastAsia="Arial" w:hAnsi="Arial"/>
          <w:sz w:val="19"/>
          <w:szCs w:val="19"/>
          <w:color w:val="auto"/>
        </w:rPr>
        <w:t>Agreement that have accrued prior to the effective date of termination or expiration of this Agreement. Notwithstanding any provision to the contrary, the following provisions will survive and apply after expiration or termination of this Agreement in its entirety: Article 1 (Definitions), Section 4.6 (Development Records), Section 8.4 (Royalties) (but only with respect to Net Sales made during the Term), Section 8.7 (Books and Records; Audit Rights) (</w:t>
      </w:r>
      <w:r>
        <w:rPr>
          <w:rFonts w:ascii="Arial" w:cs="Arial" w:eastAsia="Arial" w:hAnsi="Arial"/>
          <w:sz w:val="19"/>
          <w:szCs w:val="19"/>
          <w:color w:val="010000"/>
        </w:rPr>
        <w:t>but only with respect</w:t>
      </w:r>
      <w:r>
        <w:rPr>
          <w:rFonts w:ascii="Arial" w:cs="Arial" w:eastAsia="Arial" w:hAnsi="Arial"/>
          <w:sz w:val="19"/>
          <w:szCs w:val="19"/>
          <w:color w:val="auto"/>
        </w:rPr>
        <w:t xml:space="preserve"> </w:t>
      </w:r>
      <w:r>
        <w:rPr>
          <w:rFonts w:ascii="Arial" w:cs="Arial" w:eastAsia="Arial" w:hAnsi="Arial"/>
          <w:sz w:val="19"/>
          <w:szCs w:val="19"/>
          <w:color w:val="010000"/>
        </w:rPr>
        <w:t>to payment obligations accruing during the Term and only for a period of three years after expiration or termination</w:t>
      </w:r>
      <w:r>
        <w:rPr>
          <w:rFonts w:ascii="Arial" w:cs="Arial" w:eastAsia="Arial" w:hAnsi="Arial"/>
          <w:sz w:val="19"/>
          <w:szCs w:val="19"/>
          <w:color w:val="000000"/>
        </w:rPr>
        <w:t>),</w:t>
      </w:r>
      <w:r>
        <w:rPr>
          <w:rFonts w:ascii="Arial" w:cs="Arial" w:eastAsia="Arial" w:hAnsi="Arial"/>
          <w:sz w:val="19"/>
          <w:szCs w:val="19"/>
          <w:color w:val="010000"/>
        </w:rPr>
        <w:t xml:space="preserve"> </w:t>
      </w:r>
      <w:r>
        <w:rPr>
          <w:rFonts w:ascii="Arial" w:cs="Arial" w:eastAsia="Arial" w:hAnsi="Arial"/>
          <w:sz w:val="19"/>
          <w:szCs w:val="19"/>
          <w:color w:val="000000"/>
        </w:rPr>
        <w:t>Section 8.9 (Late Payments) (but only with respect to payment obligations accruing during the Term), Section 9.1 (Background Technology), Section 9.2 (Ownership), Section 10.5 (No Other Representations or Warranties), Article 11 (Indemnification), Article 12 (Confidentiality), Section 13.1 (Term), Section 13.6 (Effects of Termination), Section 13.6(e) (Other Remedies), this Section 13.7 (Survival), Article 14 (Dispute Resolution), and Article 15 (Miscellaneous). In addition, the other applicable provisions of Article 8 (Financials) will survive such expiration or termination of this Agreement in its entirety to the extent required to make final reimbursements, reconciliations or other payments incurred or accrued prior to the date of termination or expiration. For any surviving provisions requiring action or decision by the JSC or an Executive Officer, each Party will appoint representatives to act as its JSC members or Executive Officer, as applicable. All provisions not surviving in accordance with the foregoing will terminate upon the effective date of expiration or termination of this Agreement and be of no further force and effect.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119" w:lineRule="exact"/>
        <w:rPr>
          <w:sz w:val="20"/>
          <w:szCs w:val="20"/>
          <w:color w:val="auto"/>
        </w:rPr>
      </w:pPr>
    </w:p>
    <w:p>
      <w:pPr>
        <w:ind w:right="220" w:firstLine="8"/>
        <w:spacing w:after="0" w:line="277" w:lineRule="auto"/>
        <w:tabs>
          <w:tab w:leader="none" w:pos="255" w:val="left"/>
        </w:tabs>
        <w:numPr>
          <w:ilvl w:val="0"/>
          <w:numId w:val="220"/>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0"/>
          <w:szCs w:val="20"/>
          <w:b w:val="1"/>
          <w:bCs w:val="1"/>
          <w:color w:val="010000"/>
        </w:rPr>
        <w:t>ARTICLE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DISPUTE RESOLUTION</w:t>
      </w:r>
    </w:p>
    <w:p>
      <w:pPr>
        <w:spacing w:after="0" w:line="8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14.1</w:t>
      </w:r>
      <w:r>
        <w:rPr>
          <w:sz w:val="20"/>
          <w:szCs w:val="20"/>
          <w:color w:val="auto"/>
        </w:rPr>
        <w:tab/>
      </w:r>
      <w:r>
        <w:rPr>
          <w:rFonts w:ascii="Arial" w:cs="Arial" w:eastAsia="Arial" w:hAnsi="Arial"/>
          <w:sz w:val="17"/>
          <w:szCs w:val="17"/>
          <w:b w:val="1"/>
          <w:bCs w:val="1"/>
          <w:color w:val="auto"/>
        </w:rPr>
        <w:t>Dispute Resolution</w:t>
      </w:r>
      <w:r>
        <w:rPr>
          <w:rFonts w:ascii="Arial" w:cs="Arial" w:eastAsia="Arial" w:hAnsi="Arial"/>
          <w:sz w:val="18"/>
          <w:szCs w:val="18"/>
          <w:color w:val="auto"/>
        </w:rPr>
        <w:t>.</w:t>
      </w:r>
    </w:p>
    <w:p>
      <w:pPr>
        <w:spacing w:after="0" w:line="220" w:lineRule="exact"/>
        <w:rPr>
          <w:sz w:val="20"/>
          <w:szCs w:val="20"/>
          <w:color w:val="auto"/>
        </w:rPr>
      </w:pPr>
    </w:p>
    <w:p>
      <w:pPr>
        <w:jc w:val="both"/>
        <w:ind w:left="1700" w:hanging="842"/>
        <w:spacing w:after="0" w:line="260" w:lineRule="auto"/>
        <w:tabs>
          <w:tab w:leader="none" w:pos="1700" w:val="left"/>
        </w:tabs>
        <w:numPr>
          <w:ilvl w:val="0"/>
          <w:numId w:val="221"/>
        </w:numPr>
        <w:rPr>
          <w:rFonts w:ascii="Arial" w:cs="Arial" w:eastAsia="Arial" w:hAnsi="Arial"/>
          <w:sz w:val="19"/>
          <w:szCs w:val="19"/>
          <w:color w:val="010000"/>
        </w:rPr>
      </w:pPr>
      <w:r>
        <w:rPr>
          <w:rFonts w:ascii="Arial" w:cs="Arial" w:eastAsia="Arial" w:hAnsi="Arial"/>
          <w:sz w:val="19"/>
          <w:szCs w:val="19"/>
          <w:color w:val="auto"/>
        </w:rPr>
        <w:t>In the event of any dispute between the Parties under this Agreement, the Parties will first attempt in good faith to resolve such dispute by negotiation and consultation between themselves. In the event that such dispute is not resolved on an informal basis within fifteen (15) Business Days, either Party may refer the matter to the Executive Officers of the Parties for attempted resolution, whereupon the Executive Officers will confer and attempt in good faith to resolve such dispute by negotiation and consultation for a thirty (30) day period following such referral.</w:t>
      </w:r>
    </w:p>
    <w:p>
      <w:pPr>
        <w:spacing w:after="0" w:line="72" w:lineRule="exact"/>
        <w:rPr>
          <w:rFonts w:ascii="Arial" w:cs="Arial" w:eastAsia="Arial" w:hAnsi="Arial"/>
          <w:sz w:val="19"/>
          <w:szCs w:val="19"/>
          <w:color w:val="010000"/>
        </w:rPr>
      </w:pPr>
    </w:p>
    <w:p>
      <w:pPr>
        <w:jc w:val="both"/>
        <w:ind w:left="1700" w:hanging="842"/>
        <w:spacing w:after="0" w:line="270" w:lineRule="auto"/>
        <w:tabs>
          <w:tab w:leader="none" w:pos="1700" w:val="left"/>
        </w:tabs>
        <w:numPr>
          <w:ilvl w:val="0"/>
          <w:numId w:val="221"/>
        </w:numPr>
        <w:rPr>
          <w:rFonts w:ascii="Arial" w:cs="Arial" w:eastAsia="Arial" w:hAnsi="Arial"/>
          <w:sz w:val="18"/>
          <w:szCs w:val="18"/>
          <w:color w:val="010000"/>
        </w:rPr>
      </w:pPr>
      <w:r>
        <w:rPr>
          <w:rFonts w:ascii="Arial" w:cs="Arial" w:eastAsia="Arial" w:hAnsi="Arial"/>
          <w:sz w:val="18"/>
          <w:szCs w:val="18"/>
          <w:color w:val="auto"/>
        </w:rPr>
        <w:t>If the Executive Officers do not resolve such dispute within such thirty (30) day period, either Party may at any time thereafter proceed within thirty (30) days thereafter to binding arbitration in accordance with this Section 14.1 (Dispute Resolution). If a Party so proceeds, it shall submit such dispute to arbitration with [*] (the “</w:t>
      </w:r>
      <w:r>
        <w:rPr>
          <w:rFonts w:ascii="Arial" w:cs="Arial" w:eastAsia="Arial" w:hAnsi="Arial"/>
          <w:sz w:val="18"/>
          <w:szCs w:val="18"/>
          <w:b w:val="1"/>
          <w:bCs w:val="1"/>
          <w:color w:val="auto"/>
        </w:rPr>
        <w:t>Arbitration Forum</w:t>
      </w:r>
      <w:r>
        <w:rPr>
          <w:rFonts w:ascii="Arial" w:cs="Arial" w:eastAsia="Arial" w:hAnsi="Arial"/>
          <w:sz w:val="18"/>
          <w:szCs w:val="18"/>
          <w:color w:val="auto"/>
        </w:rPr>
        <w:t xml:space="preserve">”), and notify the other Party, in writing, of such dispute. Prior to the arbitrators being selected, each Party may seek from any court having jurisdiction a temporary injective or provisions relief necessary to protect the rights of the Party. The right and obligation to arbitrate under this Section 14.1(b) (Dispute Resolution) shall extend to any claims by or against the Parties and their respective Affiliates and any agents, principals, officers, directors, or employees of either of the Parties or their respective Affiliates. Within thirty (30) days after receipt of such notice, the Parties will each designate in writing an arbitrator to resolve the dispute. Both of the designated arbitrators will elect a third arbitrator;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designated arbitrators cannot agree on a third arbitrator within twenty (20) days after both</w:t>
      </w:r>
      <w:r>
        <w:rPr>
          <w:rFonts w:ascii="Arial" w:cs="Arial" w:eastAsia="Arial" w:hAnsi="Arial"/>
          <w:sz w:val="18"/>
          <w:szCs w:val="18"/>
          <w:i w:val="1"/>
          <w:iCs w:val="1"/>
          <w:color w:val="auto"/>
        </w:rPr>
        <w:t xml:space="preserve"> </w:t>
      </w:r>
      <w:r>
        <w:rPr>
          <w:rFonts w:ascii="Arial" w:cs="Arial" w:eastAsia="Arial" w:hAnsi="Arial"/>
          <w:sz w:val="18"/>
          <w:szCs w:val="18"/>
          <w:color w:val="auto"/>
        </w:rPr>
        <w:t>arbitrators have been designated, the third arbitrator will be selected by the Arbitration Forum. Each arbitrator will be an individual with biotechnology and/or pharmaceutical industry legal experience, and will not be and will never have been an Affiliate, employee, consultant, officer, director or stockholder of any Party.</w:t>
      </w:r>
    </w:p>
    <w:p>
      <w:pPr>
        <w:spacing w:after="0" w:line="158" w:lineRule="exact"/>
        <w:rPr>
          <w:rFonts w:ascii="Arial" w:cs="Arial" w:eastAsia="Arial" w:hAnsi="Arial"/>
          <w:sz w:val="18"/>
          <w:szCs w:val="18"/>
          <w:color w:val="010000"/>
        </w:rPr>
      </w:pPr>
    </w:p>
    <w:p>
      <w:pPr>
        <w:jc w:val="both"/>
        <w:ind w:left="1700" w:hanging="842"/>
        <w:spacing w:after="0" w:line="263" w:lineRule="auto"/>
        <w:tabs>
          <w:tab w:leader="none" w:pos="1700" w:val="left"/>
        </w:tabs>
        <w:numPr>
          <w:ilvl w:val="0"/>
          <w:numId w:val="221"/>
        </w:numPr>
        <w:rPr>
          <w:rFonts w:ascii="Arial" w:cs="Arial" w:eastAsia="Arial" w:hAnsi="Arial"/>
          <w:sz w:val="19"/>
          <w:szCs w:val="19"/>
          <w:color w:val="010000"/>
        </w:rPr>
      </w:pPr>
      <w:r>
        <w:rPr>
          <w:rFonts w:ascii="Arial" w:cs="Arial" w:eastAsia="Arial" w:hAnsi="Arial"/>
          <w:sz w:val="19"/>
          <w:szCs w:val="19"/>
          <w:color w:val="auto"/>
        </w:rPr>
        <w:t>Within thirty (30) days after the designation of the arbitrators, the arbitrators and the Parties will meet, at which time the Parties will be required to set forth in writing all disputed issues and a proposed ruling on the merits of each such issue. The Parties will have the right to be represented by counsel. Except as provided herein, the arbitration will be governed by the [*] Arbitration Rules. The arbitration proceedings will be conducted in English.</w:t>
      </w:r>
    </w:p>
    <w:p>
      <w:pPr>
        <w:spacing w:after="0" w:line="162" w:lineRule="exact"/>
        <w:rPr>
          <w:rFonts w:ascii="Arial" w:cs="Arial" w:eastAsia="Arial" w:hAnsi="Arial"/>
          <w:sz w:val="19"/>
          <w:szCs w:val="19"/>
          <w:color w:val="010000"/>
        </w:rPr>
      </w:pPr>
    </w:p>
    <w:p>
      <w:pPr>
        <w:jc w:val="both"/>
        <w:ind w:left="1700" w:hanging="842"/>
        <w:spacing w:after="0" w:line="257" w:lineRule="auto"/>
        <w:tabs>
          <w:tab w:leader="none" w:pos="1700" w:val="left"/>
        </w:tabs>
        <w:numPr>
          <w:ilvl w:val="0"/>
          <w:numId w:val="221"/>
        </w:numPr>
        <w:rPr>
          <w:rFonts w:ascii="Arial" w:cs="Arial" w:eastAsia="Arial" w:hAnsi="Arial"/>
          <w:sz w:val="19"/>
          <w:szCs w:val="19"/>
          <w:color w:val="010000"/>
        </w:rPr>
      </w:pPr>
      <w:r>
        <w:rPr>
          <w:rFonts w:ascii="Arial" w:cs="Arial" w:eastAsia="Arial" w:hAnsi="Arial"/>
          <w:sz w:val="19"/>
          <w:szCs w:val="19"/>
          <w:color w:val="auto"/>
        </w:rPr>
        <w:t>The arbitrators will use their best efforts to rule on each disputed issue within thirty (30) days after the completion of any hearings associated with the arbitration. Either party may apply to the arbitrators seeking injunctive relief until the arbitration award is rendered or the controversy is otherwise resolved. The arbitrators may enter early or summary disposition of some or all issues, after the Parties have made reasonable submissions on those issues. The determination of the arbitrators as to the resolution of any dispute will be binding and conclusive upon all Parties and their respective Affiliates and any agents, principals, officers, directors, or employees of either of the Parties and their respective Affiliates. The arbitrators will issue a written award that contains a reasoned opinion setting forth the findings of fact and conclusions upon which the award is based, including the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119" w:lineRule="exact"/>
        <w:rPr>
          <w:sz w:val="20"/>
          <w:szCs w:val="20"/>
          <w:color w:val="auto"/>
        </w:rPr>
      </w:pPr>
    </w:p>
    <w:p>
      <w:pPr>
        <w:ind w:right="220" w:firstLine="8"/>
        <w:spacing w:after="0" w:line="277" w:lineRule="auto"/>
        <w:tabs>
          <w:tab w:leader="none" w:pos="255" w:val="left"/>
        </w:tabs>
        <w:numPr>
          <w:ilvl w:val="0"/>
          <w:numId w:val="222"/>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6" w:name="page167"/>
    <w:bookmarkEnd w:id="166"/>
    <w:p>
      <w:pPr>
        <w:ind w:left="1700"/>
        <w:spacing w:after="0" w:line="260" w:lineRule="auto"/>
        <w:rPr>
          <w:sz w:val="20"/>
          <w:szCs w:val="20"/>
          <w:color w:val="auto"/>
        </w:rPr>
      </w:pPr>
      <w:r>
        <w:rPr>
          <w:rFonts w:ascii="Arial" w:cs="Arial" w:eastAsia="Arial" w:hAnsi="Arial"/>
          <w:sz w:val="20"/>
          <w:szCs w:val="20"/>
          <w:color w:val="auto"/>
        </w:rPr>
        <w:t>calculation of any damages awarded. A judgment on any award rendered by the arbitrators may be entered in any court having jurisdiction thereof.</w:t>
      </w:r>
    </w:p>
    <w:p>
      <w:pPr>
        <w:spacing w:after="0" w:line="163" w:lineRule="exact"/>
        <w:rPr>
          <w:sz w:val="20"/>
          <w:szCs w:val="20"/>
          <w:color w:val="auto"/>
        </w:rPr>
      </w:pPr>
    </w:p>
    <w:p>
      <w:pPr>
        <w:jc w:val="both"/>
        <w:ind w:left="1700" w:hanging="842"/>
        <w:spacing w:after="0" w:line="244" w:lineRule="auto"/>
        <w:tabs>
          <w:tab w:leader="none" w:pos="1700" w:val="left"/>
        </w:tabs>
        <w:numPr>
          <w:ilvl w:val="0"/>
          <w:numId w:val="223"/>
        </w:numPr>
        <w:rPr>
          <w:rFonts w:ascii="Arial" w:cs="Arial" w:eastAsia="Arial" w:hAnsi="Arial"/>
          <w:sz w:val="20"/>
          <w:szCs w:val="20"/>
          <w:color w:val="010000"/>
        </w:rPr>
      </w:pPr>
      <w:r>
        <w:rPr>
          <w:rFonts w:ascii="Arial" w:cs="Arial" w:eastAsia="Arial" w:hAnsi="Arial"/>
          <w:sz w:val="20"/>
          <w:szCs w:val="20"/>
          <w:color w:val="auto"/>
        </w:rPr>
        <w:t>The (i) attorneys’ fees of the Parties in any arbitration, (ii) fees of the arbitrators and (iii) costs and expenses of the arbitration will be allocated among the Parties as determined by the arbitrators, who shall have discretion to make this determination equitably, taking into account (A) which party prevailed, in the view of the arbitrators, (B) whether any party caused unnecessary delay, burden or expense, and (C) the reasonability of the attorneys’ fees, costs, and expenses requested.</w:t>
      </w:r>
    </w:p>
    <w:p>
      <w:pPr>
        <w:spacing w:after="0" w:line="180" w:lineRule="exact"/>
        <w:rPr>
          <w:rFonts w:ascii="Arial" w:cs="Arial" w:eastAsia="Arial" w:hAnsi="Arial"/>
          <w:sz w:val="20"/>
          <w:szCs w:val="20"/>
          <w:color w:val="010000"/>
        </w:rPr>
      </w:pPr>
    </w:p>
    <w:p>
      <w:pPr>
        <w:ind w:left="1700" w:hanging="842"/>
        <w:spacing w:after="0"/>
        <w:tabs>
          <w:tab w:leader="none" w:pos="1700" w:val="left"/>
        </w:tabs>
        <w:numPr>
          <w:ilvl w:val="0"/>
          <w:numId w:val="223"/>
        </w:numPr>
        <w:rPr>
          <w:rFonts w:ascii="Arial" w:cs="Arial" w:eastAsia="Arial" w:hAnsi="Arial"/>
          <w:sz w:val="20"/>
          <w:szCs w:val="20"/>
          <w:color w:val="010000"/>
        </w:rPr>
      </w:pPr>
      <w:r>
        <w:rPr>
          <w:rFonts w:ascii="Arial" w:cs="Arial" w:eastAsia="Arial" w:hAnsi="Arial"/>
          <w:sz w:val="20"/>
          <w:szCs w:val="20"/>
          <w:color w:val="auto"/>
        </w:rPr>
        <w:t>Any arbitration pursuant to this Section 14.1 (Dispute Resolution) will be conducted in [*].</w:t>
      </w:r>
    </w:p>
    <w:p>
      <w:pPr>
        <w:spacing w:after="0" w:line="202" w:lineRule="exact"/>
        <w:rPr>
          <w:rFonts w:ascii="Arial" w:cs="Arial" w:eastAsia="Arial" w:hAnsi="Arial"/>
          <w:sz w:val="20"/>
          <w:szCs w:val="20"/>
          <w:color w:val="010000"/>
        </w:rPr>
      </w:pPr>
    </w:p>
    <w:p>
      <w:pPr>
        <w:jc w:val="both"/>
        <w:ind w:left="1700" w:hanging="842"/>
        <w:spacing w:after="0" w:line="250" w:lineRule="auto"/>
        <w:tabs>
          <w:tab w:leader="none" w:pos="1700" w:val="left"/>
        </w:tabs>
        <w:numPr>
          <w:ilvl w:val="0"/>
          <w:numId w:val="223"/>
        </w:numPr>
        <w:rPr>
          <w:rFonts w:ascii="Arial" w:cs="Arial" w:eastAsia="Arial" w:hAnsi="Arial"/>
          <w:sz w:val="20"/>
          <w:szCs w:val="20"/>
          <w:color w:val="010000"/>
        </w:rPr>
      </w:pPr>
      <w:r>
        <w:rPr>
          <w:rFonts w:ascii="Arial" w:cs="Arial" w:eastAsia="Arial" w:hAnsi="Arial"/>
          <w:sz w:val="20"/>
          <w:szCs w:val="20"/>
          <w:color w:val="auto"/>
        </w:rPr>
        <w:t>The Parties intend that each award by an arbitrators in an arbitration pursuant to this Section 14.1 (Dispute Resolution) will be rendered in accordance with the United Nations Convention on the Recognition and Enforcement of Arbitral Awards and will be enforceable in accordance therewith.</w:t>
      </w:r>
    </w:p>
    <w:p>
      <w:pPr>
        <w:spacing w:after="0" w:line="172"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223"/>
        </w:numPr>
        <w:rPr>
          <w:rFonts w:ascii="Arial" w:cs="Arial" w:eastAsia="Arial" w:hAnsi="Arial"/>
          <w:sz w:val="20"/>
          <w:szCs w:val="20"/>
          <w:color w:val="010000"/>
        </w:rPr>
      </w:pPr>
      <w:r>
        <w:rPr>
          <w:rFonts w:ascii="Arial" w:cs="Arial" w:eastAsia="Arial" w:hAnsi="Arial"/>
          <w:sz w:val="20"/>
          <w:szCs w:val="20"/>
          <w:color w:val="auto"/>
        </w:rPr>
        <w:t>The arbitrators will take appropriate actions to prevent, remediate, and/or sanction abusive conduct or other actions that threaten to undermine the fair, speedy and cost-effective resolution of the matter.</w:t>
      </w:r>
    </w:p>
    <w:p>
      <w:pPr>
        <w:spacing w:after="0" w:line="163" w:lineRule="exact"/>
        <w:rPr>
          <w:rFonts w:ascii="Arial" w:cs="Arial" w:eastAsia="Arial" w:hAnsi="Arial"/>
          <w:sz w:val="20"/>
          <w:szCs w:val="20"/>
          <w:color w:val="010000"/>
        </w:rPr>
      </w:pPr>
    </w:p>
    <w:p>
      <w:pPr>
        <w:ind w:left="1700" w:hanging="842"/>
        <w:spacing w:after="0" w:line="287" w:lineRule="auto"/>
        <w:tabs>
          <w:tab w:leader="none" w:pos="1700" w:val="left"/>
        </w:tabs>
        <w:numPr>
          <w:ilvl w:val="0"/>
          <w:numId w:val="223"/>
        </w:numPr>
        <w:rPr>
          <w:rFonts w:ascii="Arial" w:cs="Arial" w:eastAsia="Arial" w:hAnsi="Arial"/>
          <w:sz w:val="19"/>
          <w:szCs w:val="19"/>
          <w:color w:val="010000"/>
        </w:rPr>
      </w:pPr>
      <w:r>
        <w:rPr>
          <w:rFonts w:ascii="Arial" w:cs="Arial" w:eastAsia="Arial" w:hAnsi="Arial"/>
          <w:sz w:val="19"/>
          <w:szCs w:val="19"/>
          <w:color w:val="auto"/>
        </w:rPr>
        <w:t>Except to the extent necessary to confirm an award or as may be required by law, neither Party nor an arbitrator may disclose the existence, content, or results or any arbitration without the prior written consent of both Parties.</w:t>
      </w:r>
    </w:p>
    <w:p>
      <w:pPr>
        <w:spacing w:after="0" w:line="138" w:lineRule="exact"/>
        <w:rPr>
          <w:rFonts w:ascii="Arial" w:cs="Arial" w:eastAsia="Arial" w:hAnsi="Arial"/>
          <w:sz w:val="19"/>
          <w:szCs w:val="19"/>
          <w:color w:val="010000"/>
        </w:rPr>
      </w:pPr>
    </w:p>
    <w:p>
      <w:pPr>
        <w:jc w:val="both"/>
        <w:ind w:left="1700" w:hanging="842"/>
        <w:spacing w:after="0" w:line="274" w:lineRule="auto"/>
        <w:tabs>
          <w:tab w:leader="none" w:pos="1700" w:val="left"/>
        </w:tabs>
        <w:numPr>
          <w:ilvl w:val="0"/>
          <w:numId w:val="223"/>
        </w:numPr>
        <w:rPr>
          <w:rFonts w:ascii="Arial" w:cs="Arial" w:eastAsia="Arial" w:hAnsi="Arial"/>
          <w:sz w:val="18"/>
          <w:szCs w:val="18"/>
          <w:color w:val="010000"/>
        </w:rPr>
      </w:pPr>
      <w:r>
        <w:rPr>
          <w:rFonts w:ascii="Arial" w:cs="Arial" w:eastAsia="Arial" w:hAnsi="Arial"/>
          <w:sz w:val="18"/>
          <w:szCs w:val="18"/>
          <w:color w:val="auto"/>
        </w:rPr>
        <w:t>In addition, during the pendency of any dispute under this Agreement initiated before the end of any applicable cure period under Section 13.3 (Termination for Cause), (i) this Agreement will remain in full force and effect, (ii) the provisions of this Agreement relating to termination for material breach will not be effective, (iii) the time periods for cure under 13.3 (Termination for Cause) as to any termination notice given prior to the initiation of the proceeding will be tolled, and (iv) neither Party will issue a notice of termination pursuant to this Agreement based on the subject matter of the proceeding (and no effect will be given to previously issued termination notices), until the arbitrators have confirmed the existence of the facts claimed by a Non-Defaulting Party to be the basis for the asserted material breach.</w:t>
      </w:r>
    </w:p>
    <w:p>
      <w:pPr>
        <w:spacing w:after="0" w:line="56" w:lineRule="exact"/>
        <w:rPr>
          <w:sz w:val="20"/>
          <w:szCs w:val="20"/>
          <w:color w:val="auto"/>
        </w:rPr>
      </w:pPr>
    </w:p>
    <w:p>
      <w:pPr>
        <w:jc w:val="both"/>
        <w:ind w:left="860" w:hanging="849"/>
        <w:spacing w:after="0" w:line="258" w:lineRule="auto"/>
        <w:tabs>
          <w:tab w:leader="none" w:pos="840" w:val="left"/>
        </w:tabs>
        <w:rPr>
          <w:sz w:val="20"/>
          <w:szCs w:val="20"/>
          <w:color w:val="auto"/>
        </w:rPr>
      </w:pPr>
      <w:r>
        <w:rPr>
          <w:rFonts w:ascii="Arial" w:cs="Arial" w:eastAsia="Arial" w:hAnsi="Arial"/>
          <w:sz w:val="20"/>
          <w:szCs w:val="20"/>
          <w:color w:val="010000"/>
        </w:rPr>
        <w:t>14.2</w:t>
      </w:r>
      <w:r>
        <w:rPr>
          <w:sz w:val="20"/>
          <w:szCs w:val="20"/>
          <w:color w:val="auto"/>
        </w:rPr>
        <w:tab/>
      </w:r>
      <w:r>
        <w:rPr>
          <w:rFonts w:ascii="Arial" w:cs="Arial" w:eastAsia="Arial" w:hAnsi="Arial"/>
          <w:sz w:val="19"/>
          <w:szCs w:val="19"/>
          <w:b w:val="1"/>
          <w:bCs w:val="1"/>
          <w:color w:val="auto"/>
        </w:rPr>
        <w:t>Injunctive Relief</w:t>
      </w:r>
      <w:r>
        <w:rPr>
          <w:rFonts w:ascii="Arial" w:cs="Arial" w:eastAsia="Arial" w:hAnsi="Arial"/>
          <w:sz w:val="20"/>
          <w:szCs w:val="20"/>
          <w:color w:val="auto"/>
        </w:rPr>
        <w:t>. Nothing in this Article 14 (Dispute Resolution) will preclude either Party from seeking equitable</w:t>
      </w:r>
      <w:r>
        <w:rPr>
          <w:rFonts w:ascii="Arial" w:cs="Arial" w:eastAsia="Arial" w:hAnsi="Arial"/>
          <w:sz w:val="19"/>
          <w:szCs w:val="19"/>
          <w:b w:val="1"/>
          <w:bCs w:val="1"/>
          <w:color w:val="auto"/>
        </w:rPr>
        <w:t xml:space="preserve"> </w:t>
      </w:r>
      <w:r>
        <w:rPr>
          <w:rFonts w:ascii="Arial" w:cs="Arial" w:eastAsia="Arial" w:hAnsi="Arial"/>
          <w:sz w:val="20"/>
          <w:szCs w:val="20"/>
          <w:color w:val="auto"/>
        </w:rPr>
        <w:t>relief or interim or provisional relief from a court of competent jurisdiction, including a temporary restraining order, preliminary injunction or other interim equitable relief, concerning a dispute either prior to or during any proceeding if necessary to protect the interests of such Party or to preserve the status quo pending the proceeding. Therefore, in addition to its rights and remedies otherwise available at law, including the recovery of damages for breach of this Agreement, upon an adequate showing of material breach, and without further proof of irreparable harm other than this acknowledgement, such Non-Defaulting Party will be entitled to seek (a) immediate equitable relief, specifically including both interim and permanent restraining orders and injunctions, and (b) such other and further equitable relief as the court may deem proper under the circumstances. For clarity, nothing in this Section 14.2 (Injunctive Relief) will otherwise limit a Defaulting Party’s opportunity to cure a material breach as permitted in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119" w:lineRule="exact"/>
        <w:rPr>
          <w:sz w:val="20"/>
          <w:szCs w:val="20"/>
          <w:color w:val="auto"/>
        </w:rPr>
      </w:pPr>
    </w:p>
    <w:p>
      <w:pPr>
        <w:ind w:right="220" w:firstLine="8"/>
        <w:spacing w:after="0" w:line="277" w:lineRule="auto"/>
        <w:tabs>
          <w:tab w:leader="none" w:pos="255" w:val="left"/>
        </w:tabs>
        <w:numPr>
          <w:ilvl w:val="0"/>
          <w:numId w:val="224"/>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7" w:name="page168"/>
    <w:bookmarkEnd w:id="167"/>
    <w:p>
      <w:pPr>
        <w:ind w:left="860"/>
        <w:spacing w:after="0"/>
        <w:rPr>
          <w:sz w:val="20"/>
          <w:szCs w:val="20"/>
          <w:color w:val="auto"/>
        </w:rPr>
      </w:pPr>
      <w:r>
        <w:rPr>
          <w:rFonts w:ascii="Arial" w:cs="Arial" w:eastAsia="Arial" w:hAnsi="Arial"/>
          <w:sz w:val="22"/>
          <w:szCs w:val="22"/>
          <w:color w:val="auto"/>
        </w:rPr>
        <w:t>accordance with 13.3 (Termination for Cause).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87"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0"/>
          <w:szCs w:val="20"/>
          <w:color w:val="010000"/>
        </w:rPr>
        <w:t>15.1</w:t>
      </w:r>
      <w:r>
        <w:rPr>
          <w:sz w:val="20"/>
          <w:szCs w:val="20"/>
          <w:color w:val="auto"/>
        </w:rPr>
        <w:tab/>
      </w:r>
      <w:r>
        <w:rPr>
          <w:rFonts w:ascii="Arial" w:cs="Arial" w:eastAsia="Arial" w:hAnsi="Arial"/>
          <w:sz w:val="20"/>
          <w:szCs w:val="20"/>
          <w:b w:val="1"/>
          <w:bCs w:val="1"/>
          <w:color w:val="auto"/>
        </w:rPr>
        <w:t>Entire Agreement; Amendment</w:t>
      </w:r>
      <w:r>
        <w:rPr>
          <w:rFonts w:ascii="Arial" w:cs="Arial" w:eastAsia="Arial" w:hAnsi="Arial"/>
          <w:sz w:val="21"/>
          <w:szCs w:val="21"/>
          <w:color w:val="auto"/>
        </w:rPr>
        <w:t>. This Agreement, including the Schedules hereto, set forth the complete, final and</w:t>
      </w:r>
      <w:r>
        <w:rPr>
          <w:rFonts w:ascii="Arial" w:cs="Arial" w:eastAsia="Arial" w:hAnsi="Arial"/>
          <w:sz w:val="20"/>
          <w:szCs w:val="20"/>
          <w:b w:val="1"/>
          <w:bCs w:val="1"/>
          <w:color w:val="auto"/>
        </w:rPr>
        <w:t xml:space="preserve"> </w:t>
      </w:r>
      <w:r>
        <w:rPr>
          <w:rFonts w:ascii="Arial" w:cs="Arial" w:eastAsia="Arial" w:hAnsi="Arial"/>
          <w:sz w:val="21"/>
          <w:szCs w:val="21"/>
          <w:color w:val="auto"/>
        </w:rPr>
        <w:t>exclusive agreement and all the covenants, promises, agreements, warranties, representations, conditions and understandings between the Parties hereto with respect to the subject matter hereof and supersedes all prior agreements and understandings between the Parties existing as of the Effective Date with respect to the subject matter hereof, including the Existing Nondisclosure Agreement as set forth in Section 12.3 (Prior Agreement). In the event of any inconsistency between any plan hereunder and this Agreement, the terms of this Agreement will prevail. There are no covenants, promises, agreements, warranties, representations, conditions or understandings, either oral or written, between the Parties other than as are set forth herein and therein. No subsequent alteration, amendment, change or addition to this Agreement will be binding upon the Parties unless reduced to writing and signed by an authorized officer of each Party.</w:t>
      </w:r>
    </w:p>
    <w:p>
      <w:pPr>
        <w:spacing w:after="0" w:line="167"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Arial" w:cs="Arial" w:eastAsia="Arial" w:hAnsi="Arial"/>
          <w:sz w:val="20"/>
          <w:szCs w:val="20"/>
          <w:color w:val="010000"/>
        </w:rPr>
        <w:t>15.2</w:t>
      </w:r>
      <w:r>
        <w:rPr>
          <w:sz w:val="20"/>
          <w:szCs w:val="20"/>
          <w:color w:val="auto"/>
        </w:rPr>
        <w:tab/>
      </w:r>
      <w:r>
        <w:rPr>
          <w:rFonts w:ascii="Arial" w:cs="Arial" w:eastAsia="Arial" w:hAnsi="Arial"/>
          <w:sz w:val="19"/>
          <w:szCs w:val="19"/>
          <w:b w:val="1"/>
          <w:bCs w:val="1"/>
          <w:color w:val="auto"/>
        </w:rPr>
        <w:t>Force Majeure</w:t>
      </w:r>
      <w:r>
        <w:rPr>
          <w:rFonts w:ascii="Arial" w:cs="Arial" w:eastAsia="Arial" w:hAnsi="Arial"/>
          <w:sz w:val="20"/>
          <w:szCs w:val="20"/>
          <w:color w:val="auto"/>
        </w:rPr>
        <w:t>.</w:t>
      </w:r>
      <w:r>
        <w:rPr>
          <w:rFonts w:ascii="Arial" w:cs="Arial" w:eastAsia="Arial" w:hAnsi="Arial"/>
          <w:sz w:val="19"/>
          <w:szCs w:val="19"/>
          <w:b w:val="1"/>
          <w:bCs w:val="1"/>
          <w:color w:val="auto"/>
        </w:rPr>
        <w:t xml:space="preserve"> </w:t>
      </w:r>
      <w:r>
        <w:rPr>
          <w:rFonts w:ascii="Arial" w:cs="Arial" w:eastAsia="Arial" w:hAnsi="Arial"/>
          <w:sz w:val="20"/>
          <w:szCs w:val="20"/>
          <w:color w:val="010000"/>
        </w:rPr>
        <w:t>Neither Party will be held liable to the other Party nor be deemed to have breached this Agreement for</w:t>
      </w:r>
      <w:r>
        <w:rPr>
          <w:rFonts w:ascii="Arial" w:cs="Arial" w:eastAsia="Arial" w:hAnsi="Arial"/>
          <w:sz w:val="19"/>
          <w:szCs w:val="19"/>
          <w:b w:val="1"/>
          <w:bCs w:val="1"/>
          <w:color w:val="auto"/>
        </w:rPr>
        <w:t xml:space="preserve"> </w:t>
      </w:r>
      <w:r>
        <w:rPr>
          <w:rFonts w:ascii="Arial" w:cs="Arial" w:eastAsia="Arial" w:hAnsi="Arial"/>
          <w:sz w:val="20"/>
          <w:szCs w:val="20"/>
          <w:color w:val="010000"/>
        </w:rPr>
        <w:t>failure or delay performing any obligation under this Agreement to the extent that such failure or delay is caused by or results from acts of God, embargoes, war, acts of war (whether war be declared or not), terrorism, insurrections, riots, civil commotions, strikes, lockouts, or other labor disturbances (other than strikes, lockouts, or labor disturbances involving a Party’s own employees), government actions, fire, earthquakes, floods, epidemics, pandemics, or quarantines (“</w:t>
      </w:r>
      <w:r>
        <w:rPr>
          <w:rFonts w:ascii="Arial" w:cs="Arial" w:eastAsia="Arial" w:hAnsi="Arial"/>
          <w:sz w:val="20"/>
          <w:szCs w:val="20"/>
          <w:b w:val="1"/>
          <w:bCs w:val="1"/>
          <w:color w:val="010000"/>
        </w:rPr>
        <w:t>Force Majeure</w:t>
      </w:r>
      <w:r>
        <w:rPr>
          <w:rFonts w:ascii="Arial" w:cs="Arial" w:eastAsia="Arial" w:hAnsi="Arial"/>
          <w:sz w:val="20"/>
          <w:szCs w:val="20"/>
          <w:color w:val="010000"/>
        </w:rPr>
        <w:t xml:space="preserve">”) and for so long as such failure or delay continues to be caused by or result from such Force Majeure event. The Parties agree the effects of the COVID-19 pandemic that is ongoing as of the Effective Date may be invoked as a Force Majeure for the purposes of this Agreement even though the pandemic is ongoing to the extent those effects are not reasonably foreseeable by the Parties as of the Effective Date. The affected Party will notify the other Party in writing of any Force Majeure circumstances that may affect its performance under this Agreement as soon as reasonably practical, will provide a good faith estimate of the period for which its failure or delay in performance under the Agreement is expected to continue based on currently available information, and will undertake reasonable efforts necessary to mitigate and overcome such Force Majeure circumstances and resume normal performance of its obligations hereunder as soon a reasonably practicable under the circumstances. If the Force Majeure circumstance continues, then the affected Party will update such notice to the other Party </w:t>
      </w:r>
      <w:r>
        <w:rPr>
          <w:rFonts w:ascii="Arial" w:cs="Arial" w:eastAsia="Arial" w:hAnsi="Arial"/>
          <w:sz w:val="20"/>
          <w:szCs w:val="20"/>
          <w:color w:val="000000"/>
        </w:rPr>
        <w:t>[*]</w:t>
      </w:r>
      <w:r>
        <w:rPr>
          <w:rFonts w:ascii="Arial" w:cs="Arial" w:eastAsia="Arial" w:hAnsi="Arial"/>
          <w:sz w:val="20"/>
          <w:szCs w:val="20"/>
          <w:color w:val="010000"/>
        </w:rPr>
        <w:t>, to provide updated summaries of its mitigation efforts and its estimates of when normal performance under the Agreement will be able to resume.</w:t>
      </w:r>
    </w:p>
    <w:p>
      <w:pPr>
        <w:spacing w:after="0" w:line="163" w:lineRule="exact"/>
        <w:rPr>
          <w:sz w:val="20"/>
          <w:szCs w:val="20"/>
          <w:color w:val="auto"/>
        </w:rPr>
      </w:pPr>
    </w:p>
    <w:p>
      <w:pPr>
        <w:jc w:val="both"/>
        <w:ind w:left="860" w:hanging="849"/>
        <w:spacing w:after="0" w:line="252" w:lineRule="auto"/>
        <w:tabs>
          <w:tab w:leader="none" w:pos="840" w:val="left"/>
        </w:tabs>
        <w:rPr>
          <w:sz w:val="20"/>
          <w:szCs w:val="20"/>
          <w:color w:val="auto"/>
        </w:rPr>
      </w:pPr>
      <w:r>
        <w:rPr>
          <w:rFonts w:ascii="Arial" w:cs="Arial" w:eastAsia="Arial" w:hAnsi="Arial"/>
          <w:sz w:val="20"/>
          <w:szCs w:val="20"/>
          <w:color w:val="010000"/>
        </w:rPr>
        <w:t>15.3</w:t>
      </w:r>
      <w:r>
        <w:rPr>
          <w:sz w:val="20"/>
          <w:szCs w:val="20"/>
          <w:color w:val="auto"/>
        </w:rPr>
        <w:tab/>
      </w:r>
      <w:r>
        <w:rPr>
          <w:rFonts w:ascii="Arial" w:cs="Arial" w:eastAsia="Arial" w:hAnsi="Arial"/>
          <w:sz w:val="20"/>
          <w:szCs w:val="20"/>
          <w:b w:val="1"/>
          <w:bCs w:val="1"/>
          <w:color w:val="auto"/>
        </w:rPr>
        <w:t>Notices</w:t>
      </w:r>
      <w:r>
        <w:rPr>
          <w:rFonts w:ascii="Arial" w:cs="Arial" w:eastAsia="Arial" w:hAnsi="Arial"/>
          <w:sz w:val="21"/>
          <w:szCs w:val="21"/>
          <w:color w:val="auto"/>
        </w:rPr>
        <w:t>. Any notice required or permitted to be given under this Agreement will be in writing, will specifically refer to</w:t>
      </w:r>
      <w:r>
        <w:rPr>
          <w:rFonts w:ascii="Arial" w:cs="Arial" w:eastAsia="Arial" w:hAnsi="Arial"/>
          <w:sz w:val="20"/>
          <w:szCs w:val="20"/>
          <w:b w:val="1"/>
          <w:bCs w:val="1"/>
          <w:color w:val="auto"/>
        </w:rPr>
        <w:t xml:space="preserve"> </w:t>
      </w:r>
      <w:r>
        <w:rPr>
          <w:rFonts w:ascii="Arial" w:cs="Arial" w:eastAsia="Arial" w:hAnsi="Arial"/>
          <w:sz w:val="21"/>
          <w:szCs w:val="21"/>
          <w:color w:val="auto"/>
        </w:rPr>
        <w:t>this Agreement, and will be addressed to the appropriate Party at the address specified below or such other address as may be specified by such Party in writing in accordance with this Section 15.3 (Notices), and will be deemed to have been given for all purposes (a) when received, if hand-delivered or sent by a reputable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119" w:lineRule="exact"/>
        <w:rPr>
          <w:sz w:val="20"/>
          <w:szCs w:val="20"/>
          <w:color w:val="auto"/>
        </w:rPr>
      </w:pPr>
    </w:p>
    <w:p>
      <w:pPr>
        <w:ind w:right="220" w:firstLine="8"/>
        <w:spacing w:after="0" w:line="277" w:lineRule="auto"/>
        <w:tabs>
          <w:tab w:leader="none" w:pos="255" w:val="left"/>
        </w:tabs>
        <w:numPr>
          <w:ilvl w:val="0"/>
          <w:numId w:val="225"/>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68" w:name="page169"/>
    <w:bookmarkEnd w:id="168"/>
    <w:p>
      <w:pPr>
        <w:jc w:val="both"/>
        <w:ind w:left="852"/>
        <w:spacing w:after="0" w:line="252" w:lineRule="auto"/>
        <w:rPr>
          <w:sz w:val="20"/>
          <w:szCs w:val="20"/>
          <w:color w:val="auto"/>
        </w:rPr>
      </w:pPr>
      <w:r>
        <w:rPr>
          <w:rFonts w:ascii="Arial" w:cs="Arial" w:eastAsia="Arial" w:hAnsi="Arial"/>
          <w:sz w:val="21"/>
          <w:szCs w:val="21"/>
          <w:color w:val="auto"/>
        </w:rPr>
        <w:t>international expedited delivery service, (b) five (5) Business Days after mailing, if mailed by first class certified or registered mail, postage prepaid, return receipt requested, or (c) by email, if confirmed by the intended recipient. This Section 15.3 (Notices) is not intended to govern the day-to-day business communications necessary between the Parties in performing their obligations under the terms of this Agreement.</w:t>
      </w:r>
    </w:p>
    <w:p>
      <w:pPr>
        <w:spacing w:after="0" w:line="192" w:lineRule="exact"/>
        <w:rPr>
          <w:sz w:val="20"/>
          <w:szCs w:val="20"/>
          <w:color w:val="auto"/>
        </w:rPr>
      </w:pPr>
    </w:p>
    <w:p>
      <w:pPr>
        <w:ind w:left="1232"/>
        <w:spacing w:after="0"/>
        <w:rPr>
          <w:sz w:val="20"/>
          <w:szCs w:val="20"/>
          <w:color w:val="auto"/>
        </w:rPr>
      </w:pPr>
      <w:r>
        <w:rPr>
          <w:rFonts w:ascii="Arial" w:cs="Arial" w:eastAsia="Arial" w:hAnsi="Arial"/>
          <w:sz w:val="20"/>
          <w:szCs w:val="20"/>
          <w:color w:val="auto"/>
        </w:rPr>
        <w:t>If to HFB:</w:t>
      </w:r>
    </w:p>
    <w:p>
      <w:pPr>
        <w:spacing w:after="0" w:line="15" w:lineRule="exact"/>
        <w:rPr>
          <w:sz w:val="20"/>
          <w:szCs w:val="20"/>
          <w:color w:val="auto"/>
        </w:rPr>
      </w:pPr>
    </w:p>
    <w:p>
      <w:pPr>
        <w:ind w:left="5092"/>
        <w:spacing w:after="0"/>
        <w:rPr>
          <w:sz w:val="20"/>
          <w:szCs w:val="20"/>
          <w:color w:val="auto"/>
        </w:rPr>
      </w:pPr>
      <w:r>
        <w:rPr>
          <w:rFonts w:ascii="Arial" w:cs="Arial" w:eastAsia="Arial" w:hAnsi="Arial"/>
          <w:sz w:val="20"/>
          <w:szCs w:val="20"/>
          <w:color w:val="auto"/>
        </w:rPr>
        <w:t>HiFiBiO Therapeutics</w:t>
      </w:r>
    </w:p>
    <w:p>
      <w:pPr>
        <w:ind w:left="5092"/>
        <w:spacing w:after="0"/>
        <w:rPr>
          <w:sz w:val="20"/>
          <w:szCs w:val="20"/>
          <w:color w:val="auto"/>
        </w:rPr>
      </w:pPr>
      <w:r>
        <w:rPr>
          <w:rFonts w:ascii="Arial" w:cs="Arial" w:eastAsia="Arial" w:hAnsi="Arial"/>
          <w:sz w:val="20"/>
          <w:szCs w:val="20"/>
          <w:color w:val="auto"/>
        </w:rPr>
        <w:t>Room 303, Third Floor,</w:t>
      </w:r>
    </w:p>
    <w:p>
      <w:pPr>
        <w:ind w:left="5092"/>
        <w:spacing w:after="0"/>
        <w:rPr>
          <w:sz w:val="20"/>
          <w:szCs w:val="20"/>
          <w:color w:val="auto"/>
        </w:rPr>
      </w:pPr>
      <w:r>
        <w:rPr>
          <w:rFonts w:ascii="Arial" w:cs="Arial" w:eastAsia="Arial" w:hAnsi="Arial"/>
          <w:sz w:val="20"/>
          <w:szCs w:val="20"/>
          <w:color w:val="auto"/>
        </w:rPr>
        <w:t>St. George’s Building</w:t>
      </w:r>
    </w:p>
    <w:p>
      <w:pPr>
        <w:ind w:left="5092"/>
        <w:spacing w:after="0"/>
        <w:rPr>
          <w:sz w:val="20"/>
          <w:szCs w:val="20"/>
          <w:color w:val="auto"/>
        </w:rPr>
      </w:pPr>
      <w:r>
        <w:rPr>
          <w:rFonts w:ascii="Arial" w:cs="Arial" w:eastAsia="Arial" w:hAnsi="Arial"/>
          <w:sz w:val="20"/>
          <w:szCs w:val="20"/>
          <w:color w:val="auto"/>
        </w:rPr>
        <w:t>2 Ice House Street, Central,</w:t>
      </w:r>
    </w:p>
    <w:p>
      <w:pPr>
        <w:ind w:left="5092"/>
        <w:spacing w:after="0"/>
        <w:rPr>
          <w:sz w:val="20"/>
          <w:szCs w:val="20"/>
          <w:color w:val="auto"/>
        </w:rPr>
      </w:pPr>
      <w:r>
        <w:rPr>
          <w:rFonts w:ascii="Arial" w:cs="Arial" w:eastAsia="Arial" w:hAnsi="Arial"/>
          <w:sz w:val="20"/>
          <w:szCs w:val="20"/>
          <w:color w:val="auto"/>
        </w:rPr>
        <w:t>Hong Kong</w:t>
      </w:r>
    </w:p>
    <w:p>
      <w:pPr>
        <w:ind w:left="5092"/>
        <w:spacing w:after="0"/>
        <w:rPr>
          <w:sz w:val="20"/>
          <w:szCs w:val="20"/>
          <w:color w:val="auto"/>
        </w:rPr>
      </w:pPr>
      <w:r>
        <w:rPr>
          <w:rFonts w:ascii="Arial" w:cs="Arial" w:eastAsia="Arial" w:hAnsi="Arial"/>
          <w:sz w:val="20"/>
          <w:szCs w:val="20"/>
          <w:color w:val="auto"/>
        </w:rPr>
        <w:t>Attention: [*]</w:t>
      </w:r>
    </w:p>
    <w:p>
      <w:pPr>
        <w:ind w:left="5092"/>
        <w:spacing w:after="0"/>
        <w:rPr>
          <w:sz w:val="20"/>
          <w:szCs w:val="20"/>
          <w:color w:val="auto"/>
        </w:rPr>
      </w:pPr>
      <w:r>
        <w:rPr>
          <w:rFonts w:ascii="Arial" w:cs="Arial" w:eastAsia="Arial" w:hAnsi="Arial"/>
          <w:sz w:val="20"/>
          <w:szCs w:val="20"/>
          <w:color w:val="auto"/>
        </w:rPr>
        <w:t>Email: [*]</w:t>
      </w:r>
    </w:p>
    <w:p>
      <w:pPr>
        <w:sectPr>
          <w:pgSz w:w="11900" w:h="16838" w:orient="portrait"/>
          <w:cols w:equalWidth="0" w:num="1">
            <w:col w:w="11232"/>
          </w:cols>
          <w:pgMar w:left="328" w:top="348" w:right="339" w:bottom="1440" w:gutter="0" w:footer="0" w:header="0"/>
        </w:sectPr>
      </w:pPr>
    </w:p>
    <w:p>
      <w:pPr>
        <w:spacing w:after="0" w:line="213" w:lineRule="exact"/>
        <w:rPr>
          <w:sz w:val="20"/>
          <w:szCs w:val="20"/>
          <w:color w:val="auto"/>
        </w:rPr>
      </w:pPr>
    </w:p>
    <w:p>
      <w:pPr>
        <w:ind w:left="1232"/>
        <w:spacing w:after="0" w:line="260" w:lineRule="auto"/>
        <w:rPr>
          <w:sz w:val="20"/>
          <w:szCs w:val="20"/>
          <w:color w:val="auto"/>
        </w:rPr>
      </w:pPr>
      <w:r>
        <w:rPr>
          <w:rFonts w:ascii="Arial" w:cs="Arial" w:eastAsia="Arial" w:hAnsi="Arial"/>
          <w:sz w:val="20"/>
          <w:szCs w:val="20"/>
          <w:color w:val="auto"/>
        </w:rPr>
        <w:t>With a copy to (which will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32"/>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32"/>
        <w:spacing w:after="0"/>
        <w:rPr>
          <w:sz w:val="20"/>
          <w:szCs w:val="20"/>
          <w:color w:val="auto"/>
        </w:rPr>
      </w:pPr>
      <w:r>
        <w:rPr>
          <w:rFonts w:ascii="Arial" w:cs="Arial" w:eastAsia="Arial" w:hAnsi="Arial"/>
          <w:sz w:val="20"/>
          <w:szCs w:val="20"/>
          <w:color w:val="auto"/>
        </w:rPr>
        <w:t>If to FibroGen: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32"/>
        <w:spacing w:after="0" w:line="260" w:lineRule="auto"/>
        <w:rPr>
          <w:sz w:val="20"/>
          <w:szCs w:val="20"/>
          <w:color w:val="auto"/>
        </w:rPr>
      </w:pPr>
      <w:r>
        <w:rPr>
          <w:rFonts w:ascii="Arial" w:cs="Arial" w:eastAsia="Arial" w:hAnsi="Arial"/>
          <w:sz w:val="20"/>
          <w:szCs w:val="20"/>
          <w:color w:val="auto"/>
        </w:rPr>
        <w:t>With a copy to (which will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32"/>
        <w:spacing w:after="0"/>
        <w:rPr>
          <w:sz w:val="20"/>
          <w:szCs w:val="20"/>
          <w:color w:val="auto"/>
        </w:rPr>
      </w:pPr>
      <w:r>
        <w:rPr>
          <w:rFonts w:ascii="Arial" w:cs="Arial" w:eastAsia="Arial" w:hAnsi="Arial"/>
          <w:sz w:val="20"/>
          <w:szCs w:val="20"/>
          <w:color w:val="auto"/>
        </w:rPr>
        <w:t>and: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HiFiBiO Therapeutics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237 Putnam Avenue</w:t>
      </w:r>
    </w:p>
    <w:p>
      <w:pPr>
        <w:spacing w:after="0"/>
        <w:rPr>
          <w:sz w:val="20"/>
          <w:szCs w:val="20"/>
          <w:color w:val="auto"/>
        </w:rPr>
      </w:pPr>
      <w:r>
        <w:rPr>
          <w:rFonts w:ascii="Arial" w:cs="Arial" w:eastAsia="Arial" w:hAnsi="Arial"/>
          <w:sz w:val="20"/>
          <w:szCs w:val="20"/>
          <w:color w:val="auto"/>
        </w:rPr>
        <w:t>Cambridge, MA, 02139</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Attention: [*]</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Foley Hoag</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Seaport West</w:t>
      </w:r>
    </w:p>
    <w:p>
      <w:pPr>
        <w:spacing w:after="0"/>
        <w:rPr>
          <w:sz w:val="20"/>
          <w:szCs w:val="20"/>
          <w:color w:val="auto"/>
        </w:rPr>
      </w:pPr>
      <w:r>
        <w:rPr>
          <w:rFonts w:ascii="Arial" w:cs="Arial" w:eastAsia="Arial" w:hAnsi="Arial"/>
          <w:sz w:val="20"/>
          <w:szCs w:val="20"/>
          <w:color w:val="auto"/>
        </w:rPr>
        <w:t>155 Seaport Boulevard</w:t>
      </w:r>
    </w:p>
    <w:p>
      <w:pPr>
        <w:spacing w:after="0"/>
        <w:rPr>
          <w:sz w:val="20"/>
          <w:szCs w:val="20"/>
          <w:color w:val="auto"/>
        </w:rPr>
      </w:pPr>
      <w:r>
        <w:rPr>
          <w:rFonts w:ascii="Arial" w:cs="Arial" w:eastAsia="Arial" w:hAnsi="Arial"/>
          <w:sz w:val="16"/>
          <w:szCs w:val="16"/>
          <w:color w:val="auto"/>
        </w:rPr>
        <w:t>Boston, Massachusetts 02210-2600</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Attention: [*]</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Email: [*]</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FibroGen,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409 Illinois Street</w:t>
      </w:r>
    </w:p>
    <w:p>
      <w:pPr>
        <w:spacing w:after="0"/>
        <w:rPr>
          <w:sz w:val="20"/>
          <w:szCs w:val="20"/>
          <w:color w:val="auto"/>
        </w:rPr>
      </w:pPr>
      <w:r>
        <w:rPr>
          <w:rFonts w:ascii="Arial" w:cs="Arial" w:eastAsia="Arial" w:hAnsi="Arial"/>
          <w:sz w:val="20"/>
          <w:szCs w:val="20"/>
          <w:color w:val="auto"/>
        </w:rPr>
        <w:t>San Francisco, CA 94158</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Attention: [*]</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Email: [*]</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FibroGen,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409 Illinois Street</w:t>
      </w:r>
    </w:p>
    <w:p>
      <w:pPr>
        <w:spacing w:after="0"/>
        <w:rPr>
          <w:sz w:val="20"/>
          <w:szCs w:val="20"/>
          <w:color w:val="auto"/>
        </w:rPr>
      </w:pPr>
      <w:r>
        <w:rPr>
          <w:rFonts w:ascii="Arial" w:cs="Arial" w:eastAsia="Arial" w:hAnsi="Arial"/>
          <w:sz w:val="20"/>
          <w:szCs w:val="20"/>
          <w:color w:val="auto"/>
        </w:rPr>
        <w:t>San Francisco, CA 94158</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Attention: [*]</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Email: [*]</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Ropes &amp; Gray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1900 University Avenue, 6th Floor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East Palo Alto, CA 94303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Attention: [*]</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Email: [*]</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55</w:t>
      </w:r>
    </w:p>
    <w:p>
      <w:pPr>
        <w:spacing w:after="0" w:line="119" w:lineRule="exact"/>
        <w:rPr>
          <w:sz w:val="20"/>
          <w:szCs w:val="20"/>
          <w:color w:val="auto"/>
        </w:rPr>
      </w:pPr>
    </w:p>
    <w:p>
      <w:pPr>
        <w:sectPr>
          <w:pgSz w:w="11900" w:h="16838" w:orient="portrait"/>
          <w:cols w:equalWidth="0" w:num="2">
            <w:col w:w="4472" w:space="620"/>
            <w:col w:w="6140"/>
          </w:cols>
          <w:pgMar w:left="328" w:top="348" w:right="339" w:bottom="1440" w:gutter="0" w:footer="0" w:header="0"/>
          <w:type w:val="continuous"/>
        </w:sectPr>
      </w:pPr>
    </w:p>
    <w:p>
      <w:pPr>
        <w:ind w:left="-8" w:right="220" w:firstLine="8"/>
        <w:spacing w:after="0" w:line="277" w:lineRule="auto"/>
        <w:tabs>
          <w:tab w:leader="none" w:pos="247" w:val="left"/>
        </w:tabs>
        <w:numPr>
          <w:ilvl w:val="0"/>
          <w:numId w:val="226"/>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48" w:right="339" w:bottom="1440" w:gutter="0" w:footer="0" w:header="0"/>
          <w:type w:val="continuous"/>
        </w:sectPr>
      </w:pPr>
    </w:p>
    <w:bookmarkStart w:id="169" w:name="page170"/>
    <w:bookmarkEnd w:id="169"/>
    <w:p>
      <w:pPr>
        <w:jc w:val="both"/>
        <w:ind w:left="860" w:hanging="849"/>
        <w:spacing w:after="0" w:line="249" w:lineRule="auto"/>
        <w:tabs>
          <w:tab w:leader="none" w:pos="840" w:val="left"/>
        </w:tabs>
        <w:rPr>
          <w:sz w:val="20"/>
          <w:szCs w:val="20"/>
          <w:color w:val="auto"/>
        </w:rPr>
      </w:pPr>
      <w:r>
        <w:rPr>
          <w:rFonts w:ascii="Arial" w:cs="Arial" w:eastAsia="Arial" w:hAnsi="Arial"/>
          <w:sz w:val="20"/>
          <w:szCs w:val="20"/>
          <w:color w:val="010000"/>
        </w:rPr>
        <w:t>15.4</w:t>
      </w:r>
      <w:r>
        <w:rPr>
          <w:sz w:val="20"/>
          <w:szCs w:val="20"/>
          <w:color w:val="auto"/>
        </w:rPr>
        <w:tab/>
      </w:r>
      <w:r>
        <w:rPr>
          <w:rFonts w:ascii="Arial" w:cs="Arial" w:eastAsia="Arial" w:hAnsi="Arial"/>
          <w:sz w:val="20"/>
          <w:szCs w:val="20"/>
          <w:b w:val="1"/>
          <w:bCs w:val="1"/>
          <w:color w:val="auto"/>
        </w:rPr>
        <w:t>No Strict Construction; Headings</w:t>
      </w:r>
      <w:r>
        <w:rPr>
          <w:rFonts w:ascii="Arial" w:cs="Arial" w:eastAsia="Arial" w:hAnsi="Arial"/>
          <w:sz w:val="21"/>
          <w:szCs w:val="21"/>
          <w:color w:val="auto"/>
        </w:rPr>
        <w:t>. This Agreement has been prepared jointly and will not be strictly construed against</w:t>
      </w:r>
      <w:r>
        <w:rPr>
          <w:rFonts w:ascii="Arial" w:cs="Arial" w:eastAsia="Arial" w:hAnsi="Arial"/>
          <w:sz w:val="20"/>
          <w:szCs w:val="20"/>
          <w:b w:val="1"/>
          <w:bCs w:val="1"/>
          <w:color w:val="auto"/>
        </w:rPr>
        <w:t xml:space="preserve"> </w:t>
      </w:r>
      <w:r>
        <w:rPr>
          <w:rFonts w:ascii="Arial" w:cs="Arial" w:eastAsia="Arial" w:hAnsi="Arial"/>
          <w:sz w:val="21"/>
          <w:szCs w:val="21"/>
          <w:color w:val="auto"/>
        </w:rPr>
        <w:t>either Party. Ambiguities, if any, in this Agreement will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spacing w:after="0" w:line="165" w:lineRule="exact"/>
        <w:rPr>
          <w:sz w:val="20"/>
          <w:szCs w:val="20"/>
          <w:color w:val="auto"/>
        </w:rPr>
      </w:pPr>
    </w:p>
    <w:p>
      <w:pPr>
        <w:jc w:val="both"/>
        <w:ind w:left="860" w:hanging="849"/>
        <w:spacing w:after="0" w:line="269" w:lineRule="auto"/>
        <w:tabs>
          <w:tab w:leader="none" w:pos="840" w:val="left"/>
        </w:tabs>
        <w:rPr>
          <w:sz w:val="20"/>
          <w:szCs w:val="20"/>
          <w:color w:val="auto"/>
        </w:rPr>
      </w:pPr>
      <w:r>
        <w:rPr>
          <w:rFonts w:ascii="Arial" w:cs="Arial" w:eastAsia="Arial" w:hAnsi="Arial"/>
          <w:sz w:val="20"/>
          <w:szCs w:val="20"/>
          <w:color w:val="010000"/>
        </w:rPr>
        <w:t>15.5</w:t>
      </w:r>
      <w:r>
        <w:rPr>
          <w:sz w:val="20"/>
          <w:szCs w:val="20"/>
          <w:color w:val="auto"/>
        </w:rPr>
        <w:tab/>
      </w:r>
      <w:r>
        <w:rPr>
          <w:rFonts w:ascii="Arial" w:cs="Arial" w:eastAsia="Arial" w:hAnsi="Arial"/>
          <w:sz w:val="18"/>
          <w:szCs w:val="18"/>
          <w:b w:val="1"/>
          <w:bCs w:val="1"/>
          <w:color w:val="auto"/>
        </w:rPr>
        <w:t>Interpretation</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9"/>
          <w:szCs w:val="19"/>
          <w:color w:val="010000"/>
        </w:rPr>
        <w:t>Except where the context expressly requires otherwise, (a) the use of any gender herein will be deemed</w:t>
      </w:r>
      <w:r>
        <w:rPr>
          <w:rFonts w:ascii="Arial" w:cs="Arial" w:eastAsia="Arial" w:hAnsi="Arial"/>
          <w:sz w:val="18"/>
          <w:szCs w:val="18"/>
          <w:b w:val="1"/>
          <w:bCs w:val="1"/>
          <w:color w:val="auto"/>
        </w:rPr>
        <w:t xml:space="preserve"> </w:t>
      </w:r>
      <w:r>
        <w:rPr>
          <w:rFonts w:ascii="Arial" w:cs="Arial" w:eastAsia="Arial" w:hAnsi="Arial"/>
          <w:sz w:val="19"/>
          <w:szCs w:val="19"/>
          <w:color w:val="010000"/>
        </w:rPr>
        <w:t>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or entity will be construed to include the person’s or entity’s successors and assigns, (f) the words “herein,” “hereof,” and “hereunder”, and words of similar import, will be construed to refer to this Agreement in its entirety and not to any particular provision hereof, (g) all references herein to Sections or Schedules will be construed to refer to Sections or Schedules of this Agreement, and references to this Agreement include all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will be deemed to include the then-current amendments thereto or any replacement or successor law, rule or regulation thereof, (k) the term “or” will be interpreted in the inclusive sense commonly associated with the term “and/or,” and (l) references to any Sections include Sections and subsections that are part of the related Section (</w:t>
      </w:r>
      <w:r>
        <w:rPr>
          <w:rFonts w:ascii="Arial" w:cs="Arial" w:eastAsia="Arial" w:hAnsi="Arial"/>
          <w:sz w:val="19"/>
          <w:szCs w:val="19"/>
          <w:i w:val="1"/>
          <w:iCs w:val="1"/>
          <w:color w:val="010000"/>
        </w:rPr>
        <w:t>e.g.</w:t>
      </w:r>
      <w:r>
        <w:rPr>
          <w:rFonts w:ascii="Arial" w:cs="Arial" w:eastAsia="Arial" w:hAnsi="Arial"/>
          <w:sz w:val="19"/>
          <w:szCs w:val="19"/>
          <w:color w:val="010000"/>
        </w:rPr>
        <w:t xml:space="preserve">, a section numbered “Section 2.2” would be part of “Section 2”, and references to “Section 2.2” would also refer to material contained in the subsection described as “Section 2.2(a)”). </w:t>
      </w:r>
      <w:r>
        <w:rPr>
          <w:rFonts w:ascii="Arial" w:cs="Arial" w:eastAsia="Arial" w:hAnsi="Arial"/>
          <w:sz w:val="19"/>
          <w:szCs w:val="19"/>
          <w:color w:val="000000"/>
        </w:rPr>
        <w:t>Each Party has had the opportunity to consult with</w:t>
      </w:r>
      <w:r>
        <w:rPr>
          <w:rFonts w:ascii="Arial" w:cs="Arial" w:eastAsia="Arial" w:hAnsi="Arial"/>
          <w:sz w:val="19"/>
          <w:szCs w:val="19"/>
          <w:color w:val="010000"/>
        </w:rPr>
        <w:t xml:space="preserve"> </w:t>
      </w:r>
      <w:r>
        <w:rPr>
          <w:rFonts w:ascii="Arial" w:cs="Arial" w:eastAsia="Arial" w:hAnsi="Arial"/>
          <w:sz w:val="19"/>
          <w:szCs w:val="19"/>
          <w:color w:val="000000"/>
        </w:rPr>
        <w:t>counsel in connection with the review, drafting and negotiation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119" w:lineRule="exact"/>
        <w:rPr>
          <w:sz w:val="20"/>
          <w:szCs w:val="20"/>
          <w:color w:val="auto"/>
        </w:rPr>
      </w:pPr>
    </w:p>
    <w:p>
      <w:pPr>
        <w:ind w:right="220" w:firstLine="8"/>
        <w:spacing w:after="0" w:line="277" w:lineRule="auto"/>
        <w:tabs>
          <w:tab w:leader="none" w:pos="255" w:val="left"/>
        </w:tabs>
        <w:numPr>
          <w:ilvl w:val="0"/>
          <w:numId w:val="227"/>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70" w:name="page171"/>
    <w:bookmarkEnd w:id="170"/>
    <w:p>
      <w:pPr>
        <w:ind w:left="860"/>
        <w:spacing w:after="0" w:line="250" w:lineRule="auto"/>
        <w:rPr>
          <w:sz w:val="20"/>
          <w:szCs w:val="20"/>
          <w:color w:val="auto"/>
        </w:rPr>
      </w:pPr>
      <w:r>
        <w:rPr>
          <w:rFonts w:ascii="Arial" w:cs="Arial" w:eastAsia="Arial" w:hAnsi="Arial"/>
          <w:sz w:val="22"/>
          <w:szCs w:val="22"/>
          <w:color w:val="auto"/>
        </w:rPr>
        <w:t>of this Agreement. Accordingly, the rule of construction that any ambiguity in this Agreement will be construed against the drafting Party will not apply.</w:t>
      </w:r>
    </w:p>
    <w:p>
      <w:pPr>
        <w:spacing w:after="0" w:line="161"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color w:val="010000"/>
        </w:rPr>
        <w:t>15.6</w:t>
      </w:r>
      <w:r>
        <w:rPr>
          <w:sz w:val="20"/>
          <w:szCs w:val="20"/>
          <w:color w:val="auto"/>
        </w:rPr>
        <w:tab/>
      </w:r>
      <w:r>
        <w:rPr>
          <w:rFonts w:ascii="Arial" w:cs="Arial" w:eastAsia="Arial" w:hAnsi="Arial"/>
          <w:sz w:val="19"/>
          <w:szCs w:val="19"/>
          <w:b w:val="1"/>
          <w:bCs w:val="1"/>
          <w:color w:val="auto"/>
        </w:rPr>
        <w:t>Assignment</w:t>
      </w:r>
      <w:r>
        <w:rPr>
          <w:rFonts w:ascii="Arial" w:cs="Arial" w:eastAsia="Arial" w:hAnsi="Arial"/>
          <w:sz w:val="20"/>
          <w:szCs w:val="20"/>
          <w:color w:val="auto"/>
        </w:rPr>
        <w:t>.</w:t>
      </w:r>
      <w:r>
        <w:rPr>
          <w:rFonts w:ascii="Arial" w:cs="Arial" w:eastAsia="Arial" w:hAnsi="Arial"/>
          <w:sz w:val="19"/>
          <w:szCs w:val="19"/>
          <w:b w:val="1"/>
          <w:bCs w:val="1"/>
          <w:color w:val="auto"/>
        </w:rPr>
        <w:t xml:space="preserve"> </w:t>
      </w:r>
      <w:r>
        <w:rPr>
          <w:rFonts w:ascii="Arial" w:cs="Arial" w:eastAsia="Arial" w:hAnsi="Arial"/>
          <w:sz w:val="20"/>
          <w:szCs w:val="20"/>
          <w:color w:val="010000"/>
        </w:rPr>
        <w:t>Neither this Agreement nor any interest hereunder will be assignable by either Party without the prior</w:t>
      </w:r>
      <w:r>
        <w:rPr>
          <w:rFonts w:ascii="Arial" w:cs="Arial" w:eastAsia="Arial" w:hAnsi="Arial"/>
          <w:sz w:val="19"/>
          <w:szCs w:val="19"/>
          <w:b w:val="1"/>
          <w:bCs w:val="1"/>
          <w:color w:val="auto"/>
        </w:rPr>
        <w:t xml:space="preserve"> </w:t>
      </w:r>
      <w:r>
        <w:rPr>
          <w:rFonts w:ascii="Arial" w:cs="Arial" w:eastAsia="Arial" w:hAnsi="Arial"/>
          <w:sz w:val="20"/>
          <w:szCs w:val="20"/>
          <w:color w:val="010000"/>
        </w:rPr>
        <w:t xml:space="preserve">written consent of the other Party, </w:t>
      </w:r>
      <w:r>
        <w:rPr>
          <w:rFonts w:ascii="Arial" w:cs="Arial" w:eastAsia="Arial" w:hAnsi="Arial"/>
          <w:sz w:val="20"/>
          <w:szCs w:val="20"/>
          <w:i w:val="1"/>
          <w:iCs w:val="1"/>
          <w:color w:val="010000"/>
        </w:rPr>
        <w:t>provided</w:t>
      </w:r>
      <w:r>
        <w:rPr>
          <w:rFonts w:ascii="Arial" w:cs="Arial" w:eastAsia="Arial" w:hAnsi="Arial"/>
          <w:sz w:val="20"/>
          <w:szCs w:val="20"/>
          <w:color w:val="010000"/>
        </w:rPr>
        <w:t xml:space="preserve"> that (and notwithstanding anything in this Agreement to the contrary) either Party may, without such consent, assign this Agreement and its rights and obligations hereunder in whole to (a) to the successor in connection with a Change of Control of such Party, or (b) to a Third Party that acquires, by or otherwise in connection with a merger, sale of assets, or otherwise, all or substantially all of the business of the assigning Party related to the subject matter of this Agreement. Additionally, FibroGen may, without such consent, assign this Agreement and its rights and obligations hereunder in whole to any Affiliate of FibroGen. Each Party will promptly notify the other Party of any assignment or transfer under the provisions of this Section 15.6 (Assignment).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w:t>
      </w:r>
      <w:r>
        <w:rPr>
          <w:rFonts w:ascii="Arial" w:cs="Arial" w:eastAsia="Arial" w:hAnsi="Arial"/>
          <w:sz w:val="20"/>
          <w:szCs w:val="20"/>
          <w:color w:val="000000"/>
        </w:rPr>
        <w:t>Any assignment or attempted assignment by either Party in violation of the terms</w:t>
      </w:r>
      <w:r>
        <w:rPr>
          <w:rFonts w:ascii="Arial" w:cs="Arial" w:eastAsia="Arial" w:hAnsi="Arial"/>
          <w:sz w:val="20"/>
          <w:szCs w:val="20"/>
          <w:color w:val="010000"/>
        </w:rPr>
        <w:t xml:space="preserve"> </w:t>
      </w:r>
      <w:r>
        <w:rPr>
          <w:rFonts w:ascii="Arial" w:cs="Arial" w:eastAsia="Arial" w:hAnsi="Arial"/>
          <w:sz w:val="20"/>
          <w:szCs w:val="20"/>
          <w:color w:val="000000"/>
        </w:rPr>
        <w:t>of this Section 15.6 (Assignment) will be null, void and of no legal effect.</w:t>
      </w:r>
    </w:p>
    <w:p>
      <w:pPr>
        <w:spacing w:after="0" w:line="163" w:lineRule="exact"/>
        <w:rPr>
          <w:sz w:val="20"/>
          <w:szCs w:val="20"/>
          <w:color w:val="auto"/>
        </w:rPr>
      </w:pPr>
    </w:p>
    <w:p>
      <w:pPr>
        <w:jc w:val="both"/>
        <w:ind w:left="860" w:hanging="849"/>
        <w:spacing w:after="0" w:line="262" w:lineRule="auto"/>
        <w:tabs>
          <w:tab w:leader="none" w:pos="840" w:val="left"/>
        </w:tabs>
        <w:rPr>
          <w:sz w:val="20"/>
          <w:szCs w:val="20"/>
          <w:color w:val="auto"/>
        </w:rPr>
      </w:pPr>
      <w:r>
        <w:rPr>
          <w:rFonts w:ascii="Arial" w:cs="Arial" w:eastAsia="Arial" w:hAnsi="Arial"/>
          <w:sz w:val="20"/>
          <w:szCs w:val="20"/>
          <w:color w:val="010000"/>
        </w:rPr>
        <w:t>15.7</w:t>
      </w:r>
      <w:r>
        <w:rPr>
          <w:sz w:val="20"/>
          <w:szCs w:val="20"/>
          <w:color w:val="auto"/>
        </w:rPr>
        <w:tab/>
      </w:r>
      <w:r>
        <w:rPr>
          <w:rFonts w:ascii="Arial" w:cs="Arial" w:eastAsia="Arial" w:hAnsi="Arial"/>
          <w:sz w:val="19"/>
          <w:szCs w:val="19"/>
          <w:b w:val="1"/>
          <w:bCs w:val="1"/>
          <w:color w:val="auto"/>
        </w:rPr>
        <w:t>Change of Control</w:t>
      </w:r>
      <w:r>
        <w:rPr>
          <w:rFonts w:ascii="Arial" w:cs="Arial" w:eastAsia="Arial" w:hAnsi="Arial"/>
          <w:sz w:val="20"/>
          <w:szCs w:val="20"/>
          <w:color w:val="auto"/>
        </w:rPr>
        <w:t>. Each Party will notify the other Party in writing promptly (and in any event within [*] following the</w:t>
      </w:r>
      <w:r>
        <w:rPr>
          <w:rFonts w:ascii="Arial" w:cs="Arial" w:eastAsia="Arial" w:hAnsi="Arial"/>
          <w:sz w:val="19"/>
          <w:szCs w:val="19"/>
          <w:b w:val="1"/>
          <w:bCs w:val="1"/>
          <w:color w:val="auto"/>
        </w:rPr>
        <w:t xml:space="preserve"> </w:t>
      </w:r>
      <w:r>
        <w:rPr>
          <w:rFonts w:ascii="Arial" w:cs="Arial" w:eastAsia="Arial" w:hAnsi="Arial"/>
          <w:sz w:val="20"/>
          <w:szCs w:val="20"/>
          <w:color w:val="auto"/>
        </w:rPr>
        <w:t>execution of a definitive agreement by the Party, its Affiliates or its equity holders that results in a Change of Control of the Party. Notwithstanding anything to the contrary in this Agreement, if during the Term HFB undergoes a Change of Control with a Third Party, and at such time such Third Party is [*] or is engaged in activities that would otherwise constitute a breach of Section 2.8(a) (Exclusivity Covenant), following the effective date of such Change of Control, at FibroGen’s election, the JSC and any subcommittees shall be dissolved (to the extent then in-effect).</w:t>
      </w:r>
    </w:p>
    <w:p>
      <w:pPr>
        <w:spacing w:after="0" w:line="154"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color w:val="010000"/>
        </w:rPr>
        <w:t>15.8</w:t>
      </w:r>
      <w:r>
        <w:rPr>
          <w:sz w:val="20"/>
          <w:szCs w:val="20"/>
          <w:color w:val="auto"/>
        </w:rPr>
        <w:tab/>
      </w:r>
      <w:r>
        <w:rPr>
          <w:rFonts w:ascii="Arial" w:cs="Arial" w:eastAsia="Arial" w:hAnsi="Arial"/>
          <w:sz w:val="20"/>
          <w:szCs w:val="20"/>
          <w:b w:val="1"/>
          <w:bCs w:val="1"/>
          <w:color w:val="auto"/>
        </w:rPr>
        <w:t>Performance by Affiliates</w:t>
      </w:r>
      <w:r>
        <w:rPr>
          <w:rFonts w:ascii="Arial" w:cs="Arial" w:eastAsia="Arial" w:hAnsi="Arial"/>
          <w:sz w:val="21"/>
          <w:szCs w:val="21"/>
          <w:color w:val="auto"/>
        </w:rPr>
        <w:t>. Each Party may perform any obligations and exercise any right hereunder through any of its</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Party will remain primarily responsible for the other Party hereunder. Each Party hereby guarantees the performance by any of its Affiliates of such Party’s obligations under this Agreement, and will cause its Affiliates to comply with the provisions of this Agreement in connection with such performance. Any breach by a Party’s Affiliate of any of such Party’s obligations under this Agreement will be deemed a breach by such Party, and the other Party may proceed directly against such Party without any obligation to first proceed against such Party’s Affiliate.</w:t>
      </w:r>
    </w:p>
    <w:p>
      <w:pPr>
        <w:sectPr>
          <w:pgSz w:w="11900" w:h="16838" w:orient="portrait"/>
          <w:cols w:equalWidth="0" w:num="1">
            <w:col w:w="11240"/>
          </w:cols>
          <w:pgMar w:left="320" w:top="348" w:right="3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010000"/>
        </w:rPr>
        <w:t>15.9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010000"/>
        </w:rPr>
        <w:t>15.10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300" w:lineRule="auto"/>
        <w:rPr>
          <w:sz w:val="20"/>
          <w:szCs w:val="20"/>
          <w:color w:val="auto"/>
        </w:rPr>
      </w:pPr>
      <w:r>
        <w:rPr>
          <w:rFonts w:ascii="Arial" w:cs="Arial" w:eastAsia="Arial" w:hAnsi="Arial"/>
          <w:sz w:val="19"/>
          <w:szCs w:val="19"/>
          <w:b w:val="1"/>
          <w:bCs w:val="1"/>
          <w:color w:val="auto"/>
        </w:rPr>
        <w:t>Further Actions</w:t>
      </w:r>
      <w:r>
        <w:rPr>
          <w:rFonts w:ascii="Arial" w:cs="Arial" w:eastAsia="Arial" w:hAnsi="Arial"/>
          <w:sz w:val="20"/>
          <w:szCs w:val="20"/>
          <w:color w:val="auto"/>
        </w:rPr>
        <w:t>. Each Party agrees to execute, acknowledge, and deliver such further instruments, and to do all such</w:t>
      </w:r>
      <w:r>
        <w:rPr>
          <w:rFonts w:ascii="Arial" w:cs="Arial" w:eastAsia="Arial" w:hAnsi="Arial"/>
          <w:sz w:val="19"/>
          <w:szCs w:val="19"/>
          <w:b w:val="1"/>
          <w:bCs w:val="1"/>
          <w:color w:val="auto"/>
        </w:rPr>
        <w:t xml:space="preserve"> </w:t>
      </w:r>
      <w:r>
        <w:rPr>
          <w:rFonts w:ascii="Arial" w:cs="Arial" w:eastAsia="Arial" w:hAnsi="Arial"/>
          <w:sz w:val="20"/>
          <w:szCs w:val="20"/>
          <w:color w:val="auto"/>
        </w:rPr>
        <w:t>other acts, as may be necessary or appropriate in order to carry out the purposes and intent of this Agreement.</w:t>
      </w:r>
    </w:p>
    <w:p>
      <w:pPr>
        <w:spacing w:after="0" w:line="114"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color w:val="auto"/>
        </w:rPr>
        <w:t>Severability</w:t>
      </w:r>
      <w:r>
        <w:rPr>
          <w:rFonts w:ascii="Arial" w:cs="Arial" w:eastAsia="Arial" w:hAnsi="Arial"/>
          <w:sz w:val="21"/>
          <w:szCs w:val="21"/>
          <w:color w:val="auto"/>
        </w:rPr>
        <w:t>. If any one or more of the provisions of this Agreement is held to be invalid or unenforceable by the</w:t>
      </w:r>
      <w:r>
        <w:rPr>
          <w:rFonts w:ascii="Arial" w:cs="Arial" w:eastAsia="Arial" w:hAnsi="Arial"/>
          <w:sz w:val="20"/>
          <w:szCs w:val="20"/>
          <w:b w:val="1"/>
          <w:bCs w:val="1"/>
          <w:color w:val="auto"/>
        </w:rPr>
        <w:t xml:space="preserve"> </w:t>
      </w:r>
      <w:r>
        <w:rPr>
          <w:rFonts w:ascii="Arial" w:cs="Arial" w:eastAsia="Arial" w:hAnsi="Arial"/>
          <w:sz w:val="21"/>
          <w:szCs w:val="21"/>
          <w:color w:val="auto"/>
        </w:rPr>
        <w:t>arbitrators or by any court of competent jurisdiction from which no</w:t>
      </w:r>
    </w:p>
    <w:p>
      <w:pPr>
        <w:spacing w:after="0" w:line="353" w:lineRule="exact"/>
        <w:rPr>
          <w:sz w:val="20"/>
          <w:szCs w:val="20"/>
          <w:color w:val="auto"/>
        </w:rPr>
      </w:pPr>
    </w:p>
    <w:p>
      <w:pPr>
        <w:jc w:val="center"/>
        <w:ind w:right="860"/>
        <w:spacing w:after="0"/>
        <w:rPr>
          <w:sz w:val="20"/>
          <w:szCs w:val="20"/>
          <w:color w:val="auto"/>
        </w:rPr>
      </w:pPr>
      <w:r>
        <w:rPr>
          <w:rFonts w:ascii="Arial" w:cs="Arial" w:eastAsia="Arial" w:hAnsi="Arial"/>
          <w:sz w:val="22"/>
          <w:szCs w:val="22"/>
          <w:color w:val="auto"/>
        </w:rPr>
        <w:t>57</w:t>
      </w:r>
    </w:p>
    <w:p>
      <w:pPr>
        <w:spacing w:after="0" w:line="119" w:lineRule="exact"/>
        <w:rPr>
          <w:sz w:val="20"/>
          <w:szCs w:val="20"/>
          <w:color w:val="auto"/>
        </w:rPr>
      </w:pPr>
    </w:p>
    <w:p>
      <w:pPr>
        <w:sectPr>
          <w:pgSz w:w="11900" w:h="16838" w:orient="portrait"/>
          <w:cols w:equalWidth="0" w:num="2">
            <w:col w:w="460" w:space="400"/>
            <w:col w:w="10380"/>
          </w:cols>
          <w:pgMar w:left="320" w:top="348" w:right="339" w:bottom="1440" w:gutter="0" w:footer="0" w:header="0"/>
          <w:type w:val="continuous"/>
        </w:sectPr>
      </w:pPr>
    </w:p>
    <w:p>
      <w:pPr>
        <w:ind w:right="220" w:firstLine="8"/>
        <w:spacing w:after="0" w:line="277" w:lineRule="auto"/>
        <w:tabs>
          <w:tab w:leader="none" w:pos="255" w:val="left"/>
        </w:tabs>
        <w:numPr>
          <w:ilvl w:val="0"/>
          <w:numId w:val="228"/>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171" w:name="page172"/>
    <w:bookmarkEnd w:id="171"/>
    <w:p>
      <w:pPr>
        <w:jc w:val="both"/>
        <w:ind w:left="860"/>
        <w:spacing w:after="0" w:line="238" w:lineRule="auto"/>
        <w:rPr>
          <w:sz w:val="20"/>
          <w:szCs w:val="20"/>
          <w:color w:val="auto"/>
        </w:rPr>
      </w:pPr>
      <w:r>
        <w:rPr>
          <w:rFonts w:ascii="Arial" w:cs="Arial" w:eastAsia="Arial" w:hAnsi="Arial"/>
          <w:sz w:val="22"/>
          <w:szCs w:val="22"/>
          <w:color w:val="auto"/>
        </w:rPr>
        <w:t>appeal can be or is taken, then the provision will be considered severed from this Agreement and will not serve to invalidate any remaining provisions hereof. The Parties will make a good faith effort to replace any invalid or unenforceable provision with a valid and enforceable one such that the objectives contemplated by the Parties when entering into this Agreement may be realized.</w:t>
      </w:r>
    </w:p>
    <w:p>
      <w:pPr>
        <w:spacing w:after="0" w:line="171" w:lineRule="exact"/>
        <w:rPr>
          <w:sz w:val="20"/>
          <w:szCs w:val="20"/>
          <w:color w:val="auto"/>
        </w:rPr>
      </w:pPr>
    </w:p>
    <w:p>
      <w:pPr>
        <w:jc w:val="both"/>
        <w:ind w:left="860" w:hanging="849"/>
        <w:spacing w:after="0" w:line="252" w:lineRule="auto"/>
        <w:tabs>
          <w:tab w:leader="none" w:pos="840" w:val="left"/>
        </w:tabs>
        <w:rPr>
          <w:sz w:val="20"/>
          <w:szCs w:val="20"/>
          <w:color w:val="auto"/>
        </w:rPr>
      </w:pPr>
      <w:r>
        <w:rPr>
          <w:rFonts w:ascii="Arial" w:cs="Arial" w:eastAsia="Arial" w:hAnsi="Arial"/>
          <w:sz w:val="20"/>
          <w:szCs w:val="20"/>
          <w:color w:val="010000"/>
        </w:rPr>
        <w:t>15.11</w:t>
      </w:r>
      <w:r>
        <w:rPr>
          <w:sz w:val="20"/>
          <w:szCs w:val="20"/>
          <w:color w:val="auto"/>
        </w:rPr>
        <w:tab/>
      </w:r>
      <w:r>
        <w:rPr>
          <w:rFonts w:ascii="Arial" w:cs="Arial" w:eastAsia="Arial" w:hAnsi="Arial"/>
          <w:sz w:val="20"/>
          <w:szCs w:val="20"/>
          <w:b w:val="1"/>
          <w:bCs w:val="1"/>
          <w:color w:val="auto"/>
        </w:rPr>
        <w:t>No Waiver</w:t>
      </w:r>
      <w:r>
        <w:rPr>
          <w:rFonts w:ascii="Arial" w:cs="Arial" w:eastAsia="Arial" w:hAnsi="Arial"/>
          <w:sz w:val="21"/>
          <w:szCs w:val="21"/>
          <w:color w:val="auto"/>
        </w:rPr>
        <w:t>. Any delay in enforcing a Party’s rights under this Agreement or any waiver as to a particular default or</w:t>
      </w:r>
      <w:r>
        <w:rPr>
          <w:rFonts w:ascii="Arial" w:cs="Arial" w:eastAsia="Arial" w:hAnsi="Arial"/>
          <w:sz w:val="20"/>
          <w:szCs w:val="20"/>
          <w:b w:val="1"/>
          <w:bCs w:val="1"/>
          <w:color w:val="auto"/>
        </w:rPr>
        <w:t xml:space="preserve"> </w:t>
      </w:r>
      <w:r>
        <w:rPr>
          <w:rFonts w:ascii="Arial" w:cs="Arial" w:eastAsia="Arial" w:hAnsi="Arial"/>
          <w:sz w:val="21"/>
          <w:szCs w:val="21"/>
          <w:color w:val="auto"/>
        </w:rPr>
        <w:t>other matter will not constitute a waiver of such Party’s rights to the future enforcement of its rights under this Agreement, except with respect to an express written and signed waiver relating to a particular matter for a particular period of time.</w:t>
      </w:r>
    </w:p>
    <w:p>
      <w:pPr>
        <w:spacing w:after="0" w:line="160" w:lineRule="exact"/>
        <w:rPr>
          <w:sz w:val="20"/>
          <w:szCs w:val="20"/>
          <w:color w:val="auto"/>
        </w:rPr>
      </w:pPr>
    </w:p>
    <w:p>
      <w:pPr>
        <w:jc w:val="both"/>
        <w:ind w:left="860" w:hanging="849"/>
        <w:spacing w:after="0" w:line="252" w:lineRule="auto"/>
        <w:tabs>
          <w:tab w:leader="none" w:pos="840" w:val="left"/>
        </w:tabs>
        <w:rPr>
          <w:sz w:val="20"/>
          <w:szCs w:val="20"/>
          <w:color w:val="auto"/>
        </w:rPr>
      </w:pPr>
      <w:r>
        <w:rPr>
          <w:rFonts w:ascii="Arial" w:cs="Arial" w:eastAsia="Arial" w:hAnsi="Arial"/>
          <w:sz w:val="20"/>
          <w:szCs w:val="20"/>
          <w:color w:val="010000"/>
        </w:rPr>
        <w:t>15.12</w:t>
      </w:r>
      <w:r>
        <w:rPr>
          <w:sz w:val="20"/>
          <w:szCs w:val="20"/>
          <w:color w:val="auto"/>
        </w:rPr>
        <w:tab/>
      </w:r>
      <w:r>
        <w:rPr>
          <w:rFonts w:ascii="Arial" w:cs="Arial" w:eastAsia="Arial" w:hAnsi="Arial"/>
          <w:sz w:val="20"/>
          <w:szCs w:val="20"/>
          <w:b w:val="1"/>
          <w:bCs w:val="1"/>
          <w:color w:val="auto"/>
        </w:rPr>
        <w:t>Independent Contractors</w:t>
      </w:r>
      <w:r>
        <w:rPr>
          <w:rFonts w:ascii="Arial" w:cs="Arial" w:eastAsia="Arial" w:hAnsi="Arial"/>
          <w:sz w:val="21"/>
          <w:szCs w:val="21"/>
          <w:color w:val="auto"/>
        </w:rPr>
        <w:t>. Each Party will act solely as an independent contractor, and nothing in this Agreement will be</w:t>
      </w:r>
      <w:r>
        <w:rPr>
          <w:rFonts w:ascii="Arial" w:cs="Arial" w:eastAsia="Arial" w:hAnsi="Arial"/>
          <w:sz w:val="20"/>
          <w:szCs w:val="20"/>
          <w:b w:val="1"/>
          <w:bCs w:val="1"/>
          <w:color w:val="auto"/>
        </w:rPr>
        <w:t xml:space="preserve"> </w:t>
      </w:r>
      <w:r>
        <w:rPr>
          <w:rFonts w:ascii="Arial" w:cs="Arial" w:eastAsia="Arial" w:hAnsi="Arial"/>
          <w:sz w:val="21"/>
          <w:szCs w:val="21"/>
          <w:color w:val="auto"/>
        </w:rPr>
        <w:t>construed to give either Party the power or authority to act for, bind, or commit the other Party in any way. Nothing herein will be construed to create the relationship of partners, principal and agent, or joint-venture partners between the Parties.</w:t>
      </w:r>
    </w:p>
    <w:p>
      <w:pPr>
        <w:spacing w:after="0" w:line="160" w:lineRule="exact"/>
        <w:rPr>
          <w:sz w:val="20"/>
          <w:szCs w:val="20"/>
          <w:color w:val="auto"/>
        </w:rPr>
      </w:pPr>
    </w:p>
    <w:p>
      <w:pPr>
        <w:jc w:val="both"/>
        <w:ind w:left="860" w:hanging="849"/>
        <w:spacing w:after="0" w:line="274" w:lineRule="auto"/>
        <w:tabs>
          <w:tab w:leader="none" w:pos="840" w:val="left"/>
        </w:tabs>
        <w:rPr>
          <w:sz w:val="20"/>
          <w:szCs w:val="20"/>
          <w:color w:val="auto"/>
        </w:rPr>
      </w:pPr>
      <w:r>
        <w:rPr>
          <w:rFonts w:ascii="Arial" w:cs="Arial" w:eastAsia="Arial" w:hAnsi="Arial"/>
          <w:sz w:val="20"/>
          <w:szCs w:val="20"/>
          <w:color w:val="010000"/>
        </w:rPr>
        <w:t>15.13</w:t>
      </w:r>
      <w:r>
        <w:rPr>
          <w:sz w:val="20"/>
          <w:szCs w:val="20"/>
          <w:color w:val="auto"/>
        </w:rPr>
        <w:tab/>
      </w:r>
      <w:r>
        <w:rPr>
          <w:rFonts w:ascii="Arial" w:cs="Arial" w:eastAsia="Arial" w:hAnsi="Arial"/>
          <w:sz w:val="20"/>
          <w:szCs w:val="20"/>
          <w:b w:val="1"/>
          <w:bCs w:val="1"/>
          <w:color w:val="auto"/>
        </w:rPr>
        <w:t>Counterparts</w:t>
      </w:r>
      <w:r>
        <w:rPr>
          <w:rFonts w:ascii="Arial" w:cs="Arial" w:eastAsia="Arial" w:hAnsi="Arial"/>
          <w:sz w:val="21"/>
          <w:szCs w:val="21"/>
          <w:color w:val="auto"/>
        </w:rPr>
        <w:t>. This Agreement may be executed in one or more counterparts, each of which will be deemed an original,</w:t>
      </w:r>
      <w:r>
        <w:rPr>
          <w:rFonts w:ascii="Arial" w:cs="Arial" w:eastAsia="Arial" w:hAnsi="Arial"/>
          <w:sz w:val="20"/>
          <w:szCs w:val="20"/>
          <w:b w:val="1"/>
          <w:bCs w:val="1"/>
          <w:color w:val="auto"/>
        </w:rPr>
        <w:t xml:space="preserve"> </w:t>
      </w:r>
      <w:r>
        <w:rPr>
          <w:rFonts w:ascii="Arial" w:cs="Arial" w:eastAsia="Arial" w:hAnsi="Arial"/>
          <w:sz w:val="21"/>
          <w:szCs w:val="21"/>
          <w:color w:val="auto"/>
        </w:rPr>
        <w:t>but all of which together will constitute one and the same instrument.</w:t>
      </w:r>
    </w:p>
    <w:p>
      <w:pPr>
        <w:spacing w:after="0" w:line="137" w:lineRule="exact"/>
        <w:rPr>
          <w:sz w:val="20"/>
          <w:szCs w:val="20"/>
          <w:color w:val="auto"/>
        </w:rPr>
      </w:pPr>
    </w:p>
    <w:p>
      <w:pPr>
        <w:jc w:val="both"/>
        <w:ind w:left="860" w:hanging="849"/>
        <w:spacing w:after="0" w:line="274" w:lineRule="auto"/>
        <w:tabs>
          <w:tab w:leader="none" w:pos="840" w:val="left"/>
        </w:tabs>
        <w:rPr>
          <w:sz w:val="20"/>
          <w:szCs w:val="20"/>
          <w:color w:val="auto"/>
        </w:rPr>
      </w:pPr>
      <w:r>
        <w:rPr>
          <w:rFonts w:ascii="Arial" w:cs="Arial" w:eastAsia="Arial" w:hAnsi="Arial"/>
          <w:sz w:val="20"/>
          <w:szCs w:val="20"/>
          <w:color w:val="010000"/>
        </w:rPr>
        <w:t>15.14</w:t>
      </w:r>
      <w:r>
        <w:rPr>
          <w:sz w:val="20"/>
          <w:szCs w:val="20"/>
          <w:color w:val="auto"/>
        </w:rPr>
        <w:tab/>
      </w:r>
      <w:r>
        <w:rPr>
          <w:rFonts w:ascii="Arial" w:cs="Arial" w:eastAsia="Arial" w:hAnsi="Arial"/>
          <w:sz w:val="20"/>
          <w:szCs w:val="20"/>
          <w:b w:val="1"/>
          <w:bCs w:val="1"/>
          <w:color w:val="auto"/>
        </w:rPr>
        <w:t>Choice of Law</w:t>
      </w:r>
      <w:r>
        <w:rPr>
          <w:rFonts w:ascii="Arial" w:cs="Arial" w:eastAsia="Arial" w:hAnsi="Arial"/>
          <w:sz w:val="21"/>
          <w:szCs w:val="21"/>
          <w:color w:val="auto"/>
        </w:rPr>
        <w:t>. This Agreement will be governed by, and enforced and construed in accordance with, the laws of the</w:t>
      </w:r>
      <w:r>
        <w:rPr>
          <w:rFonts w:ascii="Arial" w:cs="Arial" w:eastAsia="Arial" w:hAnsi="Arial"/>
          <w:sz w:val="20"/>
          <w:szCs w:val="20"/>
          <w:b w:val="1"/>
          <w:bCs w:val="1"/>
          <w:color w:val="auto"/>
        </w:rPr>
        <w:t xml:space="preserve"> </w:t>
      </w:r>
      <w:r>
        <w:rPr>
          <w:rFonts w:ascii="Arial" w:cs="Arial" w:eastAsia="Arial" w:hAnsi="Arial"/>
          <w:sz w:val="21"/>
          <w:szCs w:val="21"/>
          <w:color w:val="auto"/>
        </w:rPr>
        <w:t>State of Delaware, without regard to its conflicts of law provisions.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119" w:lineRule="exact"/>
        <w:rPr>
          <w:sz w:val="20"/>
          <w:szCs w:val="20"/>
          <w:color w:val="auto"/>
        </w:rPr>
      </w:pPr>
    </w:p>
    <w:p>
      <w:pPr>
        <w:ind w:right="220" w:firstLine="8"/>
        <w:spacing w:after="0" w:line="277" w:lineRule="auto"/>
        <w:tabs>
          <w:tab w:leader="none" w:pos="255" w:val="left"/>
        </w:tabs>
        <w:numPr>
          <w:ilvl w:val="0"/>
          <w:numId w:val="229"/>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72" w:name="page173"/>
    <w:bookmarkEnd w:id="172"/>
    <w:p>
      <w:pPr>
        <w:ind w:left="8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by their duly authorized representatives as of the Effective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318" w:lineRule="exact"/>
        <w:rPr>
          <w:sz w:val="20"/>
          <w:szCs w:val="20"/>
          <w:color w:val="auto"/>
        </w:rPr>
      </w:pPr>
    </w:p>
    <w:p>
      <w:pPr>
        <w:spacing w:after="0"/>
        <w:tabs>
          <w:tab w:leader="none" w:pos="5600" w:val="left"/>
        </w:tabs>
        <w:rPr>
          <w:sz w:val="20"/>
          <w:szCs w:val="20"/>
          <w:color w:val="auto"/>
        </w:rPr>
      </w:pPr>
      <w:r>
        <w:rPr>
          <w:rFonts w:ascii="Arial" w:cs="Arial" w:eastAsia="Arial" w:hAnsi="Arial"/>
          <w:sz w:val="20"/>
          <w:szCs w:val="20"/>
          <w:b w:val="1"/>
          <w:bCs w:val="1"/>
          <w:color w:val="auto"/>
        </w:rPr>
        <w:t>HIFIBIO (HK) LIMITED (D.B.A. HIFIBIO THERAPEUTICS)</w:t>
        <w:tab/>
        <w:t>FIBROGEN, INC.</w:t>
      </w:r>
    </w:p>
    <w:p>
      <w:pPr>
        <w:sectPr>
          <w:pgSz w:w="11900" w:h="16838" w:orient="portrait"/>
          <w:cols w:equalWidth="0" w:num="1">
            <w:col w:w="11240"/>
          </w:cols>
          <w:pgMar w:left="320" w:top="5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By:/s/ Liang Schweizer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680"/>
        <w:spacing w:after="0"/>
        <w:rPr>
          <w:sz w:val="20"/>
          <w:szCs w:val="20"/>
          <w:color w:val="auto"/>
        </w:rPr>
      </w:pPr>
      <w:r>
        <w:rPr>
          <w:rFonts w:ascii="Arial" w:cs="Arial" w:eastAsia="Arial" w:hAnsi="Arial"/>
          <w:sz w:val="18"/>
          <w:szCs w:val="18"/>
          <w:color w:val="auto"/>
        </w:rPr>
        <w:t>By:/s/ Enrique Conterno</w:t>
      </w:r>
    </w:p>
    <w:p>
      <w:pPr>
        <w:spacing w:after="0" w:line="200" w:lineRule="exact"/>
        <w:rPr>
          <w:sz w:val="20"/>
          <w:szCs w:val="20"/>
          <w:color w:val="auto"/>
        </w:rPr>
      </w:pPr>
    </w:p>
    <w:p>
      <w:pPr>
        <w:sectPr>
          <w:pgSz w:w="11900" w:h="16838" w:orient="portrait"/>
          <w:cols w:equalWidth="0" w:num="2">
            <w:col w:w="4900" w:space="720"/>
            <w:col w:w="5620"/>
          </w:cols>
          <w:pgMar w:left="320" w:top="562"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Name:Liang Schweizer, Ph. 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Name:Enrique Conterno</w:t>
      </w:r>
    </w:p>
    <w:p>
      <w:pPr>
        <w:spacing w:after="0" w:line="222" w:lineRule="exact"/>
        <w:rPr>
          <w:sz w:val="20"/>
          <w:szCs w:val="20"/>
          <w:color w:val="auto"/>
        </w:rPr>
      </w:pPr>
    </w:p>
    <w:p>
      <w:pPr>
        <w:sectPr>
          <w:pgSz w:w="11900" w:h="16838" w:orient="portrait"/>
          <w:cols w:equalWidth="0" w:num="2">
            <w:col w:w="4900" w:space="720"/>
            <w:col w:w="5620"/>
          </w:cols>
          <w:pgMar w:left="320" w:top="562"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Title:Chief Executive Officer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Title:Chief Executive Officer</w:t>
      </w:r>
    </w:p>
    <w:p>
      <w:pPr>
        <w:spacing w:after="0" w:line="200" w:lineRule="exact"/>
        <w:rPr>
          <w:sz w:val="20"/>
          <w:szCs w:val="20"/>
          <w:color w:val="auto"/>
        </w:rPr>
      </w:pPr>
    </w:p>
    <w:p>
      <w:pPr>
        <w:sectPr>
          <w:pgSz w:w="11900" w:h="16838" w:orient="portrait"/>
          <w:cols w:equalWidth="0" w:num="2">
            <w:col w:w="4900" w:space="720"/>
            <w:col w:w="5620"/>
          </w:cols>
          <w:pgMar w:left="320" w:top="56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Exclusive License and Option Agreement]</w:t>
      </w:r>
    </w:p>
    <w:p>
      <w:pPr>
        <w:spacing w:after="0" w:line="131" w:lineRule="exact"/>
        <w:rPr>
          <w:sz w:val="20"/>
          <w:szCs w:val="20"/>
          <w:color w:val="auto"/>
        </w:rPr>
      </w:pPr>
    </w:p>
    <w:p>
      <w:pPr>
        <w:ind w:right="220" w:firstLine="8"/>
        <w:spacing w:after="0" w:line="277" w:lineRule="auto"/>
        <w:tabs>
          <w:tab w:leader="none" w:pos="255" w:val="left"/>
        </w:tabs>
        <w:numPr>
          <w:ilvl w:val="0"/>
          <w:numId w:val="230"/>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type w:val="continuous"/>
        </w:sectPr>
      </w:pPr>
    </w:p>
    <w:bookmarkStart w:id="173" w:name="page174"/>
    <w:bookmarkEnd w:id="173"/>
    <w:p>
      <w:pPr>
        <w:jc w:val="center"/>
        <w:ind w:right="-239"/>
        <w:spacing w:after="0"/>
        <w:rPr>
          <w:sz w:val="20"/>
          <w:szCs w:val="20"/>
          <w:color w:val="auto"/>
        </w:rPr>
      </w:pPr>
      <w:r>
        <w:rPr>
          <w:rFonts w:ascii="Arial" w:cs="Arial" w:eastAsia="Arial" w:hAnsi="Arial"/>
          <w:sz w:val="20"/>
          <w:szCs w:val="20"/>
          <w:b w:val="1"/>
          <w:bCs w:val="1"/>
          <w:color w:val="auto"/>
        </w:rPr>
        <w:t>SCHEDULE 1.87</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8"/>
        <w:spacing w:after="0" w:line="277" w:lineRule="auto"/>
        <w:tabs>
          <w:tab w:leader="none" w:pos="255" w:val="left"/>
        </w:tabs>
        <w:numPr>
          <w:ilvl w:val="0"/>
          <w:numId w:val="231"/>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174" w:name="page175"/>
    <w:bookmarkEnd w:id="174"/>
    <w:p>
      <w:pPr>
        <w:jc w:val="center"/>
        <w:ind w:right="-239"/>
        <w:spacing w:after="0"/>
        <w:rPr>
          <w:sz w:val="20"/>
          <w:szCs w:val="20"/>
          <w:color w:val="auto"/>
        </w:rPr>
      </w:pPr>
      <w:r>
        <w:rPr>
          <w:rFonts w:ascii="Arial" w:cs="Arial" w:eastAsia="Arial" w:hAnsi="Arial"/>
          <w:sz w:val="20"/>
          <w:szCs w:val="20"/>
          <w:b w:val="1"/>
          <w:bCs w:val="1"/>
          <w:color w:val="auto"/>
        </w:rPr>
        <w:t>SCHEDULE 1.89</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Licensed Patent Rights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8"/>
        <w:spacing w:after="0" w:line="277" w:lineRule="auto"/>
        <w:tabs>
          <w:tab w:leader="none" w:pos="255" w:val="left"/>
        </w:tabs>
        <w:numPr>
          <w:ilvl w:val="0"/>
          <w:numId w:val="232"/>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175" w:name="page176"/>
    <w:bookmarkEnd w:id="175"/>
    <w:p>
      <w:pPr>
        <w:jc w:val="center"/>
        <w:ind w:right="-231"/>
        <w:spacing w:after="0"/>
        <w:rPr>
          <w:sz w:val="20"/>
          <w:szCs w:val="20"/>
          <w:color w:val="auto"/>
        </w:rPr>
      </w:pPr>
      <w:r>
        <w:rPr>
          <w:rFonts w:ascii="Arial" w:cs="Arial" w:eastAsia="Arial" w:hAnsi="Arial"/>
          <w:sz w:val="20"/>
          <w:szCs w:val="20"/>
          <w:b w:val="1"/>
          <w:bCs w:val="1"/>
          <w:color w:val="auto"/>
        </w:rPr>
        <w:t>SCHEDULE 1.101</w:t>
      </w:r>
    </w:p>
    <w:p>
      <w:pPr>
        <w:spacing w:after="0" w:line="108" w:lineRule="exact"/>
        <w:rPr>
          <w:sz w:val="20"/>
          <w:szCs w:val="20"/>
          <w:color w:val="auto"/>
        </w:rPr>
      </w:pPr>
    </w:p>
    <w:p>
      <w:pPr>
        <w:jc w:val="center"/>
        <w:ind w:right="-231"/>
        <w:spacing w:after="0"/>
        <w:rPr>
          <w:sz w:val="20"/>
          <w:szCs w:val="20"/>
          <w:color w:val="auto"/>
        </w:rPr>
      </w:pPr>
      <w:r>
        <w:rPr>
          <w:rFonts w:ascii="Arial" w:cs="Arial" w:eastAsia="Arial" w:hAnsi="Arial"/>
          <w:sz w:val="20"/>
          <w:szCs w:val="20"/>
          <w:b w:val="1"/>
          <w:bCs w:val="1"/>
          <w:color w:val="auto"/>
        </w:rPr>
        <w:t>Option Data Package</w:t>
      </w:r>
    </w:p>
    <w:p>
      <w:pPr>
        <w:spacing w:after="0" w:line="232" w:lineRule="exact"/>
        <w:rPr>
          <w:sz w:val="20"/>
          <w:szCs w:val="20"/>
          <w:color w:val="auto"/>
        </w:rPr>
      </w:pPr>
    </w:p>
    <w:p>
      <w:pPr>
        <w:ind w:left="612" w:hanging="302"/>
        <w:spacing w:after="0"/>
        <w:tabs>
          <w:tab w:leader="none" w:pos="612" w:val="left"/>
        </w:tabs>
        <w:numPr>
          <w:ilvl w:val="1"/>
          <w:numId w:val="233"/>
        </w:numPr>
        <w:rPr>
          <w:rFonts w:ascii="Arial" w:cs="Arial" w:eastAsia="Arial" w:hAnsi="Arial"/>
          <w:sz w:val="22"/>
          <w:szCs w:val="22"/>
          <w:color w:val="auto"/>
        </w:rPr>
      </w:pPr>
      <w:r>
        <w:rPr>
          <w:rFonts w:ascii="Arial" w:cs="Arial" w:eastAsia="Arial" w:hAnsi="Arial"/>
          <w:sz w:val="20"/>
          <w:szCs w:val="20"/>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4" w:lineRule="exact"/>
        <w:rPr>
          <w:rFonts w:ascii="Arial" w:cs="Arial" w:eastAsia="Arial" w:hAnsi="Arial"/>
          <w:sz w:val="22"/>
          <w:szCs w:val="22"/>
          <w:color w:val="auto"/>
        </w:rPr>
      </w:pPr>
    </w:p>
    <w:p>
      <w:pPr>
        <w:ind w:left="-8" w:firstLine="8"/>
        <w:spacing w:after="0" w:line="277" w:lineRule="auto"/>
        <w:tabs>
          <w:tab w:leader="none" w:pos="247" w:val="left"/>
        </w:tabs>
        <w:numPr>
          <w:ilvl w:val="0"/>
          <w:numId w:val="233"/>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12"/>
          </w:cols>
          <w:pgMar w:left="328" w:top="549" w:right="559" w:bottom="1440" w:gutter="0" w:footer="0" w:header="0"/>
        </w:sectPr>
      </w:pPr>
    </w:p>
    <w:bookmarkStart w:id="176" w:name="page177"/>
    <w:bookmarkEnd w:id="176"/>
    <w:p>
      <w:pPr>
        <w:ind w:left="3980"/>
        <w:spacing w:after="0"/>
        <w:rPr>
          <w:sz w:val="20"/>
          <w:szCs w:val="20"/>
          <w:color w:val="auto"/>
        </w:rPr>
      </w:pPr>
      <w:r>
        <w:rPr>
          <w:rFonts w:ascii="Arial" w:cs="Arial" w:eastAsia="Arial" w:hAnsi="Arial"/>
          <w:sz w:val="22"/>
          <w:szCs w:val="22"/>
          <w:b w:val="1"/>
          <w:bCs w:val="1"/>
          <w:color w:val="auto"/>
        </w:rPr>
        <w:t>Option Package for Replacement Program</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To be determined by the parties in reasonable. </w:t>
      </w:r>
      <w:r>
        <w:rPr>
          <w:rFonts w:ascii="Arial" w:cs="Arial" w:eastAsia="Arial" w:hAnsi="Arial"/>
          <w:sz w:val="19"/>
          <w:szCs w:val="19"/>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8"/>
        <w:spacing w:after="0" w:line="277" w:lineRule="auto"/>
        <w:tabs>
          <w:tab w:leader="none" w:pos="255" w:val="left"/>
        </w:tabs>
        <w:numPr>
          <w:ilvl w:val="0"/>
          <w:numId w:val="234"/>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544" w:right="559" w:bottom="1440" w:gutter="0" w:footer="0" w:header="0"/>
        </w:sectPr>
      </w:pPr>
    </w:p>
    <w:bookmarkStart w:id="177" w:name="page178"/>
    <w:bookmarkEnd w:id="177"/>
    <w:p>
      <w:pPr>
        <w:jc w:val="center"/>
        <w:ind w:right="-239"/>
        <w:spacing w:after="0"/>
        <w:rPr>
          <w:sz w:val="20"/>
          <w:szCs w:val="20"/>
          <w:color w:val="auto"/>
        </w:rPr>
      </w:pPr>
      <w:r>
        <w:rPr>
          <w:rFonts w:ascii="Arial" w:cs="Arial" w:eastAsia="Arial" w:hAnsi="Arial"/>
          <w:sz w:val="20"/>
          <w:szCs w:val="20"/>
          <w:b w:val="1"/>
          <w:bCs w:val="1"/>
          <w:color w:val="auto"/>
        </w:rPr>
        <w:t>SCHEDULE 2.7(a)</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Initial Technology Transfer</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8"/>
        <w:spacing w:after="0" w:line="277" w:lineRule="auto"/>
        <w:tabs>
          <w:tab w:leader="none" w:pos="255" w:val="left"/>
        </w:tabs>
        <w:numPr>
          <w:ilvl w:val="0"/>
          <w:numId w:val="235"/>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178" w:name="page179"/>
    <w:bookmarkEnd w:id="178"/>
    <w:p>
      <w:pPr>
        <w:jc w:val="center"/>
        <w:ind w:right="-239"/>
        <w:spacing w:after="0"/>
        <w:rPr>
          <w:sz w:val="20"/>
          <w:szCs w:val="20"/>
          <w:color w:val="auto"/>
        </w:rPr>
      </w:pPr>
      <w:r>
        <w:rPr>
          <w:rFonts w:ascii="Arial" w:cs="Arial" w:eastAsia="Arial" w:hAnsi="Arial"/>
          <w:sz w:val="20"/>
          <w:szCs w:val="20"/>
          <w:b w:val="1"/>
          <w:bCs w:val="1"/>
          <w:color w:val="auto"/>
        </w:rPr>
        <w:t>SCHEDULE 4.1</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Development Plan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8"/>
        <w:spacing w:after="0" w:line="277" w:lineRule="auto"/>
        <w:tabs>
          <w:tab w:leader="none" w:pos="255" w:val="left"/>
        </w:tabs>
        <w:numPr>
          <w:ilvl w:val="0"/>
          <w:numId w:val="236"/>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179" w:name="page180"/>
    <w:bookmarkEnd w:id="179"/>
    <w:p>
      <w:pPr>
        <w:jc w:val="center"/>
        <w:ind w:right="-239"/>
        <w:spacing w:after="0"/>
        <w:rPr>
          <w:sz w:val="20"/>
          <w:szCs w:val="20"/>
          <w:color w:val="auto"/>
        </w:rPr>
      </w:pPr>
      <w:r>
        <w:rPr>
          <w:rFonts w:ascii="Arial" w:cs="Arial" w:eastAsia="Arial" w:hAnsi="Arial"/>
          <w:sz w:val="20"/>
          <w:szCs w:val="20"/>
          <w:b w:val="1"/>
          <w:bCs w:val="1"/>
          <w:color w:val="auto"/>
        </w:rPr>
        <w:t>SCHEDULE 4.2</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Work Plans</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8"/>
        <w:spacing w:after="0" w:line="277" w:lineRule="auto"/>
        <w:tabs>
          <w:tab w:leader="none" w:pos="255" w:val="left"/>
        </w:tabs>
        <w:numPr>
          <w:ilvl w:val="0"/>
          <w:numId w:val="237"/>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180" w:name="page181"/>
    <w:bookmarkEnd w:id="180"/>
    <w:p>
      <w:pPr>
        <w:jc w:val="center"/>
        <w:ind w:right="-231"/>
        <w:spacing w:after="0"/>
        <w:rPr>
          <w:sz w:val="20"/>
          <w:szCs w:val="20"/>
          <w:color w:val="auto"/>
        </w:rPr>
      </w:pPr>
      <w:r>
        <w:rPr>
          <w:rFonts w:ascii="Arial" w:cs="Arial" w:eastAsia="Arial" w:hAnsi="Arial"/>
          <w:sz w:val="20"/>
          <w:szCs w:val="20"/>
          <w:b w:val="1"/>
          <w:bCs w:val="1"/>
          <w:color w:val="auto"/>
        </w:rPr>
        <w:t>SCHEDULE 10.2</w:t>
      </w:r>
    </w:p>
    <w:p>
      <w:pPr>
        <w:spacing w:after="0" w:line="108" w:lineRule="exact"/>
        <w:rPr>
          <w:sz w:val="20"/>
          <w:szCs w:val="20"/>
          <w:color w:val="auto"/>
        </w:rPr>
      </w:pPr>
    </w:p>
    <w:p>
      <w:pPr>
        <w:jc w:val="center"/>
        <w:ind w:right="-231"/>
        <w:spacing w:after="0"/>
        <w:rPr>
          <w:sz w:val="20"/>
          <w:szCs w:val="20"/>
          <w:color w:val="auto"/>
        </w:rPr>
      </w:pPr>
      <w:r>
        <w:rPr>
          <w:rFonts w:ascii="Arial" w:cs="Arial" w:eastAsia="Arial" w:hAnsi="Arial"/>
          <w:sz w:val="20"/>
          <w:szCs w:val="20"/>
          <w:b w:val="1"/>
          <w:bCs w:val="1"/>
          <w:color w:val="auto"/>
        </w:rPr>
        <w:t>Disclosure Schedule</w:t>
      </w:r>
    </w:p>
    <w:p>
      <w:pPr>
        <w:spacing w:after="0" w:line="200" w:lineRule="exact"/>
        <w:rPr>
          <w:sz w:val="20"/>
          <w:szCs w:val="20"/>
          <w:color w:val="auto"/>
        </w:rPr>
      </w:pPr>
    </w:p>
    <w:p>
      <w:pPr>
        <w:spacing w:after="0" w:line="251" w:lineRule="exact"/>
        <w:rPr>
          <w:sz w:val="20"/>
          <w:szCs w:val="20"/>
          <w:color w:val="auto"/>
        </w:rPr>
      </w:pPr>
    </w:p>
    <w:p>
      <w:pPr>
        <w:ind w:left="872" w:hanging="440"/>
        <w:spacing w:after="0"/>
        <w:tabs>
          <w:tab w:leader="none" w:pos="872" w:val="left"/>
        </w:tabs>
        <w:numPr>
          <w:ilvl w:val="1"/>
          <w:numId w:val="238"/>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6" w:lineRule="exact"/>
        <w:rPr>
          <w:rFonts w:ascii="Arial" w:cs="Arial" w:eastAsia="Arial" w:hAnsi="Arial"/>
          <w:sz w:val="20"/>
          <w:szCs w:val="20"/>
          <w:color w:val="auto"/>
        </w:rPr>
      </w:pPr>
    </w:p>
    <w:p>
      <w:pPr>
        <w:ind w:left="-8" w:firstLine="8"/>
        <w:spacing w:after="0" w:line="277" w:lineRule="auto"/>
        <w:tabs>
          <w:tab w:leader="none" w:pos="247" w:val="left"/>
        </w:tabs>
        <w:numPr>
          <w:ilvl w:val="0"/>
          <w:numId w:val="238"/>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12"/>
          </w:cols>
          <w:pgMar w:left="328" w:top="576" w:right="559" w:bottom="1440" w:gutter="0" w:footer="0" w:header="0"/>
        </w:sectPr>
      </w:pPr>
    </w:p>
    <w:bookmarkStart w:id="181" w:name="page182"/>
    <w:bookmarkEnd w:id="181"/>
    <w:p>
      <w:pPr>
        <w:jc w:val="center"/>
        <w:ind w:right="-239"/>
        <w:spacing w:after="0"/>
        <w:rPr>
          <w:sz w:val="20"/>
          <w:szCs w:val="20"/>
          <w:color w:val="auto"/>
        </w:rPr>
      </w:pPr>
      <w:r>
        <w:rPr>
          <w:rFonts w:ascii="Arial" w:cs="Arial" w:eastAsia="Arial" w:hAnsi="Arial"/>
          <w:sz w:val="20"/>
          <w:szCs w:val="20"/>
          <w:b w:val="1"/>
          <w:bCs w:val="1"/>
          <w:color w:val="auto"/>
        </w:rPr>
        <w:t>SCHEDULE 10.3(e)</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Negative Events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8"/>
        <w:spacing w:after="0" w:line="277" w:lineRule="auto"/>
        <w:tabs>
          <w:tab w:leader="none" w:pos="255" w:val="left"/>
        </w:tabs>
        <w:numPr>
          <w:ilvl w:val="0"/>
          <w:numId w:val="239"/>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182" w:name="page183"/>
    <w:bookmarkEnd w:id="182"/>
    <w:p>
      <w:pPr>
        <w:ind w:left="4780"/>
        <w:spacing w:after="0"/>
        <w:rPr>
          <w:sz w:val="20"/>
          <w:szCs w:val="20"/>
          <w:color w:val="auto"/>
        </w:rPr>
      </w:pPr>
      <w:r>
        <w:rPr>
          <w:rFonts w:ascii="Arial" w:cs="Arial" w:eastAsia="Arial" w:hAnsi="Arial"/>
          <w:sz w:val="20"/>
          <w:szCs w:val="20"/>
          <w:b w:val="1"/>
          <w:bCs w:val="1"/>
          <w:color w:val="auto"/>
        </w:rPr>
        <w:t>SCHEDULE 12.2(c)</w:t>
      </w:r>
    </w:p>
    <w:p>
      <w:pPr>
        <w:spacing w:after="0" w:line="108"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Initial Press Release</w:t>
      </w: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FibroGen and HiFiBiO Announce Transformative Partnership to</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Advance Next-Generation Therapies for Patients with Cancer and Autoimmune Disease</w:t>
      </w:r>
    </w:p>
    <w:p>
      <w:pPr>
        <w:spacing w:after="0" w:line="199" w:lineRule="exact"/>
        <w:rPr>
          <w:sz w:val="20"/>
          <w:szCs w:val="20"/>
          <w:color w:val="auto"/>
        </w:rPr>
      </w:pPr>
    </w:p>
    <w:p>
      <w:pPr>
        <w:ind w:left="880" w:right="200" w:hanging="440"/>
        <w:spacing w:after="0" w:line="226" w:lineRule="auto"/>
        <w:tabs>
          <w:tab w:leader="none" w:pos="880" w:val="left"/>
        </w:tabs>
        <w:numPr>
          <w:ilvl w:val="0"/>
          <w:numId w:val="240"/>
        </w:numPr>
        <w:rPr>
          <w:rFonts w:ascii="Arial" w:cs="Arial" w:eastAsia="Arial" w:hAnsi="Arial"/>
          <w:sz w:val="22"/>
          <w:szCs w:val="22"/>
          <w:color w:val="auto"/>
        </w:rPr>
      </w:pPr>
      <w:r>
        <w:rPr>
          <w:rFonts w:ascii="Arial" w:cs="Arial" w:eastAsia="Arial" w:hAnsi="Arial"/>
          <w:sz w:val="22"/>
          <w:szCs w:val="22"/>
          <w:i w:val="1"/>
          <w:iCs w:val="1"/>
          <w:color w:val="auto"/>
        </w:rPr>
        <w:t>FibroGen Exclusively Licenses HiFiBiO’s Galectin-9 Program, and Obtains an Exclusive Option to their CXCR5 and CCR8 Programs</w:t>
      </w:r>
    </w:p>
    <w:p>
      <w:pPr>
        <w:ind w:left="880" w:hanging="440"/>
        <w:spacing w:after="0" w:line="217" w:lineRule="auto"/>
        <w:tabs>
          <w:tab w:leader="none" w:pos="880" w:val="left"/>
        </w:tabs>
        <w:numPr>
          <w:ilvl w:val="0"/>
          <w:numId w:val="240"/>
        </w:numPr>
        <w:rPr>
          <w:rFonts w:ascii="Arial" w:cs="Arial" w:eastAsia="Arial" w:hAnsi="Arial"/>
          <w:sz w:val="22"/>
          <w:szCs w:val="22"/>
          <w:color w:val="auto"/>
        </w:rPr>
      </w:pPr>
      <w:r>
        <w:rPr>
          <w:rFonts w:ascii="Arial" w:cs="Arial" w:eastAsia="Arial" w:hAnsi="Arial"/>
          <w:sz w:val="22"/>
          <w:szCs w:val="22"/>
          <w:i w:val="1"/>
          <w:iCs w:val="1"/>
          <w:color w:val="auto"/>
        </w:rPr>
        <w:t>Transformative Transaction for FibroGen’s Early-stage Pipeline</w:t>
      </w:r>
    </w:p>
    <w:p>
      <w:pPr>
        <w:ind w:left="880" w:right="520" w:hanging="440"/>
        <w:spacing w:after="0" w:line="230" w:lineRule="auto"/>
        <w:tabs>
          <w:tab w:leader="none" w:pos="880" w:val="left"/>
        </w:tabs>
        <w:numPr>
          <w:ilvl w:val="0"/>
          <w:numId w:val="240"/>
        </w:numPr>
        <w:rPr>
          <w:rFonts w:ascii="Arial" w:cs="Arial" w:eastAsia="Arial" w:hAnsi="Arial"/>
          <w:sz w:val="22"/>
          <w:szCs w:val="22"/>
          <w:color w:val="auto"/>
        </w:rPr>
      </w:pPr>
      <w:r>
        <w:rPr>
          <w:rFonts w:ascii="Arial" w:cs="Arial" w:eastAsia="Arial" w:hAnsi="Arial"/>
          <w:sz w:val="22"/>
          <w:szCs w:val="22"/>
          <w:i w:val="1"/>
          <w:iCs w:val="1"/>
          <w:color w:val="auto"/>
        </w:rPr>
        <w:t>HiFiBiO to Receive $25 Million Upfront, and Up to a Total of $1.1B in Additional Milestone Payments Across All Three Programs, Plus Royalties</w:t>
      </w:r>
    </w:p>
    <w:p>
      <w:pPr>
        <w:spacing w:after="0" w:line="172"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SAN FRANCISCO, CA and CAMBRIDGE, MA, June 17, 2021 (GLOBE NEWSWIRE) – FibroGen, Inc. (Nasdaq: FGEN) and HiFiBiO Therapeutics, a private, multinational clinical-stage biotherapeutics company with expertise in immune modulation and single cell science announced a partnership covering three HiFiBiO programs.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“We are very pleased to add the HiFiBiO drug candidates to our pre-clinical development pipeline,” said Enrique Conterno, Chief Executive Officer, FibroGen. “With the addition of up to three programs in the immuno-oncology and autoimmune space, we have the potential to transform our early development pipeline.”</w:t>
      </w:r>
    </w:p>
    <w:p>
      <w:pPr>
        <w:spacing w:after="0" w:line="186"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“The FibroGen partnership represents significant validation of our Drug Intelligent Science (DIS™) approach and deep expertise in disease biology and translation science,” said Liang Schweizer, Ph.D., Chief Executive Officer, HiFiBiO. “As another successful showcase of our open innovation approach, we look forward to working closely with FibroGen, an exciting, growing biopharmaceutical company.”</w:t>
      </w:r>
    </w:p>
    <w:p>
      <w:pPr>
        <w:spacing w:after="0" w:line="185"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Under the terms of the agreement, FibroGen will make a $25 million upfront payment to HiFiBiO, as well as payments upon option exercise. In addition, HiFiBiO may receive up to a total of an additional $1.1B in future option, clinical, regulatory, and commercial milestone payments across all three programs. HiFiBiO will also be eligible to receive royalties based upon worldwide net sales.</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FibroGen exclusively licensed all products in the Galectin-9 program and will have sole right to develop them worldwide. The lead product candidate in the Galectin-9 program is expected to enter clinical development in the first quarter of 2023. FibroGen has also obtained exclusive options to license all product candidates in HiFiBiO’s CXCR5 and CCR8 programs. Each option may be independently exercised following delivery of program-specific data to be generated by HiFiBiO. If an option is exercised, FibroGen will have the sole right to develop products from that program worldwide. The lead product candidates from the CXCR5 and CCR8 programs are expected to enter clinical development by the middle of 2023.</w:t>
      </w:r>
    </w:p>
    <w:p>
      <w:pPr>
        <w:spacing w:after="0" w:line="200" w:lineRule="exact"/>
        <w:rPr>
          <w:sz w:val="20"/>
          <w:szCs w:val="20"/>
          <w:color w:val="auto"/>
        </w:rPr>
      </w:pPr>
    </w:p>
    <w:p>
      <w:pPr>
        <w:spacing w:after="0" w:line="295" w:lineRule="exact"/>
        <w:rPr>
          <w:sz w:val="20"/>
          <w:szCs w:val="20"/>
          <w:color w:val="auto"/>
        </w:rPr>
      </w:pPr>
    </w:p>
    <w:p>
      <w:pPr>
        <w:ind w:right="220" w:firstLine="8"/>
        <w:spacing w:after="0" w:line="277" w:lineRule="auto"/>
        <w:tabs>
          <w:tab w:leader="none" w:pos="255" w:val="left"/>
        </w:tabs>
        <w:numPr>
          <w:ilvl w:val="0"/>
          <w:numId w:val="241"/>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3" w:name="page184"/>
    <w:bookmarkEnd w:id="183"/>
    <w:p>
      <w:pPr>
        <w:spacing w:after="0" w:line="277" w:lineRule="auto"/>
        <w:rPr>
          <w:sz w:val="20"/>
          <w:szCs w:val="20"/>
          <w:color w:val="auto"/>
        </w:rPr>
      </w:pPr>
      <w:r>
        <w:rPr>
          <w:rFonts w:ascii="Arial" w:cs="Arial" w:eastAsia="Arial" w:hAnsi="Arial"/>
          <w:sz w:val="19"/>
          <w:szCs w:val="19"/>
          <w:color w:val="auto"/>
        </w:rPr>
        <w:t>“We look forward to a productive partnership with HiFiBiO, a leader in the field of single-cell science for antibody discovery and translational medicine,” said Mark Eisner, M.D, M.P.H, Chief Medical Officer, FibroGen. “We are excited to bring the Galectin-9 antibody program into the FibroGen portfolio. As Galectin 9 plays a role in suppressing the anti-tumor immune response in both myeloid malignancies and solid tumors, we believe this antibody candidate from HiFiBiO can advance the treatment of cancer in combination with chemotherapy or other immuno-oncology agents. The exclusive option to access projects directed to CXCR5 and CCR8 provides additional opportunities to expand our therapeutic area focus on oncology and immunology. These are both important biological targets playing clear roles in autoimmune disease and cancer.”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FibroGen</w:t>
      </w:r>
    </w:p>
    <w:p>
      <w:pPr>
        <w:spacing w:after="0" w:line="14"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FibroGen, Inc. is a biopharmaceutical company committed to discovering, developing, and commercializing a pipeline of first-in-class therapeutics. The Company applies its pioneering expertise in hypoxia-inducible factor (HIF) and connective tissue growth factor (CTGF) biology to advance innovative medicines for the treatment of unmet needs. The Company is currently developing and commercializing roxadustat, an oral small molecule inhibitor of HIF prolyl hydroxylase activity, for anemia associated with chronic kidney disease (CKD). Roxadustat is also in clinical development for anemia associated with myelodysplastic syndromes (MDS) and for chemotherapy-induced anemia (CIA). Pamrevlumab, an anti-CTGF human monoclonal antibody, is in clinical development for the treatment of locally advanced unresectable pancreatic cancer (LAPC), Duchenne muscular dystrophy (DMD), and idiopathic pulmonary fibrosis (IPF). For more information, please visit www.fibrogen.com.</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HiFiBiO Therapeutics</w:t>
      </w:r>
    </w:p>
    <w:p>
      <w:pPr>
        <w:spacing w:after="0" w:line="14"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HiFiBiO Therapeutics is transforming the field of immunotherapy by combining proprietary single-cell profiling technologies with advanced data intelligence and deep knowledge of immune system biology. This approach enables the development of novel antibody therapies that are paired with biomarkers to predict patient response. HiFiBiO Therapeutics is working actively to address unmet medical needs around the world through its own innovative pipeline programs and open-innovation partnerships with world-renowned industry and academic researchers. The company’s strong global footprint features cutting-edge laboratories on three continents, in Cambridge, Mass., Paris, Shanghai, and Hong Kong. To learn more, please visit www.hifibio.com.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This release contains forward-looking statements regarding our strategy, future plans and prospects, including statements regarding the development and commercialization of the company’s product candidates, the potential safety and efficacy profile of our product candidates, our clinical programs and regulatory events, and those of our partners. These forward-looking statements include, but are not limited to, statements about our plans, objectives, representations and contentions and are not historical facts and typically are identified by use of terms such as “may,” “will”, “should,” “on track,” “could,” “expect,” “plan,” “anticipate,” “believe,” “estimate,” “predict,” “potential,” “continue” and similar words, although some forward-looking statements are expressed differently. Our actual results may differ materially from those indicated in these forward-looking statements due to risks and</w:t>
      </w:r>
    </w:p>
    <w:p>
      <w:pPr>
        <w:spacing w:after="0" w:line="314" w:lineRule="exact"/>
        <w:rPr>
          <w:sz w:val="20"/>
          <w:szCs w:val="20"/>
          <w:color w:val="auto"/>
        </w:rPr>
      </w:pPr>
    </w:p>
    <w:p>
      <w:pPr>
        <w:ind w:right="200" w:firstLine="8"/>
        <w:spacing w:after="0" w:line="277" w:lineRule="auto"/>
        <w:tabs>
          <w:tab w:leader="none" w:pos="255" w:val="left"/>
        </w:tabs>
        <w:numPr>
          <w:ilvl w:val="0"/>
          <w:numId w:val="242"/>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84" w:name="page185"/>
    <w:bookmarkEnd w:id="184"/>
    <w:p>
      <w:pPr>
        <w:spacing w:after="0" w:line="279" w:lineRule="auto"/>
        <w:rPr>
          <w:sz w:val="20"/>
          <w:szCs w:val="20"/>
          <w:color w:val="auto"/>
        </w:rPr>
      </w:pPr>
      <w:r>
        <w:rPr>
          <w:rFonts w:ascii="Arial" w:cs="Arial" w:eastAsia="Arial" w:hAnsi="Arial"/>
          <w:sz w:val="19"/>
          <w:szCs w:val="19"/>
          <w:color w:val="auto"/>
        </w:rPr>
        <w:t>uncertainties related to the continued progress and timing of our various programs, including the enrollment and results from ongoing and potential future clinical trials, and other matters that are described in our Annual Report on Form 10-K for the fiscal year ended December 31, 2020 and our Quarterly Report on Form 10-Q for quarter ended March 31, 2021 filed with the Securities and Exchange Commission (SEC), including the risk factors set forth therein. Investors are cautioned not to place undue reliance on these forward-looking statements, which speak only as of the date of this release, and we undertake no obligation to update any forward-looking statement in this press release, except as required by law.</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FibroGen, Inc.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Michael Tung, M.D.</w:t>
      </w:r>
    </w:p>
    <w:p>
      <w:pPr>
        <w:spacing w:after="0" w:line="230" w:lineRule="auto"/>
        <w:rPr>
          <w:sz w:val="20"/>
          <w:szCs w:val="20"/>
          <w:color w:val="auto"/>
        </w:rPr>
      </w:pPr>
      <w:r>
        <w:rPr>
          <w:rFonts w:ascii="Arial" w:cs="Arial" w:eastAsia="Arial" w:hAnsi="Arial"/>
          <w:sz w:val="22"/>
          <w:szCs w:val="22"/>
          <w:color w:val="auto"/>
        </w:rPr>
        <w:t>Corporate Strategy / Investor Relations</w:t>
      </w:r>
    </w:p>
    <w:p>
      <w:pPr>
        <w:spacing w:after="0" w:line="231" w:lineRule="auto"/>
        <w:rPr>
          <w:sz w:val="20"/>
          <w:szCs w:val="20"/>
          <w:color w:val="auto"/>
        </w:rPr>
      </w:pPr>
      <w:r>
        <w:rPr>
          <w:rFonts w:ascii="Arial" w:cs="Arial" w:eastAsia="Arial" w:hAnsi="Arial"/>
          <w:sz w:val="22"/>
          <w:szCs w:val="22"/>
          <w:color w:val="auto"/>
        </w:rPr>
        <w:t>415.978.1434</w:t>
      </w:r>
    </w:p>
    <w:p>
      <w:pPr>
        <w:spacing w:after="0"/>
        <w:rPr>
          <w:sz w:val="20"/>
          <w:szCs w:val="20"/>
          <w:color w:val="auto"/>
        </w:rPr>
      </w:pPr>
      <w:r>
        <w:rPr>
          <w:rFonts w:ascii="Arial" w:cs="Arial" w:eastAsia="Arial" w:hAnsi="Arial"/>
          <w:sz w:val="22"/>
          <w:szCs w:val="22"/>
          <w:color w:val="auto"/>
        </w:rPr>
        <w:t>mtung@fibrogen.com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GCI Health</w:t>
      </w:r>
    </w:p>
    <w:p>
      <w:pPr>
        <w:spacing w:after="0"/>
        <w:rPr>
          <w:sz w:val="20"/>
          <w:szCs w:val="20"/>
          <w:color w:val="auto"/>
        </w:rPr>
      </w:pPr>
      <w:r>
        <w:rPr>
          <w:rFonts w:ascii="Arial" w:cs="Arial" w:eastAsia="Arial" w:hAnsi="Arial"/>
          <w:sz w:val="22"/>
          <w:szCs w:val="22"/>
          <w:color w:val="auto"/>
        </w:rPr>
        <w:t>FibroGenMedia@gcihealth.com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HiFiBiO Therapeutics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Vincent Tse</w:t>
      </w:r>
    </w:p>
    <w:p>
      <w:pPr>
        <w:spacing w:after="0" w:line="230" w:lineRule="auto"/>
        <w:rPr>
          <w:sz w:val="20"/>
          <w:szCs w:val="20"/>
          <w:color w:val="auto"/>
        </w:rPr>
      </w:pPr>
      <w:r>
        <w:rPr>
          <w:rFonts w:ascii="Arial" w:cs="Arial" w:eastAsia="Arial" w:hAnsi="Arial"/>
          <w:sz w:val="22"/>
          <w:szCs w:val="22"/>
          <w:color w:val="auto"/>
        </w:rPr>
        <w:t>617.395.1212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media@hifibio.com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Vincent Tse</w:t>
      </w:r>
    </w:p>
    <w:p>
      <w:pPr>
        <w:spacing w:after="0" w:line="230" w:lineRule="auto"/>
        <w:rPr>
          <w:sz w:val="20"/>
          <w:szCs w:val="20"/>
          <w:color w:val="auto"/>
        </w:rPr>
      </w:pPr>
      <w:r>
        <w:rPr>
          <w:rFonts w:ascii="Arial" w:cs="Arial" w:eastAsia="Arial" w:hAnsi="Arial"/>
          <w:sz w:val="22"/>
          <w:szCs w:val="22"/>
          <w:color w:val="auto"/>
        </w:rPr>
        <w:t>617.395.1212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media@hifibio.com</w:t>
      </w:r>
    </w:p>
    <w:p>
      <w:pPr>
        <w:spacing w:after="0" w:line="200" w:lineRule="exact"/>
        <w:rPr>
          <w:sz w:val="20"/>
          <w:szCs w:val="20"/>
          <w:color w:val="auto"/>
        </w:rPr>
      </w:pPr>
    </w:p>
    <w:p>
      <w:pPr>
        <w:spacing w:after="0" w:line="333" w:lineRule="exact"/>
        <w:rPr>
          <w:sz w:val="20"/>
          <w:szCs w:val="20"/>
          <w:color w:val="auto"/>
        </w:rPr>
      </w:pPr>
    </w:p>
    <w:p>
      <w:pPr>
        <w:ind w:right="140" w:firstLine="8"/>
        <w:spacing w:after="0" w:line="277" w:lineRule="auto"/>
        <w:tabs>
          <w:tab w:leader="none" w:pos="255" w:val="left"/>
        </w:tabs>
        <w:numPr>
          <w:ilvl w:val="0"/>
          <w:numId w:val="243"/>
        </w:numPr>
        <w:rPr>
          <w:rFonts w:ascii="Arial" w:cs="Arial" w:eastAsia="Arial" w:hAnsi="Arial"/>
          <w:sz w:val="18"/>
          <w:szCs w:val="18"/>
          <w:color w:val="auto"/>
          <w:highlight w:val="yellow"/>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ectPr>
          <w:pgSz w:w="11900" w:h="16838" w:orient="portrait"/>
          <w:cols w:equalWidth="0" w:num="1">
            <w:col w:w="11160"/>
          </w:cols>
          <w:pgMar w:left="320" w:top="361" w:right="41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21.1</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40" w:type="dxa"/>
            <w:vAlign w:val="bottom"/>
          </w:tcPr>
          <w:p>
            <w:pPr>
              <w:spacing w:after="0"/>
              <w:rPr>
                <w:sz w:val="23"/>
                <w:szCs w:val="23"/>
                <w:color w:val="auto"/>
              </w:rPr>
            </w:pPr>
          </w:p>
        </w:tc>
        <w:tc>
          <w:tcPr>
            <w:tcW w:w="7080" w:type="dxa"/>
            <w:vAlign w:val="bottom"/>
          </w:tcPr>
          <w:p>
            <w:pPr>
              <w:ind w:left="2860"/>
              <w:spacing w:after="0"/>
              <w:rPr>
                <w:sz w:val="20"/>
                <w:szCs w:val="20"/>
                <w:color w:val="auto"/>
              </w:rPr>
            </w:pPr>
            <w:r>
              <w:rPr>
                <w:rFonts w:ascii="Arial" w:cs="Arial" w:eastAsia="Arial" w:hAnsi="Arial"/>
                <w:sz w:val="22"/>
                <w:szCs w:val="22"/>
                <w:color w:val="auto"/>
              </w:rPr>
              <w:t>List of Subsidiaries of FibroGen, Inc.</w:t>
            </w: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17"/>
        </w:trPr>
        <w:tc>
          <w:tcPr>
            <w:tcW w:w="11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5"/>
              </w:rPr>
              <w:t>Subsidiaries</w:t>
            </w:r>
          </w:p>
        </w:tc>
        <w:tc>
          <w:tcPr>
            <w:tcW w:w="708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0"/>
              </w:rPr>
              <w:t>Incorporation</w:t>
            </w:r>
          </w:p>
        </w:tc>
        <w:tc>
          <w:tcPr>
            <w:tcW w:w="80" w:type="dxa"/>
            <w:vAlign w:val="bottom"/>
          </w:tcPr>
          <w:p>
            <w:pPr>
              <w:spacing w:after="0"/>
              <w:rPr>
                <w:sz w:val="24"/>
                <w:szCs w:val="24"/>
                <w:color w:val="auto"/>
              </w:rPr>
            </w:pPr>
          </w:p>
        </w:tc>
      </w:tr>
      <w:tr>
        <w:trPr>
          <w:trHeight w:val="611"/>
        </w:trPr>
        <w:tc>
          <w:tcPr>
            <w:tcW w:w="8220" w:type="dxa"/>
            <w:vAlign w:val="bottom"/>
            <w:gridSpan w:val="2"/>
          </w:tcPr>
          <w:p>
            <w:pPr>
              <w:spacing w:after="0"/>
              <w:rPr>
                <w:sz w:val="20"/>
                <w:szCs w:val="20"/>
                <w:color w:val="auto"/>
              </w:rPr>
            </w:pPr>
            <w:r>
              <w:rPr>
                <w:rFonts w:ascii="Arial" w:cs="Arial" w:eastAsia="Arial" w:hAnsi="Arial"/>
                <w:sz w:val="22"/>
                <w:szCs w:val="22"/>
                <w:color w:val="auto"/>
              </w:rPr>
              <w:t>Beijing Falikang Pharmaceutical Co., Ltd.</w:t>
            </w:r>
          </w:p>
        </w:tc>
        <w:tc>
          <w:tcPr>
            <w:tcW w:w="1380" w:type="dxa"/>
            <w:vAlign w:val="bottom"/>
            <w:gridSpan w:val="2"/>
          </w:tcPr>
          <w:p>
            <w:pPr>
              <w:spacing w:after="0"/>
              <w:rPr>
                <w:sz w:val="20"/>
                <w:szCs w:val="20"/>
                <w:color w:val="auto"/>
              </w:rPr>
            </w:pPr>
            <w:r>
              <w:rPr>
                <w:rFonts w:ascii="Arial" w:cs="Arial" w:eastAsia="Arial" w:hAnsi="Arial"/>
                <w:sz w:val="22"/>
                <w:szCs w:val="22"/>
                <w:color w:val="auto"/>
              </w:rPr>
              <w:t>China</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(China) Medical Technology Development Co., Ltd.</w:t>
            </w:r>
          </w:p>
        </w:tc>
        <w:tc>
          <w:tcPr>
            <w:tcW w:w="1380" w:type="dxa"/>
            <w:vAlign w:val="bottom"/>
            <w:gridSpan w:val="2"/>
          </w:tcPr>
          <w:p>
            <w:pPr>
              <w:spacing w:after="0"/>
              <w:rPr>
                <w:sz w:val="20"/>
                <w:szCs w:val="20"/>
                <w:color w:val="auto"/>
              </w:rPr>
            </w:pPr>
            <w:r>
              <w:rPr>
                <w:rFonts w:ascii="Arial" w:cs="Arial" w:eastAsia="Arial" w:hAnsi="Arial"/>
                <w:sz w:val="22"/>
                <w:szCs w:val="22"/>
                <w:color w:val="auto"/>
              </w:rPr>
              <w:t>China</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China Anemia Holdings, Ltd.</w:t>
            </w:r>
          </w:p>
        </w:tc>
        <w:tc>
          <w:tcPr>
            <w:tcW w:w="1380" w:type="dxa"/>
            <w:vAlign w:val="bottom"/>
            <w:gridSpan w:val="2"/>
          </w:tcPr>
          <w:p>
            <w:pPr>
              <w:spacing w:after="0"/>
              <w:rPr>
                <w:sz w:val="20"/>
                <w:szCs w:val="20"/>
                <w:color w:val="auto"/>
              </w:rPr>
            </w:pPr>
            <w:r>
              <w:rPr>
                <w:rFonts w:ascii="Arial" w:cs="Arial" w:eastAsia="Arial" w:hAnsi="Arial"/>
                <w:sz w:val="22"/>
                <w:szCs w:val="22"/>
                <w:color w:val="auto"/>
                <w:w w:val="86"/>
              </w:rPr>
              <w:t>Cayman Islands</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Europe Oy</w:t>
            </w:r>
          </w:p>
        </w:tc>
        <w:tc>
          <w:tcPr>
            <w:tcW w:w="1380" w:type="dxa"/>
            <w:vAlign w:val="bottom"/>
            <w:gridSpan w:val="2"/>
          </w:tcPr>
          <w:p>
            <w:pPr>
              <w:spacing w:after="0"/>
              <w:rPr>
                <w:sz w:val="20"/>
                <w:szCs w:val="20"/>
                <w:color w:val="auto"/>
              </w:rPr>
            </w:pPr>
            <w:r>
              <w:rPr>
                <w:rFonts w:ascii="Arial" w:cs="Arial" w:eastAsia="Arial" w:hAnsi="Arial"/>
                <w:sz w:val="22"/>
                <w:szCs w:val="22"/>
                <w:color w:val="auto"/>
              </w:rPr>
              <w:t>Finland</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International (Cayman) Limited</w:t>
            </w:r>
          </w:p>
        </w:tc>
        <w:tc>
          <w:tcPr>
            <w:tcW w:w="1380" w:type="dxa"/>
            <w:vAlign w:val="bottom"/>
            <w:gridSpan w:val="2"/>
          </w:tcPr>
          <w:p>
            <w:pPr>
              <w:spacing w:after="0"/>
              <w:rPr>
                <w:sz w:val="20"/>
                <w:szCs w:val="20"/>
                <w:color w:val="auto"/>
              </w:rPr>
            </w:pPr>
            <w:r>
              <w:rPr>
                <w:rFonts w:ascii="Arial" w:cs="Arial" w:eastAsia="Arial" w:hAnsi="Arial"/>
                <w:sz w:val="22"/>
                <w:szCs w:val="22"/>
                <w:color w:val="auto"/>
                <w:w w:val="86"/>
              </w:rPr>
              <w:t>Cayman Islands</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International (Hong Kong) Limited</w:t>
            </w:r>
          </w:p>
        </w:tc>
        <w:tc>
          <w:tcPr>
            <w:tcW w:w="1380" w:type="dxa"/>
            <w:vAlign w:val="bottom"/>
            <w:gridSpan w:val="2"/>
          </w:tcPr>
          <w:p>
            <w:pPr>
              <w:spacing w:after="0"/>
              <w:rPr>
                <w:sz w:val="20"/>
                <w:szCs w:val="20"/>
                <w:color w:val="auto"/>
              </w:rPr>
            </w:pPr>
            <w:r>
              <w:rPr>
                <w:rFonts w:ascii="Arial" w:cs="Arial" w:eastAsia="Arial" w:hAnsi="Arial"/>
                <w:sz w:val="22"/>
                <w:szCs w:val="22"/>
                <w:color w:val="auto"/>
              </w:rPr>
              <w:t>Hong Kong</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INTL LLC</w:t>
            </w:r>
          </w:p>
        </w:tc>
        <w:tc>
          <w:tcPr>
            <w:tcW w:w="1380" w:type="dxa"/>
            <w:vAlign w:val="bottom"/>
            <w:gridSpan w:val="2"/>
          </w:tcPr>
          <w:p>
            <w:pPr>
              <w:spacing w:after="0"/>
              <w:rPr>
                <w:sz w:val="20"/>
                <w:szCs w:val="20"/>
                <w:color w:val="auto"/>
              </w:rPr>
            </w:pPr>
            <w:r>
              <w:rPr>
                <w:rFonts w:ascii="Arial" w:cs="Arial" w:eastAsia="Arial" w:hAnsi="Arial"/>
                <w:sz w:val="22"/>
                <w:szCs w:val="22"/>
                <w:color w:val="auto"/>
                <w:w w:val="90"/>
              </w:rPr>
              <w:t>Delaware, USA</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Skin Sciences, Inc.</w:t>
            </w:r>
          </w:p>
        </w:tc>
        <w:tc>
          <w:tcPr>
            <w:tcW w:w="1380" w:type="dxa"/>
            <w:vAlign w:val="bottom"/>
            <w:gridSpan w:val="2"/>
          </w:tcPr>
          <w:p>
            <w:pPr>
              <w:spacing w:after="0"/>
              <w:rPr>
                <w:sz w:val="20"/>
                <w:szCs w:val="20"/>
                <w:color w:val="auto"/>
              </w:rPr>
            </w:pPr>
            <w:r>
              <w:rPr>
                <w:rFonts w:ascii="Arial" w:cs="Arial" w:eastAsia="Arial" w:hAnsi="Arial"/>
                <w:sz w:val="22"/>
                <w:szCs w:val="22"/>
                <w:color w:val="auto"/>
                <w:w w:val="90"/>
              </w:rPr>
              <w:t>Delaware, USA</w:t>
            </w:r>
          </w:p>
        </w:tc>
      </w:tr>
    </w:tbl>
    <w:p>
      <w:pPr>
        <w:sectPr>
          <w:pgSz w:w="11900" w:h="16838" w:orient="portrait"/>
          <w:cols w:equalWidth="0" w:num="1">
            <w:col w:w="11240"/>
          </w:cols>
          <w:pgMar w:left="320" w:top="112"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117" w:lineRule="exact"/>
        <w:rPr>
          <w:sz w:val="20"/>
          <w:szCs w:val="20"/>
          <w:color w:val="auto"/>
        </w:rPr>
      </w:pPr>
    </w:p>
    <w:p>
      <w:pPr>
        <w:ind w:left="180" w:hanging="172"/>
        <w:spacing w:after="0"/>
        <w:tabs>
          <w:tab w:leader="none" w:pos="1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0" w:firstLine="518"/>
        <w:spacing w:after="0" w:line="342" w:lineRule="auto"/>
        <w:tabs>
          <w:tab w:leader="none" w:pos="755"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18"/>
        <w:spacing w:after="0" w:line="263" w:lineRule="auto"/>
        <w:tabs>
          <w:tab w:leader="none" w:pos="76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8"/>
        <w:spacing w:after="0" w:line="277" w:lineRule="auto"/>
        <w:tabs>
          <w:tab w:leader="none" w:pos="76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9,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Enrique Conterno</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0" w:firstLine="518"/>
        <w:spacing w:after="0" w:line="342" w:lineRule="auto"/>
        <w:tabs>
          <w:tab w:leader="none" w:pos="755" w:val="left"/>
        </w:tabs>
        <w:numPr>
          <w:ilvl w:val="1"/>
          <w:numId w:val="2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18"/>
        <w:spacing w:after="0" w:line="263" w:lineRule="auto"/>
        <w:tabs>
          <w:tab w:leader="none" w:pos="765"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8"/>
        <w:spacing w:after="0" w:line="277" w:lineRule="auto"/>
        <w:tabs>
          <w:tab w:leader="none" w:pos="765"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9,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Pat Cotroneo</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6"/>
              </w:rPr>
              <w:t>Senior Vice President, Finance and 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(“Exchange Act”), and Section 1350 of Chapter 63 of Title 18 of the United States Code (18 U.S.C. §1350), Enrique Conterno, Chief Executive Officer of FibroGen, Inc. (“the Company”), and Pat Cotroneo, Chief Financial Officer of the Company, each hereby certifies that, to the best of his knowledge:</w:t>
      </w:r>
    </w:p>
    <w:p>
      <w:pPr>
        <w:spacing w:after="0" w:line="165" w:lineRule="exact"/>
        <w:rPr>
          <w:sz w:val="20"/>
          <w:szCs w:val="20"/>
          <w:color w:val="auto"/>
        </w:rPr>
      </w:pPr>
    </w:p>
    <w:p>
      <w:pPr>
        <w:ind w:left="500" w:right="780" w:hanging="492"/>
        <w:spacing w:after="0" w:line="308" w:lineRule="auto"/>
        <w:tabs>
          <w:tab w:leader="none" w:pos="50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2021, to which this Certification is attached as Exhibit 32.1 (“Periodic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500" w:right="420" w:hanging="492"/>
        <w:spacing w:after="0" w:line="277" w:lineRule="auto"/>
        <w:tabs>
          <w:tab w:leader="none" w:pos="5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9</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/s/ Enrique Conterno</w:t>
            </w:r>
          </w:p>
        </w:tc>
        <w:tc>
          <w:tcPr>
            <w:tcW w:w="50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Enrique Conterno</w:t>
            </w:r>
          </w:p>
        </w:tc>
        <w:tc>
          <w:tcPr>
            <w:tcW w:w="11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Finance and</w:t>
            </w:r>
          </w:p>
        </w:tc>
      </w:tr>
      <w:tr>
        <w:trPr>
          <w:trHeight w:val="230"/>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
      <w:numFmt w:val="bullet"/>
      <w:start w:val="1"/>
    </w:lvl>
  </w:abstractNum>
  <w:abstractNum w:abstractNumId="2">
    <w:nsid w:val="34FD6B4F"/>
    <w:multiLevelType w:val="hybridMultilevel"/>
    <w:lvl w:ilvl="0">
      <w:lvlJc w:val="left"/>
      <w:lvlText w:val="•"/>
      <w:numFmt w:val="bullet"/>
      <w:start w:val="1"/>
    </w:lvl>
  </w:abstractNum>
  <w:abstractNum w:abstractNumId="3">
    <w:nsid w:val="5915FF32"/>
    <w:multiLevelType w:val="hybridMultilevel"/>
    <w:lvl w:ilvl="0">
      <w:lvlJc w:val="left"/>
      <w:lvlText w:val="•"/>
      <w:numFmt w:val="bullet"/>
      <w:start w:val="1"/>
    </w:lvl>
  </w:abstractNum>
  <w:abstractNum w:abstractNumId="4">
    <w:nsid w:val="56438D15"/>
    <w:multiLevelType w:val="hybridMultilevel"/>
    <w:lvl w:ilvl="0">
      <w:lvlJc w:val="left"/>
      <w:lvlText w:val="•"/>
      <w:numFmt w:val="bullet"/>
      <w:start w:val="1"/>
    </w:lvl>
  </w:abstractNum>
  <w:abstractNum w:abstractNumId="5">
    <w:nsid w:val="519E3149"/>
    <w:multiLevelType w:val="hybridMultilevel"/>
    <w:lvl w:ilvl="0">
      <w:lvlJc w:val="left"/>
      <w:lvlText w:val="•"/>
      <w:numFmt w:val="bullet"/>
      <w:start w:val="1"/>
    </w:lvl>
  </w:abstractNum>
  <w:abstractNum w:abstractNumId="6">
    <w:nsid w:val="2C6E4AFD"/>
    <w:multiLevelType w:val="hybridMultilevel"/>
    <w:lvl w:ilvl="0">
      <w:lvlJc w:val="left"/>
      <w:lvlText w:val="•"/>
      <w:numFmt w:val="bullet"/>
      <w:start w:val="1"/>
    </w:lvl>
  </w:abstractNum>
  <w:abstractNum w:abstractNumId="7">
    <w:nsid w:val="17A1B582"/>
    <w:multiLevelType w:val="hybridMultilevel"/>
    <w:lvl w:ilvl="0">
      <w:lvlJc w:val="left"/>
      <w:lvlText w:val="•"/>
      <w:numFmt w:val="bullet"/>
      <w:start w:val="1"/>
    </w:lvl>
  </w:abstractNum>
  <w:abstractNum w:abstractNumId="8">
    <w:nsid w:val="4DF72E4E"/>
    <w:multiLevelType w:val="hybridMultilevel"/>
    <w:lvl w:ilvl="0">
      <w:lvlJc w:val="left"/>
      <w:lvlText w:val="•"/>
      <w:numFmt w:val="bullet"/>
      <w:start w:val="1"/>
    </w:lvl>
  </w:abstractNum>
  <w:abstractNum w:abstractNumId="9">
    <w:nsid w:val="5046B5A9"/>
    <w:multiLevelType w:val="hybridMultilevel"/>
    <w:lvl w:ilvl="0">
      <w:lvlJc w:val="left"/>
      <w:lvlText w:val="•"/>
      <w:numFmt w:val="bullet"/>
      <w:start w:val="1"/>
    </w:lvl>
  </w:abstractNum>
  <w:abstractNum w:abstractNumId="10">
    <w:nsid w:val="5D888A08"/>
    <w:multiLevelType w:val="hybridMultilevel"/>
    <w:lvl w:ilvl="0">
      <w:lvlJc w:val="left"/>
      <w:lvlText w:val="•"/>
      <w:numFmt w:val="bullet"/>
      <w:start w:val="1"/>
    </w:lvl>
  </w:abstractNum>
  <w:abstractNum w:abstractNumId="11">
    <w:nsid w:val="2A082C70"/>
    <w:multiLevelType w:val="hybridMultilevel"/>
    <w:lvl w:ilvl="0">
      <w:lvlJc w:val="left"/>
      <w:lvlText w:val="%1."/>
      <w:numFmt w:val="decimal"/>
      <w:start w:val="1"/>
    </w:lvl>
  </w:abstractNum>
  <w:abstractNum w:abstractNumId="12">
    <w:nsid w:val="5EC6AFD4"/>
    <w:multiLevelType w:val="hybridMultilevel"/>
    <w:lvl w:ilvl="0">
      <w:lvlJc w:val="left"/>
      <w:lvlText w:val="●"/>
      <w:numFmt w:val="bullet"/>
      <w:start w:val="1"/>
    </w:lvl>
  </w:abstractNum>
  <w:abstractNum w:abstractNumId="13">
    <w:nsid w:val="19E21BB2"/>
    <w:multiLevelType w:val="hybridMultilevel"/>
    <w:lvl w:ilvl="0">
      <w:lvlJc w:val="left"/>
      <w:lvlText w:val="●"/>
      <w:numFmt w:val="bullet"/>
      <w:start w:val="1"/>
    </w:lvl>
  </w:abstractNum>
  <w:abstractNum w:abstractNumId="14">
    <w:nsid w:val="75E0858A"/>
    <w:multiLevelType w:val="hybridMultilevel"/>
    <w:lvl w:ilvl="0">
      <w:lvlJc w:val="left"/>
      <w:lvlText w:val="●"/>
      <w:numFmt w:val="bullet"/>
      <w:start w:val="1"/>
    </w:lvl>
  </w:abstractNum>
  <w:abstractNum w:abstractNumId="15">
    <w:nsid w:val="57A61A29"/>
    <w:multiLevelType w:val="hybridMultilevel"/>
    <w:lvl w:ilvl="0">
      <w:lvlJc w:val="left"/>
      <w:lvlText w:val="●"/>
      <w:numFmt w:val="bullet"/>
      <w:start w:val="1"/>
    </w:lvl>
  </w:abstractNum>
  <w:abstractNum w:abstractNumId="16">
    <w:nsid w:val="5399C654"/>
    <w:multiLevelType w:val="hybridMultilevel"/>
    <w:lvl w:ilvl="0">
      <w:lvlJc w:val="left"/>
      <w:lvlText w:val="%1."/>
      <w:numFmt w:val="decimal"/>
      <w:start w:val="2"/>
    </w:lvl>
  </w:abstractNum>
  <w:abstractNum w:abstractNumId="17">
    <w:nsid w:val="20EE1348"/>
    <w:multiLevelType w:val="hybridMultilevel"/>
    <w:lvl w:ilvl="0">
      <w:lvlJc w:val="left"/>
      <w:lvlText w:val="(%1)"/>
      <w:numFmt w:val="lowerRoman"/>
      <w:start w:val="1"/>
    </w:lvl>
  </w:abstractNum>
  <w:abstractNum w:abstractNumId="18">
    <w:nsid w:val="4427069A"/>
    <w:multiLevelType w:val="hybridMultilevel"/>
    <w:lvl w:ilvl="0">
      <w:lvlJc w:val="left"/>
      <w:lvlText w:val="(%1)"/>
      <w:numFmt w:val="lowerRoman"/>
      <w:start w:val="4"/>
    </w:lvl>
  </w:abstractNum>
  <w:abstractNum w:abstractNumId="19">
    <w:nsid w:val="B37E80A"/>
    <w:multiLevelType w:val="hybridMultilevel"/>
    <w:lvl w:ilvl="0">
      <w:lvlJc w:val="left"/>
      <w:lvlText w:val="*"/>
      <w:numFmt w:val="bullet"/>
      <w:start w:val="1"/>
    </w:lvl>
  </w:abstractNum>
  <w:abstractNum w:abstractNumId="20">
    <w:nsid w:val="2157F6BC"/>
    <w:multiLevelType w:val="hybridMultilevel"/>
    <w:lvl w:ilvl="0">
      <w:lvlJc w:val="left"/>
      <w:lvlText w:val="**"/>
      <w:numFmt w:val="bullet"/>
      <w:start w:val="1"/>
    </w:lvl>
  </w:abstractNum>
  <w:abstractNum w:abstractNumId="21">
    <w:nsid w:val="704E1DD5"/>
    <w:multiLevelType w:val="hybridMultilevel"/>
    <w:lvl w:ilvl="0">
      <w:lvlJc w:val="left"/>
      <w:lvlText w:val="%1."/>
      <w:numFmt w:val="decimal"/>
      <w:start w:val="3"/>
    </w:lvl>
  </w:abstractNum>
  <w:abstractNum w:abstractNumId="22">
    <w:nsid w:val="57D2F10E"/>
    <w:multiLevelType w:val="hybridMultilevel"/>
    <w:lvl w:ilvl="0">
      <w:lvlJc w:val="left"/>
      <w:lvlText w:val="%1."/>
      <w:numFmt w:val="decimal"/>
      <w:start w:val="4"/>
    </w:lvl>
  </w:abstractNum>
  <w:abstractNum w:abstractNumId="23">
    <w:nsid w:val="BFFAE18"/>
    <w:multiLevelType w:val="hybridMultilevel"/>
    <w:lvl w:ilvl="0">
      <w:lvlJc w:val="left"/>
      <w:lvlText w:val="%1."/>
      <w:numFmt w:val="decimal"/>
      <w:start w:val="5"/>
    </w:lvl>
  </w:abstractNum>
  <w:abstractNum w:abstractNumId="24">
    <w:nsid w:val="E3E47A8"/>
    <w:multiLevelType w:val="hybridMultilevel"/>
    <w:lvl w:ilvl="0">
      <w:lvlJc w:val="left"/>
      <w:lvlText w:val="%1."/>
      <w:numFmt w:val="decimal"/>
      <w:start w:val="842"/>
    </w:lvl>
  </w:abstractNum>
  <w:abstractNum w:abstractNumId="25">
    <w:nsid w:val="2E48F044"/>
    <w:multiLevelType w:val="hybridMultilevel"/>
    <w:lvl w:ilvl="0">
      <w:lvlJc w:val="left"/>
      <w:lvlText w:val="%1."/>
      <w:numFmt w:val="decimal"/>
      <w:start w:val="7"/>
    </w:lvl>
  </w:abstractNum>
  <w:abstractNum w:abstractNumId="26">
    <w:nsid w:val="49D0FEAC"/>
    <w:multiLevelType w:val="hybridMultilevel"/>
    <w:lvl w:ilvl="0">
      <w:lvlJc w:val="left"/>
      <w:lvlText w:val="%1."/>
      <w:numFmt w:val="decimal"/>
      <w:start w:val="8"/>
    </w:lvl>
  </w:abstractNum>
  <w:abstractNum w:abstractNumId="27">
    <w:nsid w:val="4BEE5A5B"/>
    <w:multiLevelType w:val="hybridMultilevel"/>
    <w:lvl w:ilvl="0">
      <w:lvlJc w:val="left"/>
      <w:lvlText w:val="%1."/>
      <w:numFmt w:val="decimal"/>
      <w:start w:val="9"/>
    </w:lvl>
  </w:abstractNum>
  <w:abstractNum w:abstractNumId="28">
    <w:nsid w:val="5551B9F3"/>
    <w:multiLevelType w:val="hybridMultilevel"/>
    <w:lvl w:ilvl="0">
      <w:lvlJc w:val="left"/>
      <w:lvlText w:val="%1."/>
      <w:numFmt w:val="decimal"/>
      <w:start w:val="10"/>
    </w:lvl>
  </w:abstractNum>
  <w:abstractNum w:abstractNumId="29">
    <w:nsid w:val="24F6AB8E"/>
    <w:multiLevelType w:val="hybridMultilevel"/>
    <w:lvl w:ilvl="0">
      <w:lvlJc w:val="left"/>
      <w:lvlText w:val="%1."/>
      <w:numFmt w:val="decimal"/>
      <w:start w:val="11"/>
    </w:lvl>
  </w:abstractNum>
  <w:abstractNum w:abstractNumId="30">
    <w:nsid w:val="634C574C"/>
    <w:multiLevelType w:val="hybridMultilevel"/>
    <w:lvl w:ilvl="0">
      <w:lvlJc w:val="left"/>
      <w:lvlText w:val="•"/>
      <w:numFmt w:val="bullet"/>
      <w:start w:val="1"/>
    </w:lvl>
  </w:abstractNum>
  <w:abstractNum w:abstractNumId="31">
    <w:nsid w:val="24E99DD7"/>
    <w:multiLevelType w:val="hybridMultilevel"/>
    <w:lvl w:ilvl="0">
      <w:lvlJc w:val="left"/>
      <w:lvlText w:val="•"/>
      <w:numFmt w:val="bullet"/>
      <w:start w:val="1"/>
    </w:lvl>
  </w:abstractNum>
  <w:abstractNum w:abstractNumId="32">
    <w:nsid w:val="2A31B62D"/>
    <w:multiLevelType w:val="hybridMultilevel"/>
    <w:lvl w:ilvl="0">
      <w:lvlJc w:val="left"/>
      <w:lvlText w:val="•"/>
      <w:numFmt w:val="bullet"/>
      <w:start w:val="1"/>
    </w:lvl>
  </w:abstractNum>
  <w:abstractNum w:abstractNumId="33">
    <w:nsid w:val="1849C29B"/>
    <w:multiLevelType w:val="hybridMultilevel"/>
    <w:lvl w:ilvl="0">
      <w:lvlJc w:val="left"/>
      <w:lvlText w:val="•"/>
      <w:numFmt w:val="bullet"/>
      <w:start w:val="1"/>
    </w:lvl>
  </w:abstractNum>
  <w:abstractNum w:abstractNumId="34">
    <w:nsid w:val="7DFF9D09"/>
    <w:multiLevelType w:val="hybridMultilevel"/>
    <w:lvl w:ilvl="0">
      <w:lvlJc w:val="left"/>
      <w:lvlText w:val="•"/>
      <w:numFmt w:val="bullet"/>
      <w:start w:val="1"/>
    </w:lvl>
  </w:abstractNum>
  <w:abstractNum w:abstractNumId="35">
    <w:nsid w:val="754342"/>
    <w:multiLevelType w:val="hybridMultilevel"/>
    <w:lvl w:ilvl="0">
      <w:lvlJc w:val="left"/>
      <w:lvlText w:val="•"/>
      <w:numFmt w:val="bullet"/>
      <w:start w:val="1"/>
    </w:lvl>
  </w:abstractNum>
  <w:abstractNum w:abstractNumId="36">
    <w:nsid w:val="69E7F3E5"/>
    <w:multiLevelType w:val="hybridMultilevel"/>
    <w:lvl w:ilvl="0">
      <w:lvlJc w:val="left"/>
      <w:lvlText w:val="•"/>
      <w:numFmt w:val="bullet"/>
      <w:start w:val="1"/>
    </w:lvl>
  </w:abstractNum>
  <w:abstractNum w:abstractNumId="37">
    <w:nsid w:val="2A6DE806"/>
    <w:multiLevelType w:val="hybridMultilevel"/>
    <w:lvl w:ilvl="0">
      <w:lvlJc w:val="left"/>
      <w:lvlText w:val="•"/>
      <w:numFmt w:val="bullet"/>
      <w:start w:val="1"/>
    </w:lvl>
  </w:abstractNum>
  <w:abstractNum w:abstractNumId="38">
    <w:nsid w:val="1816F8C4"/>
    <w:multiLevelType w:val="hybridMultilevel"/>
    <w:lvl w:ilvl="0">
      <w:lvlJc w:val="left"/>
      <w:lvlText w:val="•"/>
      <w:numFmt w:val="bullet"/>
      <w:start w:val="1"/>
    </w:lvl>
  </w:abstractNum>
  <w:abstractNum w:abstractNumId="39">
    <w:nsid w:val="37DF2233"/>
    <w:multiLevelType w:val="hybridMultilevel"/>
    <w:lvl w:ilvl="0">
      <w:lvlJc w:val="left"/>
      <w:lvlText w:val="•"/>
      <w:numFmt w:val="bullet"/>
      <w:start w:val="1"/>
    </w:lvl>
  </w:abstractNum>
  <w:abstractNum w:abstractNumId="40">
    <w:nsid w:val="7AB49DAF"/>
    <w:multiLevelType w:val="hybridMultilevel"/>
    <w:lvl w:ilvl="0">
      <w:lvlJc w:val="left"/>
      <w:lvlText w:val="•"/>
      <w:numFmt w:val="bullet"/>
      <w:start w:val="1"/>
    </w:lvl>
  </w:abstractNum>
  <w:abstractNum w:abstractNumId="41">
    <w:nsid w:val="759F82CD"/>
    <w:multiLevelType w:val="hybridMultilevel"/>
    <w:lvl w:ilvl="0">
      <w:lvlJc w:val="left"/>
      <w:lvlText w:val="•"/>
      <w:numFmt w:val="bullet"/>
      <w:start w:val="1"/>
    </w:lvl>
  </w:abstractNum>
  <w:abstractNum w:abstractNumId="42">
    <w:nsid w:val="61E74EA3"/>
    <w:multiLevelType w:val="hybridMultilevel"/>
    <w:lvl w:ilvl="0">
      <w:lvlJc w:val="left"/>
      <w:lvlText w:val="●"/>
      <w:numFmt w:val="bullet"/>
      <w:start w:val="1"/>
    </w:lvl>
  </w:abstractNum>
  <w:abstractNum w:abstractNumId="43">
    <w:nsid w:val="597B4D84"/>
    <w:multiLevelType w:val="hybridMultilevel"/>
    <w:lvl w:ilvl="0">
      <w:lvlJc w:val="left"/>
      <w:lvlText w:val="●"/>
      <w:numFmt w:val="bullet"/>
      <w:start w:val="1"/>
    </w:lvl>
  </w:abstractNum>
  <w:abstractNum w:abstractNumId="44">
    <w:nsid w:val="F819E7F"/>
    <w:multiLevelType w:val="hybridMultilevel"/>
    <w:lvl w:ilvl="0">
      <w:lvlJc w:val="left"/>
      <w:lvlText w:val="•"/>
      <w:numFmt w:val="bullet"/>
      <w:start w:val="1"/>
    </w:lvl>
  </w:abstractNum>
  <w:abstractNum w:abstractNumId="45">
    <w:nsid w:val="57C7D42D"/>
    <w:multiLevelType w:val="hybridMultilevel"/>
    <w:lvl w:ilvl="0">
      <w:lvlJc w:val="left"/>
      <w:lvlText w:val="•"/>
      <w:numFmt w:val="bullet"/>
      <w:start w:val="1"/>
    </w:lvl>
  </w:abstractNum>
  <w:abstractNum w:abstractNumId="46">
    <w:nsid w:val="312167AD"/>
    <w:multiLevelType w:val="hybridMultilevel"/>
    <w:lvl w:ilvl="0">
      <w:lvlJc w:val="left"/>
      <w:lvlText w:val="•"/>
      <w:numFmt w:val="bullet"/>
      <w:start w:val="1"/>
    </w:lvl>
  </w:abstractNum>
  <w:abstractNum w:abstractNumId="47">
    <w:nsid w:val="631B64D4"/>
    <w:multiLevelType w:val="hybridMultilevel"/>
    <w:lvl w:ilvl="0">
      <w:lvlJc w:val="left"/>
      <w:lvlText w:val="•"/>
      <w:numFmt w:val="bullet"/>
      <w:start w:val="1"/>
    </w:lvl>
  </w:abstractNum>
  <w:abstractNum w:abstractNumId="48">
    <w:nsid w:val="78B5E776"/>
    <w:multiLevelType w:val="hybridMultilevel"/>
    <w:lvl w:ilvl="0">
      <w:lvlJc w:val="left"/>
      <w:lvlText w:val="•"/>
      <w:numFmt w:val="bullet"/>
      <w:start w:val="1"/>
    </w:lvl>
  </w:abstractNum>
  <w:abstractNum w:abstractNumId="49">
    <w:nsid w:val="75486E47"/>
    <w:multiLevelType w:val="hybridMultilevel"/>
    <w:lvl w:ilvl="0">
      <w:lvlJc w:val="left"/>
      <w:lvlText w:val="•"/>
      <w:numFmt w:val="bullet"/>
      <w:start w:val="1"/>
    </w:lvl>
  </w:abstractNum>
  <w:abstractNum w:abstractNumId="50">
    <w:nsid w:val="6E534CDE"/>
    <w:multiLevelType w:val="hybridMultilevel"/>
    <w:lvl w:ilvl="0">
      <w:lvlJc w:val="left"/>
      <w:lvlText w:val="•"/>
      <w:numFmt w:val="bullet"/>
      <w:start w:val="1"/>
    </w:lvl>
  </w:abstractNum>
  <w:abstractNum w:abstractNumId="51">
    <w:nsid w:val="1A0DDE32"/>
    <w:multiLevelType w:val="hybridMultilevel"/>
    <w:lvl w:ilvl="0">
      <w:lvlJc w:val="left"/>
      <w:lvlText w:val="•"/>
      <w:numFmt w:val="bullet"/>
      <w:start w:val="1"/>
    </w:lvl>
  </w:abstractNum>
  <w:abstractNum w:abstractNumId="52">
    <w:nsid w:val="65968C1C"/>
    <w:multiLevelType w:val="hybridMultilevel"/>
    <w:lvl w:ilvl="0">
      <w:lvlJc w:val="left"/>
      <w:lvlText w:val="•"/>
      <w:numFmt w:val="bullet"/>
      <w:start w:val="1"/>
    </w:lvl>
  </w:abstractNum>
  <w:abstractNum w:abstractNumId="53">
    <w:nsid w:val="46263DEC"/>
    <w:multiLevelType w:val="hybridMultilevel"/>
    <w:lvl w:ilvl="0">
      <w:lvlJc w:val="left"/>
      <w:lvlText w:val="•"/>
      <w:numFmt w:val="bullet"/>
      <w:start w:val="1"/>
    </w:lvl>
  </w:abstractNum>
  <w:abstractNum w:abstractNumId="54">
    <w:nsid w:val="260D8C4A"/>
    <w:multiLevelType w:val="hybridMultilevel"/>
    <w:lvl w:ilvl="0">
      <w:lvlJc w:val="left"/>
      <w:lvlText w:val="•"/>
      <w:numFmt w:val="bullet"/>
      <w:start w:val="1"/>
    </w:lvl>
  </w:abstractNum>
  <w:abstractNum w:abstractNumId="55">
    <w:nsid w:val="73D4D3C4"/>
    <w:multiLevelType w:val="hybridMultilevel"/>
    <w:lvl w:ilvl="0">
      <w:lvlJc w:val="left"/>
      <w:lvlText w:val="•"/>
      <w:numFmt w:val="bullet"/>
      <w:start w:val="1"/>
    </w:lvl>
  </w:abstractNum>
  <w:abstractNum w:abstractNumId="56">
    <w:nsid w:val="746F2E30"/>
    <w:multiLevelType w:val="hybridMultilevel"/>
    <w:lvl w:ilvl="0">
      <w:lvlJc w:val="left"/>
      <w:lvlText w:val="•"/>
      <w:numFmt w:val="bullet"/>
      <w:start w:val="1"/>
    </w:lvl>
  </w:abstractNum>
  <w:abstractNum w:abstractNumId="57">
    <w:nsid w:val="6FDE8AF6"/>
    <w:multiLevelType w:val="hybridMultilevel"/>
    <w:lvl w:ilvl="0">
      <w:lvlJc w:val="left"/>
      <w:lvlText w:val="•"/>
      <w:numFmt w:val="bullet"/>
      <w:start w:val="1"/>
    </w:lvl>
  </w:abstractNum>
  <w:abstractNum w:abstractNumId="58">
    <w:nsid w:val="3FC32E20"/>
    <w:multiLevelType w:val="hybridMultilevel"/>
    <w:lvl w:ilvl="0">
      <w:lvlJc w:val="left"/>
      <w:lvlText w:val="•"/>
      <w:numFmt w:val="bullet"/>
      <w:start w:val="1"/>
    </w:lvl>
  </w:abstractNum>
  <w:abstractNum w:abstractNumId="59">
    <w:nsid w:val="49C0E823"/>
    <w:multiLevelType w:val="hybridMultilevel"/>
    <w:lvl w:ilvl="0">
      <w:lvlJc w:val="left"/>
      <w:lvlText w:val="•"/>
      <w:numFmt w:val="bullet"/>
      <w:start w:val="1"/>
    </w:lvl>
  </w:abstractNum>
  <w:abstractNum w:abstractNumId="60">
    <w:nsid w:val="14D53685"/>
    <w:multiLevelType w:val="hybridMultilevel"/>
    <w:lvl w:ilvl="0">
      <w:lvlJc w:val="left"/>
      <w:lvlText w:val="•"/>
      <w:numFmt w:val="bullet"/>
      <w:start w:val="1"/>
    </w:lvl>
  </w:abstractNum>
  <w:abstractNum w:abstractNumId="61">
    <w:nsid w:val="230F856C"/>
    <w:multiLevelType w:val="hybridMultilevel"/>
    <w:lvl w:ilvl="0">
      <w:lvlJc w:val="left"/>
      <w:lvlText w:val="•"/>
      <w:numFmt w:val="bullet"/>
      <w:start w:val="1"/>
    </w:lvl>
  </w:abstractNum>
  <w:abstractNum w:abstractNumId="62">
    <w:nsid w:val="6EAA85FB"/>
    <w:multiLevelType w:val="hybridMultilevel"/>
    <w:lvl w:ilvl="0">
      <w:lvlJc w:val="left"/>
      <w:lvlText w:val="•"/>
      <w:numFmt w:val="bullet"/>
      <w:start w:val="1"/>
    </w:lvl>
  </w:abstractNum>
  <w:abstractNum w:abstractNumId="63">
    <w:nsid w:val="3F06ECB2"/>
    <w:multiLevelType w:val="hybridMultilevel"/>
    <w:lvl w:ilvl="0">
      <w:lvlJc w:val="left"/>
      <w:lvlText w:val="•"/>
      <w:numFmt w:val="bullet"/>
      <w:start w:val="1"/>
    </w:lvl>
  </w:abstractNum>
  <w:abstractNum w:abstractNumId="64">
    <w:nsid w:val="3B594807"/>
    <w:multiLevelType w:val="hybridMultilevel"/>
    <w:lvl w:ilvl="0">
      <w:lvlJc w:val="left"/>
      <w:lvlText w:val="•"/>
      <w:numFmt w:val="bullet"/>
      <w:start w:val="1"/>
    </w:lvl>
  </w:abstractNum>
  <w:abstractNum w:abstractNumId="65">
    <w:nsid w:val="6CAA2304"/>
    <w:multiLevelType w:val="hybridMultilevel"/>
    <w:lvl w:ilvl="0">
      <w:lvlJc w:val="left"/>
      <w:lvlText w:val="•"/>
      <w:numFmt w:val="bullet"/>
      <w:start w:val="1"/>
    </w:lvl>
  </w:abstractNum>
  <w:abstractNum w:abstractNumId="66">
    <w:nsid w:val="3F7C2FF4"/>
    <w:multiLevelType w:val="hybridMultilevel"/>
    <w:lvl w:ilvl="0">
      <w:lvlJc w:val="left"/>
      <w:lvlText w:val="•"/>
      <w:numFmt w:val="bullet"/>
      <w:start w:val="1"/>
    </w:lvl>
  </w:abstractNum>
  <w:abstractNum w:abstractNumId="67">
    <w:nsid w:val="25413BEC"/>
    <w:multiLevelType w:val="hybridMultilevel"/>
    <w:lvl w:ilvl="0">
      <w:lvlJc w:val="left"/>
      <w:lvlText w:val="•"/>
      <w:numFmt w:val="bullet"/>
      <w:start w:val="1"/>
    </w:lvl>
  </w:abstractNum>
  <w:abstractNum w:abstractNumId="68">
    <w:nsid w:val="17180B0B"/>
    <w:multiLevelType w:val="hybridMultilevel"/>
    <w:lvl w:ilvl="0">
      <w:lvlJc w:val="left"/>
      <w:lvlText w:val="•"/>
      <w:numFmt w:val="bullet"/>
      <w:start w:val="1"/>
    </w:lvl>
  </w:abstractNum>
  <w:abstractNum w:abstractNumId="69">
    <w:nsid w:val="579328B9"/>
    <w:multiLevelType w:val="hybridMultilevel"/>
    <w:lvl w:ilvl="0">
      <w:lvlJc w:val="left"/>
      <w:lvlText w:val="•"/>
      <w:numFmt w:val="bullet"/>
      <w:start w:val="1"/>
    </w:lvl>
  </w:abstractNum>
  <w:abstractNum w:abstractNumId="70">
    <w:nsid w:val="5D205E20"/>
    <w:multiLevelType w:val="hybridMultilevel"/>
    <w:lvl w:ilvl="0">
      <w:lvlJc w:val="left"/>
      <w:lvlText w:val="•"/>
      <w:numFmt w:val="bullet"/>
      <w:start w:val="1"/>
    </w:lvl>
  </w:abstractNum>
  <w:abstractNum w:abstractNumId="71">
    <w:nsid w:val="11CCA8BA"/>
    <w:multiLevelType w:val="hybridMultilevel"/>
    <w:lvl w:ilvl="0">
      <w:lvlJc w:val="left"/>
      <w:lvlText w:val="*"/>
      <w:numFmt w:val="bullet"/>
      <w:start w:val="1"/>
    </w:lvl>
  </w:abstractNum>
  <w:abstractNum w:abstractNumId="72">
    <w:nsid w:val="4D32AB86"/>
    <w:multiLevelType w:val="hybridMultilevel"/>
    <w:lvl w:ilvl="0">
      <w:lvlJc w:val="left"/>
      <w:lvlText w:val="†"/>
      <w:numFmt w:val="bullet"/>
      <w:start w:val="1"/>
    </w:lvl>
  </w:abstractNum>
  <w:abstractNum w:abstractNumId="73">
    <w:nsid w:val="3F07ACC3"/>
    <w:multiLevelType w:val="hybridMultilevel"/>
    <w:lvl w:ilvl="0">
      <w:lvlJc w:val="left"/>
      <w:lvlText w:val="%1."/>
      <w:numFmt w:val="upperLetter"/>
      <w:start w:val="1"/>
    </w:lvl>
  </w:abstractNum>
  <w:abstractNum w:abstractNumId="74">
    <w:nsid w:val="6B47F63E"/>
    <w:multiLevelType w:val="hybridMultilevel"/>
    <w:lvl w:ilvl="0">
      <w:lvlJc w:val="left"/>
      <w:lvlText w:val="%1."/>
      <w:numFmt w:val="decimal"/>
      <w:start w:val="1"/>
    </w:lvl>
  </w:abstractNum>
  <w:abstractNum w:abstractNumId="75">
    <w:nsid w:val="5CB44A05"/>
    <w:multiLevelType w:val="hybridMultilevel"/>
    <w:lvl w:ilvl="0">
      <w:lvlJc w:val="left"/>
      <w:lvlText w:val="%1."/>
      <w:numFmt w:val="decimal"/>
      <w:start w:val="3"/>
    </w:lvl>
  </w:abstractNum>
  <w:abstractNum w:abstractNumId="76">
    <w:nsid w:val="16CF80F1"/>
    <w:multiLevelType w:val="hybridMultilevel"/>
    <w:lvl w:ilvl="0">
      <w:lvlJc w:val="left"/>
      <w:lvlText w:val="%1."/>
      <w:numFmt w:val="decimal"/>
      <w:start w:val="5"/>
    </w:lvl>
  </w:abstractNum>
  <w:abstractNum w:abstractNumId="77">
    <w:nsid w:val="1C695DE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8">
    <w:nsid w:val="3FCFAED9"/>
    <w:multiLevelType w:val="hybridMultilevel"/>
    <w:lvl w:ilvl="0">
      <w:lvlJc w:val="left"/>
      <w:lvlText w:val="%1"/>
      <w:numFmt w:val="lowerRoman"/>
      <w:start w:val="1"/>
    </w:lvl>
    <w:lvl w:ilvl="1">
      <w:lvlJc w:val="left"/>
      <w:lvlText w:val="(%2)"/>
      <w:numFmt w:val="lowerRoman"/>
      <w:start w:val="2"/>
    </w:lvl>
  </w:abstractNum>
  <w:abstractNum w:abstractNumId="79">
    <w:nsid w:val="F856867"/>
    <w:multiLevelType w:val="hybridMultilevel"/>
    <w:lvl w:ilvl="0">
      <w:lvlJc w:val="left"/>
      <w:lvlText w:val="(%1)"/>
      <w:numFmt w:val="lowerRoman"/>
      <w:start w:val="3"/>
    </w:lvl>
    <w:lvl w:ilvl="1">
      <w:lvlJc w:val="left"/>
      <w:lvlText w:val="%2"/>
      <w:numFmt w:val="lowerRoman"/>
      <w:start w:val="1"/>
    </w:lvl>
  </w:abstractNum>
  <w:abstractNum w:abstractNumId="80">
    <w:nsid w:val="11B1CC33"/>
    <w:multiLevelType w:val="hybridMultilevel"/>
    <w:lvl w:ilvl="0">
      <w:lvlJc w:val="left"/>
      <w:lvlText w:val="%1."/>
      <w:numFmt w:val="lowerLetter"/>
      <w:start w:val="5"/>
    </w:lvl>
    <w:lvl w:ilvl="1">
      <w:lvlJc w:val="left"/>
      <w:lvlText w:val="(%2)"/>
      <w:numFmt w:val="lowerRoman"/>
      <w:start w:val="1"/>
    </w:lvl>
  </w:abstractNum>
  <w:abstractNum w:abstractNumId="81">
    <w:nsid w:val="2E22FBB7"/>
    <w:multiLevelType w:val="hybridMultilevel"/>
    <w:lvl w:ilvl="0">
      <w:lvlJc w:val="left"/>
      <w:lvlText w:val="%1."/>
      <w:numFmt w:val="decimal"/>
      <w:start w:val="9"/>
    </w:lvl>
    <w:lvl w:ilvl="1">
      <w:lvlJc w:val="left"/>
      <w:lvlText w:val="%2"/>
      <w:numFmt w:val="lowerLetter"/>
      <w:start w:val="1"/>
    </w:lvl>
  </w:abstractNum>
  <w:abstractNum w:abstractNumId="82">
    <w:nsid w:val="2993469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3">
    <w:nsid w:val="77485850"/>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84">
    <w:nsid w:val="744939A3"/>
    <w:multiLevelType w:val="hybridMultilevel"/>
    <w:lvl w:ilvl="0">
      <w:lvlJc w:val="left"/>
      <w:lvlText w:val="%1."/>
      <w:numFmt w:val="lowerLetter"/>
      <w:start w:val="2"/>
    </w:lvl>
    <w:lvl w:ilvl="1">
      <w:lvlJc w:val="left"/>
      <w:lvlText w:val="(%2)"/>
      <w:numFmt w:val="lowerRoman"/>
      <w:start w:val="1"/>
    </w:lvl>
  </w:abstractNum>
  <w:abstractNum w:abstractNumId="85">
    <w:nsid w:val="4FA0D2E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86">
    <w:nsid w:val="6B1D2C1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87">
    <w:nsid w:val="68B867D3"/>
    <w:multiLevelType w:val="hybridMultilevel"/>
    <w:lvl w:ilvl="0">
      <w:lvlJc w:val="left"/>
      <w:lvlText w:val="%1"/>
      <w:numFmt w:val="decimal"/>
      <w:start w:val="1"/>
    </w:lvl>
    <w:lvl w:ilvl="1">
      <w:lvlJc w:val="left"/>
      <w:lvlText w:val="%2."/>
      <w:numFmt w:val="lowerLetter"/>
      <w:start w:val="4"/>
    </w:lvl>
  </w:abstractNum>
  <w:abstractNum w:abstractNumId="88">
    <w:nsid w:val="3F7F5DD9"/>
    <w:multiLevelType w:val="hybridMultilevel"/>
    <w:lvl w:ilvl="0">
      <w:lvlJc w:val="left"/>
      <w:lvlText w:val="%1."/>
      <w:numFmt w:val="decimal"/>
      <w:start w:val="14"/>
    </w:lvl>
    <w:lvl w:ilvl="1">
      <w:lvlJc w:val="left"/>
      <w:lvlText w:val="%2"/>
      <w:numFmt w:val="lowerLetter"/>
      <w:start w:val="1"/>
    </w:lvl>
  </w:abstractNum>
  <w:abstractNum w:abstractNumId="89">
    <w:nsid w:val="2AE05A34"/>
    <w:multiLevelType w:val="hybridMultilevel"/>
    <w:lvl w:ilvl="0">
      <w:lvlJc w:val="left"/>
      <w:lvlText w:val="%1."/>
      <w:numFmt w:val="decimal"/>
      <w:start w:val="16"/>
    </w:lvl>
    <w:lvl w:ilvl="1">
      <w:lvlJc w:val="left"/>
      <w:lvlText w:val="%2."/>
      <w:numFmt w:val="lowerLetter"/>
      <w:start w:val="1"/>
    </w:lvl>
  </w:abstractNum>
  <w:abstractNum w:abstractNumId="90">
    <w:nsid w:val="32794FF7"/>
    <w:multiLevelType w:val="hybridMultilevel"/>
    <w:lvl w:ilvl="0">
      <w:lvlJc w:val="left"/>
      <w:lvlText w:val="%1."/>
      <w:numFmt w:val="decimal"/>
      <w:start w:val="1"/>
    </w:lvl>
  </w:abstractNum>
  <w:abstractNum w:abstractNumId="91">
    <w:nsid w:val="5454945E"/>
    <w:multiLevelType w:val="hybridMultilevel"/>
    <w:lvl w:ilvl="0">
      <w:lvlJc w:val="left"/>
      <w:lvlText w:val="(%1)"/>
      <w:numFmt w:val="lowerLetter"/>
      <w:start w:val="1"/>
    </w:lvl>
  </w:abstractNum>
  <w:abstractNum w:abstractNumId="92">
    <w:nsid w:val="4DEFDFA0"/>
    <w:multiLevelType w:val="hybridMultilevel"/>
    <w:lvl w:ilvl="0">
      <w:lvlJc w:val="left"/>
      <w:lvlText w:val="%1."/>
      <w:numFmt w:val="decimal"/>
      <w:start w:val="2"/>
    </w:lvl>
  </w:abstractNum>
  <w:abstractNum w:abstractNumId="93">
    <w:nsid w:val="2123D5F2"/>
    <w:multiLevelType w:val="hybridMultilevel"/>
    <w:lvl w:ilvl="0">
      <w:lvlJc w:val="left"/>
      <w:lvlText w:val="(%1)"/>
      <w:numFmt w:val="lowerLetter"/>
      <w:start w:val="1"/>
    </w:lvl>
  </w:abstractNum>
  <w:abstractNum w:abstractNumId="94">
    <w:nsid w:val="135B8110"/>
    <w:multiLevelType w:val="hybridMultilevel"/>
    <w:lvl w:ilvl="0">
      <w:lvlJc w:val="left"/>
      <w:lvlText w:val="(%1)"/>
      <w:numFmt w:val="lowerLetter"/>
      <w:start w:val="2"/>
    </w:lvl>
  </w:abstractNum>
  <w:abstractNum w:abstractNumId="95">
    <w:nsid w:val="94927A8"/>
    <w:multiLevelType w:val="hybridMultilevel"/>
    <w:lvl w:ilvl="0">
      <w:lvlJc w:val="left"/>
      <w:lvlText w:val="%1."/>
      <w:numFmt w:val="decimal"/>
      <w:start w:val="3"/>
    </w:lvl>
  </w:abstractNum>
  <w:abstractNum w:abstractNumId="96">
    <w:nsid w:val="DCDF8F6"/>
    <w:multiLevelType w:val="hybridMultilevel"/>
    <w:lvl w:ilvl="0">
      <w:lvlJc w:val="left"/>
      <w:lvlText w:val="(%1)"/>
      <w:numFmt w:val="lowerLetter"/>
      <w:start w:val="1"/>
    </w:lvl>
  </w:abstractNum>
  <w:abstractNum w:abstractNumId="97">
    <w:nsid w:val="52D7B105"/>
    <w:multiLevelType w:val="hybridMultilevel"/>
    <w:lvl w:ilvl="0">
      <w:lvlJc w:val="left"/>
      <w:lvlText w:val="%1"/>
      <w:numFmt w:val="lowerLetter"/>
      <w:start w:val="1"/>
    </w:lvl>
    <w:lvl w:ilvl="1">
      <w:lvlJc w:val="left"/>
      <w:lvlText w:val="(%2)"/>
      <w:numFmt w:val="lowerLetter"/>
      <w:start w:val="3"/>
    </w:lvl>
  </w:abstractNum>
  <w:abstractNum w:abstractNumId="98">
    <w:nsid w:val="2E8A6394"/>
    <w:multiLevelType w:val="hybridMultilevel"/>
    <w:lvl w:ilvl="0">
      <w:lvlJc w:val="left"/>
      <w:lvlText w:val="(%1)"/>
      <w:numFmt w:val="lowerLetter"/>
      <w:start w:val="35"/>
    </w:lvl>
    <w:lvl w:ilvl="1">
      <w:lvlJc w:val="left"/>
      <w:lvlText w:val="%2"/>
      <w:numFmt w:val="lowerLetter"/>
      <w:start w:val="1"/>
    </w:lvl>
  </w:abstractNum>
  <w:abstractNum w:abstractNumId="99">
    <w:nsid w:val="24E60401"/>
    <w:multiLevelType w:val="hybridMultilevel"/>
    <w:lvl w:ilvl="0">
      <w:lvlJc w:val="left"/>
      <w:lvlText w:val="%1."/>
      <w:numFmt w:val="decimal"/>
      <w:start w:val="4"/>
    </w:lvl>
  </w:abstractNum>
  <w:abstractNum w:abstractNumId="100">
    <w:nsid w:val="2A6AD9BE"/>
    <w:multiLevelType w:val="hybridMultilevel"/>
    <w:lvl w:ilvl="0">
      <w:lvlJc w:val="left"/>
      <w:lvlText w:val="(%1)"/>
      <w:numFmt w:val="lowerLetter"/>
      <w:start w:val="1"/>
    </w:lvl>
  </w:abstractNum>
  <w:abstractNum w:abstractNumId="101">
    <w:nsid w:val="BAAC1B4"/>
    <w:multiLevelType w:val="hybridMultilevel"/>
    <w:lvl w:ilvl="0">
      <w:lvlJc w:val="left"/>
      <w:lvlText w:val="%1."/>
      <w:numFmt w:val="decimal"/>
      <w:start w:val="5"/>
    </w:lvl>
  </w:abstractNum>
  <w:abstractNum w:abstractNumId="102">
    <w:nsid w:val="36B2ACBC"/>
    <w:multiLevelType w:val="hybridMultilevel"/>
    <w:lvl w:ilvl="0">
      <w:lvlJc w:val="left"/>
      <w:lvlText w:val="(%1)"/>
      <w:numFmt w:val="lowerLetter"/>
      <w:start w:val="1"/>
    </w:lvl>
    <w:lvl w:ilvl="1">
      <w:lvlJc w:val="left"/>
      <w:lvlText w:val="%2."/>
      <w:numFmt w:val="decimal"/>
      <w:start w:val="1"/>
    </w:lvl>
  </w:abstractNum>
  <w:abstractNum w:abstractNumId="103">
    <w:nsid w:val="779D8544"/>
    <w:multiLevelType w:val="hybridMultilevel"/>
    <w:lvl w:ilvl="0">
      <w:lvlJc w:val="left"/>
      <w:lvlText w:val="(%1)"/>
      <w:numFmt w:val="lowerLetter"/>
      <w:start w:val="3"/>
    </w:lvl>
  </w:abstractNum>
  <w:abstractNum w:abstractNumId="104">
    <w:nsid w:val="4AB26E78"/>
    <w:multiLevelType w:val="hybridMultilevel"/>
    <w:lvl w:ilvl="0">
      <w:lvlJc w:val="left"/>
      <w:lvlText w:val="%1."/>
      <w:numFmt w:val="decimal"/>
      <w:start w:val="6"/>
    </w:lvl>
  </w:abstractNum>
  <w:abstractNum w:abstractNumId="105">
    <w:nsid w:val="21FAA2FA"/>
    <w:multiLevelType w:val="hybridMultilevel"/>
    <w:lvl w:ilvl="0">
      <w:lvlJc w:val="left"/>
      <w:lvlText w:val="(%1)"/>
      <w:numFmt w:val="lowerLetter"/>
      <w:start w:val="1"/>
    </w:lvl>
  </w:abstractNum>
  <w:abstractNum w:abstractNumId="106">
    <w:nsid w:val="5451CF49"/>
    <w:multiLevelType w:val="hybridMultilevel"/>
    <w:lvl w:ilvl="0">
      <w:lvlJc w:val="left"/>
      <w:lvlText w:val="[*]"/>
      <w:numFmt w:val="bullet"/>
      <w:start w:val="1"/>
    </w:lvl>
  </w:abstractNum>
  <w:abstractNum w:abstractNumId="107">
    <w:nsid w:val="6181EF69"/>
    <w:multiLevelType w:val="hybridMultilevel"/>
    <w:lvl w:ilvl="0">
      <w:lvlJc w:val="left"/>
      <w:lvlText w:val="[*]"/>
      <w:numFmt w:val="bullet"/>
      <w:start w:val="1"/>
    </w:lvl>
  </w:abstractNum>
  <w:abstractNum w:abstractNumId="108">
    <w:nsid w:val="3E6400E6"/>
    <w:multiLevelType w:val="hybridMultilevel"/>
    <w:lvl w:ilvl="0">
      <w:lvlJc w:val="left"/>
      <w:lvlText w:val="[*]"/>
      <w:numFmt w:val="bullet"/>
      <w:start w:val="1"/>
    </w:lvl>
  </w:abstractNum>
  <w:abstractNum w:abstractNumId="109">
    <w:nsid w:val="14217E23"/>
    <w:multiLevelType w:val="hybridMultilevel"/>
    <w:lvl w:ilvl="0">
      <w:lvlJc w:val="left"/>
      <w:lvlText w:val="[*]"/>
      <w:numFmt w:val="bullet"/>
      <w:start w:val="1"/>
    </w:lvl>
  </w:abstractNum>
  <w:abstractNum w:abstractNumId="110">
    <w:nsid w:val="710757D0"/>
    <w:multiLevelType w:val="hybridMultilevel"/>
    <w:lvl w:ilvl="0">
      <w:lvlJc w:val="left"/>
      <w:lvlText w:val="(%1)"/>
      <w:numFmt w:val="lowerLetter"/>
      <w:start w:val="1"/>
    </w:lvl>
  </w:abstractNum>
  <w:abstractNum w:abstractNumId="111">
    <w:nsid w:val="5015CD1A"/>
    <w:multiLevelType w:val="hybridMultilevel"/>
    <w:lvl w:ilvl="0">
      <w:lvlJc w:val="left"/>
      <w:lvlText w:val="(%1)"/>
      <w:numFmt w:val="lowerLetter"/>
      <w:start w:val="3"/>
    </w:lvl>
  </w:abstractNum>
  <w:abstractNum w:abstractNumId="112">
    <w:nsid w:val="424479DA"/>
    <w:multiLevelType w:val="hybridMultilevel"/>
    <w:lvl w:ilvl="0">
      <w:lvlJc w:val="left"/>
      <w:lvlText w:val="[*]"/>
      <w:numFmt w:val="bullet"/>
      <w:start w:val="1"/>
    </w:lvl>
  </w:abstractNum>
  <w:abstractNum w:abstractNumId="113">
    <w:nsid w:val="1A9A9E69"/>
    <w:multiLevelType w:val="hybridMultilevel"/>
    <w:lvl w:ilvl="0">
      <w:lvlJc w:val="left"/>
      <w:lvlText w:val="[*]"/>
      <w:numFmt w:val="bullet"/>
      <w:start w:val="1"/>
    </w:lvl>
  </w:abstractNum>
  <w:abstractNum w:abstractNumId="114">
    <w:nsid w:val="475E256A"/>
    <w:multiLevelType w:val="hybridMultilevel"/>
    <w:lvl w:ilvl="0">
      <w:lvlJc w:val="left"/>
      <w:lvlText w:val="[*]"/>
      <w:numFmt w:val="bullet"/>
      <w:start w:val="1"/>
    </w:lvl>
  </w:abstractNum>
  <w:abstractNum w:abstractNumId="115">
    <w:nsid w:val="368DB37E"/>
    <w:multiLevelType w:val="hybridMultilevel"/>
    <w:lvl w:ilvl="0">
      <w:lvlJc w:val="left"/>
      <w:lvlText w:val="[*]"/>
      <w:numFmt w:val="bullet"/>
      <w:start w:val="1"/>
    </w:lvl>
  </w:abstractNum>
  <w:abstractNum w:abstractNumId="116">
    <w:nsid w:val="6A3B714C"/>
    <w:multiLevelType w:val="hybridMultilevel"/>
    <w:lvl w:ilvl="0">
      <w:lvlJc w:val="left"/>
      <w:lvlText w:val="[*]"/>
      <w:numFmt w:val="bullet"/>
      <w:start w:val="1"/>
    </w:lvl>
  </w:abstractNum>
  <w:abstractNum w:abstractNumId="117">
    <w:nsid w:val="327B517E"/>
    <w:multiLevelType w:val="hybridMultilevel"/>
    <w:lvl w:ilvl="0">
      <w:lvlJc w:val="left"/>
      <w:lvlText w:val="[*]"/>
      <w:numFmt w:val="bullet"/>
      <w:start w:val="1"/>
    </w:lvl>
  </w:abstractNum>
  <w:abstractNum w:abstractNumId="118">
    <w:nsid w:val="1F461B51"/>
    <w:multiLevelType w:val="hybridMultilevel"/>
    <w:lvl w:ilvl="0">
      <w:lvlJc w:val="left"/>
      <w:lvlText w:val="(%1)"/>
      <w:numFmt w:val="lowerLetter"/>
      <w:start w:val="2"/>
    </w:lvl>
  </w:abstractNum>
  <w:abstractNum w:abstractNumId="119">
    <w:nsid w:val="29BACF25"/>
    <w:multiLevelType w:val="hybridMultilevel"/>
    <w:lvl w:ilvl="0">
      <w:lvlJc w:val="left"/>
      <w:lvlText w:val="[*]"/>
      <w:numFmt w:val="bullet"/>
      <w:start w:val="1"/>
    </w:lvl>
  </w:abstractNum>
  <w:abstractNum w:abstractNumId="120">
    <w:nsid w:val="5D5BABB3"/>
    <w:multiLevelType w:val="hybridMultilevel"/>
    <w:lvl w:ilvl="0">
      <w:lvlJc w:val="left"/>
      <w:lvlText w:val="[*]"/>
      <w:numFmt w:val="bullet"/>
      <w:start w:val="1"/>
    </w:lvl>
  </w:abstractNum>
  <w:abstractNum w:abstractNumId="121">
    <w:nsid w:val="51BF6B48"/>
    <w:multiLevelType w:val="hybridMultilevel"/>
    <w:lvl w:ilvl="0">
      <w:lvlJc w:val="left"/>
      <w:lvlText w:val="[*]"/>
      <w:numFmt w:val="bullet"/>
      <w:start w:val="1"/>
    </w:lvl>
  </w:abstractNum>
  <w:abstractNum w:abstractNumId="122">
    <w:nsid w:val="7E0F6384"/>
    <w:multiLevelType w:val="hybridMultilevel"/>
    <w:lvl w:ilvl="0">
      <w:lvlJc w:val="left"/>
      <w:lvlText w:val="[*]"/>
      <w:numFmt w:val="bullet"/>
      <w:start w:val="1"/>
    </w:lvl>
  </w:abstractNum>
  <w:abstractNum w:abstractNumId="123">
    <w:nsid w:val="2B4B8B53"/>
    <w:multiLevelType w:val="hybridMultilevel"/>
    <w:lvl w:ilvl="0">
      <w:lvlJc w:val="left"/>
      <w:lvlText w:val="[*]"/>
      <w:numFmt w:val="bullet"/>
      <w:start w:val="1"/>
    </w:lvl>
  </w:abstractNum>
  <w:abstractNum w:abstractNumId="124">
    <w:nsid w:val="72E3413A"/>
    <w:multiLevelType w:val="hybridMultilevel"/>
    <w:lvl w:ilvl="0">
      <w:lvlJc w:val="left"/>
      <w:lvlText w:val="[*]"/>
      <w:numFmt w:val="bullet"/>
      <w:start w:val="1"/>
    </w:lvl>
  </w:abstractNum>
  <w:abstractNum w:abstractNumId="125">
    <w:nsid w:val="116AE494"/>
    <w:multiLevelType w:val="hybridMultilevel"/>
    <w:lvl w:ilvl="0">
      <w:lvlJc w:val="left"/>
      <w:lvlText w:val="(%1)"/>
      <w:numFmt w:val="lowerLetter"/>
      <w:start w:val="1"/>
    </w:lvl>
  </w:abstractNum>
  <w:abstractNum w:abstractNumId="126">
    <w:nsid w:val="3494B2FB"/>
    <w:multiLevelType w:val="hybridMultilevel"/>
    <w:lvl w:ilvl="0">
      <w:lvlJc w:val="left"/>
      <w:lvlText w:val="[*]"/>
      <w:numFmt w:val="bullet"/>
      <w:start w:val="1"/>
    </w:lvl>
  </w:abstractNum>
  <w:abstractNum w:abstractNumId="127">
    <w:nsid w:val="B13A31"/>
    <w:multiLevelType w:val="hybridMultilevel"/>
    <w:lvl w:ilvl="0">
      <w:lvlJc w:val="left"/>
      <w:lvlText w:val="(%1)"/>
      <w:numFmt w:val="lowerLetter"/>
      <w:start w:val="1"/>
    </w:lvl>
    <w:lvl w:ilvl="1">
      <w:lvlJc w:val="left"/>
      <w:lvlText w:val="(%2)"/>
      <w:numFmt w:val="lowerRoman"/>
      <w:start w:val="1"/>
    </w:lvl>
  </w:abstractNum>
  <w:abstractNum w:abstractNumId="128">
    <w:nsid w:val="64429599"/>
    <w:multiLevelType w:val="hybridMultilevel"/>
    <w:lvl w:ilvl="0">
      <w:lvlJc w:val="left"/>
      <w:lvlText w:val="[*]"/>
      <w:numFmt w:val="bullet"/>
      <w:start w:val="1"/>
    </w:lvl>
  </w:abstractNum>
  <w:abstractNum w:abstractNumId="129">
    <w:nsid w:val="631F1690"/>
    <w:multiLevelType w:val="hybridMultilevel"/>
    <w:lvl w:ilvl="0">
      <w:lvlJc w:val="left"/>
      <w:lvlText w:val="%1"/>
      <w:numFmt w:val="lowerLetter"/>
      <w:start w:val="1"/>
    </w:lvl>
    <w:lvl w:ilvl="1">
      <w:lvlJc w:val="left"/>
      <w:lvlText w:val="(%2)"/>
      <w:numFmt w:val="lowerLetter"/>
      <w:start w:val="35"/>
    </w:lvl>
  </w:abstractNum>
  <w:abstractNum w:abstractNumId="130">
    <w:nsid w:val="25973E32"/>
    <w:multiLevelType w:val="hybridMultilevel"/>
    <w:lvl w:ilvl="0">
      <w:lvlJc w:val="left"/>
      <w:lvlText w:val="(%1)"/>
      <w:numFmt w:val="lowerLetter"/>
      <w:start w:val="2"/>
    </w:lvl>
    <w:lvl w:ilvl="1">
      <w:lvlJc w:val="left"/>
      <w:lvlText w:val="%2"/>
      <w:numFmt w:val="lowerLetter"/>
      <w:start w:val="1"/>
    </w:lvl>
  </w:abstractNum>
  <w:abstractNum w:abstractNumId="131">
    <w:nsid w:val="EAD6F57"/>
    <w:multiLevelType w:val="hybridMultilevel"/>
    <w:lvl w:ilvl="0">
      <w:lvlJc w:val="left"/>
      <w:lvlText w:val="[*]"/>
      <w:numFmt w:val="bullet"/>
      <w:start w:val="1"/>
    </w:lvl>
  </w:abstractNum>
  <w:abstractNum w:abstractNumId="132">
    <w:nsid w:val="6EC9D84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3">
    <w:nsid w:val="5C49EAEE"/>
    <w:multiLevelType w:val="hybridMultilevel"/>
    <w:lvl w:ilvl="0">
      <w:lvlJc w:val="left"/>
      <w:lvlText w:val="[*]"/>
      <w:numFmt w:val="bullet"/>
      <w:start w:val="1"/>
    </w:lvl>
  </w:abstractNum>
  <w:abstractNum w:abstractNumId="134">
    <w:nsid w:val="64AF4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5">
    <w:nsid w:val="397C46BC"/>
    <w:multiLevelType w:val="hybridMultilevel"/>
    <w:lvl w:ilvl="0">
      <w:lvlJc w:val="left"/>
      <w:lvlText w:val="[*]"/>
      <w:numFmt w:val="bullet"/>
      <w:start w:val="1"/>
    </w:lvl>
  </w:abstractNum>
  <w:abstractNum w:abstractNumId="136">
    <w:nsid w:val="7E448D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137">
    <w:nsid w:val="5A9CC3E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8">
    <w:nsid w:val="1AFE362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9">
    <w:nsid w:val="3CA88ECF"/>
    <w:multiLevelType w:val="hybridMultilevel"/>
    <w:lvl w:ilvl="0">
      <w:lvlJc w:val="left"/>
      <w:lvlText w:val="[*]"/>
      <w:numFmt w:val="bullet"/>
      <w:start w:val="1"/>
    </w:lvl>
  </w:abstractNum>
  <w:abstractNum w:abstractNumId="140">
    <w:nsid w:val="6EBE4208"/>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9"/>
    </w:lvl>
  </w:abstractNum>
  <w:abstractNum w:abstractNumId="141">
    <w:nsid w:val="C058DF5"/>
    <w:multiLevelType w:val="hybridMultilevel"/>
    <w:lvl w:ilvl="0">
      <w:lvlJc w:val="left"/>
      <w:lvlText w:val="(%1)"/>
      <w:numFmt w:val="lowerLetter"/>
      <w:start w:val="1"/>
    </w:lvl>
  </w:abstractNum>
  <w:abstractNum w:abstractNumId="142">
    <w:nsid w:val="CBE5BE9"/>
    <w:multiLevelType w:val="hybridMultilevel"/>
    <w:lvl w:ilvl="0">
      <w:lvlJc w:val="left"/>
      <w:lvlText w:val="[*]"/>
      <w:numFmt w:val="bullet"/>
      <w:start w:val="1"/>
    </w:lvl>
  </w:abstractNum>
  <w:abstractNum w:abstractNumId="143">
    <w:nsid w:val="3102BBE2"/>
    <w:multiLevelType w:val="hybridMultilevel"/>
    <w:lvl w:ilvl="0">
      <w:lvlJc w:val="left"/>
      <w:lvlText w:val="(%1)"/>
      <w:numFmt w:val="lowerLetter"/>
      <w:start w:val="2"/>
    </w:lvl>
    <w:lvl w:ilvl="1">
      <w:lvlJc w:val="left"/>
      <w:lvlText w:val="(%2)"/>
      <w:numFmt w:val="lowerRoman"/>
      <w:start w:val="1"/>
    </w:lvl>
  </w:abstractNum>
  <w:abstractNum w:abstractNumId="144">
    <w:nsid w:val="26A02C5E"/>
    <w:multiLevelType w:val="hybridMultilevel"/>
    <w:lvl w:ilvl="0">
      <w:lvlJc w:val="left"/>
      <w:lvlText w:val="[*]"/>
      <w:numFmt w:val="bullet"/>
      <w:start w:val="1"/>
    </w:lvl>
  </w:abstractNum>
  <w:abstractNum w:abstractNumId="145">
    <w:nsid w:val="541C8153"/>
    <w:multiLevelType w:val="hybridMultilevel"/>
    <w:lvl w:ilvl="0">
      <w:lvlJc w:val="left"/>
      <w:lvlText w:val="(%1)"/>
      <w:numFmt w:val="lowerLetter"/>
      <w:start w:val="4"/>
    </w:lvl>
  </w:abstractNum>
  <w:abstractNum w:abstractNumId="146">
    <w:nsid w:val="67906F60"/>
    <w:multiLevelType w:val="hybridMultilevel"/>
    <w:lvl w:ilvl="0">
      <w:lvlJc w:val="left"/>
      <w:lvlText w:val="(%1)"/>
      <w:numFmt w:val="lowerLetter"/>
      <w:start w:val="1"/>
    </w:lvl>
  </w:abstractNum>
  <w:abstractNum w:abstractNumId="147">
    <w:nsid w:val="10DB9DAA"/>
    <w:multiLevelType w:val="hybridMultilevel"/>
    <w:lvl w:ilvl="0">
      <w:lvlJc w:val="left"/>
      <w:lvlText w:val="(%1)"/>
      <w:numFmt w:val="lowerRoman"/>
      <w:start w:val="1"/>
    </w:lvl>
  </w:abstractNum>
  <w:abstractNum w:abstractNumId="148">
    <w:nsid w:val="697D2D2"/>
    <w:multiLevelType w:val="hybridMultilevel"/>
    <w:lvl w:ilvl="0">
      <w:lvlJc w:val="left"/>
      <w:lvlText w:val="[*]"/>
      <w:numFmt w:val="bullet"/>
      <w:start w:val="1"/>
    </w:lvl>
  </w:abstractNum>
  <w:abstractNum w:abstractNumId="149">
    <w:nsid w:val="6D68AB2"/>
    <w:multiLevelType w:val="hybridMultilevel"/>
    <w:lvl w:ilvl="0">
      <w:lvlJc w:val="left"/>
      <w:lvlText w:val="(%1)"/>
      <w:numFmt w:val="lowerLetter"/>
      <w:start w:val="1"/>
    </w:lvl>
  </w:abstractNum>
  <w:abstractNum w:abstractNumId="150">
    <w:nsid w:val="3A966CD0"/>
    <w:multiLevelType w:val="hybridMultilevel"/>
    <w:lvl w:ilvl="0">
      <w:lvlJc w:val="left"/>
      <w:lvlText w:val="[*]"/>
      <w:numFmt w:val="bullet"/>
      <w:start w:val="1"/>
    </w:lvl>
  </w:abstractNum>
  <w:abstractNum w:abstractNumId="151">
    <w:nsid w:val="63F37E85"/>
    <w:multiLevelType w:val="hybridMultilevel"/>
    <w:lvl w:ilvl="0">
      <w:lvlJc w:val="left"/>
      <w:lvlText w:val="[*]"/>
      <w:numFmt w:val="bullet"/>
      <w:start w:val="1"/>
    </w:lvl>
  </w:abstractNum>
  <w:abstractNum w:abstractNumId="152">
    <w:nsid w:val="5895F5FA"/>
    <w:multiLevelType w:val="hybridMultilevel"/>
    <w:lvl w:ilvl="0">
      <w:lvlJc w:val="left"/>
      <w:lvlText w:val="[*]"/>
      <w:numFmt w:val="bullet"/>
      <w:start w:val="1"/>
    </w:lvl>
  </w:abstractNum>
  <w:abstractNum w:abstractNumId="153">
    <w:nsid w:val="38A5D054"/>
    <w:multiLevelType w:val="hybridMultilevel"/>
    <w:lvl w:ilvl="0">
      <w:lvlJc w:val="left"/>
      <w:lvlText w:val="[*]"/>
      <w:numFmt w:val="bullet"/>
      <w:start w:val="1"/>
    </w:lvl>
  </w:abstractNum>
  <w:abstractNum w:abstractNumId="154">
    <w:nsid w:val="F3F09D8"/>
    <w:multiLevelType w:val="hybridMultilevel"/>
    <w:lvl w:ilvl="0">
      <w:lvlJc w:val="left"/>
      <w:lvlText w:val="[*]"/>
      <w:numFmt w:val="bullet"/>
      <w:start w:val="1"/>
    </w:lvl>
  </w:abstractNum>
  <w:abstractNum w:abstractNumId="155">
    <w:nsid w:val="4B793735"/>
    <w:multiLevelType w:val="hybridMultilevel"/>
    <w:lvl w:ilvl="0">
      <w:lvlJc w:val="left"/>
      <w:lvlText w:val="(%1)"/>
      <w:numFmt w:val="lowerLetter"/>
      <w:start w:val="1"/>
    </w:lvl>
  </w:abstractNum>
  <w:abstractNum w:abstractNumId="156">
    <w:nsid w:val="4A10B4E8"/>
    <w:multiLevelType w:val="hybridMultilevel"/>
    <w:lvl w:ilvl="0">
      <w:lvlJc w:val="left"/>
      <w:lvlText w:val="(%1)"/>
      <w:numFmt w:val="lowerLetter"/>
      <w:start w:val="2"/>
    </w:lvl>
  </w:abstractNum>
  <w:abstractNum w:abstractNumId="157">
    <w:nsid w:val="43D3BCD4"/>
    <w:multiLevelType w:val="hybridMultilevel"/>
    <w:lvl w:ilvl="0">
      <w:lvlJc w:val="left"/>
      <w:lvlText w:val="[*]"/>
      <w:numFmt w:val="bullet"/>
      <w:start w:val="1"/>
    </w:lvl>
  </w:abstractNum>
  <w:abstractNum w:abstractNumId="158">
    <w:nsid w:val="4C2A7166"/>
    <w:multiLevelType w:val="hybridMultilevel"/>
    <w:lvl w:ilvl="0">
      <w:lvlJc w:val="left"/>
      <w:lvlText w:val="(%1)"/>
      <w:numFmt w:val="lowerLetter"/>
      <w:start w:val="1"/>
    </w:lvl>
  </w:abstractNum>
  <w:abstractNum w:abstractNumId="159">
    <w:nsid w:val="2E534A82"/>
    <w:multiLevelType w:val="hybridMultilevel"/>
    <w:lvl w:ilvl="0">
      <w:lvlJc w:val="left"/>
      <w:lvlText w:val="(%1)"/>
      <w:numFmt w:val="lowerLetter"/>
      <w:start w:val="2"/>
    </w:lvl>
    <w:lvl w:ilvl="1">
      <w:lvlJc w:val="left"/>
      <w:lvlText w:val="(%2)"/>
      <w:numFmt w:val="lowerRoman"/>
      <w:start w:val="1"/>
    </w:lvl>
  </w:abstractNum>
  <w:abstractNum w:abstractNumId="160">
    <w:nsid w:val="26F2D364"/>
    <w:multiLevelType w:val="hybridMultilevel"/>
    <w:lvl w:ilvl="0">
      <w:lvlJc w:val="left"/>
      <w:lvlText w:val="[*]"/>
      <w:numFmt w:val="bullet"/>
      <w:start w:val="1"/>
    </w:lvl>
  </w:abstractNum>
  <w:abstractNum w:abstractNumId="161">
    <w:nsid w:val="71C1AF98"/>
    <w:multiLevelType w:val="hybridMultilevel"/>
    <w:lvl w:ilvl="0">
      <w:lvlJc w:val="left"/>
      <w:lvlText w:val="(%1)"/>
      <w:numFmt w:val="lowerRoman"/>
      <w:start w:val="2"/>
    </w:lvl>
  </w:abstractNum>
  <w:abstractNum w:abstractNumId="162">
    <w:nsid w:val="3D00B9D9"/>
    <w:multiLevelType w:val="hybridMultilevel"/>
    <w:lvl w:ilvl="0">
      <w:lvlJc w:val="left"/>
      <w:lvlText w:val="(%1)"/>
      <w:numFmt w:val="lowerLetter"/>
      <w:start w:val="1"/>
    </w:lvl>
  </w:abstractNum>
  <w:abstractNum w:abstractNumId="163">
    <w:nsid w:val="15BCABA8"/>
    <w:multiLevelType w:val="hybridMultilevel"/>
    <w:lvl w:ilvl="0">
      <w:lvlJc w:val="left"/>
      <w:lvlText w:val="[*]"/>
      <w:numFmt w:val="bullet"/>
      <w:start w:val="1"/>
    </w:lvl>
  </w:abstractNum>
  <w:abstractNum w:abstractNumId="164">
    <w:nsid w:val="4E0B9A87"/>
    <w:multiLevelType w:val="hybridMultilevel"/>
    <w:lvl w:ilvl="0">
      <w:lvlJc w:val="left"/>
      <w:lvlText w:val="(%1)"/>
      <w:numFmt w:val="lowerLetter"/>
      <w:start w:val="3"/>
    </w:lvl>
  </w:abstractNum>
  <w:abstractNum w:abstractNumId="165">
    <w:nsid w:val="434BAE75"/>
    <w:multiLevelType w:val="hybridMultilevel"/>
    <w:lvl w:ilvl="0">
      <w:lvlJc w:val="left"/>
      <w:lvlText w:val="(%1)"/>
      <w:numFmt w:val="lowerLetter"/>
      <w:start w:val="1"/>
    </w:lvl>
  </w:abstractNum>
  <w:abstractNum w:abstractNumId="166">
    <w:nsid w:val="4F38F265"/>
    <w:multiLevelType w:val="hybridMultilevel"/>
    <w:lvl w:ilvl="0">
      <w:lvlJc w:val="left"/>
      <w:lvlText w:val="[*]"/>
      <w:numFmt w:val="bullet"/>
      <w:start w:val="1"/>
    </w:lvl>
  </w:abstractNum>
  <w:abstractNum w:abstractNumId="167">
    <w:nsid w:val="4C502870"/>
    <w:multiLevelType w:val="hybridMultilevel"/>
    <w:lvl w:ilvl="0">
      <w:lvlJc w:val="left"/>
      <w:lvlText w:val="(%1)"/>
      <w:numFmt w:val="lowerLetter"/>
      <w:start w:val="3"/>
    </w:lvl>
  </w:abstractNum>
  <w:abstractNum w:abstractNumId="168">
    <w:nsid w:val="1DE8725A"/>
    <w:multiLevelType w:val="hybridMultilevel"/>
    <w:lvl w:ilvl="0">
      <w:lvlJc w:val="left"/>
      <w:lvlText w:val="[*]"/>
      <w:numFmt w:val="bullet"/>
      <w:start w:val="1"/>
    </w:lvl>
  </w:abstractNum>
  <w:abstractNum w:abstractNumId="169">
    <w:nsid w:val="6A37288A"/>
    <w:multiLevelType w:val="hybridMultilevel"/>
    <w:lvl w:ilvl="0">
      <w:lvlJc w:val="left"/>
      <w:lvlText w:val="(%1)"/>
      <w:numFmt w:val="lowerLetter"/>
      <w:start w:val="1"/>
    </w:lvl>
    <w:lvl w:ilvl="1">
      <w:lvlJc w:val="left"/>
      <w:lvlText w:val="(%2)"/>
      <w:numFmt w:val="lowerRoman"/>
      <w:start w:val="1"/>
    </w:lvl>
  </w:abstractNum>
  <w:abstractNum w:abstractNumId="170">
    <w:nsid w:val="8F8B73F"/>
    <w:multiLevelType w:val="hybridMultilevel"/>
    <w:lvl w:ilvl="0">
      <w:lvlJc w:val="left"/>
      <w:lvlText w:val="[*]"/>
      <w:numFmt w:val="bullet"/>
      <w:start w:val="1"/>
    </w:lvl>
  </w:abstractNum>
  <w:abstractNum w:abstractNumId="171">
    <w:nsid w:val="CA6B46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2"/>
    </w:lvl>
  </w:abstractNum>
  <w:abstractNum w:abstractNumId="172">
    <w:nsid w:val="763CB68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3">
    <w:nsid w:val="15B71329"/>
    <w:multiLevelType w:val="hybridMultilevel"/>
    <w:lvl w:ilvl="0">
      <w:lvlJc w:val="left"/>
      <w:lvlText w:val="(%1)"/>
      <w:numFmt w:val="lowerLetter"/>
      <w:start w:val="1"/>
    </w:lvl>
  </w:abstractNum>
  <w:abstractNum w:abstractNumId="174">
    <w:nsid w:val="3DA97044"/>
    <w:multiLevelType w:val="hybridMultilevel"/>
    <w:lvl w:ilvl="0">
      <w:lvlJc w:val="left"/>
      <w:lvlText w:val="[*]"/>
      <w:numFmt w:val="bullet"/>
      <w:start w:val="1"/>
    </w:lvl>
  </w:abstractNum>
  <w:abstractNum w:abstractNumId="175">
    <w:nsid w:val="1CDCE2DE"/>
    <w:multiLevelType w:val="hybridMultilevel"/>
    <w:lvl w:ilvl="0">
      <w:lvlJc w:val="left"/>
      <w:lvlText w:val="(%1)"/>
      <w:numFmt w:val="lowerLetter"/>
      <w:start w:val="3"/>
    </w:lvl>
  </w:abstractNum>
  <w:abstractNum w:abstractNumId="176">
    <w:nsid w:val="69D3947C"/>
    <w:multiLevelType w:val="hybridMultilevel"/>
    <w:lvl w:ilvl="0">
      <w:lvlJc w:val="left"/>
      <w:lvlText w:val="(%1)"/>
      <w:numFmt w:val="lowerRoman"/>
      <w:start w:val="1"/>
    </w:lvl>
  </w:abstractNum>
  <w:abstractNum w:abstractNumId="177">
    <w:nsid w:val="2539DFA5"/>
    <w:multiLevelType w:val="hybridMultilevel"/>
    <w:lvl w:ilvl="0">
      <w:lvlJc w:val="left"/>
      <w:lvlText w:val="[*]"/>
      <w:numFmt w:val="bullet"/>
      <w:start w:val="1"/>
    </w:lvl>
  </w:abstractNum>
  <w:abstractNum w:abstractNumId="178">
    <w:nsid w:val="2DB88089"/>
    <w:multiLevelType w:val="hybridMultilevel"/>
    <w:lvl w:ilvl="0">
      <w:lvlJc w:val="left"/>
      <w:lvlText w:val="(%1)"/>
      <w:numFmt w:val="lowerRoman"/>
      <w:start w:val="3"/>
    </w:lvl>
  </w:abstractNum>
  <w:abstractNum w:abstractNumId="179">
    <w:nsid w:val="706B674E"/>
    <w:multiLevelType w:val="hybridMultilevel"/>
    <w:lvl w:ilvl="0">
      <w:lvlJc w:val="left"/>
      <w:lvlText w:val="(%1)"/>
      <w:numFmt w:val="lowerLetter"/>
      <w:start w:val="1"/>
    </w:lvl>
  </w:abstractNum>
  <w:abstractNum w:abstractNumId="180">
    <w:nsid w:val="2C106A57"/>
    <w:multiLevelType w:val="hybridMultilevel"/>
    <w:lvl w:ilvl="0">
      <w:lvlJc w:val="left"/>
      <w:lvlText w:val="[*]"/>
      <w:numFmt w:val="bullet"/>
      <w:start w:val="1"/>
    </w:lvl>
  </w:abstractNum>
  <w:abstractNum w:abstractNumId="181">
    <w:nsid w:val="684EED59"/>
    <w:multiLevelType w:val="hybridMultilevel"/>
    <w:lvl w:ilvl="0">
      <w:lvlJc w:val="left"/>
      <w:lvlText w:val="(%1)"/>
      <w:numFmt w:val="lowerLetter"/>
      <w:start w:val="2"/>
    </w:lvl>
  </w:abstractNum>
  <w:abstractNum w:abstractNumId="182">
    <w:nsid w:val="545EE5D3"/>
    <w:multiLevelType w:val="hybridMultilevel"/>
    <w:lvl w:ilvl="0">
      <w:lvlJc w:val="left"/>
      <w:lvlText w:val="[*]"/>
      <w:numFmt w:val="bullet"/>
      <w:start w:val="1"/>
    </w:lvl>
  </w:abstractNum>
  <w:abstractNum w:abstractNumId="183">
    <w:nsid w:val="4A66051"/>
    <w:multiLevelType w:val="hybridMultilevel"/>
    <w:lvl w:ilvl="0">
      <w:lvlJc w:val="left"/>
      <w:lvlText w:val="(%1)"/>
      <w:numFmt w:val="lowerLetter"/>
      <w:start w:val="1"/>
    </w:lvl>
  </w:abstractNum>
  <w:abstractNum w:abstractNumId="184">
    <w:nsid w:val="20F4BDAD"/>
    <w:multiLevelType w:val="hybridMultilevel"/>
    <w:lvl w:ilvl="0">
      <w:lvlJc w:val="left"/>
      <w:lvlText w:val="(%1)"/>
      <w:numFmt w:val="lowerLetter"/>
      <w:start w:val="1"/>
    </w:lvl>
  </w:abstractNum>
  <w:abstractNum w:abstractNumId="185">
    <w:nsid w:val="639DEFAC"/>
    <w:multiLevelType w:val="hybridMultilevel"/>
    <w:lvl w:ilvl="0">
      <w:lvlJc w:val="left"/>
      <w:lvlText w:val="[*]"/>
      <w:numFmt w:val="bullet"/>
      <w:start w:val="1"/>
    </w:lvl>
  </w:abstractNum>
  <w:abstractNum w:abstractNumId="186">
    <w:nsid w:val="501F9786"/>
    <w:multiLevelType w:val="hybridMultilevel"/>
    <w:lvl w:ilvl="0">
      <w:lvlJc w:val="left"/>
      <w:lvlText w:val="(%1)"/>
      <w:numFmt w:val="lowerLetter"/>
      <w:start w:val="5"/>
    </w:lvl>
    <w:lvl w:ilvl="1">
      <w:lvlJc w:val="left"/>
      <w:lvlText w:val="(%2)"/>
      <w:numFmt w:val="lowerLetter"/>
      <w:start w:val="9"/>
    </w:lvl>
    <w:lvl w:ilvl="2">
      <w:lvlJc w:val="left"/>
      <w:lvlText w:val="(%3)"/>
      <w:numFmt w:val="lowerLetter"/>
      <w:start w:val="1"/>
    </w:lvl>
  </w:abstractNum>
  <w:abstractNum w:abstractNumId="187">
    <w:nsid w:val="6B057295"/>
    <w:multiLevelType w:val="hybridMultilevel"/>
    <w:lvl w:ilvl="0">
      <w:lvlJc w:val="left"/>
      <w:lvlText w:val="(%1)"/>
      <w:numFmt w:val="lowerRoman"/>
      <w:start w:val="2"/>
    </w:lvl>
  </w:abstractNum>
  <w:abstractNum w:abstractNumId="188">
    <w:nsid w:val="2771AC80"/>
    <w:multiLevelType w:val="hybridMultilevel"/>
    <w:lvl w:ilvl="0">
      <w:lvlJc w:val="left"/>
      <w:lvlText w:val="[*]"/>
      <w:numFmt w:val="bullet"/>
      <w:start w:val="1"/>
    </w:lvl>
  </w:abstractNum>
  <w:abstractNum w:abstractNumId="189">
    <w:nsid w:val="1C4A08EC"/>
    <w:multiLevelType w:val="hybridMultilevel"/>
    <w:lvl w:ilvl="0">
      <w:lvlJc w:val="left"/>
      <w:lvlText w:val="(%1)"/>
      <w:numFmt w:val="lowerLetter"/>
      <w:start w:val="1"/>
    </w:lvl>
  </w:abstractNum>
  <w:abstractNum w:abstractNumId="190">
    <w:nsid w:val="1958BD17"/>
    <w:multiLevelType w:val="hybridMultilevel"/>
    <w:lvl w:ilvl="0">
      <w:lvlJc w:val="left"/>
      <w:lvlText w:val="[*]"/>
      <w:numFmt w:val="bullet"/>
      <w:start w:val="1"/>
    </w:lvl>
  </w:abstractNum>
  <w:abstractNum w:abstractNumId="191">
    <w:nsid w:val="4E647FE4"/>
    <w:multiLevelType w:val="hybridMultilevel"/>
    <w:lvl w:ilvl="0">
      <w:lvlJc w:val="left"/>
      <w:lvlText w:val="(%1)"/>
      <w:numFmt w:val="lowerLetter"/>
      <w:start w:val="2"/>
    </w:lvl>
  </w:abstractNum>
  <w:abstractNum w:abstractNumId="192">
    <w:nsid w:val="E0BB885"/>
    <w:multiLevelType w:val="hybridMultilevel"/>
    <w:lvl w:ilvl="0">
      <w:lvlJc w:val="left"/>
      <w:lvlText w:val="[*]"/>
      <w:numFmt w:val="bullet"/>
      <w:start w:val="1"/>
    </w:lvl>
  </w:abstractNum>
  <w:abstractNum w:abstractNumId="193">
    <w:nsid w:val="565976F1"/>
    <w:multiLevelType w:val="hybridMultilevel"/>
    <w:lvl w:ilvl="0">
      <w:lvlJc w:val="left"/>
      <w:lvlText w:val="(%1)"/>
      <w:numFmt w:val="lowerLetter"/>
      <w:start w:val="7"/>
    </w:lvl>
  </w:abstractNum>
  <w:abstractNum w:abstractNumId="194">
    <w:nsid w:val="64212B8C"/>
    <w:multiLevelType w:val="hybridMultilevel"/>
    <w:lvl w:ilvl="0">
      <w:lvlJc w:val="left"/>
      <w:lvlText w:val="[*]"/>
      <w:numFmt w:val="bullet"/>
      <w:start w:val="1"/>
    </w:lvl>
  </w:abstractNum>
  <w:abstractNum w:abstractNumId="195">
    <w:nsid w:val="5C17530C"/>
    <w:multiLevelType w:val="hybridMultilevel"/>
    <w:lvl w:ilvl="0">
      <w:lvlJc w:val="left"/>
      <w:lvlText w:val="(%1)"/>
      <w:numFmt w:val="lowerLetter"/>
      <w:start w:val="1"/>
    </w:lvl>
  </w:abstractNum>
  <w:abstractNum w:abstractNumId="196">
    <w:nsid w:val="19A52566"/>
    <w:multiLevelType w:val="hybridMultilevel"/>
    <w:lvl w:ilvl="0">
      <w:lvlJc w:val="left"/>
      <w:lvlText w:val="[*]"/>
      <w:numFmt w:val="bullet"/>
      <w:start w:val="1"/>
    </w:lvl>
  </w:abstractNum>
  <w:abstractNum w:abstractNumId="197">
    <w:nsid w:val="335A1DF1"/>
    <w:multiLevelType w:val="hybridMultilevel"/>
    <w:lvl w:ilvl="0">
      <w:lvlJc w:val="left"/>
      <w:lvlText w:val="(%1)"/>
      <w:numFmt w:val="lowerLetter"/>
      <w:start w:val="1"/>
    </w:lvl>
  </w:abstractNum>
  <w:abstractNum w:abstractNumId="198">
    <w:nsid w:val="28677B7C"/>
    <w:multiLevelType w:val="hybridMultilevel"/>
    <w:lvl w:ilvl="0">
      <w:lvlJc w:val="left"/>
      <w:lvlText w:val="[*]"/>
      <w:numFmt w:val="bullet"/>
      <w:start w:val="1"/>
    </w:lvl>
  </w:abstractNum>
  <w:abstractNum w:abstractNumId="199">
    <w:nsid w:val="378D97C0"/>
    <w:multiLevelType w:val="hybridMultilevel"/>
    <w:lvl w:ilvl="0">
      <w:lvlJc w:val="left"/>
      <w:lvlText w:val="[*]"/>
      <w:numFmt w:val="bullet"/>
      <w:start w:val="1"/>
    </w:lvl>
  </w:abstractNum>
  <w:abstractNum w:abstractNumId="200">
    <w:nsid w:val="1D91467C"/>
    <w:multiLevelType w:val="hybridMultilevel"/>
    <w:lvl w:ilvl="0">
      <w:lvlJc w:val="left"/>
      <w:lvlText w:val="[*]"/>
      <w:numFmt w:val="bullet"/>
      <w:start w:val="1"/>
    </w:lvl>
  </w:abstractNum>
  <w:abstractNum w:abstractNumId="201">
    <w:nsid w:val="316032BB"/>
    <w:multiLevelType w:val="hybridMultilevel"/>
    <w:lvl w:ilvl="0">
      <w:lvlJc w:val="left"/>
      <w:lvlText w:val="[*]"/>
      <w:numFmt w:val="bullet"/>
      <w:start w:val="1"/>
    </w:lvl>
  </w:abstractNum>
  <w:abstractNum w:abstractNumId="202">
    <w:nsid w:val="44344C22"/>
    <w:multiLevelType w:val="hybridMultilevel"/>
    <w:lvl w:ilvl="0">
      <w:lvlJc w:val="left"/>
      <w:lvlText w:val="(%1)"/>
      <w:numFmt w:val="lowerLetter"/>
      <w:start w:val="1"/>
    </w:lvl>
    <w:lvl w:ilvl="1">
      <w:lvlJc w:val="left"/>
      <w:lvlText w:val="(%2)"/>
      <w:numFmt w:val="upperLetter"/>
      <w:start w:val="1"/>
    </w:lvl>
  </w:abstractNum>
  <w:abstractNum w:abstractNumId="203">
    <w:nsid w:val="13CDFCFC"/>
    <w:multiLevelType w:val="hybridMultilevel"/>
    <w:lvl w:ilvl="0">
      <w:lvlJc w:val="left"/>
      <w:lvlText w:val="%1"/>
      <w:numFmt w:val="lowerLetter"/>
      <w:start w:val="1"/>
    </w:lvl>
    <w:lvl w:ilvl="1">
      <w:lvlJc w:val="left"/>
      <w:lvlText w:val="(%2)"/>
      <w:numFmt w:val="upperLetter"/>
      <w:start w:val="3"/>
    </w:lvl>
  </w:abstractNum>
  <w:abstractNum w:abstractNumId="204">
    <w:nsid w:val="471745E4"/>
    <w:multiLevelType w:val="hybridMultilevel"/>
    <w:lvl w:ilvl="0">
      <w:lvlJc w:val="left"/>
      <w:lvlText w:val="[*]"/>
      <w:numFmt w:val="bullet"/>
      <w:start w:val="1"/>
    </w:lvl>
  </w:abstractNum>
  <w:abstractNum w:abstractNumId="205">
    <w:nsid w:val="1DDBC66"/>
    <w:multiLevelType w:val="hybridMultilevel"/>
    <w:lvl w:ilvl="0">
      <w:lvlJc w:val="left"/>
      <w:lvlText w:val="(%1)"/>
      <w:numFmt w:val="lowerLetter"/>
      <w:start w:val="2"/>
    </w:lvl>
  </w:abstractNum>
  <w:abstractNum w:abstractNumId="206">
    <w:nsid w:val="30AADFDA"/>
    <w:multiLevelType w:val="hybridMultilevel"/>
    <w:lvl w:ilvl="0">
      <w:lvlJc w:val="left"/>
      <w:lvlText w:val="[*]"/>
      <w:numFmt w:val="bullet"/>
      <w:start w:val="1"/>
    </w:lvl>
  </w:abstractNum>
  <w:abstractNum w:abstractNumId="207">
    <w:nsid w:val="30EADA61"/>
    <w:multiLevelType w:val="hybridMultilevel"/>
    <w:lvl w:ilvl="0">
      <w:lvlJc w:val="left"/>
      <w:lvlText w:val="(%1)"/>
      <w:numFmt w:val="lowerLetter"/>
      <w:start w:val="1"/>
    </w:lvl>
    <w:lvl w:ilvl="1">
      <w:lvlJc w:val="left"/>
      <w:lvlText w:val="[*]"/>
      <w:numFmt w:val="bullet"/>
      <w:start w:val="1"/>
    </w:lvl>
  </w:abstractNum>
  <w:abstractNum w:abstractNumId="208">
    <w:nsid w:val="27179C0B"/>
    <w:multiLevelType w:val="hybridMultilevel"/>
    <w:lvl w:ilvl="0">
      <w:lvlJc w:val="left"/>
      <w:lvlText w:val="[*]"/>
      <w:numFmt w:val="bullet"/>
      <w:start w:val="1"/>
    </w:lvl>
  </w:abstractNum>
  <w:abstractNum w:abstractNumId="209">
    <w:nsid w:val="5E636063"/>
    <w:multiLevelType w:val="hybridMultilevel"/>
    <w:lvl w:ilvl="0">
      <w:lvlJc w:val="left"/>
      <w:lvlText w:val="(%1)"/>
      <w:numFmt w:val="lowerLetter"/>
      <w:start w:val="3"/>
    </w:lvl>
  </w:abstractNum>
  <w:abstractNum w:abstractNumId="210">
    <w:nsid w:val="215641AF"/>
    <w:multiLevelType w:val="hybridMultilevel"/>
    <w:lvl w:ilvl="0">
      <w:lvlJc w:val="left"/>
      <w:lvlText w:val="(%1)"/>
      <w:numFmt w:val="lowerLetter"/>
      <w:start w:val="1"/>
    </w:lvl>
    <w:lvl w:ilvl="1">
      <w:lvlJc w:val="left"/>
      <w:lvlText w:val="(%2)"/>
      <w:numFmt w:val="lowerRoman"/>
      <w:start w:val="1"/>
    </w:lvl>
  </w:abstractNum>
  <w:abstractNum w:abstractNumId="211">
    <w:nsid w:val="53280662"/>
    <w:multiLevelType w:val="hybridMultilevel"/>
    <w:lvl w:ilvl="0">
      <w:lvlJc w:val="left"/>
      <w:lvlText w:val="[*]"/>
      <w:numFmt w:val="bullet"/>
      <w:start w:val="1"/>
    </w:lvl>
  </w:abstractNum>
  <w:abstractNum w:abstractNumId="212">
    <w:nsid w:val="46B24DBC"/>
    <w:multiLevelType w:val="hybridMultilevel"/>
    <w:lvl w:ilvl="0">
      <w:lvlJc w:val="left"/>
      <w:lvlText w:val="(%1)"/>
      <w:numFmt w:val="lowerRoman"/>
      <w:start w:val="2"/>
    </w:lvl>
  </w:abstractNum>
  <w:abstractNum w:abstractNumId="213">
    <w:nsid w:val="75B52783"/>
    <w:multiLevelType w:val="hybridMultilevel"/>
    <w:lvl w:ilvl="0">
      <w:lvlJc w:val="left"/>
      <w:lvlText w:val="(%1)"/>
      <w:numFmt w:val="lowerLetter"/>
      <w:start w:val="1"/>
    </w:lvl>
  </w:abstractNum>
  <w:abstractNum w:abstractNumId="214">
    <w:nsid w:val="57CE66B4"/>
    <w:multiLevelType w:val="hybridMultilevel"/>
    <w:lvl w:ilvl="0">
      <w:lvlJc w:val="left"/>
      <w:lvlText w:val="[*]"/>
      <w:numFmt w:val="bullet"/>
      <w:start w:val="1"/>
    </w:lvl>
  </w:abstractNum>
  <w:abstractNum w:abstractNumId="215">
    <w:nsid w:val="67A70B6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16">
    <w:nsid w:val="5953172F"/>
    <w:multiLevelType w:val="hybridMultilevel"/>
    <w:lvl w:ilvl="0">
      <w:lvlJc w:val="left"/>
      <w:lvlText w:val="(%1)"/>
      <w:numFmt w:val="lowerLetter"/>
      <w:start w:val="3"/>
    </w:lvl>
    <w:lvl w:ilvl="1">
      <w:lvlJc w:val="left"/>
      <w:lvlText w:val="(%2)"/>
      <w:numFmt w:val="lowerRoman"/>
      <w:start w:val="1"/>
    </w:lvl>
  </w:abstractNum>
  <w:abstractNum w:abstractNumId="217">
    <w:nsid w:val="27EDFE3A"/>
    <w:multiLevelType w:val="hybridMultilevel"/>
    <w:lvl w:ilvl="0">
      <w:lvlJc w:val="left"/>
      <w:lvlText w:val="[*]"/>
      <w:numFmt w:val="bullet"/>
      <w:start w:val="1"/>
    </w:lvl>
  </w:abstractNum>
  <w:abstractNum w:abstractNumId="218">
    <w:nsid w:val="52AC7DFF"/>
    <w:multiLevelType w:val="hybridMultilevel"/>
    <w:lvl w:ilvl="0">
      <w:lvlJc w:val="left"/>
      <w:lvlText w:val="(%1)"/>
      <w:numFmt w:val="lowerLetter"/>
      <w:start w:val="4"/>
    </w:lvl>
  </w:abstractNum>
  <w:abstractNum w:abstractNumId="219">
    <w:nsid w:val="C4C3AF"/>
    <w:multiLevelType w:val="hybridMultilevel"/>
    <w:lvl w:ilvl="0">
      <w:lvlJc w:val="left"/>
      <w:lvlText w:val="[*]"/>
      <w:numFmt w:val="bullet"/>
      <w:start w:val="1"/>
    </w:lvl>
  </w:abstractNum>
  <w:abstractNum w:abstractNumId="220">
    <w:nsid w:val="44380727"/>
    <w:multiLevelType w:val="hybridMultilevel"/>
    <w:lvl w:ilvl="0">
      <w:lvlJc w:val="left"/>
      <w:lvlText w:val="(%1)"/>
      <w:numFmt w:val="lowerLetter"/>
      <w:start w:val="1"/>
    </w:lvl>
  </w:abstractNum>
  <w:abstractNum w:abstractNumId="221">
    <w:nsid w:val="6C053B16"/>
    <w:multiLevelType w:val="hybridMultilevel"/>
    <w:lvl w:ilvl="0">
      <w:lvlJc w:val="left"/>
      <w:lvlText w:val="[*]"/>
      <w:numFmt w:val="bullet"/>
      <w:start w:val="1"/>
    </w:lvl>
  </w:abstractNum>
  <w:abstractNum w:abstractNumId="222">
    <w:nsid w:val="4F294393"/>
    <w:multiLevelType w:val="hybridMultilevel"/>
    <w:lvl w:ilvl="0">
      <w:lvlJc w:val="left"/>
      <w:lvlText w:val="(%1)"/>
      <w:numFmt w:val="lowerLetter"/>
      <w:start w:val="5"/>
    </w:lvl>
  </w:abstractNum>
  <w:abstractNum w:abstractNumId="223">
    <w:nsid w:val="5243BFAC"/>
    <w:multiLevelType w:val="hybridMultilevel"/>
    <w:lvl w:ilvl="0">
      <w:lvlJc w:val="left"/>
      <w:lvlText w:val="[*]"/>
      <w:numFmt w:val="bullet"/>
      <w:start w:val="1"/>
    </w:lvl>
  </w:abstractNum>
  <w:abstractNum w:abstractNumId="224">
    <w:nsid w:val="425EB207"/>
    <w:multiLevelType w:val="hybridMultilevel"/>
    <w:lvl w:ilvl="0">
      <w:lvlJc w:val="left"/>
      <w:lvlText w:val="[*]"/>
      <w:numFmt w:val="bullet"/>
      <w:start w:val="1"/>
    </w:lvl>
  </w:abstractNum>
  <w:abstractNum w:abstractNumId="225">
    <w:nsid w:val="334A6F1F"/>
    <w:multiLevelType w:val="hybridMultilevel"/>
    <w:lvl w:ilvl="0">
      <w:lvlJc w:val="left"/>
      <w:lvlText w:val="[*]"/>
      <w:numFmt w:val="bullet"/>
      <w:start w:val="1"/>
    </w:lvl>
  </w:abstractNum>
  <w:abstractNum w:abstractNumId="226">
    <w:nsid w:val="2E5B12B8"/>
    <w:multiLevelType w:val="hybridMultilevel"/>
    <w:lvl w:ilvl="0">
      <w:lvlJc w:val="left"/>
      <w:lvlText w:val="[*]"/>
      <w:numFmt w:val="bullet"/>
      <w:start w:val="1"/>
    </w:lvl>
  </w:abstractNum>
  <w:abstractNum w:abstractNumId="227">
    <w:nsid w:val="5C03D76D"/>
    <w:multiLevelType w:val="hybridMultilevel"/>
    <w:lvl w:ilvl="0">
      <w:lvlJc w:val="left"/>
      <w:lvlText w:val="[*]"/>
      <w:numFmt w:val="bullet"/>
      <w:start w:val="1"/>
    </w:lvl>
  </w:abstractNum>
  <w:abstractNum w:abstractNumId="228">
    <w:nsid w:val="66A48D11"/>
    <w:multiLevelType w:val="hybridMultilevel"/>
    <w:lvl w:ilvl="0">
      <w:lvlJc w:val="left"/>
      <w:lvlText w:val="[*]"/>
      <w:numFmt w:val="bullet"/>
      <w:start w:val="1"/>
    </w:lvl>
  </w:abstractNum>
  <w:abstractNum w:abstractNumId="229">
    <w:nsid w:val="56C28E34"/>
    <w:multiLevelType w:val="hybridMultilevel"/>
    <w:lvl w:ilvl="0">
      <w:lvlJc w:val="left"/>
      <w:lvlText w:val="[*]"/>
      <w:numFmt w:val="bullet"/>
      <w:start w:val="1"/>
    </w:lvl>
  </w:abstractNum>
  <w:abstractNum w:abstractNumId="230">
    <w:nsid w:val="13916F2D"/>
    <w:multiLevelType w:val="hybridMultilevel"/>
    <w:lvl w:ilvl="0">
      <w:lvlJc w:val="left"/>
      <w:lvlText w:val="[*]"/>
      <w:numFmt w:val="bullet"/>
      <w:start w:val="1"/>
    </w:lvl>
  </w:abstractNum>
  <w:abstractNum w:abstractNumId="231">
    <w:nsid w:val="435D38D"/>
    <w:multiLevelType w:val="hybridMultilevel"/>
    <w:lvl w:ilvl="0">
      <w:lvlJc w:val="left"/>
      <w:lvlText w:val="[*]"/>
      <w:numFmt w:val="bullet"/>
      <w:start w:val="1"/>
    </w:lvl>
  </w:abstractNum>
  <w:abstractNum w:abstractNumId="232">
    <w:nsid w:val="822C0EF"/>
    <w:multiLevelType w:val="hybridMultilevel"/>
    <w:lvl w:ilvl="0">
      <w:lvlJc w:val="left"/>
      <w:lvlText w:val="[*]"/>
      <w:numFmt w:val="bullet"/>
      <w:start w:val="1"/>
    </w:lvl>
    <w:lvl w:ilvl="1">
      <w:lvlJc w:val="left"/>
      <w:lvlText w:val="•"/>
      <w:numFmt w:val="bullet"/>
      <w:start w:val="1"/>
    </w:lvl>
  </w:abstractNum>
  <w:abstractNum w:abstractNumId="233">
    <w:nsid w:val="57C5BB4F"/>
    <w:multiLevelType w:val="hybridMultilevel"/>
    <w:lvl w:ilvl="0">
      <w:lvlJc w:val="left"/>
      <w:lvlText w:val="[*]"/>
      <w:numFmt w:val="bullet"/>
      <w:start w:val="1"/>
    </w:lvl>
  </w:abstractNum>
  <w:abstractNum w:abstractNumId="234">
    <w:nsid w:val="1803D089"/>
    <w:multiLevelType w:val="hybridMultilevel"/>
    <w:lvl w:ilvl="0">
      <w:lvlJc w:val="left"/>
      <w:lvlText w:val="[*]"/>
      <w:numFmt w:val="bullet"/>
      <w:start w:val="1"/>
    </w:lvl>
  </w:abstractNum>
  <w:abstractNum w:abstractNumId="235">
    <w:nsid w:val="4F3A06D4"/>
    <w:multiLevelType w:val="hybridMultilevel"/>
    <w:lvl w:ilvl="0">
      <w:lvlJc w:val="left"/>
      <w:lvlText w:val="[*]"/>
      <w:numFmt w:val="bullet"/>
      <w:start w:val="1"/>
    </w:lvl>
  </w:abstractNum>
  <w:abstractNum w:abstractNumId="236">
    <w:nsid w:val="59A377B6"/>
    <w:multiLevelType w:val="hybridMultilevel"/>
    <w:lvl w:ilvl="0">
      <w:lvlJc w:val="left"/>
      <w:lvlText w:val="[*]"/>
      <w:numFmt w:val="bullet"/>
      <w:start w:val="1"/>
    </w:lvl>
  </w:abstractNum>
  <w:abstractNum w:abstractNumId="237">
    <w:nsid w:val="48AEB063"/>
    <w:multiLevelType w:val="hybridMultilevel"/>
    <w:lvl w:ilvl="0">
      <w:lvlJc w:val="left"/>
      <w:lvlText w:val="[*]"/>
      <w:numFmt w:val="bullet"/>
      <w:start w:val="1"/>
    </w:lvl>
    <w:lvl w:ilvl="1">
      <w:lvlJc w:val="left"/>
      <w:lvlText w:val="•"/>
      <w:numFmt w:val="bullet"/>
      <w:start w:val="1"/>
    </w:lvl>
  </w:abstractNum>
  <w:abstractNum w:abstractNumId="238">
    <w:nsid w:val="24E135"/>
    <w:multiLevelType w:val="hybridMultilevel"/>
    <w:lvl w:ilvl="0">
      <w:lvlJc w:val="left"/>
      <w:lvlText w:val="[*]"/>
      <w:numFmt w:val="bullet"/>
      <w:start w:val="1"/>
    </w:lvl>
  </w:abstractNum>
  <w:abstractNum w:abstractNumId="239">
    <w:nsid w:val="BB13C1"/>
    <w:multiLevelType w:val="hybridMultilevel"/>
    <w:lvl w:ilvl="0">
      <w:lvlJc w:val="left"/>
      <w:lvlText w:val="•"/>
      <w:numFmt w:val="bullet"/>
      <w:start w:val="1"/>
    </w:lvl>
  </w:abstractNum>
  <w:abstractNum w:abstractNumId="240">
    <w:nsid w:val="271210C7"/>
    <w:multiLevelType w:val="hybridMultilevel"/>
    <w:lvl w:ilvl="0">
      <w:lvlJc w:val="left"/>
      <w:lvlText w:val="[*]"/>
      <w:numFmt w:val="bullet"/>
      <w:start w:val="1"/>
    </w:lvl>
  </w:abstractNum>
  <w:abstractNum w:abstractNumId="241">
    <w:nsid w:val="217B22E4"/>
    <w:multiLevelType w:val="hybridMultilevel"/>
    <w:lvl w:ilvl="0">
      <w:lvlJc w:val="left"/>
      <w:lvlText w:val="[*]"/>
      <w:numFmt w:val="bullet"/>
      <w:start w:val="1"/>
    </w:lvl>
  </w:abstractNum>
  <w:abstractNum w:abstractNumId="242">
    <w:nsid w:val="53E31A24"/>
    <w:multiLevelType w:val="hybridMultilevel"/>
    <w:lvl w:ilvl="0">
      <w:lvlJc w:val="left"/>
      <w:lvlText w:val="[*]"/>
      <w:numFmt w:val="bullet"/>
      <w:start w:val="1"/>
    </w:lvl>
  </w:abstractNum>
  <w:abstractNum w:abstractNumId="243">
    <w:nsid w:val="6DC45E83"/>
    <w:multiLevelType w:val="hybridMultilevel"/>
    <w:lvl w:ilvl="0">
      <w:lvlJc w:val="left"/>
      <w:lvlText w:val="%1."/>
      <w:numFmt w:val="decimal"/>
      <w:start w:val="1"/>
    </w:lvl>
    <w:lvl w:ilvl="1">
      <w:lvlJc w:val="left"/>
      <w:lvlText w:val="(%2)"/>
      <w:numFmt w:val="lowerLetter"/>
      <w:start w:val="1"/>
    </w:lvl>
  </w:abstractNum>
  <w:abstractNum w:abstractNumId="244">
    <w:nsid w:val="17304A67"/>
    <w:multiLevelType w:val="hybridMultilevel"/>
    <w:lvl w:ilvl="0">
      <w:lvlJc w:val="left"/>
      <w:lvlText w:val="%1."/>
      <w:numFmt w:val="decimal"/>
      <w:start w:val="1"/>
    </w:lvl>
    <w:lvl w:ilvl="1">
      <w:lvlJc w:val="left"/>
      <w:lvlText w:val="(%2)"/>
      <w:numFmt w:val="lowerLetter"/>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jpeg"/><Relationship Id="rId122" Type="http://schemas.openxmlformats.org/officeDocument/2006/relationships/image" Target="media/image110.png"/><Relationship Id="rId123" Type="http://schemas.openxmlformats.org/officeDocument/2006/relationships/image" Target="media/image111.jpeg"/><Relationship Id="rId124" Type="http://schemas.openxmlformats.org/officeDocument/2006/relationships/image" Target="media/image112.png"/><Relationship Id="rId125" Type="http://schemas.openxmlformats.org/officeDocument/2006/relationships/image" Target="media/image113.jpeg"/><Relationship Id="rId126" Type="http://schemas.openxmlformats.org/officeDocument/2006/relationships/image" Target="media/image114.png"/><Relationship Id="rId127" Type="http://schemas.openxmlformats.org/officeDocument/2006/relationships/image" Target="media/image115.jpeg"/><Relationship Id="rId128" Type="http://schemas.openxmlformats.org/officeDocument/2006/relationships/image" Target="media/image116.png"/><Relationship Id="rId129" Type="http://schemas.openxmlformats.org/officeDocument/2006/relationships/image" Target="media/image117.jpeg"/><Relationship Id="rId130" Type="http://schemas.openxmlformats.org/officeDocument/2006/relationships/image" Target="media/image118.png"/><Relationship Id="rId131" Type="http://schemas.openxmlformats.org/officeDocument/2006/relationships/image" Target="media/image119.jpeg"/><Relationship Id="rId132" Type="http://schemas.openxmlformats.org/officeDocument/2006/relationships/image" Target="media/image120.png"/><Relationship Id="rId133" Type="http://schemas.openxmlformats.org/officeDocument/2006/relationships/image" Target="media/image121.jpeg"/><Relationship Id="rId134" Type="http://schemas.openxmlformats.org/officeDocument/2006/relationships/image" Target="media/image122.png"/><Relationship Id="rId135" Type="http://schemas.openxmlformats.org/officeDocument/2006/relationships/image" Target="media/image123.jpeg"/><Relationship Id="rId136" Type="http://schemas.openxmlformats.org/officeDocument/2006/relationships/image" Target="media/image124.png"/><Relationship Id="rId137" Type="http://schemas.openxmlformats.org/officeDocument/2006/relationships/image" Target="media/image125.jpeg"/><Relationship Id="rId138" Type="http://schemas.openxmlformats.org/officeDocument/2006/relationships/image" Target="media/image126.png"/><Relationship Id="rId139" Type="http://schemas.openxmlformats.org/officeDocument/2006/relationships/image" Target="media/image127.jpeg"/><Relationship Id="rId140" Type="http://schemas.openxmlformats.org/officeDocument/2006/relationships/image" Target="media/image128.png"/><Relationship Id="rId141" Type="http://schemas.openxmlformats.org/officeDocument/2006/relationships/image" Target="media/image129.jpeg"/><Relationship Id="rId142" Type="http://schemas.openxmlformats.org/officeDocument/2006/relationships/image" Target="media/image130.png"/><Relationship Id="rId143" Type="http://schemas.openxmlformats.org/officeDocument/2006/relationships/image" Target="media/image131.jpeg"/><Relationship Id="rId144" Type="http://schemas.openxmlformats.org/officeDocument/2006/relationships/image" Target="media/image132.png"/><Relationship Id="rId145" Type="http://schemas.openxmlformats.org/officeDocument/2006/relationships/image" Target="media/image133.jpeg"/><Relationship Id="rId146" Type="http://schemas.openxmlformats.org/officeDocument/2006/relationships/image" Target="media/image134.png"/><Relationship Id="rId147" Type="http://schemas.openxmlformats.org/officeDocument/2006/relationships/image" Target="media/image135.jpeg"/><Relationship Id="rId148" Type="http://schemas.openxmlformats.org/officeDocument/2006/relationships/image" Target="media/image136.png"/><Relationship Id="rId149" Type="http://schemas.openxmlformats.org/officeDocument/2006/relationships/image" Target="media/image137.jpeg"/><Relationship Id="rId150" Type="http://schemas.openxmlformats.org/officeDocument/2006/relationships/image" Target="media/image138.png"/><Relationship Id="rId151" Type="http://schemas.openxmlformats.org/officeDocument/2006/relationships/image" Target="media/image139.jpeg"/><Relationship Id="rId152" Type="http://schemas.openxmlformats.org/officeDocument/2006/relationships/image" Target="media/image140.png"/><Relationship Id="rId153" Type="http://schemas.openxmlformats.org/officeDocument/2006/relationships/image" Target="media/image141.jpeg"/><Relationship Id="rId154" Type="http://schemas.openxmlformats.org/officeDocument/2006/relationships/image" Target="media/image142.png"/><Relationship Id="rId155" Type="http://schemas.openxmlformats.org/officeDocument/2006/relationships/image" Target="media/image143.jpe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114" Type="http://schemas.openxmlformats.org/officeDocument/2006/relationships/hyperlink" Target="http://www.sec.gov/Archives/edgar/data/921299/000119312514420380/d824859dex31.htm" TargetMode="External"/><Relationship Id="rId115" Type="http://schemas.openxmlformats.org/officeDocument/2006/relationships/hyperlink" Target="http://www.sec.gov/Archives/edgar/data/921299/000119312514380087/d720189dex34.htm" TargetMode="External"/><Relationship Id="rId116" Type="http://schemas.openxmlformats.org/officeDocument/2006/relationships/hyperlink" Target="http://www.sec.gov/Archives/edgar/data/921299/000119312514420380/d824859dex41.htm" TargetMode="External"/><Relationship Id="rId117" Type="http://schemas.openxmlformats.org/officeDocument/2006/relationships/hyperlink" Target="http://www.sec.gov/Archives/edgar/data/0000921299/000156459017022738/fgen-ex46_97.htm" TargetMode="External"/><Relationship Id="rId118" Type="http://schemas.openxmlformats.org/officeDocument/2006/relationships/hyperlink" Target="http://www.sec.gov/Archives/edgar/data/0000921299/000119312514381669/d72018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2021-08-09T16:11:25Z</dcterms:created>
  <dcterms:modified xsi:type="dcterms:W3CDTF">2021-08-09T16:11:25Z</dcterms:modified>
</cp:coreProperties>
</file>