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2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400" w:hanging="512"/>
        <w:spacing w:after="0" w:line="256" w:lineRule="auto"/>
        <w:tabs>
          <w:tab w:leader="none" w:pos="5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74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3876675</wp:posOffset>
            </wp:positionH>
            <wp:positionV relativeFrom="paragraph">
              <wp:posOffset>-7620</wp:posOffset>
            </wp:positionV>
            <wp:extent cx="1009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9650" cy="8890"/>
                    </a:xfrm>
                    <a:prstGeom prst="rect">
                      <a:avLst/>
                    </a:prstGeom>
                    <a:noFill/>
                  </pic:spPr>
                </pic:pic>
              </a:graphicData>
            </a:graphic>
          </wp:anchor>
        </w:drawing>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001-36740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FIBROGEN,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00" w:type="dxa"/>
            <w:vAlign w:val="bottom"/>
          </w:tcPr>
          <w:p>
            <w:pPr>
              <w:jc w:val="right"/>
              <w:ind w:right="40"/>
              <w:spacing w:after="0"/>
              <w:rPr>
                <w:sz w:val="20"/>
                <w:szCs w:val="20"/>
                <w:color w:val="auto"/>
              </w:rPr>
            </w:pPr>
            <w:r>
              <w:rPr>
                <w:rFonts w:ascii="Arial" w:cs="Arial" w:eastAsia="Arial" w:hAnsi="Arial"/>
                <w:sz w:val="18"/>
                <w:szCs w:val="18"/>
                <w:b w:val="1"/>
                <w:bCs w:val="1"/>
                <w:color w:val="auto"/>
              </w:rPr>
              <w:t>77-0357827</w:t>
            </w:r>
          </w:p>
        </w:tc>
      </w:tr>
      <w:tr>
        <w:trPr>
          <w:trHeight w:val="149"/>
        </w:trPr>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90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100" w:type="dxa"/>
            <w:vAlign w:val="bottom"/>
          </w:tcPr>
          <w:p>
            <w:pPr>
              <w:jc w:val="center"/>
              <w:ind w:left="3900"/>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0"/>
              </w:rPr>
              <w:t>409 Illinois Street</w:t>
            </w:r>
          </w:p>
        </w:tc>
        <w:tc>
          <w:tcPr>
            <w:tcW w:w="5100" w:type="dxa"/>
            <w:vAlign w:val="bottom"/>
          </w:tcPr>
          <w:p>
            <w:pPr>
              <w:spacing w:after="0"/>
              <w:rPr>
                <w:sz w:val="24"/>
                <w:szCs w:val="24"/>
                <w:color w:val="auto"/>
              </w:rPr>
            </w:pPr>
          </w:p>
        </w:tc>
      </w:tr>
      <w:tr>
        <w:trPr>
          <w:trHeight w:val="212"/>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9"/>
              </w:rPr>
              <w:t>San Francisco, CA</w:t>
            </w:r>
          </w:p>
        </w:tc>
        <w:tc>
          <w:tcPr>
            <w:tcW w:w="5100" w:type="dxa"/>
            <w:vAlign w:val="bottom"/>
          </w:tcPr>
          <w:p>
            <w:pPr>
              <w:jc w:val="right"/>
              <w:ind w:right="260"/>
              <w:spacing w:after="0"/>
              <w:rPr>
                <w:sz w:val="20"/>
                <w:szCs w:val="20"/>
                <w:color w:val="auto"/>
              </w:rPr>
            </w:pPr>
            <w:r>
              <w:rPr>
                <w:rFonts w:ascii="Arial" w:cs="Arial" w:eastAsia="Arial" w:hAnsi="Arial"/>
                <w:sz w:val="18"/>
                <w:szCs w:val="18"/>
                <w:b w:val="1"/>
                <w:bCs w:val="1"/>
                <w:color w:val="auto"/>
              </w:rPr>
              <w:t>94158</w:t>
            </w:r>
          </w:p>
        </w:tc>
      </w:tr>
      <w:tr>
        <w:trPr>
          <w:trHeight w:val="186"/>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10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2500" w:type="dxa"/>
            <w:vAlign w:val="bottom"/>
          </w:tcPr>
          <w:p>
            <w:pPr>
              <w:spacing w:after="0"/>
              <w:rPr>
                <w:sz w:val="24"/>
                <w:szCs w:val="24"/>
                <w:color w:val="auto"/>
              </w:rPr>
            </w:pPr>
          </w:p>
        </w:tc>
        <w:tc>
          <w:tcPr>
            <w:tcW w:w="5100" w:type="dxa"/>
            <w:vAlign w:val="bottom"/>
          </w:tcPr>
          <w:p>
            <w:pPr>
              <w:jc w:val="right"/>
              <w:ind w:right="2820"/>
              <w:spacing w:after="0"/>
              <w:rPr>
                <w:sz w:val="20"/>
                <w:szCs w:val="20"/>
                <w:color w:val="auto"/>
              </w:rPr>
            </w:pPr>
            <w:r>
              <w:rPr>
                <w:rFonts w:ascii="Arial" w:cs="Arial" w:eastAsia="Arial" w:hAnsi="Arial"/>
                <w:sz w:val="18"/>
                <w:szCs w:val="18"/>
                <w:b w:val="1"/>
                <w:bCs w:val="1"/>
                <w:color w:val="auto"/>
              </w:rPr>
              <w:t>(415) 978-1200</w:t>
            </w:r>
          </w:p>
        </w:tc>
      </w:tr>
      <w:tr>
        <w:trPr>
          <w:trHeight w:val="186"/>
        </w:trPr>
        <w:tc>
          <w:tcPr>
            <w:tcW w:w="2500" w:type="dxa"/>
            <w:vAlign w:val="bottom"/>
          </w:tcPr>
          <w:p>
            <w:pPr>
              <w:spacing w:after="0"/>
              <w:rPr>
                <w:sz w:val="16"/>
                <w:szCs w:val="16"/>
                <w:color w:val="auto"/>
              </w:rPr>
            </w:pPr>
          </w:p>
        </w:tc>
        <w:tc>
          <w:tcPr>
            <w:tcW w:w="5100" w:type="dxa"/>
            <w:vAlign w:val="bottom"/>
          </w:tcPr>
          <w:p>
            <w:pPr>
              <w:jc w:val="center"/>
              <w:ind w:right="17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76200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7" w:lineRule="exact"/>
        <w:rPr>
          <w:sz w:val="24"/>
          <w:szCs w:val="24"/>
          <w:color w:val="auto"/>
        </w:rPr>
      </w:pPr>
    </w:p>
    <w:p>
      <w:pPr>
        <w:jc w:val="both"/>
        <w:ind w:right="2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640" w:type="dxa"/>
            <w:vAlign w:val="bottom"/>
          </w:tcPr>
          <w:p>
            <w:pPr>
              <w:ind w:left="42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60"/>
              <w:spacing w:after="0"/>
              <w:rPr>
                <w:sz w:val="20"/>
                <w:szCs w:val="20"/>
                <w:color w:val="auto"/>
              </w:rPr>
            </w:pPr>
            <w:r>
              <w:rPr>
                <w:rFonts w:ascii="Arial" w:cs="Arial" w:eastAsia="Arial" w:hAnsi="Arial"/>
                <w:sz w:val="18"/>
                <w:szCs w:val="18"/>
                <w:color w:val="auto"/>
              </w:rPr>
              <w:t>o</w:t>
            </w:r>
          </w:p>
        </w:tc>
        <w:tc>
          <w:tcPr>
            <w:tcW w:w="20" w:type="dxa"/>
            <w:vAlign w:val="bottom"/>
          </w:tcPr>
          <w:p>
            <w:pPr>
              <w:spacing w:after="0"/>
              <w:rPr>
                <w:sz w:val="24"/>
                <w:szCs w:val="24"/>
                <w:color w:val="auto"/>
              </w:rPr>
            </w:pPr>
          </w:p>
        </w:tc>
      </w:tr>
      <w:tr>
        <w:trPr>
          <w:trHeight w:val="338"/>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6480" w:type="dxa"/>
            <w:vAlign w:val="bottom"/>
          </w:tcPr>
          <w:p>
            <w:pPr>
              <w:ind w:left="240"/>
              <w:spacing w:after="0"/>
              <w:rPr>
                <w:sz w:val="20"/>
                <w:szCs w:val="20"/>
                <w:color w:val="auto"/>
              </w:rPr>
            </w:pPr>
            <w:r>
              <w:rPr>
                <w:rFonts w:ascii="Arial" w:cs="Arial" w:eastAsia="Arial" w:hAnsi="Arial"/>
                <w:sz w:val="18"/>
                <w:szCs w:val="18"/>
                <w:color w:val="auto"/>
              </w:rPr>
              <w:t>o (Do not check if a smaller reporting company)</w:t>
            </w:r>
          </w:p>
        </w:tc>
        <w:tc>
          <w:tcPr>
            <w:tcW w:w="2640" w:type="dxa"/>
            <w:vAlign w:val="bottom"/>
          </w:tcPr>
          <w:p>
            <w:pPr>
              <w:ind w:left="42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24"/>
                <w:szCs w:val="24"/>
                <w:color w:val="auto"/>
              </w:rPr>
            </w:pPr>
          </w:p>
        </w:tc>
      </w:tr>
      <w:tr>
        <w:trPr>
          <w:trHeight w:val="324"/>
        </w:trPr>
        <w:tc>
          <w:tcPr>
            <w:tcW w:w="8340" w:type="dxa"/>
            <w:vAlign w:val="bottom"/>
            <w:gridSpan w:val="2"/>
          </w:tcPr>
          <w:p>
            <w:pPr>
              <w:ind w:left="520"/>
              <w:spacing w:after="0"/>
              <w:rPr>
                <w:sz w:val="20"/>
                <w:szCs w:val="20"/>
                <w:color w:val="auto"/>
              </w:rPr>
            </w:pPr>
            <w:r>
              <w:rPr>
                <w:rFonts w:ascii="Arial" w:cs="Arial" w:eastAsia="Arial" w:hAnsi="Arial"/>
                <w:sz w:val="18"/>
                <w:szCs w:val="18"/>
                <w:color w:val="auto"/>
                <w:w w:val="91"/>
              </w:rPr>
              <w:t>Indicate by check mark whether the registrant is a shell company (as defined in Exchange Act Rule 12b-2).</w:t>
            </w:r>
          </w:p>
        </w:tc>
        <w:tc>
          <w:tcPr>
            <w:tcW w:w="26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8340" w:type="dxa"/>
            <w:vAlign w:val="bottom"/>
            <w:gridSpan w:val="2"/>
          </w:tcPr>
          <w:p>
            <w:pPr>
              <w:ind w:left="520"/>
              <w:spacing w:after="0"/>
              <w:rPr>
                <w:sz w:val="20"/>
                <w:szCs w:val="20"/>
                <w:color w:val="auto"/>
              </w:rPr>
            </w:pPr>
            <w:r>
              <w:rPr>
                <w:rFonts w:ascii="Arial" w:cs="Arial" w:eastAsia="Arial" w:hAnsi="Arial"/>
                <w:sz w:val="18"/>
                <w:szCs w:val="18"/>
                <w:color w:val="auto"/>
              </w:rPr>
              <w:t>The number of shares of common stock outstanding as of April 30, 2016 was 62,450,875.</w:t>
            </w:r>
          </w:p>
        </w:tc>
        <w:tc>
          <w:tcPr>
            <w:tcW w:w="2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1860" w:type="dxa"/>
            <w:vAlign w:val="bottom"/>
            <w:tcBorders>
              <w:bottom w:val="single" w:sz="8" w:color="auto"/>
            </w:tcBorders>
          </w:tcPr>
          <w:p>
            <w:pPr>
              <w:spacing w:after="0"/>
              <w:rPr>
                <w:sz w:val="15"/>
                <w:szCs w:val="15"/>
                <w:color w:val="auto"/>
              </w:rPr>
            </w:pPr>
          </w:p>
        </w:tc>
        <w:tc>
          <w:tcPr>
            <w:tcW w:w="64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648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65"/>
        </w:trPr>
        <w:tc>
          <w:tcPr>
            <w:tcW w:w="1860" w:type="dxa"/>
            <w:vAlign w:val="bottom"/>
            <w:tcBorders>
              <w:bottom w:val="single" w:sz="8" w:color="9A9A9A"/>
            </w:tcBorders>
          </w:tcPr>
          <w:p>
            <w:pPr>
              <w:spacing w:after="0"/>
              <w:rPr>
                <w:sz w:val="24"/>
                <w:szCs w:val="24"/>
                <w:color w:val="auto"/>
              </w:rPr>
            </w:pPr>
          </w:p>
        </w:tc>
        <w:tc>
          <w:tcPr>
            <w:tcW w:w="64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25" w:right="2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60" w:type="dxa"/>
            <w:vAlign w:val="bottom"/>
            <w:gridSpan w:val="7"/>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960" w:type="dxa"/>
            <w:vAlign w:val="bottom"/>
            <w:gridSpan w:val="6"/>
            <w:vMerge w:val="restart"/>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60" w:type="dxa"/>
            <w:vAlign w:val="bottom"/>
            <w:tcBorders>
              <w:bottom w:val="single" w:sz="8" w:color="0000EE"/>
            </w:tcBorders>
            <w:gridSpan w:val="7"/>
            <w:vMerge w:val="continue"/>
          </w:tcPr>
          <w:p>
            <w:pPr>
              <w:spacing w:after="0"/>
              <w:rPr>
                <w:sz w:val="14"/>
                <w:szCs w:val="14"/>
                <w:color w:val="auto"/>
              </w:rPr>
            </w:pPr>
          </w:p>
        </w:tc>
        <w:tc>
          <w:tcPr>
            <w:tcW w:w="3960" w:type="dxa"/>
            <w:vAlign w:val="bottom"/>
            <w:gridSpan w:val="6"/>
            <w:vMerge w:val="continue"/>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3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w:t>
              </w:r>
            </w:hyperlink>
          </w:p>
        </w:tc>
        <w:tc>
          <w:tcPr>
            <w:tcW w:w="6700" w:type="dxa"/>
            <w:vAlign w:val="bottom"/>
            <w:gridSpan w:val="11"/>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2016 and December 31, 2015</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2016 and 2015</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838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for the Three Months Ended March 31, 2016 and 2015</w:t>
              </w:r>
            </w:hyperlink>
          </w:p>
        </w:tc>
        <w:tc>
          <w:tcPr>
            <w:tcW w:w="1680" w:type="dxa"/>
            <w:vAlign w:val="bottom"/>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2016 and 2015</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7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w:t>
              </w:r>
            </w:hyperlink>
          </w:p>
        </w:tc>
        <w:tc>
          <w:tcPr>
            <w:tcW w:w="2360" w:type="dxa"/>
            <w:vAlign w:val="bottom"/>
            <w:gridSpan w:val="2"/>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060" w:type="dxa"/>
            <w:vAlign w:val="bottom"/>
            <w:gridSpan w:val="2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3600" w:type="dxa"/>
            <w:vAlign w:val="bottom"/>
            <w:gridSpan w:val="4"/>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60" w:type="dxa"/>
            <w:vAlign w:val="bottom"/>
            <w:gridSpan w:val="2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80" w:type="dxa"/>
            <w:vAlign w:val="bottom"/>
            <w:gridSpan w:val="12"/>
          </w:tcPr>
          <w:p>
            <w:pPr>
              <w:jc w:val="center"/>
              <w:ind w:right="4120"/>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II—OTHER INFORMATION</w:t>
              </w:r>
            </w:hyperlink>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3080" w:type="dxa"/>
            <w:vAlign w:val="bottom"/>
            <w:gridSpan w:val="1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2860" w:type="dxa"/>
            <w:vAlign w:val="bottom"/>
            <w:tcBorders>
              <w:top w:val="single" w:sz="8" w:color="0000EE"/>
            </w:tcBorders>
            <w:gridSpan w:val="5"/>
          </w:tcPr>
          <w:p>
            <w:pPr>
              <w:spacing w:after="0"/>
              <w:rPr>
                <w:sz w:val="24"/>
                <w:szCs w:val="24"/>
                <w:color w:val="auto"/>
              </w:rPr>
            </w:pPr>
          </w:p>
        </w:tc>
        <w:tc>
          <w:tcPr>
            <w:tcW w:w="4120" w:type="dxa"/>
            <w:vAlign w:val="bottom"/>
            <w:gridSpan w:val="7"/>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17"/>
                <w:szCs w:val="17"/>
                <w:color w:val="auto"/>
              </w:rPr>
            </w:pPr>
          </w:p>
        </w:tc>
        <w:tc>
          <w:tcPr>
            <w:tcW w:w="8720" w:type="dxa"/>
            <w:vAlign w:val="bottom"/>
            <w:gridSpan w:val="16"/>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Unregistered Sales of Equity Securities and Use of Proceeds</w:t>
              </w:r>
            </w:hyperlink>
          </w:p>
        </w:tc>
        <w:tc>
          <w:tcPr>
            <w:tcW w:w="5700" w:type="dxa"/>
            <w:vAlign w:val="bottom"/>
            <w:gridSpan w:val="9"/>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Defaults Upon Senior Securities</w:t>
              </w:r>
            </w:hyperlink>
          </w:p>
        </w:tc>
        <w:tc>
          <w:tcPr>
            <w:tcW w:w="7720" w:type="dxa"/>
            <w:vAlign w:val="bottom"/>
            <w:gridSpan w:val="14"/>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Mine Safety Disclosures</w:t>
              </w:r>
            </w:hyperlink>
          </w:p>
        </w:tc>
        <w:tc>
          <w:tcPr>
            <w:tcW w:w="8280" w:type="dxa"/>
            <w:vAlign w:val="bottom"/>
            <w:gridSpan w:val="15"/>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0060" w:type="dxa"/>
            <w:vAlign w:val="bottom"/>
            <w:gridSpan w:val="2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Exhibits</w:t>
              </w:r>
            </w:hyperlink>
          </w:p>
        </w:tc>
        <w:tc>
          <w:tcPr>
            <w:tcW w:w="8740" w:type="dxa"/>
            <w:vAlign w:val="bottom"/>
            <w:gridSpan w:val="17"/>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60" w:type="dxa"/>
            <w:vAlign w:val="bottom"/>
            <w:gridSpan w:val="1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2"/>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Signatures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60" w:type="dxa"/>
            <w:vAlign w:val="bottom"/>
            <w:gridSpan w:val="1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69">
              <w:r>
                <w:rPr>
                  <w:rFonts w:ascii="Arial" w:cs="Arial" w:eastAsia="Arial" w:hAnsi="Arial"/>
                  <w:sz w:val="18"/>
                  <w:szCs w:val="18"/>
                  <w:color w:val="0000EE"/>
                  <w:w w:val="95"/>
                </w:rPr>
                <w:t>Exhibit Index</w:t>
              </w:r>
            </w:hyperlink>
          </w:p>
        </w:tc>
        <w:tc>
          <w:tcPr>
            <w:tcW w:w="9060" w:type="dxa"/>
            <w:vAlign w:val="bottom"/>
            <w:gridSpan w:val="18"/>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5940" w:type="dxa"/>
            <w:vAlign w:val="bottom"/>
            <w:gridSpan w:val="15"/>
          </w:tcPr>
          <w:p>
            <w:pPr>
              <w:ind w:left="47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5" w:right="2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FIBROGEN, INC.</w:t>
      </w:r>
    </w:p>
    <w:p>
      <w:pPr>
        <w:spacing w:after="0" w:line="9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 2016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(Note 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140,959</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32,454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($3,662 and $4,455 from a related party)</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184,001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04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7,254</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122,009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127,613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480"/>
              <w:spacing w:after="0"/>
              <w:rPr>
                <w:sz w:val="20"/>
                <w:szCs w:val="20"/>
                <w:color w:val="auto"/>
              </w:rPr>
            </w:pPr>
            <w:r>
              <w:rPr>
                <w:rFonts w:ascii="Arial" w:cs="Arial" w:eastAsia="Arial" w:hAnsi="Arial"/>
                <w:sz w:val="18"/>
                <w:szCs w:val="18"/>
                <w:b w:val="1"/>
                <w:bCs w:val="1"/>
                <w:color w:val="auto"/>
              </w:rPr>
              <w:t>Total assets</w:t>
            </w:r>
          </w:p>
        </w:tc>
        <w:tc>
          <w:tcPr>
            <w:tcW w:w="8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442,535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stockholders’ equity and non-controlling interests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Current liabilities: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10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Accrued liabilities ($1,639 and $2,045 to related parties)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44,038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2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58,303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Long-term portion of lease financing obligations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97,077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Product development obligations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15,786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Deferred revenue, net of current</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85,328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2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266,312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273,749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Preferred stock, $0.01 par value; 125,000 shares authorized at March 31, 2016 and</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December 31, 2015; no shares issued and outstanding at March 31, 2016</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and December 31, 2015</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$0.01 par value; 225,000 shares authorized at March 31, 2016 and</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December 31, 2015; 62,425 and 61,985 shares issued and outstanding at</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March 31, 2016 and December 31, 2015</w:t>
            </w: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593,935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586,647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(1,704)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(435,903)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(408,062)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8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156,952</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177,554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Non-controlling interests</w:t>
            </w:r>
          </w:p>
        </w:tc>
        <w:tc>
          <w:tcPr>
            <w:tcW w:w="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Total equity</w:t>
            </w:r>
          </w:p>
        </w:tc>
        <w:tc>
          <w:tcPr>
            <w:tcW w:w="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176,223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196,825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stockholders’ equity and non-controlling interests</w:t>
            </w:r>
          </w:p>
        </w:tc>
        <w:tc>
          <w:tcPr>
            <w:tcW w:w="8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442,535</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8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tcPr>
          <w:p>
            <w:pPr>
              <w:ind w:left="260"/>
              <w:spacing w:after="0"/>
              <w:rPr>
                <w:sz w:val="20"/>
                <w:szCs w:val="20"/>
                <w:color w:val="auto"/>
              </w:rPr>
            </w:pPr>
            <w:r>
              <w:rPr>
                <w:rFonts w:ascii="Arial" w:cs="Arial" w:eastAsia="Arial" w:hAnsi="Arial"/>
                <w:sz w:val="18"/>
                <w:szCs w:val="18"/>
                <w:color w:val="auto"/>
              </w:rPr>
              <w:t>License and milestone revenue (includes $3,313 and $4,692 from a related party)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19,738</w:t>
            </w:r>
          </w:p>
        </w:tc>
        <w:tc>
          <w:tcPr>
            <w:tcW w:w="2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Collaboration services and other revenue (includes $352 and $634 from a related party)</w:t>
            </w: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8,544</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8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28,282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8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43,650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11,417</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55,067</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from operations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(26,785)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and other, net</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(2,777)</w:t>
            </w: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and other, net</w:t>
            </w: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480"/>
              <w:spacing w:after="0"/>
              <w:rPr>
                <w:sz w:val="20"/>
                <w:szCs w:val="20"/>
                <w:color w:val="auto"/>
              </w:rPr>
            </w:pPr>
            <w:r>
              <w:rPr>
                <w:rFonts w:ascii="Arial" w:cs="Arial" w:eastAsia="Arial" w:hAnsi="Arial"/>
                <w:sz w:val="18"/>
                <w:szCs w:val="18"/>
                <w:color w:val="auto"/>
              </w:rPr>
              <w:t>Total interest and other,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taxes</w:t>
            </w:r>
          </w:p>
        </w:tc>
        <w:tc>
          <w:tcPr>
            <w:tcW w:w="32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(28,146)</w:t>
            </w:r>
          </w:p>
        </w:tc>
        <w:tc>
          <w:tcPr>
            <w:tcW w:w="320" w:type="dxa"/>
            <w:vAlign w:val="bottom"/>
          </w:tcPr>
          <w:p>
            <w:pPr>
              <w:spacing w:after="0"/>
              <w:rPr>
                <w:sz w:val="24"/>
                <w:szCs w:val="2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(46,638)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(305)</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(27,841)</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1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(0.45)</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Weighted average number of common shares used to calculate net loss per share - basic and diluted</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62,184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59,197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10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22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(27,841)</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(46,367)</w:t>
            </w:r>
          </w:p>
        </w:tc>
        <w:tc>
          <w:tcPr>
            <w:tcW w:w="120" w:type="dxa"/>
            <w:vAlign w:val="bottom"/>
            <w:shd w:val="clear" w:color="auto" w:fill="CFF0FC"/>
          </w:tcPr>
          <w:p>
            <w:pPr>
              <w:spacing w:after="0"/>
              <w:rPr>
                <w:sz w:val="19"/>
                <w:szCs w:val="19"/>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(642)</w:t>
            </w:r>
          </w:p>
        </w:tc>
        <w:tc>
          <w:tcPr>
            <w:tcW w:w="1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w:t>
            </w:r>
          </w:p>
        </w:tc>
        <w:tc>
          <w:tcPr>
            <w:tcW w:w="120" w:type="dxa"/>
            <w:vAlign w:val="bottom"/>
            <w:shd w:val="clear" w:color="auto" w:fill="CFF0FC"/>
          </w:tcPr>
          <w:p>
            <w:pPr>
              <w:spacing w:after="0"/>
              <w:rPr>
                <w:sz w:val="19"/>
                <w:szCs w:val="19"/>
                <w:color w:val="auto"/>
              </w:rPr>
            </w:pPr>
          </w:p>
        </w:tc>
      </w:tr>
      <w:tr>
        <w:trPr>
          <w:trHeight w:val="230"/>
        </w:trPr>
        <w:tc>
          <w:tcPr>
            <w:tcW w:w="622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gain on investments, net of tax effect</w:t>
            </w:r>
          </w:p>
        </w:tc>
        <w:tc>
          <w:tcPr>
            <w:tcW w:w="1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FF0FC"/>
          </w:tcPr>
          <w:p>
            <w:pPr>
              <w:spacing w:after="0"/>
              <w:rPr>
                <w:sz w:val="19"/>
                <w:szCs w:val="19"/>
                <w:color w:val="auto"/>
              </w:rPr>
            </w:pPr>
          </w:p>
        </w:tc>
      </w:tr>
      <w:tr>
        <w:trPr>
          <w:trHeight w:val="230"/>
        </w:trPr>
        <w:tc>
          <w:tcPr>
            <w:tcW w:w="6220" w:type="dxa"/>
            <w:vAlign w:val="bottom"/>
          </w:tcPr>
          <w:p>
            <w:pPr>
              <w:ind w:left="500"/>
              <w:spacing w:after="0"/>
              <w:rPr>
                <w:sz w:val="20"/>
                <w:szCs w:val="20"/>
                <w:color w:val="auto"/>
              </w:rPr>
            </w:pPr>
            <w:r>
              <w:rPr>
                <w:rFonts w:ascii="Arial" w:cs="Arial" w:eastAsia="Arial" w:hAnsi="Arial"/>
                <w:sz w:val="18"/>
                <w:szCs w:val="18"/>
                <w:color w:val="auto"/>
              </w:rPr>
              <w:t>Reclassification from accumulated other comprehensive loss</w:t>
            </w:r>
          </w:p>
        </w:tc>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09"/>
        </w:trPr>
        <w:tc>
          <w:tcPr>
            <w:tcW w:w="62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change in unrealized loss on available-for-sale</w:t>
            </w:r>
          </w:p>
        </w:tc>
        <w:tc>
          <w:tcPr>
            <w:tcW w:w="13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6220" w:type="dxa"/>
            <w:vAlign w:val="bottom"/>
            <w:shd w:val="clear" w:color="auto" w:fill="CFF0FC"/>
          </w:tcPr>
          <w:p>
            <w:pPr>
              <w:ind w:left="880"/>
              <w:spacing w:after="0"/>
              <w:rPr>
                <w:sz w:val="20"/>
                <w:szCs w:val="20"/>
                <w:color w:val="auto"/>
              </w:rPr>
            </w:pPr>
            <w:r>
              <w:rPr>
                <w:rFonts w:ascii="Arial" w:cs="Arial" w:eastAsia="Arial" w:hAnsi="Arial"/>
                <w:sz w:val="18"/>
                <w:szCs w:val="18"/>
                <w:color w:val="auto"/>
              </w:rPr>
              <w:t>investments</w:t>
            </w:r>
          </w:p>
        </w:tc>
        <w:tc>
          <w:tcPr>
            <w:tcW w:w="1340" w:type="dxa"/>
            <w:vAlign w:val="bottom"/>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280" w:type="dxa"/>
            <w:vAlign w:val="bottom"/>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FF0FC"/>
          </w:tcPr>
          <w:p>
            <w:pPr>
              <w:spacing w:after="0"/>
              <w:rPr>
                <w:sz w:val="20"/>
                <w:szCs w:val="20"/>
                <w:color w:val="auto"/>
              </w:rPr>
            </w:pPr>
          </w:p>
        </w:tc>
      </w:tr>
      <w:tr>
        <w:trPr>
          <w:trHeight w:val="223"/>
        </w:trPr>
        <w:tc>
          <w:tcPr>
            <w:tcW w:w="6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net of taxes</w:t>
            </w:r>
          </w:p>
        </w:tc>
        <w:tc>
          <w:tcPr>
            <w:tcW w:w="13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120" w:type="dxa"/>
            <w:vAlign w:val="bottom"/>
            <w:tcBorders>
              <w:bottom w:val="single" w:sz="8" w:color="CFF0FC"/>
            </w:tcBorders>
          </w:tcPr>
          <w:p>
            <w:pPr>
              <w:spacing w:after="0"/>
              <w:rPr>
                <w:sz w:val="19"/>
                <w:szCs w:val="19"/>
                <w:color w:val="auto"/>
              </w:rPr>
            </w:pPr>
          </w:p>
        </w:tc>
      </w:tr>
      <w:tr>
        <w:trPr>
          <w:trHeight w:val="223"/>
        </w:trPr>
        <w:tc>
          <w:tcPr>
            <w:tcW w:w="6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3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(27,894)</w:t>
            </w:r>
          </w:p>
        </w:tc>
        <w:tc>
          <w:tcPr>
            <w:tcW w:w="2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(43,956)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34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right"/>
              <w:ind w:right="45"/>
              <w:spacing w:after="0" w:line="155"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1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460" w:type="dxa"/>
            <w:vAlign w:val="bottom"/>
            <w:gridSpan w:val="2"/>
          </w:tcPr>
          <w:p>
            <w:pPr>
              <w:jc w:val="right"/>
              <w:ind w:right="1028"/>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(27,841)</w:t>
            </w:r>
          </w:p>
        </w:tc>
        <w:tc>
          <w:tcPr>
            <w:tcW w:w="1200" w:type="dxa"/>
            <w:vAlign w:val="bottom"/>
          </w:tcPr>
          <w:p>
            <w:pPr>
              <w:jc w:val="right"/>
              <w:ind w:right="104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(46,367)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1,502</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Amortization of premium on investments</w:t>
            </w:r>
          </w:p>
        </w:tc>
        <w:tc>
          <w:tcPr>
            <w:tcW w:w="1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rPr>
              <w:t>Unrealized foreign exchange gain on short-term investments</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(620)</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Stock-based compensation</w:t>
            </w:r>
          </w:p>
        </w:tc>
        <w:tc>
          <w:tcPr>
            <w:tcW w:w="1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7,340</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rPr>
              <w:t>Tax benefit on unrealized gain on available-for-sale securities</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(339)</w:t>
            </w:r>
          </w:p>
        </w:tc>
        <w:tc>
          <w:tcPr>
            <w:tcW w:w="1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Changes in operating assets and liabilities:</w:t>
            </w:r>
          </w:p>
        </w:tc>
        <w:tc>
          <w:tcPr>
            <w:tcW w:w="1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9,468</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(663)</w:t>
            </w:r>
          </w:p>
        </w:tc>
        <w:tc>
          <w:tcPr>
            <w:tcW w:w="1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358</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payable</w:t>
            </w:r>
          </w:p>
        </w:tc>
        <w:tc>
          <w:tcPr>
            <w:tcW w:w="1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(4,978)</w:t>
            </w:r>
          </w:p>
        </w:tc>
        <w:tc>
          <w:tcPr>
            <w:tcW w:w="1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rPr>
              <w:t>Accrued liabilities</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(3,214)</w:t>
            </w:r>
          </w:p>
        </w:tc>
        <w:tc>
          <w:tcPr>
            <w:tcW w:w="1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(7,048)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revenue</w:t>
            </w:r>
          </w:p>
        </w:tc>
        <w:tc>
          <w:tcPr>
            <w:tcW w:w="1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rPr>
              <w:t>Lease financing liability</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136</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long-term liabilities</w:t>
            </w:r>
          </w:p>
        </w:tc>
        <w:tc>
          <w:tcPr>
            <w:tcW w:w="128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708</w:t>
            </w:r>
          </w:p>
        </w:tc>
        <w:tc>
          <w:tcPr>
            <w:tcW w:w="30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00" w:type="dxa"/>
            <w:vAlign w:val="bottom"/>
          </w:tcPr>
          <w:p>
            <w:pPr>
              <w:ind w:left="480"/>
              <w:spacing w:after="0"/>
              <w:rPr>
                <w:sz w:val="20"/>
                <w:szCs w:val="20"/>
                <w:color w:val="auto"/>
              </w:rPr>
            </w:pPr>
            <w:r>
              <w:rPr>
                <w:rFonts w:ascii="Arial" w:cs="Arial" w:eastAsia="Arial" w:hAnsi="Arial"/>
                <w:sz w:val="16"/>
                <w:szCs w:val="16"/>
                <w:color w:val="auto"/>
              </w:rPr>
              <w:t>Net cash used in operating activities</w:t>
            </w: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(17,258)</w:t>
            </w:r>
          </w:p>
        </w:tc>
        <w:tc>
          <w:tcPr>
            <w:tcW w:w="12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(42,190)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00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Purchases of property and equipment</w:t>
            </w:r>
          </w:p>
        </w:tc>
        <w:tc>
          <w:tcPr>
            <w:tcW w:w="1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(898)</w:t>
            </w:r>
          </w:p>
        </w:tc>
        <w:tc>
          <w:tcPr>
            <w:tcW w:w="1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13"/>
        </w:trPr>
        <w:tc>
          <w:tcPr>
            <w:tcW w:w="6020" w:type="dxa"/>
            <w:vAlign w:val="bottom"/>
            <w:gridSpan w:val="2"/>
          </w:tcPr>
          <w:p>
            <w:pPr>
              <w:spacing w:after="0"/>
              <w:rPr>
                <w:sz w:val="20"/>
                <w:szCs w:val="20"/>
                <w:color w:val="auto"/>
              </w:rPr>
            </w:pPr>
            <w:r>
              <w:rPr>
                <w:rFonts w:ascii="Arial" w:cs="Arial" w:eastAsia="Arial" w:hAnsi="Arial"/>
                <w:sz w:val="16"/>
                <w:szCs w:val="16"/>
                <w:color w:val="auto"/>
              </w:rPr>
              <w:t>Purchases of available-for-sale securities</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(19)</w:t>
            </w:r>
          </w:p>
        </w:tc>
        <w:tc>
          <w:tcPr>
            <w:tcW w:w="1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maturities of available-for-sale securities</w:t>
            </w:r>
          </w:p>
        </w:tc>
        <w:tc>
          <w:tcPr>
            <w:tcW w:w="128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5,976</w:t>
            </w:r>
          </w:p>
        </w:tc>
        <w:tc>
          <w:tcPr>
            <w:tcW w:w="30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0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Net cash provided by investing activities</w:t>
            </w:r>
          </w:p>
        </w:tc>
        <w:tc>
          <w:tcPr>
            <w:tcW w:w="128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5,059</w:t>
            </w:r>
          </w:p>
        </w:tc>
        <w:tc>
          <w:tcPr>
            <w:tcW w:w="300" w:type="dxa"/>
            <w:vAlign w:val="bottom"/>
            <w:tcBorders>
              <w:bottom w:val="single" w:sz="8" w:color="CFF0FC"/>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4,552</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0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Repayments of lease liability</w:t>
            </w:r>
          </w:p>
        </w:tc>
        <w:tc>
          <w:tcPr>
            <w:tcW w:w="1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(101)</w:t>
            </w:r>
          </w:p>
        </w:tc>
        <w:tc>
          <w:tcPr>
            <w:tcW w:w="1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3"/>
        </w:trPr>
        <w:tc>
          <w:tcPr>
            <w:tcW w:w="6020" w:type="dxa"/>
            <w:vAlign w:val="bottom"/>
            <w:gridSpan w:val="2"/>
          </w:tcPr>
          <w:p>
            <w:pPr>
              <w:spacing w:after="0"/>
              <w:rPr>
                <w:sz w:val="20"/>
                <w:szCs w:val="20"/>
                <w:color w:val="auto"/>
              </w:rPr>
            </w:pPr>
            <w:r>
              <w:rPr>
                <w:rFonts w:ascii="Arial" w:cs="Arial" w:eastAsia="Arial" w:hAnsi="Arial"/>
                <w:sz w:val="16"/>
                <w:szCs w:val="16"/>
                <w:color w:val="auto"/>
              </w:rPr>
              <w:t>Cash paid for payroll taxes on restricted stock unit releases</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(1,261)</w:t>
            </w:r>
          </w:p>
        </w:tc>
        <w:tc>
          <w:tcPr>
            <w:tcW w:w="1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issuance of common stock</w:t>
            </w:r>
          </w:p>
        </w:tc>
        <w:tc>
          <w:tcPr>
            <w:tcW w:w="128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1,213</w:t>
            </w:r>
          </w:p>
        </w:tc>
        <w:tc>
          <w:tcPr>
            <w:tcW w:w="30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00" w:type="dxa"/>
            <w:vAlign w:val="bottom"/>
          </w:tcPr>
          <w:p>
            <w:pPr>
              <w:ind w:left="480"/>
              <w:spacing w:after="0"/>
              <w:rPr>
                <w:sz w:val="20"/>
                <w:szCs w:val="20"/>
                <w:color w:val="auto"/>
              </w:rPr>
            </w:pPr>
            <w:r>
              <w:rPr>
                <w:rFonts w:ascii="Arial" w:cs="Arial" w:eastAsia="Arial" w:hAnsi="Arial"/>
                <w:sz w:val="16"/>
                <w:szCs w:val="16"/>
                <w:color w:val="auto"/>
              </w:rPr>
              <w:t>Net cash provided by (used in) financing activities</w:t>
            </w: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(149)</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Effect of exchange rate change on cash and cash equivalents</w:t>
            </w:r>
          </w:p>
        </w:tc>
        <w:tc>
          <w:tcPr>
            <w:tcW w:w="12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vMerge w:val="continue"/>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(17)</w:t>
            </w:r>
          </w:p>
        </w:tc>
        <w:tc>
          <w:tcPr>
            <w:tcW w:w="1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6"/>
                <w:szCs w:val="16"/>
                <w:color w:val="auto"/>
              </w:rPr>
              <w:t>Net decrease in cash and cash equivalents</w:t>
            </w:r>
          </w:p>
        </w:tc>
        <w:tc>
          <w:tcPr>
            <w:tcW w:w="1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20" w:type="dxa"/>
            <w:vAlign w:val="bottom"/>
            <w:gridSpan w:val="2"/>
            <w:vMerge w:val="continue"/>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(12,365)</w:t>
            </w:r>
          </w:p>
        </w:tc>
        <w:tc>
          <w:tcPr>
            <w:tcW w:w="12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(37,086)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128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153,324</w:t>
            </w:r>
          </w:p>
        </w:tc>
        <w:tc>
          <w:tcPr>
            <w:tcW w:w="30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165,455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20" w:type="dxa"/>
            <w:vAlign w:val="bottom"/>
            <w:gridSpan w:val="2"/>
          </w:tcPr>
          <w:p>
            <w:pPr>
              <w:spacing w:after="0"/>
              <w:rPr>
                <w:sz w:val="20"/>
                <w:szCs w:val="20"/>
                <w:color w:val="auto"/>
              </w:rPr>
            </w:pPr>
            <w:r>
              <w:rPr>
                <w:rFonts w:ascii="Arial" w:cs="Arial" w:eastAsia="Arial" w:hAnsi="Arial"/>
                <w:sz w:val="16"/>
                <w:szCs w:val="16"/>
                <w:color w:val="auto"/>
              </w:rPr>
              <w:t>Cash and cash equivalents at end of period</w:t>
            </w:r>
          </w:p>
        </w:tc>
        <w:tc>
          <w:tcPr>
            <w:tcW w:w="2460" w:type="dxa"/>
            <w:vAlign w:val="bottom"/>
            <w:gridSpan w:val="2"/>
          </w:tcPr>
          <w:p>
            <w:pPr>
              <w:jc w:val="right"/>
              <w:ind w:right="1028"/>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140,959</w:t>
            </w:r>
          </w:p>
        </w:tc>
        <w:tc>
          <w:tcPr>
            <w:tcW w:w="300" w:type="dxa"/>
            <w:vAlign w:val="bottom"/>
          </w:tcPr>
          <w:p>
            <w:pPr>
              <w:spacing w:after="0"/>
              <w:rPr>
                <w:sz w:val="17"/>
                <w:szCs w:val="17"/>
                <w:color w:val="auto"/>
              </w:rPr>
            </w:pPr>
          </w:p>
        </w:tc>
        <w:tc>
          <w:tcPr>
            <w:tcW w:w="1200" w:type="dxa"/>
            <w:vAlign w:val="bottom"/>
          </w:tcPr>
          <w:p>
            <w:pPr>
              <w:jc w:val="right"/>
              <w:ind w:right="104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128,369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FIBROGEN, INC.</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8500" w:firstLine="8"/>
        <w:spacing w:after="0" w:line="400" w:lineRule="auto"/>
        <w:tabs>
          <w:tab w:leader="none" w:pos="513"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Description of Operations</w:t>
      </w:r>
    </w:p>
    <w:p>
      <w:pPr>
        <w:spacing w:after="0" w:line="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FibroGen, Inc. (“FibroGen” or the “Company”) was incorporated in 1993 in Delaware and is a research-based biopharmaceutical company focused on the discovery, development and commercialization of novel therapeutics agents to treat serious unmet medical needs. The Company’s focus in the areas of fibrosis and hypoxia-inducible factor (“HIF”) biology has generated multiple programs targeting various therapeutic areas. The Company’s most advanced product candidate, roxadustat, or FG-4592, is an oral small molecule inhibitor of HIF prolyl hydroxylases in Phase 3 clinical development for the treatment of anemia in chronic kidney disease. FG-3019 is the Company’s monoclonal antibody in Phase 2 clinical development for the treatment of idiopathic pulmonary fibrosis, pancreatic cancer, Duchenne muscular dystrophy and liver fibrosis. We have taken a global approach with respect to the development and future commercialization of our product candidates, and this includes development and commercialization in the People’s Republic of China (“China”).</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condensed consolidated financial statements include the accounts of FibroGen, its wholly owned subsidiaries and its majority-owned subsidiaries, FibroGen Europe Oy and FibroGen China Anemia Holdings, Ltd. (“FibroGen China”). All inter-company transactions and balances have been eliminated in consolidation. The Company operates in one segment — the discovery, development and commercialization of novel therapeutics to treat serious unmet medical needs.</w:t>
      </w:r>
    </w:p>
    <w:p>
      <w:pPr>
        <w:spacing w:after="0" w:line="18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unaudited condensed consolidated financial statements and related disclosures have been prepared in accordance with accounting principles generally accepted in the United States of America (“U.S. GAAP”) applicable to interim financial reporting and with the instructions to Form 10-Q and Rule 10-01 of Regulation S-X of the United States (“U.S.”) Securities and Exchange Commission (“SEC”) and, therefore, do not include all information and footnote disclosures normally included in the annual consolidated financial statements. The December 31, 2015 condensed consolidated balance sheet data contained within this Form 10-Q was derived from audited consolidated financial statements included in the Company’s Annual Report on Form 10-K filed with the SEC for the year ended December 31, 2015 (the “2015 Form 10-K”), but does not include all disclosures required by U.S. GAAP.</w:t>
      </w:r>
    </w:p>
    <w:p>
      <w:pPr>
        <w:spacing w:after="0" w:line="16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financial information included herein should be read in conjunction with the consolidated financial statements and related notes in the 2015 Form 10-K. The accounting policies used by the Company in its presentation of interim financial results are consistent with those presented in Note 2 to the consolidated financial statements included in the 2015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Actual results could differ from those estimates. In our opinion, the accompanying unaudited condensed consolidated financial statements include all normal recurring adjustments necessary for a fair presentation of our financial position, results of operations and cash flows for the interim periods presented.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March 2016, the Financial Accounting Standards Board (“FASB”) issued Accounting Standards Update (“ASU”) 2016-09, </w:t>
      </w:r>
      <w:r>
        <w:rPr>
          <w:rFonts w:ascii="Arial" w:cs="Arial" w:eastAsia="Arial" w:hAnsi="Arial"/>
          <w:sz w:val="17"/>
          <w:szCs w:val="17"/>
          <w:i w:val="1"/>
          <w:iCs w:val="1"/>
          <w:color w:val="auto"/>
        </w:rPr>
        <w:t>Compensation - 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(Topic 718)</w:t>
      </w:r>
      <w:r>
        <w:rPr>
          <w:rFonts w:ascii="Arial" w:cs="Arial" w:eastAsia="Arial" w:hAnsi="Arial"/>
          <w:sz w:val="17"/>
          <w:szCs w:val="17"/>
          <w:color w:val="auto"/>
        </w:rPr>
        <w:t>. This guidance identifies areas for simplification involving several aspects of accounting for share-based payment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income tax consequences, classification of awards as either equity or liabilities, an option to recognize gross stock compensation expense with actual forfeitures recognized as they occur, as well as certain classifications on the statement of cash flows. This guidance is effective for the annual reporting period beginning after December 15, 2016, including interim periods within that reporting period, with early adoption permitted. The Company is currently evaluating the impact on its consolidated financial statements upon the adoption of this guidance.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This guidance is effective for the annual reporting period beginning after December 15, 2018, including interim periods within that reporting period, and requires a modified retrospective adoption, with early adoption permitted. The Company is currently evaluating the impact on its consolidated financial statements upon the adoption of this guidance.</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w:t>
      </w:r>
      <w:r>
        <w:rPr>
          <w:rFonts w:ascii="Arial" w:cs="Arial" w:eastAsia="Arial" w:hAnsi="Arial"/>
          <w:sz w:val="18"/>
          <w:szCs w:val="18"/>
          <w:color w:val="auto"/>
        </w:rPr>
        <w:t>, which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This guidance is effective for the annual reporting period beginning after December 15, 2017 and interim periods within those annual periods. The Company is currently evaluating the impact on its consolidated financial statements upon the adoption of this guidance.</w:t>
      </w:r>
    </w:p>
    <w:p>
      <w:pPr>
        <w:spacing w:after="0" w:line="18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 August 2014, the FASB issued ASU 2014-15</w:t>
      </w:r>
      <w:r>
        <w:rPr>
          <w:rFonts w:ascii="Arial" w:cs="Arial" w:eastAsia="Arial" w:hAnsi="Arial"/>
          <w:sz w:val="18"/>
          <w:szCs w:val="18"/>
          <w:i w:val="1"/>
          <w:iCs w:val="1"/>
          <w:color w:val="auto"/>
        </w:rPr>
        <w:t>, Presentation of Financial Statements - Going Concern (Subtopic 205-40): Disclosure of Uncertainties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an Entity’s Ability to Continue as a Going Concern</w:t>
      </w:r>
      <w:r>
        <w:rPr>
          <w:rFonts w:ascii="Arial" w:cs="Arial" w:eastAsia="Arial" w:hAnsi="Arial"/>
          <w:sz w:val="18"/>
          <w:szCs w:val="18"/>
          <w:color w:val="auto"/>
        </w:rPr>
        <w:t>. This guidance requires management to evaluate, at each interim and annual reporting period,</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there are conditions or events that raise substantial doubt about the entity’s ability to continue as a going concern within one year after the date the financial statements are issued, and provide related disclosures. This guidance will be effective for annual period ending after December 15, 2016, and for annual and interim periods thereafter. Early adoption is permitted. The Company does not expect a material impact on its consolidated financial statements upon the adoption of this guidance.</w:t>
      </w:r>
    </w:p>
    <w:p>
      <w:pPr>
        <w:spacing w:after="0" w:line="1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which supersedes the revenue recognition requirements in Accounting Standards Codification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ASU 2014-09 is based on the principle that 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ASU 2014-09 can be adopted either retrospectively to each prior reporting period presented, or retrospectively with a cumulative-effect adjustment recognized as of the date of adoption. In April 2016, the FASB issued ASU 2016-10, </w:t>
      </w:r>
      <w:r>
        <w:rPr>
          <w:rFonts w:ascii="Arial" w:cs="Arial" w:eastAsia="Arial" w:hAnsi="Arial"/>
          <w:sz w:val="16"/>
          <w:szCs w:val="16"/>
          <w:i w:val="1"/>
          <w:iCs w:val="1"/>
          <w:color w:val="auto"/>
        </w:rPr>
        <w:t>Revenue from Contracts with Customers (Topic 606): Identifying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Performance Obligations and Licensing </w:t>
      </w:r>
      <w:r>
        <w:rPr>
          <w:rFonts w:ascii="Arial" w:cs="Arial" w:eastAsia="Arial" w:hAnsi="Arial"/>
          <w:sz w:val="16"/>
          <w:szCs w:val="16"/>
          <w:color w:val="auto"/>
        </w:rPr>
        <w:t>(“ASU 2016-10”), which clarifies the implementation guidance on identifying performance obligations in a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determining whether an entity’s promise to grant a license provides a customer with either a right to use the entity’s intellectual property (which is satisfied at a point in time) or a right to access the entity’s intellectual property (which is satisfied over time). The effective date and transition requirements for ASU 2016-10 are the same as those for ASU 2014-09. The original effective date of ASU 2014-09 for public entities was for the annual reporting period beginning after December 15, 2016. In August 2015, the FASB issued ASU 2015-14,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to defer the effective date of ASU 2014-09 by one year, to the annual reporting period beginning after December 15, 2017, including interim periods within that reporting period. A reporting entity may choose to early adopt the guidance as of the original effective date. The Company does not anticipate an early adoption, and is currently evaluating the impact on its consolidated financial statements upon the adoption of ASU 2014-09 and ASU 2016-10.</w:t>
      </w:r>
    </w:p>
    <w:p>
      <w:pPr>
        <w:spacing w:after="0" w:line="273" w:lineRule="exact"/>
        <w:rPr>
          <w:sz w:val="20"/>
          <w:szCs w:val="20"/>
          <w:color w:val="auto"/>
        </w:rPr>
      </w:pPr>
    </w:p>
    <w:p>
      <w:pPr>
        <w:ind w:right="8840" w:firstLine="8"/>
        <w:spacing w:after="0" w:line="425" w:lineRule="auto"/>
        <w:tabs>
          <w:tab w:leader="none" w:pos="513"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Agreements Astellas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 Agreement</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June 2005, the Company entered into a collaboration agreement with Astellas Pharma Inc. (“Astellas”) for the development and commercialization (but not manufacture) of roxadustat for the treatment of anemia in Japan (“Japan Agreement”). Under this agreement, Astellas paid license fees and other consideration totaling $40.1 million (such amounts were fully received as of February 2009). The Japan Agreement also provides for additional development and regulatory approval milestone payments up to $117.5 million, a commercial sales related milestone of $15.0 million and additional consideration based on net sales (as defined) in the low 20% range after commercial launch. A clinical milestone payment of $12.5 million was received in 2013. The Company evaluated the criteria under ASC 605-28 and concluded that the aforementioned milestone was substantive.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Agreement</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The Europe Agreement also provides for additional development and regulatory approval milestone payments up to $425.0 million. Clinical milestone payments of $40.0 million and $50.0 million were received in 2010 and 2012, respectively. The Company evaluated the criteria under ASC 605-28 and concluded that each of those milestones was substantive. Under the Europe Agreement, Astellas committed to fund 50% of joint development costs for Europe and North America, and all territory-specific costs. The Europe Agreement also provides for tiered payments based on net sales of product (as defined) in the low 20% range.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AstraZeneca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U.S./Rest of World Agreement</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Effective July 30, 2013, the Company entered into a collaboration agreement with AstraZeneca AB (“AstraZeneca”) for the development and commercialization of roxadustat for the treatment of anemia in the U.S.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has agreed to pay upfront, non-contingent and time-based payments totaling $374.0 million, which the Company expects to receive in various amounts through June 2016, of which $312.0 million was received as of March 31, 2016. The remaining payment of $62.0 million is contingent upon the occurrence of a specified event and accordingly is also not considered fixed or determinable. In addition, the U.S./RoW Agreement also provides for development and regulatory approval based milestone payments of up to $550.0 million, which include potential future indications which the companies choose to pursue, and commercial related milestone payments of up to $325.0 million. During the second quarter of 2015, the Company received a $15.0 million development milestone payment as a result of the finalization of its two audited pre-clinical carcinogenicity study reports. The Company evaluated the criteria under ASC 605-28 and concluded that the aforementioned milestone was substantive.</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U.S./RoW Agreement, the Company and AstraZeneca will share equally in the development costs of roxadustat not already paid for by Astellas, up to a total of $233.0 million (i.e. the Company’s share of development costs is $116.5 million). Any additional development costs incurred by FibroGen during the development period in excess of the $233.0 million (aggregated spend) will be fully reimbursed by AstraZeneca. AstraZeneca will pay the Company tiered royalty payments on AstraZeneca’s future net sales (as defined in the agreement) of roxadustat in the low 20% range. In addition, the Company will receive a transfer price for delivery of commercial product based on a percentage of AstraZeneca’s net sales (as defined in the agreement) in the low- to mid-single digit range.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Effective July 30, 2013, the Company (through its subsidiaries affiliated with China) entered into a collaboration agreement with AstraZeneca for the development and commercialization (but not manufacture) of roxadustat for the treatment of anemia in China (“China Agreement”). Under the terms of the China Agreement, AstraZeneca agreed to pay upfront consideration totaling $28.2 million (such amounts were fully received as of March 31, 2014). In addition, the China Agreement provides for AstraZeneca to pay regulatory approval and other approval related milestones of up to $161.0 million. The China Agreement also provides for sales related milestone payments of up to $167.5 million and contingent payments of $20.0 million related to possible future compounds. The China Agreement is structured as a 50/50 profit or loss share (as defined) and provides for joint development costs (including capital and equipment costs for construction of the manufacturing plant in China), to be shared equally during the development.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Revenue Recognized Under the Collaboration Agreements</w:t>
      </w:r>
    </w:p>
    <w:p>
      <w:pPr>
        <w:spacing w:after="0" w:line="12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table below summarizes the accounting treatment for the various deliverables pursuant to each of the Astellas and AstraZeneca agreements. License amounts identified below are included in the “License and milestone revenue” line item in the condensed consolidated statements of operations. All other elements identified below are included in the “Collaboration services and other revenue” line item in the condensed consolidated statements of operations.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Japan Agreement were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Agreement</w:t>
            </w:r>
          </w:p>
        </w:tc>
        <w:tc>
          <w:tcPr>
            <w:tcW w:w="45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Deliverable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1160" w:type="dxa"/>
            <w:vAlign w:val="bottom"/>
            <w:gridSpan w:val="2"/>
            <w:vMerge w:val="continue"/>
          </w:tcPr>
          <w:p>
            <w:pPr>
              <w:spacing w:after="0"/>
              <w:rPr>
                <w:sz w:val="13"/>
                <w:szCs w:val="13"/>
                <w:color w:val="auto"/>
              </w:rPr>
            </w:pPr>
          </w:p>
        </w:tc>
        <w:tc>
          <w:tcPr>
            <w:tcW w:w="45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Japan</w:t>
            </w:r>
          </w:p>
        </w:tc>
        <w:tc>
          <w:tcPr>
            <w:tcW w:w="160" w:type="dxa"/>
            <w:vAlign w:val="bottom"/>
            <w:tcBorders>
              <w:top w:val="single" w:sz="8" w:color="CFF0FC"/>
            </w:tcBorders>
            <w:shd w:val="clear" w:color="auto" w:fill="CFF0FC"/>
          </w:tcPr>
          <w:p>
            <w:pPr>
              <w:spacing w:after="0"/>
              <w:rPr>
                <w:sz w:val="19"/>
                <w:szCs w:val="19"/>
                <w:color w:val="auto"/>
              </w:rPr>
            </w:pPr>
          </w:p>
        </w:tc>
        <w:tc>
          <w:tcPr>
            <w:tcW w:w="438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rPr>
              <w:t>License</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380" w:type="dxa"/>
            <w:vAlign w:val="bottom"/>
          </w:tcPr>
          <w:p>
            <w:pPr>
              <w:ind w:left="180"/>
              <w:spacing w:after="0"/>
              <w:rPr>
                <w:sz w:val="20"/>
                <w:szCs w:val="20"/>
                <w:color w:val="auto"/>
              </w:rPr>
            </w:pPr>
            <w:r>
              <w:rPr>
                <w:rFonts w:ascii="Arial" w:cs="Arial" w:eastAsia="Arial" w:hAnsi="Arial"/>
                <w:sz w:val="18"/>
                <w:szCs w:val="18"/>
                <w:color w:val="auto"/>
              </w:rPr>
              <w:t>Milestones</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4540" w:type="dxa"/>
            <w:vAlign w:val="bottom"/>
            <w:tcBorders>
              <w:top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Total license and milestone revenue</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Collaboration services revenue*</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520" w:right="520" w:hanging="512"/>
        <w:spacing w:after="0" w:line="264"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When and if available compounds, manufacturing — clinical supplies and committee services have each been identified as separate units of accounting with standalone value and amounts allocable to these elements have been recognized and classified within the Collaboration services revenue line item within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9690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total arrangement consideration has been allocated to each of the following deliverables under the Japan Agreement, along with any associated deferred revenue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7"/>
              </w:rPr>
              <w:t>Deferred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78"/>
              <w:spacing w:after="0"/>
              <w:rPr>
                <w:sz w:val="20"/>
                <w:szCs w:val="20"/>
                <w:color w:val="auto"/>
              </w:rPr>
            </w:pPr>
            <w:r>
              <w:rPr>
                <w:rFonts w:ascii="Arial" w:cs="Arial" w:eastAsia="Arial" w:hAnsi="Arial"/>
                <w:sz w:val="14"/>
                <w:szCs w:val="14"/>
                <w:b w:val="1"/>
                <w:bCs w:val="1"/>
                <w:color w:val="auto"/>
                <w:w w:val="96"/>
              </w:rPr>
              <w:t>March 31, 2016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March 31, 2016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March 31,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42,320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42,320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When and if available compounds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ind w:left="980"/>
              <w:spacing w:after="0"/>
              <w:rPr>
                <w:sz w:val="20"/>
                <w:szCs w:val="20"/>
                <w:color w:val="auto"/>
              </w:rPr>
            </w:pPr>
            <w:r>
              <w:rPr>
                <w:rFonts w:ascii="Arial" w:cs="Arial" w:eastAsia="Arial" w:hAnsi="Arial"/>
                <w:sz w:val="18"/>
                <w:szCs w:val="18"/>
                <w:color w:val="auto"/>
                <w:w w:val="89"/>
              </w:rPr>
              <w:t>27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Manufacturing--clinical supplies</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Committee services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collaboration services revenue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44,321</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89"/>
              </w:rPr>
              <w:t>27</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44,348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Europe Agreement were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Agreement</w:t>
            </w:r>
          </w:p>
        </w:tc>
        <w:tc>
          <w:tcPr>
            <w:tcW w:w="3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Deliverable</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1420" w:type="dxa"/>
            <w:vAlign w:val="bottom"/>
            <w:gridSpan w:val="2"/>
            <w:vMerge w:val="continue"/>
          </w:tcPr>
          <w:p>
            <w:pPr>
              <w:spacing w:after="0"/>
              <w:rPr>
                <w:sz w:val="13"/>
                <w:szCs w:val="13"/>
                <w:color w:val="auto"/>
              </w:rPr>
            </w:pPr>
          </w:p>
        </w:tc>
        <w:tc>
          <w:tcPr>
            <w:tcW w:w="39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616"/>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Europe</w:t>
            </w:r>
          </w:p>
        </w:tc>
        <w:tc>
          <w:tcPr>
            <w:tcW w:w="180" w:type="dxa"/>
            <w:vAlign w:val="bottom"/>
            <w:tcBorders>
              <w:top w:val="single" w:sz="8" w:color="CFF0FC"/>
            </w:tcBorders>
            <w:shd w:val="clear" w:color="auto" w:fill="CFF0FC"/>
          </w:tcPr>
          <w:p>
            <w:pPr>
              <w:spacing w:after="0"/>
              <w:rPr>
                <w:sz w:val="19"/>
                <w:szCs w:val="19"/>
                <w:color w:val="auto"/>
              </w:rPr>
            </w:pPr>
          </w:p>
        </w:tc>
        <w:tc>
          <w:tcPr>
            <w:tcW w:w="372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License</w:t>
            </w:r>
          </w:p>
        </w:tc>
        <w:tc>
          <w:tcPr>
            <w:tcW w:w="1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3,238</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Milestones</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tcBorders>
              <w:top w:val="single" w:sz="8" w:color="CFF0FC"/>
            </w:tcBorders>
            <w:shd w:val="clear" w:color="auto" w:fill="CFF0FC"/>
          </w:tcPr>
          <w:p>
            <w:pPr>
              <w:spacing w:after="0"/>
              <w:rPr>
                <w:sz w:val="19"/>
                <w:szCs w:val="19"/>
                <w:color w:val="auto"/>
              </w:rPr>
            </w:pPr>
          </w:p>
        </w:tc>
        <w:tc>
          <w:tcPr>
            <w:tcW w:w="3900" w:type="dxa"/>
            <w:vAlign w:val="bottom"/>
            <w:tcBorders>
              <w:top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Total license and milestone revenue</w:t>
            </w:r>
          </w:p>
        </w:tc>
        <w:tc>
          <w:tcPr>
            <w:tcW w:w="1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3,238</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Collaboration services revenue*</w:t>
            </w:r>
          </w:p>
        </w:tc>
        <w:tc>
          <w:tcPr>
            <w:tcW w:w="5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348</w:t>
            </w:r>
          </w:p>
        </w:tc>
        <w:tc>
          <w:tcPr>
            <w:tcW w:w="6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580" w:right="240" w:hanging="518"/>
        <w:spacing w:after="0" w:line="259"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When and if available compounds, manufacturing — clinical supplies, development services — in progress at the time of signing of the agreement, and committee services have each been identified as a separate unit of accounting with standalone value and amounts allocable to these units have been recognized in revenue as services are performed and classified within the Collaboration services revenue line item within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9690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total arrangement consideration has been allocated to each of the following deliverables under the Europe Agreement, along with any associated deferred revenue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Cumulative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97"/>
              </w:rPr>
              <w:t>Deferred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2"/>
              </w:rPr>
              <w:t>Revenue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5"/>
              </w:rPr>
              <w:t>Through</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Through</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March 31, 2016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March 31, 2016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2016</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404,554</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404,554</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When and if available compounds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Manufacturing--clinical supplies</w:t>
            </w: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Development services--in progress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32,413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32,413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Committee services</w:t>
            </w:r>
          </w:p>
        </w:tc>
        <w:tc>
          <w:tcPr>
            <w:tcW w:w="1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Total license and collaboration services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447,278</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447,707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877"/>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U.S./RoW Agreement were as follows (in thousands):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Agreement</w:t>
            </w:r>
          </w:p>
        </w:tc>
        <w:tc>
          <w:tcPr>
            <w:tcW w:w="4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Deliverable</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1300" w:type="dxa"/>
            <w:vAlign w:val="bottom"/>
            <w:gridSpan w:val="2"/>
            <w:vMerge w:val="continue"/>
          </w:tcPr>
          <w:p>
            <w:pPr>
              <w:spacing w:after="0"/>
              <w:rPr>
                <w:sz w:val="13"/>
                <w:szCs w:val="13"/>
                <w:color w:val="auto"/>
              </w:rPr>
            </w:pPr>
          </w:p>
        </w:tc>
        <w:tc>
          <w:tcPr>
            <w:tcW w:w="43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U.S. / RoW</w:t>
            </w:r>
          </w:p>
        </w:tc>
        <w:tc>
          <w:tcPr>
            <w:tcW w:w="160" w:type="dxa"/>
            <w:vAlign w:val="bottom"/>
            <w:tcBorders>
              <w:top w:val="single" w:sz="8" w:color="CFF0FC"/>
            </w:tcBorders>
            <w:shd w:val="clear" w:color="auto" w:fill="CFF0FC"/>
          </w:tcPr>
          <w:p>
            <w:pPr>
              <w:spacing w:after="0"/>
              <w:rPr>
                <w:sz w:val="18"/>
                <w:szCs w:val="18"/>
                <w:color w:val="auto"/>
              </w:rPr>
            </w:pPr>
          </w:p>
        </w:tc>
        <w:tc>
          <w:tcPr>
            <w:tcW w:w="41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80" w:type="dxa"/>
            <w:vAlign w:val="bottom"/>
            <w:shd w:val="clear" w:color="auto" w:fill="CFF0FC"/>
          </w:tcPr>
          <w:p>
            <w:pPr>
              <w:spacing w:after="0"/>
              <w:rPr>
                <w:sz w:val="20"/>
                <w:szCs w:val="20"/>
                <w:color w:val="auto"/>
              </w:rPr>
            </w:pPr>
            <w:r>
              <w:rPr>
                <w:rFonts w:ascii="Arial" w:cs="Arial" w:eastAsia="Arial" w:hAnsi="Arial"/>
                <w:sz w:val="18"/>
                <w:szCs w:val="18"/>
                <w:color w:val="auto"/>
              </w:rPr>
              <w:t>and China</w:t>
            </w:r>
          </w:p>
        </w:tc>
        <w:tc>
          <w:tcPr>
            <w:tcW w:w="160" w:type="dxa"/>
            <w:vAlign w:val="bottom"/>
            <w:shd w:val="clear" w:color="auto" w:fill="CFF0FC"/>
          </w:tcPr>
          <w:p>
            <w:pPr>
              <w:spacing w:after="0"/>
              <w:rPr>
                <w:sz w:val="20"/>
                <w:szCs w:val="20"/>
                <w:color w:val="auto"/>
              </w:rPr>
            </w:pPr>
          </w:p>
        </w:tc>
        <w:tc>
          <w:tcPr>
            <w:tcW w:w="4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License</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16,425</w:t>
            </w: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40" w:type="dxa"/>
            <w:vAlign w:val="bottom"/>
          </w:tcPr>
          <w:p>
            <w:pPr>
              <w:ind w:left="180"/>
              <w:spacing w:after="0"/>
              <w:rPr>
                <w:sz w:val="20"/>
                <w:szCs w:val="20"/>
                <w:color w:val="auto"/>
              </w:rPr>
            </w:pPr>
            <w:r>
              <w:rPr>
                <w:rFonts w:ascii="Arial" w:cs="Arial" w:eastAsia="Arial" w:hAnsi="Arial"/>
                <w:sz w:val="18"/>
                <w:szCs w:val="18"/>
                <w:color w:val="auto"/>
              </w:rPr>
              <w:t>Milestones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80" w:type="dxa"/>
            <w:vAlign w:val="bottom"/>
            <w:tcBorders>
              <w:top w:val="single" w:sz="8" w:color="CFF0FC"/>
            </w:tcBorders>
            <w:shd w:val="clear" w:color="auto" w:fill="CFF0FC"/>
          </w:tcPr>
          <w:p>
            <w:pPr>
              <w:spacing w:after="0"/>
              <w:rPr>
                <w:sz w:val="19"/>
                <w:szCs w:val="19"/>
                <w:color w:val="auto"/>
              </w:rPr>
            </w:pPr>
          </w:p>
        </w:tc>
        <w:tc>
          <w:tcPr>
            <w:tcW w:w="4300" w:type="dxa"/>
            <w:vAlign w:val="bottom"/>
            <w:tcBorders>
              <w:top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Total license and milestone revenue</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16,425</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Collaboration services revenue*</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8,184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43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China single unit of accounting**</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20" w:hanging="512"/>
        <w:spacing w:after="0" w:line="257"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Co-development, information sharing, and committee services have been combined into a single unit of accounting because the requirements to share information and serve on committees are useful only in combination with the development services, and because all three items are delivered over the same period while manufacturing — clinical supplies has been identified as a separate unit of accounting with standalone value and amounts allocable to this unit of accounting have been recognized and classified within the Collaboration services revenue line item within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12090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60" w:lineRule="exact"/>
        <w:rPr>
          <w:sz w:val="20"/>
          <w:szCs w:val="20"/>
          <w:color w:val="auto"/>
        </w:rPr>
      </w:pPr>
    </w:p>
    <w:p>
      <w:pPr>
        <w:ind w:left="520" w:right="80" w:hanging="512"/>
        <w:spacing w:after="0" w:line="264"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revenues attributable to the China unit of accounting are deferred until all deliverables are met. The China license and collaboration services elements have been combined into a single unit of accounting and consideration allocable to this unit is being deferred due to FibroGen’s retention of manufacturing rights and lack of standalone value.</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total arrangement consideration has been allocated to each of the following deliverables under the U.S./RoW Agreement, along with any associated deferred revenue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3"/>
              </w:rPr>
              <w:t>Deferred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98"/>
              <w:spacing w:after="0"/>
              <w:rPr>
                <w:sz w:val="20"/>
                <w:szCs w:val="20"/>
                <w:color w:val="auto"/>
              </w:rPr>
            </w:pPr>
            <w:r>
              <w:rPr>
                <w:rFonts w:ascii="Arial" w:cs="Arial" w:eastAsia="Arial" w:hAnsi="Arial"/>
                <w:sz w:val="14"/>
                <w:szCs w:val="14"/>
                <w:b w:val="1"/>
                <w:bCs w:val="1"/>
                <w:color w:val="auto"/>
                <w:w w:val="96"/>
              </w:rPr>
              <w:t>March 31, 2016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March 31, 2016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March 31,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306,191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306,191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Co-development, information sharing &amp; committee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services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58,317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34,775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93,092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Manufacturing--clinical supplies</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China-single unit of accounting</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62,761</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62,761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collaboration services revenue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364,769</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97,593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462,362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Other revenues consist of royalty payments received, which are recorded on a monthly basis as they are reported to the Company, and collagen feasibility sales. Other revenues were immaterial for all periods presented.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Deferred revenue represents amounts billed to the Company’s collaboration partners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deliverables. The long term portion of deferred revenue represents amounts to be recognized after one year through the end of the non-contingent performance period of the underlying deliverables. The long term portion of deferred revenue also includes amounts allocated to the China unit of accounting under the AstraZeneca arrangement as revenue recognition associated with this unit of accounting is tied to the commercial launch of the products within China, which is not expected to occur within the next year.</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financial assets that are measured on a recurring basis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3"/>
          </w:tcPr>
          <w:p>
            <w:pPr>
              <w:jc w:val="right"/>
              <w:ind w:right="726"/>
              <w:spacing w:after="0"/>
              <w:rPr>
                <w:sz w:val="20"/>
                <w:szCs w:val="20"/>
                <w:color w:val="auto"/>
              </w:rPr>
            </w:pPr>
            <w:r>
              <w:rPr>
                <w:rFonts w:ascii="Arial" w:cs="Arial" w:eastAsia="Arial" w:hAnsi="Arial"/>
                <w:sz w:val="14"/>
                <w:szCs w:val="14"/>
                <w:b w:val="1"/>
                <w:bCs w:val="1"/>
                <w:color w:val="auto"/>
              </w:rPr>
              <w:t>March 31, 2016</w:t>
            </w: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3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106"/>
              <w:spacing w:after="0" w:line="155" w:lineRule="exact"/>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126,279</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00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126,279</w:t>
            </w:r>
          </w:p>
        </w:tc>
        <w:tc>
          <w:tcPr>
            <w:tcW w:w="12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Bond and mutual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25,712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25,712</w:t>
            </w:r>
          </w:p>
        </w:tc>
        <w:tc>
          <w:tcPr>
            <w:tcW w:w="12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44,761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44,761</w:t>
            </w:r>
          </w:p>
        </w:tc>
        <w:tc>
          <w:tcPr>
            <w:tcW w:w="12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120" w:type="dxa"/>
            <w:vAlign w:val="bottom"/>
            <w:shd w:val="clear" w:color="auto" w:fill="CFF0FC"/>
          </w:tcPr>
          <w:p>
            <w:pPr>
              <w:spacing w:after="0"/>
              <w:rPr>
                <w:sz w:val="19"/>
                <w:szCs w:val="19"/>
                <w:color w:val="auto"/>
              </w:rPr>
            </w:pPr>
          </w:p>
        </w:tc>
      </w:tr>
      <w:tr>
        <w:trPr>
          <w:trHeight w:val="223"/>
        </w:trPr>
        <w:tc>
          <w:tcPr>
            <w:tcW w:w="4340" w:type="dxa"/>
            <w:vAlign w:val="bottom"/>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70,704</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128,520</w:t>
            </w:r>
          </w:p>
        </w:tc>
        <w:tc>
          <w:tcPr>
            <w:tcW w:w="2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10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199,224</w:t>
            </w:r>
          </w:p>
        </w:tc>
        <w:tc>
          <w:tcPr>
            <w:tcW w:w="12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4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626"/>
              <w:spacing w:after="0"/>
              <w:rPr>
                <w:sz w:val="20"/>
                <w:szCs w:val="20"/>
                <w:color w:val="auto"/>
              </w:rPr>
            </w:pPr>
            <w:r>
              <w:rPr>
                <w:rFonts w:ascii="Arial" w:cs="Arial" w:eastAsia="Arial" w:hAnsi="Arial"/>
                <w:sz w:val="14"/>
                <w:szCs w:val="14"/>
                <w:b w:val="1"/>
                <w:bCs w:val="1"/>
                <w:color w:val="auto"/>
              </w:rPr>
              <w:t>December 31, 2015</w:t>
            </w: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43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106"/>
              <w:spacing w:after="0" w:line="155" w:lineRule="exact"/>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126,103</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00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126,103</w:t>
            </w:r>
          </w:p>
        </w:tc>
        <w:tc>
          <w:tcPr>
            <w:tcW w:w="12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Bond and mutual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25,052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25,052</w:t>
            </w:r>
          </w:p>
        </w:tc>
        <w:tc>
          <w:tcPr>
            <w:tcW w:w="12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77,639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77,639</w:t>
            </w:r>
          </w:p>
        </w:tc>
        <w:tc>
          <w:tcPr>
            <w:tcW w:w="12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8,215</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8,215</w:t>
            </w:r>
          </w:p>
        </w:tc>
        <w:tc>
          <w:tcPr>
            <w:tcW w:w="120" w:type="dxa"/>
            <w:vAlign w:val="bottom"/>
            <w:shd w:val="clear" w:color="auto" w:fill="CFF0FC"/>
          </w:tcPr>
          <w:p>
            <w:pPr>
              <w:spacing w:after="0"/>
              <w:rPr>
                <w:sz w:val="19"/>
                <w:szCs w:val="19"/>
                <w:color w:val="auto"/>
              </w:rPr>
            </w:pPr>
          </w:p>
        </w:tc>
      </w:tr>
      <w:tr>
        <w:trPr>
          <w:trHeight w:val="223"/>
        </w:trPr>
        <w:tc>
          <w:tcPr>
            <w:tcW w:w="4340" w:type="dxa"/>
            <w:vAlign w:val="bottom"/>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102,888</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134,318</w:t>
            </w:r>
          </w:p>
        </w:tc>
        <w:tc>
          <w:tcPr>
            <w:tcW w:w="2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10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237,206</w:t>
            </w:r>
          </w:p>
        </w:tc>
        <w:tc>
          <w:tcPr>
            <w:tcW w:w="12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financial liabilities that are carried at historical cost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w w:val="94"/>
              </w:rPr>
              <w:t>March 31, 2016</w:t>
            </w:r>
          </w:p>
        </w:tc>
        <w:tc>
          <w:tcPr>
            <w:tcW w:w="1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118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financing obligations</w:t>
            </w: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97,480</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97,480</w:t>
            </w:r>
          </w:p>
        </w:tc>
        <w:tc>
          <w:tcPr>
            <w:tcW w:w="100" w:type="dxa"/>
            <w:vAlign w:val="bottom"/>
            <w:tcBorders>
              <w:top w:val="single" w:sz="8" w:color="CFF0FC"/>
            </w:tcBorders>
            <w:shd w:val="clear" w:color="auto" w:fill="CFF0FC"/>
          </w:tcPr>
          <w:p>
            <w:pPr>
              <w:spacing w:after="0"/>
              <w:rPr>
                <w:sz w:val="19"/>
                <w:szCs w:val="19"/>
                <w:color w:val="auto"/>
              </w:rPr>
            </w:pPr>
          </w:p>
        </w:tc>
      </w:tr>
      <w:tr>
        <w:trPr>
          <w:trHeight w:val="392"/>
        </w:trPr>
        <w:tc>
          <w:tcPr>
            <w:tcW w:w="4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left="622"/>
              <w:spacing w:after="0"/>
              <w:rPr>
                <w:sz w:val="20"/>
                <w:szCs w:val="20"/>
                <w:color w:val="auto"/>
              </w:rPr>
            </w:pPr>
            <w:r>
              <w:rPr>
                <w:rFonts w:ascii="Arial" w:cs="Arial" w:eastAsia="Arial" w:hAnsi="Arial"/>
                <w:sz w:val="14"/>
                <w:szCs w:val="14"/>
                <w:b w:val="1"/>
                <w:bCs w:val="1"/>
                <w:color w:val="auto"/>
                <w:w w:val="91"/>
              </w:rPr>
              <w:t>December 31, 2015</w:t>
            </w: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118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financing obligations</w:t>
            </w: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97,445</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97,445</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fair values of our financial liabilities were derived by using an income approach, which required Level 3 inputs such as discounted estimated future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between levels for any of the periods presented.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4.</w:t>
            </w:r>
          </w:p>
        </w:tc>
        <w:tc>
          <w:tcPr>
            <w:tcW w:w="5920" w:type="dxa"/>
            <w:vAlign w:val="bottom"/>
            <w:gridSpan w:val="2"/>
          </w:tcPr>
          <w:p>
            <w:pPr>
              <w:ind w:left="180"/>
              <w:spacing w:after="0"/>
              <w:rPr>
                <w:sz w:val="20"/>
                <w:szCs w:val="20"/>
                <w:color w:val="auto"/>
              </w:rPr>
            </w:pPr>
            <w:r>
              <w:rPr>
                <w:rFonts w:ascii="Arial" w:cs="Arial" w:eastAsia="Arial" w:hAnsi="Arial"/>
                <w:sz w:val="18"/>
                <w:szCs w:val="18"/>
                <w:b w:val="1"/>
                <w:bCs w:val="1"/>
                <w:color w:val="auto"/>
              </w:rPr>
              <w:t>Balance Sheet Components</w:t>
            </w: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62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Cash and Cash Equivalents</w:t>
            </w: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6260" w:type="dxa"/>
            <w:vAlign w:val="bottom"/>
            <w:gridSpan w:val="3"/>
          </w:tcPr>
          <w:p>
            <w:pPr>
              <w:spacing w:after="0"/>
              <w:rPr>
                <w:sz w:val="20"/>
                <w:szCs w:val="20"/>
                <w:color w:val="auto"/>
              </w:rPr>
            </w:pPr>
            <w:r>
              <w:rPr>
                <w:rFonts w:ascii="Arial" w:cs="Arial" w:eastAsia="Arial" w:hAnsi="Arial"/>
                <w:sz w:val="18"/>
                <w:szCs w:val="18"/>
                <w:color w:val="auto"/>
              </w:rPr>
              <w:t>Cash and cash equivalents consisted of the following (in thousands):</w:t>
            </w: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jc w:val="right"/>
              <w:ind w:right="394"/>
              <w:spacing w:after="0"/>
              <w:rPr>
                <w:sz w:val="20"/>
                <w:szCs w:val="20"/>
                <w:color w:val="auto"/>
              </w:rPr>
            </w:pPr>
            <w:r>
              <w:rPr>
                <w:rFonts w:ascii="Arial" w:cs="Arial" w:eastAsia="Arial" w:hAnsi="Arial"/>
                <w:sz w:val="14"/>
                <w:szCs w:val="14"/>
                <w:b w:val="1"/>
                <w:bCs w:val="1"/>
                <w:color w:val="auto"/>
              </w:rPr>
              <w:t>March 31, 2016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2015</w:t>
            </w: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96,198</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75,685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44,761</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77,639</w:t>
            </w:r>
          </w:p>
        </w:tc>
        <w:tc>
          <w:tcPr>
            <w:tcW w:w="80" w:type="dxa"/>
            <w:vAlign w:val="bottom"/>
            <w:tcBorders>
              <w:bottom w:val="single" w:sz="8" w:color="CFF0FC"/>
            </w:tcBorders>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1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cash and cash equivalents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140,959</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153,324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March 31, 2016, a total of $26.0 million of our cash and cash equivalents were held outside of the U.S. in our foreign subsidiaries to be used primarily for our China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investments are classified as available-for-sale. The amortized cost, gross unrealized holding gains or losses, and fair value of the Company’s available-for-sale investments by major investments type are summarized in the tables below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5"/>
          </w:tcPr>
          <w:p>
            <w:pPr>
              <w:jc w:val="right"/>
              <w:ind w:right="1600"/>
              <w:spacing w:after="0"/>
              <w:rPr>
                <w:sz w:val="20"/>
                <w:szCs w:val="20"/>
                <w:color w:val="auto"/>
              </w:rPr>
            </w:pPr>
            <w:r>
              <w:rPr>
                <w:rFonts w:ascii="Arial" w:cs="Arial" w:eastAsia="Arial" w:hAnsi="Arial"/>
                <w:sz w:val="14"/>
                <w:szCs w:val="14"/>
                <w:b w:val="1"/>
                <w:bCs w:val="1"/>
                <w:color w:val="auto"/>
              </w:rPr>
              <w:t>March 31, 2016</w:t>
            </w: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80" w:type="dxa"/>
            <w:vAlign w:val="bottom"/>
          </w:tcPr>
          <w:p>
            <w:pPr>
              <w:spacing w:after="0"/>
              <w:rPr>
                <w:sz w:val="11"/>
                <w:szCs w:val="11"/>
                <w:color w:val="auto"/>
              </w:rPr>
            </w:pPr>
          </w:p>
        </w:tc>
        <w:tc>
          <w:tcPr>
            <w:tcW w:w="176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300" w:type="dxa"/>
            <w:vAlign w:val="bottom"/>
          </w:tcPr>
          <w:p>
            <w:pPr>
              <w:spacing w:after="0"/>
              <w:rPr>
                <w:sz w:val="11"/>
                <w:szCs w:val="11"/>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Holding Gains</w:t>
            </w:r>
          </w:p>
        </w:tc>
        <w:tc>
          <w:tcPr>
            <w:tcW w:w="180" w:type="dxa"/>
            <w:vAlign w:val="bottom"/>
          </w:tcPr>
          <w:p>
            <w:pPr>
              <w:spacing w:after="0"/>
              <w:rPr>
                <w:sz w:val="14"/>
                <w:szCs w:val="14"/>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Holding Losses</w:t>
            </w:r>
          </w:p>
        </w:tc>
        <w:tc>
          <w:tcPr>
            <w:tcW w:w="3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125,825</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126,279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Certificate of deposits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2,241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25,712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Equity investments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investments</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153,904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5"/>
          </w:tcPr>
          <w:p>
            <w:pPr>
              <w:jc w:val="right"/>
              <w:ind w:right="1500"/>
              <w:spacing w:after="0"/>
              <w:rPr>
                <w:sz w:val="20"/>
                <w:szCs w:val="20"/>
                <w:color w:val="auto"/>
              </w:rPr>
            </w:pPr>
            <w:r>
              <w:rPr>
                <w:rFonts w:ascii="Arial" w:cs="Arial" w:eastAsia="Arial" w:hAnsi="Arial"/>
                <w:sz w:val="14"/>
                <w:szCs w:val="14"/>
                <w:b w:val="1"/>
                <w:bCs w:val="1"/>
                <w:color w:val="auto"/>
              </w:rPr>
              <w:t>December 31, 2015</w:t>
            </w: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80" w:type="dxa"/>
            <w:vAlign w:val="bottom"/>
          </w:tcPr>
          <w:p>
            <w:pPr>
              <w:spacing w:after="0"/>
              <w:rPr>
                <w:sz w:val="11"/>
                <w:szCs w:val="11"/>
                <w:color w:val="auto"/>
              </w:rPr>
            </w:pPr>
          </w:p>
        </w:tc>
        <w:tc>
          <w:tcPr>
            <w:tcW w:w="176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300" w:type="dxa"/>
            <w:vAlign w:val="bottom"/>
          </w:tcPr>
          <w:p>
            <w:pPr>
              <w:spacing w:after="0"/>
              <w:rPr>
                <w:sz w:val="11"/>
                <w:szCs w:val="11"/>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Holding Gains</w:t>
            </w:r>
          </w:p>
        </w:tc>
        <w:tc>
          <w:tcPr>
            <w:tcW w:w="180" w:type="dxa"/>
            <w:vAlign w:val="bottom"/>
          </w:tcPr>
          <w:p>
            <w:pPr>
              <w:spacing w:after="0"/>
              <w:rPr>
                <w:sz w:val="14"/>
                <w:szCs w:val="14"/>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Holding Losses</w:t>
            </w:r>
          </w:p>
        </w:tc>
        <w:tc>
          <w:tcPr>
            <w:tcW w:w="3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126,522</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Certificate of deposits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8,217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25,052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Equity investments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investments</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159,917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At March 31, 2016, all of the available-for-sale investments had contractual maturities within three years. The Company periodically reviews its available-for-sale investments for other-than-temporary impairment. The Company considers factors such as the duration, severity and the reason for the decline in value, the potential recovery period and our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During the three months ended March 31, 2016 and 2015, the Company did not recognize any other-than-temporary impairment loss.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ind w:right="313"/>
              <w:spacing w:after="0"/>
              <w:rPr>
                <w:sz w:val="20"/>
                <w:szCs w:val="20"/>
                <w:color w:val="auto"/>
              </w:rPr>
            </w:pPr>
            <w:r>
              <w:rPr>
                <w:rFonts w:ascii="Arial" w:cs="Arial" w:eastAsia="Arial" w:hAnsi="Arial"/>
                <w:sz w:val="14"/>
                <w:szCs w:val="14"/>
                <w:b w:val="1"/>
                <w:bCs w:val="1"/>
                <w:color w:val="auto"/>
              </w:rPr>
              <w:t>March 31, 2016</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2015</w:t>
            </w: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Preclinical and clinical trial accruals</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29,023</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Payroll and related accruals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9,511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13,535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4,166</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accrued liabilities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44,038</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47,932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was allocated to research and development and general and administrative expense as follows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98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80" w:type="dxa"/>
            <w:vAlign w:val="bottom"/>
          </w:tcPr>
          <w:p>
            <w:pPr>
              <w:jc w:val="right"/>
              <w:ind w:right="47"/>
              <w:spacing w:after="0" w:line="155"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3"/>
                <w:szCs w:val="13"/>
                <w:color w:val="auto"/>
              </w:rPr>
            </w:pPr>
          </w:p>
        </w:tc>
        <w:tc>
          <w:tcPr>
            <w:tcW w:w="1340" w:type="dxa"/>
            <w:vAlign w:val="bottom"/>
            <w:gridSpan w:val="2"/>
          </w:tcPr>
          <w:p>
            <w:pPr>
              <w:jc w:val="right"/>
              <w:ind w:right="65"/>
              <w:spacing w:after="0" w:line="155" w:lineRule="exact"/>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4,496</w:t>
            </w: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4,222</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6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w:t>
            </w: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6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7,340</w:t>
            </w:r>
          </w:p>
        </w:tc>
        <w:tc>
          <w:tcPr>
            <w:tcW w:w="2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6,446</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80" w:type="dxa"/>
            <w:vAlign w:val="bottom"/>
            <w:vMerge w:val="restart"/>
          </w:tcPr>
          <w:p>
            <w:pPr>
              <w:jc w:val="right"/>
              <w:ind w:right="770"/>
              <w:spacing w:after="0"/>
              <w:rPr>
                <w:sz w:val="20"/>
                <w:szCs w:val="20"/>
                <w:color w:val="auto"/>
              </w:rPr>
            </w:pPr>
            <w:r>
              <w:rPr>
                <w:rFonts w:ascii="Arial" w:cs="Arial" w:eastAsia="Arial" w:hAnsi="Arial"/>
                <w:sz w:val="18"/>
                <w:szCs w:val="18"/>
                <w:color w:val="auto"/>
              </w:rPr>
              <w:t>13</w:t>
            </w: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assumptions used to estimate the fair value of stock options granted and ESPPs using the Black-Scholes option valuation model were as follows: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2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673"/>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 Options</w:t>
            </w: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11.46</w:t>
            </w:r>
          </w:p>
        </w:tc>
        <w:tc>
          <w:tcPr>
            <w:tcW w:w="260" w:type="dxa"/>
            <w:vAlign w:val="bottom"/>
          </w:tcPr>
          <w:p>
            <w:pPr>
              <w:spacing w:after="0"/>
              <w:rPr>
                <w:sz w:val="20"/>
                <w:szCs w:val="20"/>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17.49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ESPPs</w:t>
            </w: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0.4 - 2.0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0.4 - 2.0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58.5 - 70.3%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58.5 - 68.3%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0.1 - 0.9%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0.1 - 0.4%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12.80</w:t>
            </w:r>
          </w:p>
        </w:tc>
        <w:tc>
          <w:tcPr>
            <w:tcW w:w="260" w:type="dxa"/>
            <w:vAlign w:val="bottom"/>
          </w:tcPr>
          <w:p>
            <w:pPr>
              <w:spacing w:after="0"/>
              <w:rPr>
                <w:sz w:val="20"/>
                <w:szCs w:val="20"/>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13.27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benefit from income taxes for the three months ended March 31, 2016 was primarily due to the discrete tax effect arising from other comprehensive income related to available-for-sale securities. The benefit for income taxes for the three months ended March 31, 2015 was due to the discrete tax effect arising from other comprehensive income related to available-for-sale securities.</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Based upon the weight of available evidence, which includes our historical operating performance, reported cumulative net losses since inception and expected continuing net loss, we have established and continue to maintain a full valuation allowance against our deferred tax assets as we do not currently believe that realization of those assets is more likely than not.</w:t>
      </w:r>
    </w:p>
    <w:p>
      <w:pPr>
        <w:spacing w:after="0" w:line="326"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Astellas is an equity investor in the Company and considered a related party. During the quarter ended March 31, 2016 and 2015, the Company recorded revenue related to collaboration agreements with Astellas of $3.7 million and $5.3 million, respectively. During the quarter ended March 31, 2016 and 2015, the Company recorded expense related to collaboration agreements with Astellas of $1.6 million and $3.0 million, respectively.</w:t>
      </w:r>
    </w:p>
    <w:p>
      <w:pPr>
        <w:spacing w:after="0" w:line="16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March 31, 2016 and December 31, 2015, accounts receivable from Astellas were $3.7 million and $4.5 million, respectively, and amounts due to Astellas were $1.6 million and $2.0 million, respectively.</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Julian N. Stern, a director of the Company since November 1996, is of counsel to the law firm of Goodwin Procter LLP, which he joined in 2008. He has received, and continues to receive, no compensation from Goodwin Procter LLP since joining it as of counsel. The Company retains Goodwin Procter LLP as legal counsel for various matters, primarily consisting of intellectual property matters. During the three months ended March 31, 2016 and 2015, the Company made payments to Goodwin Procter LLP of less than $0.1 million, respectively. As of March 31, 2016 and December 31, 2015, the balance of accrued liability for Goodwin Proctor LLP was immaterial.</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2015 filed with the SEC on February 29,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i w:val="1"/>
          <w:iCs w:val="1"/>
          <w:color w:val="auto"/>
        </w:rPr>
        <w:t>The following discussion and information contained elsewhere in this Quarterly Report on Form 10-Q contain “forward-looking statements” within the meaning of Section 21E of the Securities Exchange Act of 1934, as amended (the “Exchange Act”), Section 27A of the Securities Act of 1933, as amended (the “Securities Act”) and within the meaning of the Private Securities Litigation Reform Act of 1995.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 and are cautioned not to place undue reliance on such forward-looking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were incorporated in 1993 in Delaware and are a research-based, biopharmaceutical company focused on the discovery, development and commercialization of novel therapeutics to treat serious unmet medical needs. We have capitalized on our extensive experience in fibrosis and hypoxia-inducible factor (“HIF”) biology to generate multiple programs targeting various therapeutic areas. Roxadustat, or FG-4592, is an oral small molecule inhibitor of HIF prolyl hydroxylases (“HIF-PHs”) in Phase 3 clinical development for the treatment of anemia in chronic kidney disease (“CKD”). FG-3019 is our monoclonal antibody in Phase 2 clinical development for the treatment of idiopathic pulmonary fibrosis (“IPF”), pancreatic cancer, Duchenne muscular dystrophy (“DMD”) and liver fibrosis. We have taken a global approach with respect to our product candidates, and this includes development and commercialization of product candidates in the People’s Republic of China (“China”).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56"/>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757"/>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59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20" w:type="dxa"/>
            <w:vAlign w:val="bottom"/>
            <w:gridSpan w:val="3"/>
          </w:tcPr>
          <w:p>
            <w:pPr>
              <w:jc w:val="center"/>
              <w:ind w:right="154"/>
              <w:spacing w:after="0" w:line="155" w:lineRule="exact"/>
              <w:rPr>
                <w:sz w:val="20"/>
                <w:szCs w:val="20"/>
                <w:color w:val="auto"/>
              </w:rPr>
            </w:pPr>
            <w:r>
              <w:rPr>
                <w:rFonts w:ascii="Arial" w:cs="Arial" w:eastAsia="Arial" w:hAnsi="Arial"/>
                <w:sz w:val="14"/>
                <w:szCs w:val="14"/>
                <w:b w:val="1"/>
                <w:bCs w:val="1"/>
                <w:color w:val="auto"/>
                <w:w w:val="91"/>
              </w:rPr>
              <w:t>(in thousands, except for per share data)</w:t>
            </w: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Result of Operations</w:t>
            </w: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Revenue</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77"/>
              <w:spacing w:after="0"/>
              <w:rPr>
                <w:sz w:val="20"/>
                <w:szCs w:val="20"/>
                <w:color w:val="auto"/>
              </w:rPr>
            </w:pPr>
            <w:r>
              <w:rPr>
                <w:rFonts w:ascii="Arial" w:cs="Arial" w:eastAsia="Arial" w:hAnsi="Arial"/>
                <w:sz w:val="18"/>
                <w:szCs w:val="18"/>
                <w:color w:val="auto"/>
              </w:rPr>
              <w:t>28,282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16,298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55,067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61,021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(27,841)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(46,367)</w:t>
            </w: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(0.45)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(0.78)</w:t>
            </w:r>
          </w:p>
        </w:tc>
      </w:tr>
      <w:tr>
        <w:trPr>
          <w:trHeight w:val="68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ind w:right="417"/>
              <w:spacing w:after="0"/>
              <w:rPr>
                <w:sz w:val="20"/>
                <w:szCs w:val="20"/>
                <w:color w:val="auto"/>
              </w:rPr>
            </w:pPr>
            <w:r>
              <w:rPr>
                <w:rFonts w:ascii="Arial" w:cs="Arial" w:eastAsia="Arial" w:hAnsi="Arial"/>
                <w:sz w:val="14"/>
                <w:szCs w:val="14"/>
                <w:b w:val="1"/>
                <w:bCs w:val="1"/>
                <w:color w:val="auto"/>
              </w:rPr>
              <w:t>March 31, 2016</w:t>
            </w:r>
          </w:p>
        </w:tc>
        <w:tc>
          <w:tcPr>
            <w:tcW w:w="260" w:type="dxa"/>
            <w:vAlign w:val="bottom"/>
          </w:tcPr>
          <w:p>
            <w:pPr>
              <w:spacing w:after="0"/>
              <w:rPr>
                <w:sz w:val="24"/>
                <w:szCs w:val="2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December 31, 2015</w:t>
            </w:r>
          </w:p>
        </w:tc>
      </w:tr>
      <w:tr>
        <w:trPr>
          <w:trHeight w:val="156"/>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320" w:type="dxa"/>
            <w:vAlign w:val="bottom"/>
            <w:tcBorders>
              <w:top w:val="single" w:sz="8" w:color="auto"/>
            </w:tcBorders>
            <w:gridSpan w:val="3"/>
          </w:tcPr>
          <w:p>
            <w:pPr>
              <w:jc w:val="center"/>
              <w:ind w:right="134"/>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w:t>
            </w: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77"/>
              <w:spacing w:after="0"/>
              <w:rPr>
                <w:sz w:val="20"/>
                <w:szCs w:val="20"/>
                <w:color w:val="auto"/>
              </w:rPr>
            </w:pPr>
            <w:r>
              <w:rPr>
                <w:rFonts w:ascii="Arial" w:cs="Arial" w:eastAsia="Arial" w:hAnsi="Arial"/>
                <w:sz w:val="18"/>
                <w:szCs w:val="18"/>
                <w:color w:val="auto"/>
              </w:rPr>
              <w:t>140,959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153,324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Short-term and long-term investments</w:t>
            </w: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154,463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159,567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Accounts receivable</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77"/>
              <w:spacing w:after="0"/>
              <w:rPr>
                <w:sz w:val="20"/>
                <w:szCs w:val="20"/>
                <w:color w:val="auto"/>
              </w:rPr>
            </w:pPr>
            <w:r>
              <w:rPr>
                <w:rFonts w:ascii="Arial" w:cs="Arial" w:eastAsia="Arial" w:hAnsi="Arial"/>
                <w:sz w:val="18"/>
                <w:szCs w:val="18"/>
                <w:color w:val="auto"/>
              </w:rPr>
              <w:t>5,937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15,405</w:t>
            </w:r>
          </w:p>
        </w:tc>
        <w:tc>
          <w:tcPr>
            <w:tcW w:w="80" w:type="dxa"/>
            <w:vAlign w:val="bottom"/>
          </w:tcPr>
          <w:p>
            <w:pPr>
              <w:spacing w:after="0"/>
              <w:rPr>
                <w:sz w:val="20"/>
                <w:szCs w:val="20"/>
                <w:color w:val="auto"/>
              </w:rPr>
            </w:pPr>
          </w:p>
        </w:tc>
      </w:tr>
    </w:tbl>
    <w:p>
      <w:pPr>
        <w:spacing w:after="0" w:line="20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Our revenue for the three months ended March 31, 2016 increased compared to the same period a year ago primarily due to the fact that we had reached the cap with AstraZeneca AB (“AstraZeneca”) during the fourth quarter of 2015 on our initial funding obligations, therefore during the first quarter of 2016, we no longer shared 50% of the development costs compared to the prior periods, for roxadustat for the treatment of anemia in CKD in the U.S., Europe, Japan and all other markets outside of China. This increase in revenue was partially offset by decreased reimbursable co-development costs. Operating expenses decreased for the three months ended March 31, 2016 primarily due to lower research and development expenses, as we had reached the cap with AstraZeneca during the fourth quarter of 2015 as discussed above, and we no longer shared 50% of the development costs compared to the prior periods. During the three months ended March 31, 2016, we had a net loss of $27.8 million, or net loss per basic and diluted share of $0.45. The improvement in net loss and in net loss per basic and diluted share for the three months ended March 31, 2016 compared to the same period a year ago was due to an increase in revenue and a decrease in operating expenses.</w:t>
      </w:r>
    </w:p>
    <w:p>
      <w:pPr>
        <w:spacing w:after="0" w:line="1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Cash, cash equivalents, investments and accounts receivable, excluding restricted cash, totaled $301.4 million at March 31, 2016, a decrease of $26.9 million from December 31, 2015, primarily due to cash used in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three months of 2016, we continued to make progress in the development of our major programs.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Roxadustat, the first HIF-PH inhibitor to enter Phase 3 clinical development, acts by stimulating the body’s natural pathway of erythropoiesis, or red blood cell production. We, along with our collaboration partners Astellas Pharma Inc. (“Astellas”) and AstraZeneca, continue to advance roxadustat through our global Phase 3 program, conducting seven studies designed to support regulatory approval of roxadustat in both dialysis-dependent CKD patients and CKD patients who are not dialysis-dependent in multiple geographies. We have completed initial target enrollment in two of FibroGen’s three Phase 3 studies and we have enrolled approximately 80% of the third study’s initial target enrollment. We are focusing on additional U.S. enrollment in this third study and expect to complete initial target enrollment in the third quarter of 2016. We are working with our partners to assess overall event rates to develop a view on expected study completion dates in the second half of 2016. We currently anticipate filing for New Drug Application (“NDA”) approval for roxadustat in the U.S. in 2018.</w:t>
      </w:r>
    </w:p>
    <w:p>
      <w:pPr>
        <w:spacing w:after="0" w:line="19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Through our subsidiary, FibroGen (China) Medical Technology Development Co., Ltd. (“FibroGen Beijing”), we began enrolling patients in our China Phase 3 studies in December 2015. The primary efficacy endpoint is 26 weeks for the 300 subject dialysis study and we are over 80% enrolled and expect to complete enrollment in May 2016. The primary efficacy endpoint is 8 weeks for the 150 subject non-dialysis study and we are approximately one-third enrolled and expect to complete enrollment in the third quarter. We expect to report top-line data for these studies by year-end. We also believe we have enrolled sufficient subjects for the 52 week safety assessment study and expect to complete follow up with the last subjects in the second quarter of 2017.</w:t>
      </w:r>
    </w:p>
    <w:p>
      <w:pPr>
        <w:spacing w:after="0" w:line="158"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We are operating within the context of a Class 1.1 drug approval pathway for Domestic innovative drugs, and we currently anticipate initiating the NDA process in China in the fourth quarter of 2016 after we have reached the primary efficacy endpoint for both studies. Given that there is little precedent in China for the approval pathway and the China Food and Drug Administration (“CFDA”) is in the process of enacting regulatory reform, we continue to regularly consult with the CFDA with respect to the approval process.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 Japan, Astellas has completed roxadustat Phase 2b studies in CKD dialysis and non-dialysis patients and currently expects to initiate Phase 3 clinical development in the second quarter of 2016, which would trigger a $10 million milestone followed by payment sometime in the second or third quarter of 2016.</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Based on roxadustat’s potential safety and efficacy profile and other potential advantages over Erythropoiesis Stimulating Agents, we believe that in addition to treating anemia in CKD, roxadustat has the potential to treat anemia associated with other conditions. We plan on submitting a clinical trial application in China in the second quarter of 2016 to study roxadustat in myelodysplastic syndrome. We also plan on submitting a clinical trial application in China to study roxadustat in chemotherapy induced anemia in 2016.</w:t>
      </w:r>
    </w:p>
    <w:p>
      <w:pPr>
        <w:spacing w:after="0" w:line="1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FG-3019 is our fully-human monoclonal antibody that inhibits the activity of connective tissue growth factor, a critical common element in the progression of fibrosis and associated serious diseases. We continue to expand the scope of our ongoing Phase 2, randomized, double-blind, placebo-controlled study (067) to evaluate the safety and efficacy of FG-3019 in IPF patients with mild to moderate disease. As with our open-label Phase 2 trial, Study 049, the primary efficacy endpoint for Study 067 is change in FVC from baseline. Secondary endpoints are extent of pulmonary fibrosis as measured by quantitative high resolution computed tomography, other pulmonary function assessments and measures of health-related quality of life. We have enrolled approximately 75 toward our goal of 90 patients in the placebo-controlled portion of this study, and intend to complete enrollment in mid-2016. We have also begun enrolling patients in a substudy targeting approximately 60 patients to test FG-3019 in combination with approved therapies. Hoffmann-La Roche’s (“Roche’s”) pirfenidone is approved for marketing in Europe, Canada, Japan and the U.S. and Boehringer Ingelheim’s nintedanib is approved for marketing in Europe and the U.S. We expect to report topline data from these studies in July of 2017.</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also continue to enroll an open-label Phase 2 trial in previously untreated patients with pancreatic cancer to determine whether FG-3019, in combination with gemcitabine and nab-paclitaxel, can convert stage 3 inoperable cancer to resectable, or operable, cancer. Target enrollment for this proof of concept study is approximately 42 patients, however, we won’t necessarily have to complete the target enrollment before ending the study. There are 47,000 new cases of pancreatic cancer per year in U.S. In two thirds of new cases, the nature of the cancer precludes resection, in one third the tumors are potentially resectable. We reported on the first eight evaluable patients at the 2016 American Society of Clinical Oncology GastroIntestinal Cancer Meeting in January. Though we have only treated a limited number of patients, at present, of nine patients randomized to receive FG-3019 plus standard-of-care (gemcitabine and nab-paclitaxel), three patients continue on treatment, one discontinued treatment early due to a chemotherapy-related serious adverse event and five patients completed six months of treatment. All five who completed treatment were reassessed as eligible for resection based on standard scoring criteria set forth in the protocol; three having complete resection (R0) and one having an R1 resection (microscopic evidence of residual tumor cells at the resection margins), while the fifth patient’s tumor was not resected due to the presence of metastatic disease observed during surgery. Of the seven patients randomized to the comparator arm of chemotherapy, three experienced disease progression, as defined in the protocol, prior to completing treatment and four completed the treatment regimen. Of the four who completed treatment, only one was reassessed as eligible for resection and that patient had a complete resection (R0). In addition, two of the seven randomized to the chemotherapy arm died.</w:t>
      </w:r>
    </w:p>
    <w:p>
      <w:pPr>
        <w:spacing w:after="0" w:line="1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January 2016, we dosed the first patients in a two-year open-label trial of FG-3019 in approximately 22 non-ambulatory patients with DMD and expect to complete enrollment by the first quarter of 2017. The primary endpoint is change in pulmonary function compared to each individual subject’s historical decline in lung function. Other endpoints include assessments of cardiac fibrosis and function assessed by magnetic resonance imaging (“MRI”), arm muscle fibrosis and fat assessed by MRI and upper body strength. We plan to conduct a preliminary assessment after all evaluable subjects have completed one year of dosing. In the third quarter of 2016, we expect to expand our IND and submit a protocol with the Food and Drug Administration (“FDA”) to treat ambulatory DMD patients with FG-3019.</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Update</w:t>
      </w:r>
    </w:p>
    <w:p>
      <w:pPr>
        <w:spacing w:after="0" w:line="12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March 2013, we obtained the grant of European Patent No. 1463823 (the ’823 patent), which is a method case relating to treatment of anemia using different chemical classes of HIF prolyl hydroxylase inhibitors. On December 5, 2013, Akebia Therapeutics, Inc. filed an opposition to the ’823 patent with the European Patent Office and in March 2016, the opposition division of the European Patent Office decided against FibroGen, revoking the ’823 patent as granted. FibroGen has appealed this decision, and the ’823 patent is currently valid and enforceable pending resolution on appeal. While we believe we will be successful on appeal, the ultimate outcome of the proceeding remains uncertain and ultimate resolution may take an additional 4-5 years. However, a narrowing of the scope of or even revocation of the ’823 patent would not affect our exclusivity for roxadustat or our freedom-to-operate with respect to use of roxadustat for the treatment of anemia in Europe. Akebia and other third parties may initiate additional or similar proceedings with the European Patent Office or in other similar foreign jurisdictions.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2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Our current and future research, development, manufacturing and commercialization efforts with respect to roxadustat and our other product candidates currently in development depend on funds from our collaboration agreements with Astellas and AstraZeneca as described below.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w:t>
      </w:r>
    </w:p>
    <w:p>
      <w:pPr>
        <w:spacing w:after="0" w:line="117"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In June 2005, we entered into a collaboration agreement with Astellas for roxadustat for the treatment of anemia in Japan (“Japan Agreement”). In April 2006, we entered into a collaboration agreement with Astellas for roxadustat for the treatment of anemia in Europe, the Commonwealth of Independent States, the Middle East, and South Africa (“Europe Agreement”). Under these agreements, we provided Astellas the right to develop and commercialize roxadustat for anemia in these territories.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share responsibility with Astellas for clinical development activities required for U.S. and the European Union (“EU”)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The aggregate amount of such consideration received through March 31, 2016 totals $462.6 million. In Japan, Astellas has completed roxadustat Phase 2b studies in CKD dialysis and non-dialysis patients and currently expects to initiate Phase 3 clinical development in the second quarter of 2016, which would trigger a $10 million milestone followed by payment sometime in the second or third quarter of 2016.</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Additionally, under these agreements, Astellas pays 100% of the commercialization costs in its territories. Astellas will pay us a transfer price, based on net sales, in the low 20% range for our manufacture and delivery of roxadustat.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of March 31, 2016, Astellas had separate investment of $80.5 million in the equity of FibroGen,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July 2013, we entered into a collaboration agreement with AstraZeneca for roxadustat for the treatment of anemia in the U.S. and all territories not previously licensed to Astellas, except China (“U.S./RoW Agreement”). In July 2013, through our China subsidiary and related affiliates, we entered into a collaboration agreement with AstraZeneca for roxadustat for the treatment of anemia in China (“China Agreement”). Under these agreements we provided AstraZeneca the right to develop and commercialize roxadustat for anemia in these territories. We share responsibility with AstraZeneca for clinical development activities required for U.S. regulatory approval of roxadustat.</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Now that we have reached the $116.5 million cap on our initial funding obligations (during which time we shared 50% of the initial development costs), all future development and commercialization costs for roxadustat for the treatment of anemia in CKD in the U.S., Europe, Japan and all other markets outside of China will be paid by Astellas and AstraZeneca.</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China, FibroGen China will conduct the development work for CKD anemia and its subsidiary, FibroGen Beijing, will hold all of the regulatory licenses issued by China regulatory authorities, and FibroGen China will be primarily responsible for regulatory, clinical and manufacturing. China development costs are shared 50/50. AstraZeneca is also responsible for 100% of development expenses in all other licensed territories outside of China. We are responsible, through our contract manufacturers, for the manufacture and supply of all quantities of roxadustat to be used in development and commercialization under the AstraZeneca agreements.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Under the AstraZeneca agreements, we will receive upfront and subsequent non-contingent payments totaling $402.2 million, a portion of which we have received and the remainder of which we expect to receive in various amounts through 2016, including a $62.0 million time based development milestone, which became non-contingent as of July 30, 2014.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The aggregate amount of such consideration received through March 31, 2016 totals $355.2 million.</w:t>
      </w:r>
    </w:p>
    <w:p>
      <w:pPr>
        <w:spacing w:after="0" w:line="193" w:lineRule="exact"/>
        <w:rPr>
          <w:sz w:val="20"/>
          <w:szCs w:val="20"/>
          <w:color w:val="auto"/>
        </w:rPr>
      </w:pPr>
    </w:p>
    <w:p>
      <w:pPr>
        <w:jc w:val="both"/>
        <w:ind w:right="500"/>
        <w:spacing w:after="0" w:line="342" w:lineRule="auto"/>
        <w:rPr>
          <w:sz w:val="20"/>
          <w:szCs w:val="20"/>
          <w:color w:val="auto"/>
        </w:rPr>
      </w:pPr>
      <w:r>
        <w:rPr>
          <w:rFonts w:ascii="Arial" w:cs="Arial" w:eastAsia="Arial" w:hAnsi="Arial"/>
          <w:sz w:val="16"/>
          <w:szCs w:val="16"/>
          <w:color w:val="auto"/>
        </w:rPr>
        <w:t>During the second quarter of 2015, we received an upfront payment of $120.0 million and a development milestone payment of $15.0 million under the U.S./RoW Agreement. The development milestone payment resulted from the finalization of our two audited pre-clinical carcinogenicity study reports.</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Payments under these agreements include over $500.0 million in upfront, non-contingent and other payments received or expected to be received prior to the first U.S. approval, excluding development expense reimbursement.</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U.S./RoW Agreement, AstraZeneca will pay for all commercialization costs in the U.S. and RoW and AstraZeneca will be responsible for the U.S. commercialization of roxadustat, with FibroGen undertaking specified promotional activities in the end stage renal disease segment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China Agreement, which is conducted through FibroGen China, the commercial collaboration is structured as a 50/50 profit share. AstraZeneca will conduct commercialization activities in China as well as serve as the master distributor for roxadustat and will fund roxadustat launch costs in China until FibroGen Beijing has achieved profitability. At that time, AstraZeneca will recoup 50% of their historical launch costs out of initial roxadustat profits in China.</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to pay for a substantial portion of the post-termination development costs under the agreed development plan until regulatory approval.</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to pay for transition costs as well as make a specified payment to FibroGen China.</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Related to Collaboration Agreements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Total cash consideration received through March 31, 2016 and potential cash consideration, other than development cost reimbursement, transfer price payments, royalties and profit share, pursuant to our existing collaboration agreements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Cash</w:t>
            </w:r>
          </w:p>
        </w:tc>
        <w:tc>
          <w:tcPr>
            <w:tcW w:w="340" w:type="dxa"/>
            <w:vAlign w:val="bottom"/>
          </w:tcPr>
          <w:p>
            <w:pPr>
              <w:spacing w:after="0"/>
              <w:rPr>
                <w:sz w:val="14"/>
                <w:szCs w:val="14"/>
                <w:color w:val="auto"/>
              </w:rPr>
            </w:pPr>
          </w:p>
        </w:tc>
        <w:tc>
          <w:tcPr>
            <w:tcW w:w="1800" w:type="dxa"/>
            <w:vAlign w:val="bottom"/>
            <w:vMerge w:val="restart"/>
          </w:tcPr>
          <w:p>
            <w:pPr>
              <w:jc w:val="center"/>
              <w:ind w:right="277"/>
              <w:spacing w:after="0"/>
              <w:rPr>
                <w:sz w:val="20"/>
                <w:szCs w:val="20"/>
                <w:color w:val="auto"/>
              </w:rPr>
            </w:pPr>
            <w:r>
              <w:rPr>
                <w:rFonts w:ascii="Arial" w:cs="Arial" w:eastAsia="Arial" w:hAnsi="Arial"/>
                <w:sz w:val="14"/>
                <w:szCs w:val="14"/>
                <w:b w:val="1"/>
                <w:bCs w:val="1"/>
                <w:color w:val="auto"/>
                <w:w w:val="93"/>
              </w:rPr>
              <w:t>Additional</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Received</w:t>
            </w:r>
          </w:p>
        </w:tc>
        <w:tc>
          <w:tcPr>
            <w:tcW w:w="34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Through</w:t>
            </w:r>
          </w:p>
        </w:tc>
        <w:tc>
          <w:tcPr>
            <w:tcW w:w="340" w:type="dxa"/>
            <w:vAlign w:val="bottom"/>
          </w:tcPr>
          <w:p>
            <w:pPr>
              <w:spacing w:after="0"/>
              <w:rPr>
                <w:sz w:val="12"/>
                <w:szCs w:val="12"/>
                <w:color w:val="auto"/>
              </w:rPr>
            </w:pPr>
          </w:p>
        </w:tc>
        <w:tc>
          <w:tcPr>
            <w:tcW w:w="180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4"/>
              </w:rPr>
              <w:t>Potential</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Potential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March 31, 2016</w:t>
            </w:r>
          </w:p>
        </w:tc>
        <w:tc>
          <w:tcPr>
            <w:tcW w:w="340" w:type="dxa"/>
            <w:vAlign w:val="bottom"/>
          </w:tcPr>
          <w:p>
            <w:pPr>
              <w:spacing w:after="0"/>
              <w:rPr>
                <w:sz w:val="14"/>
                <w:szCs w:val="14"/>
                <w:color w:val="auto"/>
              </w:rPr>
            </w:pPr>
          </w:p>
        </w:tc>
        <w:tc>
          <w:tcPr>
            <w:tcW w:w="1800" w:type="dxa"/>
            <w:vAlign w:val="bottom"/>
          </w:tcPr>
          <w:p>
            <w:pPr>
              <w:jc w:val="center"/>
              <w:ind w:right="277"/>
              <w:spacing w:after="0"/>
              <w:rPr>
                <w:sz w:val="20"/>
                <w:szCs w:val="20"/>
                <w:color w:val="auto"/>
              </w:rPr>
            </w:pPr>
            <w:r>
              <w:rPr>
                <w:rFonts w:ascii="Arial" w:cs="Arial" w:eastAsia="Arial" w:hAnsi="Arial"/>
                <w:sz w:val="14"/>
                <w:szCs w:val="14"/>
                <w:b w:val="1"/>
                <w:bCs w:val="1"/>
                <w:color w:val="auto"/>
                <w:w w:val="92"/>
              </w:rPr>
              <w:t>Cash Payments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Cash Payments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jc w:val="center"/>
              <w:ind w:right="31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Astellas--related-party:</w:t>
            </w: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Japan Agreement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52,593</w:t>
            </w:r>
          </w:p>
        </w:tc>
        <w:tc>
          <w:tcPr>
            <w:tcW w:w="38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120,000</w:t>
            </w:r>
          </w:p>
        </w:tc>
        <w:tc>
          <w:tcPr>
            <w:tcW w:w="6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172,593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Europe Agreement</w:t>
            </w: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410,000</w:t>
            </w:r>
          </w:p>
        </w:tc>
        <w:tc>
          <w:tcPr>
            <w:tcW w:w="3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500"/>
              <w:spacing w:after="0"/>
              <w:rPr>
                <w:sz w:val="20"/>
                <w:szCs w:val="20"/>
                <w:color w:val="auto"/>
              </w:rPr>
            </w:pPr>
            <w:r>
              <w:rPr>
                <w:rFonts w:ascii="Arial" w:cs="Arial" w:eastAsia="Arial" w:hAnsi="Arial"/>
                <w:sz w:val="18"/>
                <w:szCs w:val="18"/>
                <w:color w:val="auto"/>
              </w:rPr>
              <w:t>Total Astellas</w:t>
            </w: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462,593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455,000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917,593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AstraZeneca:</w:t>
            </w: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U.S. / RoW Agreement</w:t>
            </w: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327,000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922,000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1,249,000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China Agreement</w:t>
            </w: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28,200</w:t>
            </w:r>
          </w:p>
        </w:tc>
        <w:tc>
          <w:tcPr>
            <w:tcW w:w="3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348,500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AstraZeneca</w:t>
            </w: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355,200</w:t>
            </w:r>
          </w:p>
        </w:tc>
        <w:tc>
          <w:tcPr>
            <w:tcW w:w="3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1,270,500</w:t>
            </w: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1,625,700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817,793</w:t>
            </w:r>
          </w:p>
        </w:tc>
        <w:tc>
          <w:tcPr>
            <w:tcW w:w="3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1,725,500</w:t>
            </w: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2,543,293</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jc w:val="right"/>
              <w:ind w:right="436"/>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These collaboration agreements also provide for reimbursement of certain fully burdened research and development costs as well as direct out of pocket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60" w:type="dxa"/>
            <w:vAlign w:val="bottom"/>
            <w:gridSpan w:val="6"/>
          </w:tcPr>
          <w:p>
            <w:pPr>
              <w:ind w:left="36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rPr>
              <w:t>License and milestone revenue</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19,738</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11,506</w:t>
            </w:r>
          </w:p>
        </w:tc>
        <w:tc>
          <w:tcPr>
            <w:tcW w:w="240" w:type="dxa"/>
            <w:vAlign w:val="bottom"/>
          </w:tcPr>
          <w:p>
            <w:pPr>
              <w:spacing w:after="0"/>
              <w:rPr>
                <w:sz w:val="19"/>
                <w:szCs w:val="19"/>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8,232</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4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6"/>
              </w:rPr>
              <w:t>Collaboration services and other revenue</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3,752</w:t>
            </w: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44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28,282</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11,984</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revenue to date has been generated substantially from our collaboration agreements with Astellas and AstraZeneca.</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Under our revenue recognition policy, license revenue includes amounts from upfront, non-refundable license payments and amounts allocated pursuant to the relative selling price method from other consideration received (other than substantive milestone payments) during the periods. This revenue is generally recognized as deliverables are met and services are performed. Milestone revenue includes payments from milestones which are deemed to be substantive in nature and is recognized in its entirety in the period in which the milestone is achieved. License and milestone revenues represented 70% and 71% of total revenue for the three months ended March 31, 2016 and 2015, respectively.</w:t>
      </w:r>
    </w:p>
    <w:p>
      <w:pPr>
        <w:spacing w:after="0" w:line="173"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Collaboration services include co-development services, manufacturing of clinical supplies, committee services and information sharing. Collaboration services revenues are recognized over the non-contingent performance period, ranging from 36 to 65 months. Other revenues consist of royalty payments received, which are recorded on a monthly basis as they are reported to us, and have been included with collaboration services and other revenue in the condensed consolidated statements of operations, as they have not been material for any of the periods presented. Collaboration services and other revenues represented 30% and 29% of total revenue for the three months ended March 31, 2016 and 2015, respectively.</w:t>
      </w:r>
    </w:p>
    <w:p>
      <w:pPr>
        <w:spacing w:after="0" w:line="158"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We have not generated any revenues based on the sale of FDA or CFDA approved products. In the future, we may generate revenue from product sales and from collaboration agreements in the form of license fees, milestone payments, reimbursements for collaboration services and royalties on product sales. We expect that any revenues we generate will fluctuate from quarter to quarter as a result of the uncertain timing and amount of such payments and sales.</w:t>
      </w:r>
    </w:p>
    <w:p>
      <w:pPr>
        <w:spacing w:after="0" w:line="14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Total revenue increased by $12.0 million, or 74% for the three months ended March 31, 2016 compared to the same period a year ago for the reasons discussed in the sections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and Milestone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4"/>
                <w:szCs w:val="14"/>
                <w:b w:val="1"/>
                <w:bCs w:val="1"/>
                <w:color w:val="auto"/>
                <w:w w:val="96"/>
              </w:rPr>
              <w:t>Three Months Ended March 31,</w:t>
            </w:r>
          </w:p>
        </w:tc>
        <w:tc>
          <w:tcPr>
            <w:tcW w:w="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30"/>
        </w:trPr>
        <w:tc>
          <w:tcPr>
            <w:tcW w:w="116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License and milestone revenue:</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500" w:type="dxa"/>
            <w:vAlign w:val="bottom"/>
          </w:tcPr>
          <w:p>
            <w:pPr>
              <w:ind w:left="240"/>
              <w:spacing w:after="0"/>
              <w:rPr>
                <w:sz w:val="20"/>
                <w:szCs w:val="20"/>
                <w:color w:val="auto"/>
              </w:rPr>
            </w:pPr>
            <w:r>
              <w:rPr>
                <w:rFonts w:ascii="Arial" w:cs="Arial" w:eastAsia="Arial" w:hAnsi="Arial"/>
                <w:sz w:val="18"/>
                <w:szCs w:val="18"/>
                <w:color w:val="auto"/>
              </w:rPr>
              <w:t>Astellas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3,313</w:t>
            </w:r>
          </w:p>
        </w:tc>
        <w:tc>
          <w:tcPr>
            <w:tcW w:w="80" w:type="dxa"/>
            <w:vAlign w:val="bottom"/>
          </w:tcPr>
          <w:p>
            <w:pPr>
              <w:spacing w:after="0"/>
              <w:rPr>
                <w:sz w:val="19"/>
                <w:szCs w:val="19"/>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4,692</w:t>
            </w:r>
          </w:p>
        </w:tc>
        <w:tc>
          <w:tcPr>
            <w:tcW w:w="78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(1,379)</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(29) %</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AstraZeneca</w:t>
            </w:r>
          </w:p>
        </w:tc>
        <w:tc>
          <w:tcPr>
            <w:tcW w:w="4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16,425</w:t>
            </w: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6,814</w:t>
            </w:r>
          </w:p>
        </w:tc>
        <w:tc>
          <w:tcPr>
            <w:tcW w:w="24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9,611</w:t>
            </w:r>
          </w:p>
        </w:tc>
        <w:tc>
          <w:tcPr>
            <w:tcW w:w="4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500" w:type="dxa"/>
            <w:vAlign w:val="bottom"/>
          </w:tcPr>
          <w:p>
            <w:pPr>
              <w:ind w:left="480"/>
              <w:spacing w:after="0"/>
              <w:rPr>
                <w:sz w:val="20"/>
                <w:szCs w:val="20"/>
                <w:color w:val="auto"/>
              </w:rPr>
            </w:pPr>
            <w:r>
              <w:rPr>
                <w:rFonts w:ascii="Arial" w:cs="Arial" w:eastAsia="Arial" w:hAnsi="Arial"/>
                <w:sz w:val="18"/>
                <w:szCs w:val="18"/>
                <w:color w:val="auto"/>
              </w:rPr>
              <w:t>Total license and milestone revenue</w:t>
            </w:r>
          </w:p>
        </w:tc>
        <w:tc>
          <w:tcPr>
            <w:tcW w:w="4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19,738</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11,506</w:t>
            </w:r>
          </w:p>
        </w:tc>
        <w:tc>
          <w:tcPr>
            <w:tcW w:w="240" w:type="dxa"/>
            <w:vAlign w:val="bottom"/>
          </w:tcPr>
          <w:p>
            <w:pPr>
              <w:spacing w:after="0"/>
              <w:rPr>
                <w:sz w:val="19"/>
                <w:szCs w:val="19"/>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8,232</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69"/>
        </w:trPr>
        <w:tc>
          <w:tcPr>
            <w:tcW w:w="1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256"/>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License and milestone revenue increased by $8.2 million, or 72% for the three months ended March 31, 2016 compared to the same period a year ago due to an increase in the license and milestone revenue recognized under our collaboration agreements with AstraZeneca, partially offset by a decrease in the license and milestone revenue recognized under our collaboration agreements with Astellas. License and milestone revenue recognized under our collaboration agreements with AstraZeneca increased primarily due to the fact that we had reached the cap during fourth quarter of 2015 on our initial funding obligations, therefore during the first quarter of 2016, we no longer shared 50% of the development costs development and commercialization costs compared to the prior periods, for roxadustat for the treatment of anemia in CKD in the U.S., Europe, Japan and all other markets outside of China. The increase was partially offset by a decrease in reimbursable co-development costs allocated to license and milestone revenues. License and milestone revenue recognized under our collaboration agreements with Astellas decreased primarily due to a decrease in reimbursable co-development costs allocated to license and milestone revenues.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Collaboration Services and Other Revenue</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Collaboration services revenue:</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Astellas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9"/>
                <w:szCs w:val="19"/>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634</w:t>
            </w:r>
          </w:p>
        </w:tc>
        <w:tc>
          <w:tcPr>
            <w:tcW w:w="220" w:type="dxa"/>
            <w:vAlign w:val="bottom"/>
          </w:tcPr>
          <w:p>
            <w:pPr>
              <w:spacing w:after="0"/>
              <w:rPr>
                <w:sz w:val="19"/>
                <w:szCs w:val="19"/>
                <w:color w:val="auto"/>
              </w:rPr>
            </w:pPr>
          </w:p>
        </w:tc>
        <w:tc>
          <w:tcPr>
            <w:tcW w:w="540" w:type="dxa"/>
            <w:vAlign w:val="bottom"/>
            <w:gridSpan w:val="2"/>
          </w:tcPr>
          <w:p>
            <w:pPr>
              <w:jc w:val="right"/>
              <w:ind w:right="367"/>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(282)</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(44) %</w:t>
            </w: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AstraZeneca</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4,046</w:t>
            </w: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940" w:type="dxa"/>
            <w:vAlign w:val="bottom"/>
          </w:tcPr>
          <w:p>
            <w:pPr>
              <w:ind w:left="480"/>
              <w:spacing w:after="0"/>
              <w:rPr>
                <w:sz w:val="20"/>
                <w:szCs w:val="20"/>
                <w:color w:val="auto"/>
              </w:rPr>
            </w:pPr>
            <w:r>
              <w:rPr>
                <w:rFonts w:ascii="Arial" w:cs="Arial" w:eastAsia="Arial" w:hAnsi="Arial"/>
                <w:sz w:val="18"/>
                <w:szCs w:val="18"/>
                <w:color w:val="auto"/>
              </w:rPr>
              <w:t>Total collaboration services revenue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3,764</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Other revenue</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r>
      <w:tr>
        <w:trPr>
          <w:trHeight w:val="223"/>
        </w:trPr>
        <w:tc>
          <w:tcPr>
            <w:tcW w:w="20" w:type="dxa"/>
            <w:vAlign w:val="bottom"/>
          </w:tcPr>
          <w:p>
            <w:pPr>
              <w:spacing w:after="0"/>
              <w:rPr>
                <w:sz w:val="19"/>
                <w:szCs w:val="19"/>
                <w:color w:val="auto"/>
              </w:rPr>
            </w:pPr>
          </w:p>
        </w:tc>
        <w:tc>
          <w:tcPr>
            <w:tcW w:w="3940" w:type="dxa"/>
            <w:vAlign w:val="bottom"/>
          </w:tcPr>
          <w:p>
            <w:pPr>
              <w:ind w:left="480"/>
              <w:spacing w:after="0"/>
              <w:rPr>
                <w:sz w:val="20"/>
                <w:szCs w:val="20"/>
                <w:color w:val="auto"/>
              </w:rPr>
            </w:pPr>
            <w:r>
              <w:rPr>
                <w:rFonts w:ascii="Arial" w:cs="Arial" w:eastAsia="Arial" w:hAnsi="Arial"/>
                <w:sz w:val="18"/>
                <w:szCs w:val="18"/>
                <w:color w:val="auto"/>
                <w:w w:val="93"/>
              </w:rPr>
              <w:t>Total collaboration services and other revenue</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8,544</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3,752</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Collaboration services and other revenue increased $3.8 million, or 78%, for the three months ended March 31, 2016 compared to the same period a year ago due to an increase in the collaboration services revenue recognized under our collaboration agreements with AstraZeneca, partially offset by a decrease in the collaboration services revenue recognized under our collaboration agreements with Astellas. Collaboration services revenue recognized under our collaboration agreements with AstraZeneca increased primarily due to the fact that we had reached the cap during fourth quarter of 2015 on our initial funding obligations, therefore during the first quarter of 2016, we no longer shared 50% of the development costs development and commercialization costs compared to the prior periods, for roxadustat for the treatment of anemia in CKD in the U.S., Europe, Japan and all other markets outside of China. In addition, collaboration services revenue recognized under our collaboration agreements with AstraZeneca increased due to the amortization of a higher balance of deferred revenue resulting from the allocation of the upfront payment of $120.0 million received during the second quarter of 2015. The increases were partially offset by a decrease in reimbursable co-development costs allocated to collaboration services revenues. Collaboration services revenue recognized under our collaboration agreements with Astellas decreased due to a decrease in reimbursable co-development costs allocated to collaboration services.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43,650</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50,539</w:t>
            </w:r>
          </w:p>
        </w:tc>
        <w:tc>
          <w:tcPr>
            <w:tcW w:w="240" w:type="dxa"/>
            <w:vAlign w:val="bottom"/>
          </w:tcPr>
          <w:p>
            <w:pPr>
              <w:spacing w:after="0"/>
              <w:rPr>
                <w:sz w:val="19"/>
                <w:szCs w:val="19"/>
                <w:color w:val="auto"/>
              </w:rPr>
            </w:pPr>
          </w:p>
        </w:tc>
        <w:tc>
          <w:tcPr>
            <w:tcW w:w="580" w:type="dxa"/>
            <w:vAlign w:val="bottom"/>
            <w:gridSpan w:val="2"/>
          </w:tcPr>
          <w:p>
            <w:pPr>
              <w:jc w:val="right"/>
              <w:ind w:right="40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(6,889)</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(14) %</w:t>
            </w:r>
          </w:p>
        </w:tc>
      </w:tr>
      <w:tr>
        <w:trPr>
          <w:trHeight w:val="230"/>
        </w:trPr>
        <w:tc>
          <w:tcPr>
            <w:tcW w:w="20" w:type="dxa"/>
            <w:vAlign w:val="bottom"/>
          </w:tcPr>
          <w:p>
            <w:pPr>
              <w:spacing w:after="0"/>
              <w:rPr>
                <w:sz w:val="19"/>
                <w:szCs w:val="19"/>
                <w:color w:val="auto"/>
              </w:rPr>
            </w:pPr>
          </w:p>
        </w:tc>
        <w:tc>
          <w:tcPr>
            <w:tcW w:w="2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10,482</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7"/>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5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9 %</w:t>
            </w:r>
          </w:p>
        </w:tc>
      </w:tr>
      <w:tr>
        <w:trPr>
          <w:trHeight w:val="223"/>
        </w:trPr>
        <w:tc>
          <w:tcPr>
            <w:tcW w:w="20" w:type="dxa"/>
            <w:vAlign w:val="bottom"/>
          </w:tcPr>
          <w:p>
            <w:pPr>
              <w:spacing w:after="0"/>
              <w:rPr>
                <w:sz w:val="19"/>
                <w:szCs w:val="19"/>
                <w:color w:val="auto"/>
              </w:rPr>
            </w:pPr>
          </w:p>
        </w:tc>
        <w:tc>
          <w:tcPr>
            <w:tcW w:w="292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55,067</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61,021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(5,954)</w:t>
            </w:r>
          </w:p>
        </w:tc>
        <w:tc>
          <w:tcPr>
            <w:tcW w:w="5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 %</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Research and development expenses consist of third 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(“CROs”),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incurred during the three months ended March 31, 2016 and 2015:</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7"/>
          </w:tcPr>
          <w:p>
            <w:pPr>
              <w:ind w:left="4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Product Candidate</w:t>
            </w:r>
          </w:p>
        </w:tc>
        <w:tc>
          <w:tcPr>
            <w:tcW w:w="2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Phase of Development</w:t>
            </w:r>
          </w:p>
        </w:tc>
        <w:tc>
          <w:tcPr>
            <w:tcW w:w="14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80" w:type="dxa"/>
            <w:vAlign w:val="bottom"/>
            <w:gridSpan w:val="2"/>
            <w:vMerge w:val="continue"/>
          </w:tcPr>
          <w:p>
            <w:pPr>
              <w:spacing w:after="0"/>
              <w:rPr>
                <w:sz w:val="13"/>
                <w:szCs w:val="13"/>
                <w:color w:val="auto"/>
              </w:rPr>
            </w:pPr>
          </w:p>
        </w:tc>
        <w:tc>
          <w:tcPr>
            <w:tcW w:w="20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gridSpan w:val="4"/>
          </w:tcPr>
          <w:p>
            <w:pPr>
              <w:jc w:val="right"/>
              <w:ind w:right="25"/>
              <w:spacing w:after="0" w:line="155"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Roxadustat</w:t>
            </w:r>
          </w:p>
        </w:tc>
        <w:tc>
          <w:tcPr>
            <w:tcW w:w="140" w:type="dxa"/>
            <w:vAlign w:val="bottom"/>
            <w:tcBorders>
              <w:top w:val="single" w:sz="8" w:color="CFF0FC"/>
            </w:tcBorders>
            <w:shd w:val="clear" w:color="auto" w:fill="CFF0FC"/>
          </w:tcPr>
          <w:p>
            <w:pPr>
              <w:spacing w:after="0"/>
              <w:rPr>
                <w:sz w:val="19"/>
                <w:szCs w:val="19"/>
                <w:color w:val="auto"/>
              </w:rPr>
            </w:pPr>
          </w:p>
        </w:tc>
        <w:tc>
          <w:tcPr>
            <w:tcW w:w="1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Phase 3</w:t>
            </w:r>
          </w:p>
        </w:tc>
        <w:tc>
          <w:tcPr>
            <w:tcW w:w="980" w:type="dxa"/>
            <w:vAlign w:val="bottom"/>
            <w:tcBorders>
              <w:top w:val="single" w:sz="8" w:color="CFF0FC"/>
            </w:tcBorders>
            <w:gridSpan w:val="2"/>
            <w:shd w:val="clear" w:color="auto" w:fill="CFF0FC"/>
          </w:tcPr>
          <w:p>
            <w:pPr>
              <w:jc w:val="right"/>
              <w:ind w:right="687"/>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27,475</w:t>
            </w:r>
          </w:p>
        </w:tc>
        <w:tc>
          <w:tcPr>
            <w:tcW w:w="2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gridSpan w:val="2"/>
            <w:shd w:val="clear" w:color="auto" w:fill="CFF0FC"/>
          </w:tcPr>
          <w:p>
            <w:pPr>
              <w:jc w:val="right"/>
              <w:ind w:right="26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36,057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FG-3019</w:t>
            </w:r>
          </w:p>
        </w:tc>
        <w:tc>
          <w:tcPr>
            <w:tcW w:w="2060" w:type="dxa"/>
            <w:vAlign w:val="bottom"/>
            <w:gridSpan w:val="2"/>
          </w:tcPr>
          <w:p>
            <w:pPr>
              <w:ind w:left="140"/>
              <w:spacing w:after="0"/>
              <w:rPr>
                <w:sz w:val="20"/>
                <w:szCs w:val="20"/>
                <w:color w:val="auto"/>
              </w:rPr>
            </w:pPr>
            <w:r>
              <w:rPr>
                <w:rFonts w:ascii="Arial" w:cs="Arial" w:eastAsia="Arial" w:hAnsi="Arial"/>
                <w:sz w:val="18"/>
                <w:szCs w:val="18"/>
                <w:color w:val="auto"/>
              </w:rPr>
              <w:t>Phase 2</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7,889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FG-6874</w:t>
            </w:r>
          </w:p>
        </w:tc>
        <w:tc>
          <w:tcPr>
            <w:tcW w:w="20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Phase 1</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FG-5200</w:t>
            </w:r>
          </w:p>
        </w:tc>
        <w:tc>
          <w:tcPr>
            <w:tcW w:w="2060" w:type="dxa"/>
            <w:vAlign w:val="bottom"/>
            <w:gridSpan w:val="2"/>
          </w:tcPr>
          <w:p>
            <w:pPr>
              <w:ind w:left="140"/>
              <w:spacing w:after="0"/>
              <w:rPr>
                <w:sz w:val="20"/>
                <w:szCs w:val="20"/>
                <w:color w:val="auto"/>
              </w:rPr>
            </w:pPr>
            <w:r>
              <w:rPr>
                <w:rFonts w:ascii="Arial" w:cs="Arial" w:eastAsia="Arial" w:hAnsi="Arial"/>
                <w:sz w:val="18"/>
                <w:szCs w:val="18"/>
                <w:color w:val="auto"/>
              </w:rPr>
              <w:t>Preclinical</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1,143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14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43,650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We expect our research and development expenses to continue to increase in the future as we advance our product candidates through clinical trials and expand our product candidate portfolio.</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Research and development expenses decreased by $6.9 million, or 14%, for the three months ended March 31, 2016 compared to the same period a year ago. The decrease was primarily due to a decrease in outside services of $9.8 million partially offset by increases in employee-related costs of $1.4 million and clinical trial costs of $1.3 million. Outside services costs decreased primarily due to the fact that we had reached the cap with AstraZeneca during the fourth quarter of 2015 on our initial funding obligations, therefore during the first quarter of 2016, we no longer shared 50% of the development costs compared to the prior periods, for roxadustat in the U.S., Europe, Japan and all other markets outside of China. Employee-related costs increased as a result of higher average compensation level. Clinical trial costs increased as a result of the progression of the Phase 3 trials for roxadustat and the ongoing Phase 2 trials for FG-3019.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and Administrative Expenses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General and administrative expenses consist primarily of employee-related expenses for executive, operational, finance, legal, compliance and human resource functions. Other general and administrative expenses include facility-related costs and professional fees, accounting and legal services, other outside services, recruiting fees and expenses associated with obtaining and maintaining patents.</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and development and potential commercialization of our product candidates. We also anticipate increased expenses, including exchange listing and SEC requirements, director and officer insurance premiums, legal, audit and tax fees, regulatory compliance programs and investor relations costs associated with being a public company and ceasing to be an emerging growth company. Additionally, if and when we believe the first regulatory approval of one of our product candidates appears likely, we anticipate an increase in payroll and related expenses as a result of our preparation for commercial operations, especially as it relates to the sales and marketing of our product candidates.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General and administrative expenses increased $0.9 million, or 9%, for the three months ended March 31, 2016 compared to the same period a year ago. The increase was primarily due to increases in stock-based compensation expense of $0.6 million and facility expenses of $0.5 million, partially offset by a decrease in legal fees of $0.6 million. Stock-based compensation expense increased primarily due to increased stock option grants during the current quarter. Facility expenses increased primarily due to the higher assessed property tax. Legal fees decreased due to the incremental maintenance costs associated with our intellectual property portfolio during prior year period.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 for Roxadustat Covered Under Collaboration Agreements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share responsibility with AstraZeneca for clinical development activities required for U.S. regulatory approval of roxadustat. During the fourth quarter of 2015, the $116.5 million cap on our share of development costs for roxadustat has been reached. As such, all future development and commercialization costs for roxadustat for the treatment of anemia in CKD in the U.S., Europe, Japan and all other markets outside of China will be paid by Astellas and AstraZeneca. In China, our subsidiary FibroGen China will conduct the development work for CKD anemia and will hold all of the regulatory licenses issued by China regulatory authorities, through its subsidiary FibroGen Beijing, and be primarily responsible for regulatory, clinical and manufacturing. All development and commercialization costs for roxadustat in China will be shared equally with AstraZeneca.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 (Expense), Net</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8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5"/>
              </w:rPr>
              <w:t>Three Months Ended March 31,</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net:</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1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(2,777)</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(2,758)</w:t>
            </w:r>
          </w:p>
        </w:tc>
        <w:tc>
          <w:tcPr>
            <w:tcW w:w="600" w:type="dxa"/>
            <w:vAlign w:val="bottom"/>
            <w:gridSpan w:val="2"/>
          </w:tcPr>
          <w:p>
            <w:pPr>
              <w:jc w:val="right"/>
              <w:ind w:right="427"/>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(19)</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 and other, net</w:t>
            </w:r>
          </w:p>
        </w:tc>
        <w:tc>
          <w:tcPr>
            <w:tcW w:w="10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573</w:t>
            </w: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440" w:type="dxa"/>
            <w:vAlign w:val="bottom"/>
          </w:tcPr>
          <w:p>
            <w:pPr>
              <w:ind w:left="480"/>
              <w:spacing w:after="0"/>
              <w:rPr>
                <w:sz w:val="20"/>
                <w:szCs w:val="20"/>
                <w:color w:val="auto"/>
              </w:rPr>
            </w:pPr>
            <w:r>
              <w:rPr>
                <w:rFonts w:ascii="Arial" w:cs="Arial" w:eastAsia="Arial" w:hAnsi="Arial"/>
                <w:sz w:val="18"/>
                <w:szCs w:val="18"/>
                <w:color w:val="auto"/>
              </w:rPr>
              <w:t>Total interest and other, net</w:t>
            </w:r>
          </w:p>
        </w:tc>
        <w:tc>
          <w:tcPr>
            <w:tcW w:w="100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554</w:t>
            </w:r>
          </w:p>
        </w:tc>
        <w:tc>
          <w:tcPr>
            <w:tcW w:w="46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(29) %</w:t>
            </w: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Interest expense includes payments made for imputed interest related to the facility lease financing obligations for our leased facilities in San Francisco and China as well as interest related to the TEKES product development obligations. Interest expense remained at the same level as compared to the same period a year ago.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and Other Income, Net</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Interest and other income, net increased $0.6 million, or 68%, primarily due to unrealized foreign currency translation gains on our monetary assets denominated in foreign currency as a result of USD weakening during the current quarter.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from Income Taxes</w:t>
      </w:r>
    </w:p>
    <w:p>
      <w:pPr>
        <w:spacing w:after="0" w:line="302"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6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w w:val="95"/>
              </w:rPr>
              <w:t>Three Months Ended March 31,</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8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8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6"/>
        </w:trPr>
        <w:tc>
          <w:tcPr>
            <w:tcW w:w="38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00" w:type="dxa"/>
            <w:vAlign w:val="bottom"/>
            <w:gridSpan w:val="2"/>
          </w:tcPr>
          <w:p>
            <w:pPr>
              <w:jc w:val="center"/>
              <w:ind w:right="279"/>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before income taxes</w:t>
            </w:r>
          </w:p>
        </w:tc>
        <w:tc>
          <w:tcPr>
            <w:tcW w:w="262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w w:val="98"/>
              </w:rPr>
              <w:t>(28,146)</w:t>
            </w:r>
          </w:p>
        </w:tc>
        <w:tc>
          <w:tcPr>
            <w:tcW w:w="106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8"/>
              </w:rPr>
              <w:t>(46,638)</w:t>
            </w:r>
          </w:p>
        </w:tc>
      </w:tr>
      <w:tr>
        <w:trPr>
          <w:trHeight w:val="230"/>
        </w:trPr>
        <w:tc>
          <w:tcPr>
            <w:tcW w:w="3800" w:type="dxa"/>
            <w:vAlign w:val="bottom"/>
          </w:tcPr>
          <w:p>
            <w:pPr>
              <w:ind w:left="240"/>
              <w:spacing w:after="0"/>
              <w:rPr>
                <w:sz w:val="20"/>
                <w:szCs w:val="20"/>
                <w:color w:val="auto"/>
              </w:rPr>
            </w:pPr>
            <w:r>
              <w:rPr>
                <w:rFonts w:ascii="Arial" w:cs="Arial" w:eastAsia="Arial" w:hAnsi="Arial"/>
                <w:sz w:val="18"/>
                <w:szCs w:val="18"/>
                <w:color w:val="auto"/>
              </w:rPr>
              <w:t>Benefit from income taxes</w:t>
            </w:r>
          </w:p>
        </w:tc>
        <w:tc>
          <w:tcPr>
            <w:tcW w:w="1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(305)</w:t>
            </w:r>
          </w:p>
        </w:tc>
        <w:tc>
          <w:tcPr>
            <w:tcW w:w="10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(271)</w:t>
            </w:r>
          </w:p>
        </w:tc>
      </w:tr>
      <w:tr>
        <w:trPr>
          <w:trHeight w:val="230"/>
        </w:trPr>
        <w:tc>
          <w:tcPr>
            <w:tcW w:w="3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Effective tax rate</w:t>
            </w:r>
          </w:p>
        </w:tc>
        <w:tc>
          <w:tcPr>
            <w:tcW w:w="16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r>
    </w:tbl>
    <w:p>
      <w:pPr>
        <w:spacing w:after="0" w:line="202"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benefit from income taxes for the three months ended March 31, 2016 was primarily due to the discrete tax effect arising from other comprehensive income related to available-for-sale securities. The benefit for income taxes for the three months ended March 31, 2015 was due to the discrete tax effect arising from other comprehensive income related to available-for-sale securities.</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Based upon the weight of available evidence, which includes our historical operating performance, reported cumulative net losses since inception and expected continuing net loss, we have established and continue to maintain a full valuation allowance against our deferred tax assets as we do not currently believe that realization of those assets is more likely than not.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We have historically funded our operations principally from the sale of convertible preferred stock and common stock (including our initial public offering proceeds) and from the execution of certain collaboration agreements involving license payments, milestones and reimbursement for development services.</w:t>
      </w:r>
    </w:p>
    <w:p>
      <w:pPr>
        <w:spacing w:after="0" w:line="12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During the second quarter of 2015, we received a $120.0 million upfront payment and a $15.0 million development milestone payment under the U.S./RoW Agreement. The development milestone payment was related to the finalization of our two audited pre-clinical carcinogenicity study reports.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To date, we have not generated any revenue from product sales. We do not know when, or if, we will generate any revenue from product sales. We do not expect to generate significant revenue from product sales unless and until we obtain regulatory approval of and commercialize one or more of our current or future product candidates. We anticipate that we will continue to generate losses for the foreseeable future, and we expect the losses to increase as we continue the development of, and seek regulatory approvals for, our product candidates, and begin to commercialize any approved products. Although our share of expenses for roxadustat will decrease as a result of AstraZeneca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As a newly public company, we expect to incur additional costs associated with operating as a public company. We anticipate that we will need substantial additional funding in connection with our continuing operations.</w:t>
      </w:r>
    </w:p>
    <w:p>
      <w:pPr>
        <w:spacing w:after="0" w:line="16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of March 31, 2016, we had cash and cash equivalents of approximately $141.0 million. Cash is invested in accordance with our investment policy, primarily with a view to liquidity and capital preservation. Investments, consisting principally of corporate and government debt securities and stated at fair value, are also available as a source of liquidity. As of March 31, 2016 we had short-term and long-term investments of approximately $32.5 million and $122.0 million, respectively. As of March 31, 2016, a total of $26.0 million of our cash and cash equivalents was held outside of the U.S. in our foreign subsidiaries to be used primarily for our China operations.</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believe that our existing cash and cash equivalents, short-term and long-term investments and accounts receivable will be sufficient to meet our anticipated cash requirements for at least the next 12 months. However, our liquidity assumptions may change over time, and we could utilize our available financial resources sooner than we currently expect. In addition, we may elect to raise additional funds at any time through equity, equity-linked or debt financing arrangements. Our future capital requirements and the adequacy of available funds will depend on many factors, including those set forth under Part II, Item 1A “</w:t>
      </w:r>
      <w:r>
        <w:rPr>
          <w:rFonts w:ascii="Arial" w:cs="Arial" w:eastAsia="Arial" w:hAnsi="Arial"/>
          <w:sz w:val="17"/>
          <w:szCs w:val="17"/>
          <w:i w:val="1"/>
          <w:iCs w:val="1"/>
          <w:color w:val="auto"/>
        </w:rPr>
        <w:t>Risk Fact</w:t>
      </w:r>
      <w:r>
        <w:rPr>
          <w:rFonts w:ascii="Arial" w:cs="Arial" w:eastAsia="Arial" w:hAnsi="Arial"/>
          <w:sz w:val="17"/>
          <w:szCs w:val="17"/>
          <w:color w:val="auto"/>
        </w:rPr>
        <w:t>ors” 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expenses, which would impair our growth prospects and could otherwise negatively impact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Sources and Uses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primary sources and uses of cash for each of the periods set forth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(17,258)</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(42,190)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exchange rate changes on cash and cash</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equivalents</w:t>
            </w: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480"/>
              <w:spacing w:after="0"/>
              <w:rPr>
                <w:sz w:val="20"/>
                <w:szCs w:val="20"/>
                <w:color w:val="auto"/>
              </w:rPr>
            </w:pPr>
            <w:r>
              <w:rPr>
                <w:rFonts w:ascii="Arial" w:cs="Arial" w:eastAsia="Arial" w:hAnsi="Arial"/>
                <w:sz w:val="18"/>
                <w:szCs w:val="18"/>
                <w:color w:val="auto"/>
              </w:rPr>
              <w:t>Net change in cash and cash equivalents</w:t>
            </w:r>
          </w:p>
        </w:tc>
        <w:tc>
          <w:tcPr>
            <w:tcW w:w="1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Net cash used in operating activities was $17.3 million for the three months ended March 31, 2016 and consisted primarily of net loss of $27.8 million adjusted for non-cash items of $8.6 million and a net increase in operating assets and liabilities of $2.0 million. The significant non-cash items included stock-based compensation expense of $7.3 million and depreciation expense of $1.5 million. The significant items in the changes in operating assets and liabilities included an increase resulted accounts receivable of $9.5 million, partially offset by decreases resulted from accounts payable of $5.0 million and accrued liabilities of $3.2 million. The changes in accounts receivable was related to the recognition of revenues under our collaboration agreements with Astellas and AstraZeneca. The changes in accounts payable and accrued liabilities were primarily driven by clinical trial activities and the timing of payments.</w:t>
      </w:r>
    </w:p>
    <w:p>
      <w:pPr>
        <w:spacing w:after="0" w:line="1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Net cash used in operating activities was $42.2 million for the three months ended March 31, 2015 and consisted primarily of a net loss of $46.4 million adjusted for non-cash items of $8.3 million and a net decrease in operating assets and liabilities of $4.2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significant non-cash items included stock-based compensation expense of $6.4 million, depreciation expense of $1.4 million and amortization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premium on investments of $0.8 million. The significant items in the change in operating assets and liabilities included a decrease in accrued liabilities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 million, a decrease in accounts payable of $2.1 million, a decrease in prepaid expenses and other current assets of $0.8 million and a decrease in deferred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of $0.8 million, partially offset by an increase in accounts receivable of $6.5 million. The changes in deferred revenue and accounts receivable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the timing of upfront payments and recognition of revenues under our collaboration agreements with Astellas and AstraZeneca. The changes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were primarily driven by clinical trial activities and the timing of payments.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Investing activities primarily consist of purchases of fixed assets, purchases of investments, and proceeds from the maturity and sale of investments.</w:t>
      </w:r>
    </w:p>
    <w:p>
      <w:pPr>
        <w:spacing w:after="0" w:line="2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cash provided by investing activities was $5.1 million for the three months ended March 31, 2016 and consisted of proceeds from maturities of available-for-sale securities of $6.0 million, partially offset by cash used in purchases of fixed assets of $0.9 million.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cash provided by investing activities was $4.6 million for the three months ended March 31, 2015 and consisted of proceeds from maturities of available-for-sale securities of $5.0 million, offset by cash used in purchases of fixed assets of $0.4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Financing activities primarily reflect proceeds from the issuance of our common stock, cash paid for payroll taxes on restricted stock unit releases, repayments of our lease liability.</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cash used in financing activities was $0.1 million for the three months ended March 31, 2016 and consisted of $1.3 million of cash paid for payroll taxes on restricted stock unit releases and $0.1 million of repayments on our lease liability, offset by $1.2 million of proceeds from the issuance of common stock upon exercise of stock options.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cash provided by financing activities was $0.6 million for the three months ended March 31, 2015 and consisted of $0.7 million of proceeds from the issuance of common stock upon exercise of stock options, offset by $0.1 million of repayments on our lease liability.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During the three months ended March 31, 2016,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have been no material changes in our contractual obligations compared to those disclosed in our Annual Report on Form 10-K for the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U.S. generally accepted accounting principles.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have been no material changes in our critical accounting policies, estimates and judgments during the three months ended March 31, 2016 compared with the disclosures in Part II, Item 7 of our Annual Report on Form 10-K for the year ended December 31, 2015.</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March 2016, the Financial Accounting Standards Board (“FASB”) issued Accounting Standards Update (“ASU”) 2016-09, </w:t>
      </w:r>
      <w:r>
        <w:rPr>
          <w:rFonts w:ascii="Arial" w:cs="Arial" w:eastAsia="Arial" w:hAnsi="Arial"/>
          <w:sz w:val="17"/>
          <w:szCs w:val="17"/>
          <w:i w:val="1"/>
          <w:iCs w:val="1"/>
          <w:color w:val="auto"/>
        </w:rPr>
        <w:t>Compensation - 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(Topic 718)</w:t>
      </w:r>
      <w:r>
        <w:rPr>
          <w:rFonts w:ascii="Arial" w:cs="Arial" w:eastAsia="Arial" w:hAnsi="Arial"/>
          <w:sz w:val="17"/>
          <w:szCs w:val="17"/>
          <w:color w:val="auto"/>
        </w:rPr>
        <w:t>. This guidance identifies areas for simplification involving several aspects of accounting for share-based payment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income tax consequences, classification of awards as either equity or liabilities, an option to recognize gross stock compensation expense with actual forfeitures recognized as they occur, as well as certain classifications on the statement of cash flows. This guidance is effective for the annual reporting period beginning after December 15, 2016, including interim periods within that reporting period, with early adoption permitted. We are currently evaluating the impact on our consolidated financial statements upon the adoption of this guidance.</w:t>
      </w:r>
    </w:p>
    <w:p>
      <w:pPr>
        <w:spacing w:after="0" w:line="17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This guidance is effective for the annual reporting period beginning after December 15, 2018, including interim periods within that reporting period, and requires a modified retrospective adoption, with early adoption permitted. We are currently evaluating the impact on our consolidated financial statements upon the adoption of this guidance.</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w:t>
      </w:r>
      <w:r>
        <w:rPr>
          <w:rFonts w:ascii="Arial" w:cs="Arial" w:eastAsia="Arial" w:hAnsi="Arial"/>
          <w:sz w:val="18"/>
          <w:szCs w:val="18"/>
          <w:color w:val="auto"/>
        </w:rPr>
        <w:t>, which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This guidance is effective for the annual reporting period beginning after December 15, 2017 and interim periods within those annual periods. We are currently evaluating the impact on our consolidated financial statements upon the adoption of this guidance.</w:t>
      </w:r>
    </w:p>
    <w:p>
      <w:pPr>
        <w:spacing w:after="0" w:line="18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August 2014, the FASB issued ASU 2014-15</w:t>
      </w:r>
      <w:r>
        <w:rPr>
          <w:rFonts w:ascii="Arial" w:cs="Arial" w:eastAsia="Arial" w:hAnsi="Arial"/>
          <w:sz w:val="18"/>
          <w:szCs w:val="18"/>
          <w:i w:val="1"/>
          <w:iCs w:val="1"/>
          <w:color w:val="auto"/>
        </w:rPr>
        <w:t>, Presentation of Financial Statements - Going Concern (Subtopic 205-40): Disclosure of Uncertainties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an Entity’s Ability to Continue as a Going Concern</w:t>
      </w:r>
      <w:r>
        <w:rPr>
          <w:rFonts w:ascii="Arial" w:cs="Arial" w:eastAsia="Arial" w:hAnsi="Arial"/>
          <w:sz w:val="18"/>
          <w:szCs w:val="18"/>
          <w:color w:val="auto"/>
        </w:rPr>
        <w:t>. This guidance requires management to evaluate, at each interim and annual reporting period,</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there are conditions or events that raise substantial doubt about the entity’s ability to continue as a going concern within one year after the date the financial statements are issued, and provide related disclosures. This guidance will be effective for annual period ending after December 15, 2016, and for annual and interim periods thereafter. Early adoption is permitted. We do not expect a material impact on our consolidated financial statements upon the adoption of this guidance.</w:t>
      </w:r>
    </w:p>
    <w:p>
      <w:pPr>
        <w:spacing w:after="0" w:line="1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which supersedes the revenue recognition requirements in Accounting Standards Codification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ASU 2014-09 is based on the principle that 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ASU 2014-09 can be adopted either retrospectively to each prior reporting period presented, or retrospectively with a cumulative-effect adjustment recognized as of the date of adoption. In April 2016, the FASB issued ASU 2016-10, </w:t>
      </w:r>
      <w:r>
        <w:rPr>
          <w:rFonts w:ascii="Arial" w:cs="Arial" w:eastAsia="Arial" w:hAnsi="Arial"/>
          <w:sz w:val="16"/>
          <w:szCs w:val="16"/>
          <w:i w:val="1"/>
          <w:iCs w:val="1"/>
          <w:color w:val="auto"/>
        </w:rPr>
        <w:t>Revenue from Contracts with Customers (Topic 606): Identifying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Performance Obligations and Licensing </w:t>
      </w:r>
      <w:r>
        <w:rPr>
          <w:rFonts w:ascii="Arial" w:cs="Arial" w:eastAsia="Arial" w:hAnsi="Arial"/>
          <w:sz w:val="16"/>
          <w:szCs w:val="16"/>
          <w:color w:val="auto"/>
        </w:rPr>
        <w:t>(“ASU 2016-10”), which clarifies the implementation guidance on identifying performance obligations in a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determining whether an entity’s promise to grant a license provides a customer with either a right to use the entity’s intellectual property (which is satisfied at a point in time) or a right to access the entity’s intellectual property (which is satisfied over time). The effective date and transition requirements for ASU 2016-10 are the same as those for ASU 2014-09. The original effective date of ASU 2014-09 for public entities was for the annual reporting period beginning after December 15, 2016. In August 2015, the FASB issued ASU 2015-14,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to defer the effective date of ASU 2014-09 by one year, to the annual reporting period beginning after December 15, 2017, including interim periods within that reporting period. A reporting entity may choose to early adopt the guidance as of the original effective date. We do not anticipate an early adoption, and are currently evaluating the impact on our consolidated financial statements upon the adoption of ASU 2014-09 and ASU 2016-10.</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believe there has been no material change in our exposure to market risks as disclosed in our Annual Report on Form 10-K for the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management, with the participation of our Chief Executive Officer and our Chief Financial Officer, has evaluated the effectiveness of our disclosure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controls and procedures as of the end of the period covered by this Quarterly Report on Form 10-Q. Disclosure controls and procedures (as defined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Rules 13a-15(e) and 15d-15(e) under the Exchange Act) are designed to provide reasonable assurance that information required to be disclosed by a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reports that it files or submits under the Exchange Act is recorded, processed, summarized and reported, within the time periods specified in the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SEC’s rules and forms and that such information is accumulated and communicated to the company’s management, including its Chief Executive Officer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as appropriate to allow timely decisions regarding required disclosure.</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Based on management’s evaluation, our principal executive officer and principal financial officer have concluded that our disclosure controls and procedures were effective as of March 31, 2016 at the reasonable assurance level.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March 31, 2016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17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We have marked with an asterisk (*) those risks described below that reflect substantive changes from the risks described under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included in our Annual Report on Form 10-K for the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History of Operating Losses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6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are a clinical-stage biopharmaceutical company with two lead product candidates in clinical development, roxadustat in anemia in chronic kidney disease (“CKD”) and FG-3019 in idiopathic pulmonary fibrosis (“IPF”), pancreatic cancer, Duchenne muscular dystrophy (“DMD”) and liver fibrosis. Pharmaceutical product development is a highly risky undertaking. To date, we have focused our efforts and most of our resources on hypoxia-inducible factor (“HIF”), and fibrosis biology research, as well as developing our lead product candidates. We are not profitable and, other than in 2006 and 2007 due to income received from our Astellas Pharma Inc. (“Astellas”) collaboration, have incurred losses in each year since our inception. We have not generated any significant revenue based on product sales to date. We continue to incur significant research and development and other expenses related to our ongoing operations. Our net loss for the years ended December 31, 2015, 2014 and 2013 was approximately $85.8 million, $59.5 million and $14.9 million, respectively. As of March 31, 2016, we had an accumulated deficit of $435.9 million. As of March 31, 2016, we had capital resources consisting of cash, cash equivalents and short-term investments of $173.4 million plus $122.0 million of long-term investments classified as available for sale securities. Despite contractual development and cost coverage commitments from our collaboration partners, AstraZeneca AB (“AstraZeneca”) and Astellas, and the potential to receive milestone and other payments from these partners, we anticipate we will continue to incur losses for the foreseeable future, and we anticipate these losses will increase as we continue our development of, and seek regulatory approval for our product candidates. If we do not successfully develop and obtain regulatory approval for our existing or any future product candidates and effectively manufacture, market and sell any product candidates that are approved, we may never generate product sales, and even if we do generate product sales,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believe that we will continue to expend substantial resources for the foreseeable future as we continue late-stage clinical development of roxadustat, grow our operations in the People’s Republic of China (“China”), expand our clinical development efforts on FG-3019, seek regulatory approval, prepare for the commercialization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ourselves and our partners. In particular, in our planned Phase 3 clinical trial program for roxadustat, which we believe will be the largest Phase 3 program ever conducted for an anemia product candidate, we are expecting to enroll approximately 7,000 to 8,000 patients worldwide. We are conducting this Phase 3 program in conjunction with Astellas and AstraZeneca, and we are substantially dependent on Astellas and AstraZeneca for the funding of this large program.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initial public offering (“IPO”), our existing cash, cash equivalents and short-term investments and expected third party collaboration revenues will allow us to fund our operating plans through at least the next 12 months. Our operating plans or third party collaborations may change as a result of many factors, which are discussed in more detail below,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17"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of progress in the development of our product candidates;</w:t>
      </w:r>
    </w:p>
    <w:p>
      <w:pPr>
        <w:spacing w:after="0" w:line="117"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development efforts for our product candidates, such as FG-3019, that are not subject to reimbursement from our collaboration partners;</w:t>
      </w:r>
    </w:p>
    <w:p>
      <w:pPr>
        <w:spacing w:after="0" w:line="62"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costs necessary to obtain regulatory approvals, if any, for our product candidates in the United States (“U.S.”), China and other jurisdictions, and the costs of post-marketing studies that could be required by regulatory authorities in jurisdictions where approval is obtained;</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continuation of our existing collaborations and entry into new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time and unreimbursed costs necessary to commercialize products in territories in which our product candidates are approved for sale;</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revenues from any future sales of our products as well as revenue earned from profit share, royalties and milestones;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reimbursement or third party payor pricing available to our products;</w:t>
      </w:r>
    </w:p>
    <w:p>
      <w:pPr>
        <w:spacing w:after="0" w:line="117"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establishing and maintaining manufacturing operations and obtaining third party commercial supplies of our products, if any, manufactured in accordance with regulatory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we incur in maintaining domestic and foreign operations, including operations in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compliance costs;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costs we incur in the filing, prosecution, maintenance and defense of our extensive patent portfolio and other intellectual property rights.</w:t>
      </w:r>
    </w:p>
    <w:p>
      <w:pPr>
        <w:spacing w:after="0" w:line="2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of our recent revenue has been earned from collaboration partners for our product candidates under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2015, 2014 and 2013, substantially all of our revenues recognized were from our collaboration partners.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will require substantial additional capital to achieve our development and commercialization goals, which for our lead product candidate, roxadustat, is currently contemplated to be provided under our existing third party collaborations with Astellas and AstraZeneca.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either or both of these collaborations were to be terminated, we could require significant additional capital in order to proceed with development and commercialization of our product candidates, or we may require additional partnering in order to help fund such development and commercialization. If adequate funds or partners are not available to us on a timely basis or on favorable terms, we may be required to delay, limit, reduce or terminate our research and development efforts or other operations.</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continue to progress our development efforts and achieve milestones under our collaboration agreements, our revenues may decrease and our activities may fail to lead to commercial products.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Substantially all of our revenues to date have been, and a significant portion of our future revenues are expected to be, derived from our existing collaboration agreements. Revenues from research and development collaborations depend upon continuation of the collaborations, reimbursement of development costs, the achievement of milestones and royalties and profits from our product sales, if any, derived from future products developed from our research. If we are unable to successfully advance the development of our product candidates or achieve milestones, revenues under our collaboration agreements will be substantially less than expected.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substantially dependent on the success of our lead product candidate, roxadustat, and our second compound in development, FG-3019.*</w:t>
      </w:r>
    </w:p>
    <w:p>
      <w:pPr>
        <w:spacing w:after="0" w:line="14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 date, we have invested a substantial portion of our efforts and financial resources in the research and development of roxadustat, which is currently our lead product candidate. Roxadustat is our only product candidate that has advanced into a potentially pivotal trial, and it may be years before the studies required for its approval are completed, if ever. Our other product candidates are less advanced in development and may never enter into pivotal studies. We have completed 26 Phase 1 and 2 clinical studies with roxadustat in North America, Europe and Asia, in which over 1,400 subjects have participated and for which we reported favorable primary and secondary safety and efficacy endpoint results. Based on our discussions with regulatory authorities, we believe that we have an acceptable plan for the conduct of our Phase 3 clinical programs to support NDA submissions in the US and China. We have discussed our Phase 3 clinical development program with three national health authorities in the EU and obtained scientific advice from the European Medicines Agency. Our near-term prospects, including maintaining our existing collaborations with Astellas and AstraZeneca, will depend heavily on successful Phase 3 development and commercialization of roxadustat.</w:t>
      </w:r>
    </w:p>
    <w:p>
      <w:pPr>
        <w:spacing w:after="0" w:line="18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other lead product candidate, FG-3019, is currently in clinical development for IPF, pancreatic cancer, DMD, and liver fibrosis. FG-3019 requires substantial further development and investment. We do not have a collaboration partner for support of this compound, and, while we have promising open-label safety data and potential signals of efficacy, we would need to complete larger and more extensive controlled clinical trials to validate the results to date in order to continue further development of this product candidate. In addition, although there are many potentially promising indications beyond IPF, pancreatic cancer and liver fibrosis, we are still exploring indications for which further development of, and investment for, FG-3019 may be appropriate. Accordingly, the costs and time to complete development and related risks are currently unknown. Moreover, FG-3019 is a monoclonal antibody, which may require experience and expertise that we may not currently possess as well as financial resources that are potentially greater than those required for our small molecule lead compound, roxadustat.</w:t>
      </w:r>
    </w:p>
    <w:p>
      <w:pPr>
        <w:spacing w:after="0" w:line="30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clinical and commercial success of roxadustat and FG-3019 will depend on a number of factors, many of which are beyond our control, and we may be unable to complete the development or commercialization of roxadustat or FG-3019.*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clinical and commercial success of roxadustat and FG-3019 will depend on a number of factors, including the following:</w:t>
      </w:r>
    </w:p>
    <w:p>
      <w:pPr>
        <w:spacing w:after="0" w:line="117" w:lineRule="exact"/>
        <w:rPr>
          <w:sz w:val="20"/>
          <w:szCs w:val="20"/>
          <w:color w:val="auto"/>
        </w:rPr>
      </w:pPr>
    </w:p>
    <w:p>
      <w:pPr>
        <w:ind w:left="1040" w:right="360" w:hanging="519"/>
        <w:spacing w:after="0" w:line="312"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timely initiation, continuation and completion of our Phase 3 clinical trials for roxadustat, which will depend substantially upon requirements for such trials imposed by the U.S. Food and Drug Administration (“FDA”) and other regulatory agencies and bodies and the continued commitment and coordinated and timely performance by our third party collaboration partners, AstraZeneca and Astellas;</w:t>
      </w:r>
    </w:p>
    <w:p>
      <w:pPr>
        <w:spacing w:after="0" w:line="38" w:lineRule="exact"/>
        <w:rPr>
          <w:rFonts w:ascii="Arial" w:cs="Arial" w:eastAsia="Arial" w:hAnsi="Arial"/>
          <w:sz w:val="16"/>
          <w:szCs w:val="16"/>
          <w:color w:val="auto"/>
        </w:rPr>
      </w:pPr>
    </w:p>
    <w:p>
      <w:pPr>
        <w:ind w:left="1040" w:hanging="519"/>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timely initiation and completion of our Phase 2 clinical trials for FG-3019, including in IPF, pancreatic cancer, DMD, and liver fibrosis;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demonstrate the safety and efficacy of our product candidates to the satisfaction of the relevant regulatory authorities;</w:t>
      </w:r>
    </w:p>
    <w:p>
      <w:pPr>
        <w:spacing w:after="0" w:line="128" w:lineRule="exact"/>
        <w:rPr>
          <w:rFonts w:ascii="Arial" w:cs="Arial" w:eastAsia="Arial" w:hAnsi="Arial"/>
          <w:sz w:val="17"/>
          <w:szCs w:val="17"/>
          <w:color w:val="auto"/>
        </w:rPr>
      </w:pPr>
    </w:p>
    <w:p>
      <w:pPr>
        <w:ind w:left="1040" w:right="5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are required by the FDA or other regulatory authorities to conduct additional clinical trials, and the scope and nature of such clinical trials, prior to approval to market our products;</w:t>
      </w:r>
    </w:p>
    <w:p>
      <w:pPr>
        <w:spacing w:after="0" w:line="62"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foreign regulatory authorities, including pricing and reimbursement determinations;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040" w:right="70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successfully commercialize our product candidates, if approved, for marketing and sale by the FDA or foreign regulatory authorities, whether alone or in collaboration with others;</w:t>
      </w:r>
    </w:p>
    <w:p>
      <w:pPr>
        <w:spacing w:after="0" w:line="62" w:lineRule="exact"/>
        <w:rPr>
          <w:rFonts w:ascii="Arial" w:cs="Arial" w:eastAsia="Arial" w:hAnsi="Arial"/>
          <w:sz w:val="18"/>
          <w:szCs w:val="18"/>
          <w:color w:val="auto"/>
        </w:rPr>
      </w:pPr>
    </w:p>
    <w:p>
      <w:pPr>
        <w:ind w:left="1040" w:right="180" w:hanging="519"/>
        <w:spacing w:after="0" w:line="342"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and the ability of our third party manufacturing partners to manufacture quantities of our product candidates at quality levels necessary to meet regulatory requirements and at a scale sufficient to meet anticipated demand at a cost that allows us to achieve profitability;</w:t>
      </w:r>
    </w:p>
    <w:p>
      <w:pPr>
        <w:spacing w:after="0" w:line="15" w:lineRule="exact"/>
        <w:rPr>
          <w:rFonts w:ascii="Arial" w:cs="Arial" w:eastAsia="Arial" w:hAnsi="Arial"/>
          <w:sz w:val="16"/>
          <w:szCs w:val="16"/>
          <w:color w:val="auto"/>
        </w:rPr>
      </w:pPr>
    </w:p>
    <w:p>
      <w:pPr>
        <w:ind w:left="1040" w:right="62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success in educating health care providers and patients about the benefits, risks, administration and use of our product candidates, if approved;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of our product candidates, if approved, as safe and effective by patients and the healthcare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success of efforts to enter into relationships with large dialysis organizations involving the administration of roxadustat to dialysis patients;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achievement and maintenance of compliance with all regulatory requirements applicable to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maintenance of an acceptable safety profile of our products following any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and sustain an adequate level of pricing or reimbursement for our products by third party payors;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enforce successfully our intellectual property rights for our product candidates and against the products of potential competitors;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avoid or succeed in third party patent interference or patent infringement claims.</w:t>
      </w:r>
    </w:p>
    <w:p>
      <w:pPr>
        <w:spacing w:after="0" w:line="225"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Many of these factors are beyond our control. Accordingly, we cannot assure you that we will ever be able to achieve profitability through the sale of, or royalties from, our product candidates. If we or our collaboration partners are not successful in obtaining approval for and commercializing our product candidates, or are delayed in completing those efforts, our business and operations would be adversely affected.</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unable to obtain regulatory approval for our product candidates, or such approval may be delayed or limited, due to a number of factors, many of which are beyond our control.</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clinical trials and the manufacturing of our product candidates are and will continue to be, and the marketing of our product candidates will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or FG-3019 or any of our other product candidates.</w:t>
      </w:r>
    </w:p>
    <w:p>
      <w:pPr>
        <w:spacing w:after="0" w:line="18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not obtained regulatory approval for any of our product candidates and it is possible that roxadustat and FG-3019 will never receive regulatory approval in any country. Regulatory authorities may take actions or impose requirements that delay, limit or deny approval of roxadustat or FG-3019 for many reasons, including, among others:</w:t>
      </w:r>
    </w:p>
    <w:p>
      <w:pPr>
        <w:spacing w:after="0" w:line="73" w:lineRule="exact"/>
        <w:rPr>
          <w:sz w:val="20"/>
          <w:szCs w:val="20"/>
          <w:color w:val="auto"/>
        </w:rPr>
      </w:pPr>
    </w:p>
    <w:p>
      <w:pPr>
        <w:ind w:left="1040" w:right="6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to adequately demonstrate to the satisfaction of regulatory authorities that roxadustat is safe and effective in treating anemia in CKD or that FG-3019 is safe and effective in treating IPF, pancreatic cancer, DMD or liver fibrosis;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determination by regulatory authorities that additional clinical trials are necessary to demonstrate the safety and efficacy of roxadustat or FG-3019, or that ongoing clinical trials need to be modified in design, size, conduct or implementation;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product candidates may exhibit an unacceptable safety signal as they advance through clinical trials, in particular controlled Phase 3 trials;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040" w:right="20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clinical research organizations, (“CROs”), that conduct clinical trials on our behalf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third party contractors manufacturing our product candidates may not maintain current good manufacturing practices (“cGMP”), successfully pass inspection or meet other applicable manufacturing regulatory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not agree with our interpretation of the data from our preclinical trials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collaboration partners may not perform or complete their clinical programs in a timely manner, or at all; or</w:t>
      </w:r>
    </w:p>
    <w:p>
      <w:pPr>
        <w:spacing w:after="0" w:line="117" w:lineRule="exact"/>
        <w:rPr>
          <w:rFonts w:ascii="Arial" w:cs="Arial" w:eastAsia="Arial" w:hAnsi="Arial"/>
          <w:sz w:val="18"/>
          <w:szCs w:val="18"/>
          <w:color w:val="auto"/>
        </w:rPr>
      </w:pPr>
    </w:p>
    <w:p>
      <w:pPr>
        <w:ind w:left="1040" w:right="260" w:hanging="519"/>
        <w:spacing w:after="0" w:line="308"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principal investigators may determine that one or more serious adverse events (“SAEs”), is related or possibly related to roxadustat, and any such determination may adversely affect our ability to obtain regulatory approval, whether or not the determination is correct.</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Any of these factors, many of which are beyond our control, could jeopardize our or our collaboration partners’ abilities to obtain regulatory approval for and successfully market roxadustat. Because our business and operations in the near-term are almost entirely dependent upon roxadustat, any significant delays or impediments to regulatory approval could have a material adverse effect on our business and prospects.</w:t>
      </w:r>
    </w:p>
    <w:p>
      <w:pPr>
        <w:spacing w:after="0" w:line="18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Furthermore, in both the U.S. and China, we also expect to be required to perform additional clinical trials in order to obtain approval or as a condition to maintaining approval due to post-marketing requirements. If the FDA requires a risk evaluation and mitigation strategy (“REMS”), for any of our product candidates if approved, the substantial cost and expense of complying with a REMS or other post-marketing requirements may limit our ability to successfully commercialize our product candidates.</w:t>
      </w:r>
    </w:p>
    <w:p>
      <w:pPr>
        <w:spacing w:after="0" w:line="2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Preclinical, Phase 1 and Phase 2 clinical trial results may not be indicative of the results that may be obtained in larger, controlled Phase 3 clinical trials required for approval.</w:t>
      </w:r>
    </w:p>
    <w:p>
      <w:pPr>
        <w:spacing w:after="0" w:line="6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early or small clinical trials may not be replicated or show as favorable an outcome, even if successful. For example, in the past we developed an earlier generation product candidate aimed at treating anemia in CKD that resulted in a clinical hold for a safety signal seen in that product in Phase 2 clinical trials. The clinical hold applied to that product candidate and roxadustat was lifted for both product candidates after submission of the requested data to the FDA. While we have not seen similar safety concerns involving roxadustat to date, our Phase 2 clinical trials have involved a relatively small number of patients exposed to roxadustat for a relatively short period of time compared to the Phase 3 clinical trials that we will be conducting, and only a fraction of the patients in the Phase 2 clinical trials were randomized to placebo. Accordingly, the Phase 2 clinical trials that we have conducted may not have uncovered safety issues, even if they exist. In addition, some of the safety concerns associated with the treatment of patients with anemia in CKD using Erythropoiesis Stimulating Agents (“ESAs”) did not emerge for many years until placebo-controlled studies had been conducted in large numbers of patients. The biochemical pathways that we believe are affected by roxadustat are implicated in a variety of biological processes and disease conditions, and it is possible that the use of roxadustat to treat larger numbers of patients will demonstrate unanticipated adverse effects, including possible drug interactions, which may negatively impact the safety profile, use and market acceptance of roxadustat. We studied the potential interaction between roxadustat and three statins (atorvastatin, rosuvastatin and simvastatin), which are used to lower levels of lipids in the blood. An adverse effect associated with increased statin plasma concentration is myopathy, which typically presents in a form of myalgia. The studies indicated the potential for increased exposure to those statins when roxadustat is taken simultaneously with those statins and suggested the need for statin dose reductions for patients receiving higher statin doses. We performed additional clinical pharmacology studies to evaluate if the effect of any such interaction could be minimized or eliminated by a modification of the dosing schedule that would separate the administration of roxadustat and the statin, however, such studies showed no minimization of effect. It is possible that the potential for interaction between roxadustat and statins could lead to label provisions for statins or roxadustat relating, for example, to dose scheduling or recommended statin dose limitations. In CKD patients statin therapy is often initiated earlier than treatment for anemia, and risks of myopathy have been shown to decrease with increased time on drug. While we believe the prior statin treatment history of such patients at established doses may reduce the risk of adverse effects from any interaction with roxadustat and facilitate any appropriate dose adjustments, we cannot be sure that this will be the case.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FDA has informed us that our Phase 3 trials must include, as a safety endpoint, a major adverse cardiac events (“MACE”), endpoint, which is a composite endpoint designed to identify major safety concerns, in particular relating to cardiovascular events such as cardiovascular death, myocardial infarction and stroke. In addition, we expect that our Phase 3 clinical trials supporting approval in Europe will be required to include MACE+ as a safety endpoint which, in addition to the MACE endpoints, also incorporates measurements of hospitalization rates due to heart failure or unstable angina. As a result, our ongoing and planned Phase 3 clinical trials may identify unanticipated safety concerns in the patient population under study. The FDA has also informed us that the MACE endpoint will need to be evaluated separately for our Phase 3 trials in non-dialysis dependent-CKD patients and our Phase 3 trials in dialysis dependent-CKD patients. The MACE endpoint will be evaluated in pooled analysis across Phase 3 studies of similar study populations and requires demonstration of non-inferiority relative to comparator, which means that the MACE event rate in roxadustat-treated patients must have less than a specified probability of exceeding the rate in the comparator trial by a specified hazard ratio. The number of patients necessary in order to permit a statistical analysis with adequate ability to detect the relative risk of MACE or MACE+ events in different arms of the trial, referred to as statistical power, depends on a number of factors, including the rate at which MACE or MACE+ events occur per patient-year in the trial, treatment duration of the patients, the required hazard ratio, and the required statistical power and confidence intervals.</w:t>
      </w:r>
    </w:p>
    <w:p>
      <w:pPr>
        <w:spacing w:after="0" w:line="18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addition, we cannot be sure that the potential advantages that we believe roxadustat may have for treatment of patients with anemia in CKD as compared to the use of ESAs will be substantiated by our Phase 3 clinical trials or that we will be able to include a discussion of such advantages in our labeling should we obtain approval. We believe that roxadustat may have certain benefits as compared to ESAs based on the data from our Phase 2 clinical trials conducted to date, including safety benefits, the absence of a hypertensive effect, the potential to lower cholesterol levels and the potential to correct anemia without the use of IV iron. However, our belief that roxadustat may offer those benefits is based on a limited amount of data from our Phase 2 clinical trials and our understanding of the likely mechanisms of action for roxadustat. Some of these benefits, such as those associated with the apparent effects on blood pressure and cholesterol, are not fully understood and, even if roxadustat receives marketing approval, we do not expect that it will be approved for the treatment of high blood pressure or high cholesterol based on the data from our Phase 3 trials, and we may not be able to refer to any such benefits in the labeling. While the data from our Phase 2 trials suggests roxadustat may reduce low-density lipoprotein (“LDL”), and reduce the ratio of LDL to high-density lipoprotein (“HDL”), the data show it may also reduce HDL, which may be a risk to patients. In addition, causes of the safety concerns associated with the use of ESAs to achieve specified target Hb levels have not been fully elucidated. While we believe that the issues giving rise to these concerns with ESAs are likely due to factors other than the Hb levels achieved, we cannot be certain that roxadustat will not be associated with similar, or more severe, safety concerns.</w:t>
      </w:r>
    </w:p>
    <w:p>
      <w:pPr>
        <w:spacing w:after="0" w:line="16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late-stage clinical trials after achieving positive results in early stage development, and we may face similar setbacks. In addition, the CKD patient population has many afflictions that may cause severe illness or death, which may be attributed to roxadustat in a manner that negatively impacts the safety profile of our product candidate. If the results of our ongoing or future clinical trials for roxadustat are inconclusive with respect to efficacy, if we do not meet our clinical endpoints with statistical significance, or if there are unanticipated safety concerns or adverse events that emerge during clinical trials, we may be prevented from or delayed in obtaining marketing approval for roxadustat, and even if we obtain marketing approval, any sales of roxadustat may suffer.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preclinical and Phase 2 results to date for FG-3019 may not be indicative of the results that may be obtained in larger, controlled Phase 2 clinical trials or Phase 3 clinical trials required for approval.</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Success in preclinical and early clinical trials, which are often highly variable and use small sample sizes, may not be predictive of similar results in humans or in larger, controlled clinical trials, and successful results from early or small clinical trials may not be replicated or show as favorable an outcome, even if successful. We have conducted only a limited number of Phase 2 clinical trials with FG-3019. We have conducted an open-label Phase 2 dose escalation study of FG-3019 for IPF in 89 patients, a Phase 2 dose finding trial of FG-3019 combined with gemcitabine plus erlotinib in 75 patients with pancreatic cancer and a randomized double-blind placebo controlled study for liver fibrosis in subjects with hepatitis B. We cannot be sure that the results of these trials will be substantiated in double-blinded trials with larger numbers of patients, that larger trials will demonstrate the efficacy of FG-3019 for these or other indications or that safety issues will not be uncovered in further trials. In the Phase 2 clinical trial for IPF, we used quantitative high resolution computed tomography (“HRCT”), to measure the extent of lung fibrosis. While we believe that quantitative HRCT is an accurate measure of lung fibrosis, it is a novel technology that has not yet been accepted by the FDA as a primary endpoint in pivotal clinical trials. In addition, while we believe that the animal studies that we have conducted to date suggest that FG-3019 has the potential to arrest or reverse fibrosis and reduce tumor mass, we cannot be sure that these results will be indicative of the effects of FG-3019 in human trials. In addition, the IPF and pancreatic cancer patient populations are extremely ill and routinely experience SAEs, including death, which may be attributed to FG-3019 in a manner that negatively impacts the safety profile of our product candidate. If the additional Phase 2 clinical trials that we are planning for FG-3019 do not show favorable efficacy results or result in safety concerns, or if we do not meet our clinical endpoints with statistical significance, or demonstrate an acceptable risk-benefit profile, we may be prevented from or delayed in obtaining marketing approval for FG-3019 in one or both of these indications.</w:t>
      </w:r>
    </w:p>
    <w:p>
      <w:pPr>
        <w:spacing w:after="0" w:line="27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do not know whether our ongoing or planned Phase 3 clinical trials in roxadustat or Phase 2 clinical trials in FG-3019 will need to be redesigned based on interim results, be able to achieve sufficient enrollment or be completed on schedule, if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terminated for a variety of reasons, including delay or failure to:</w:t>
      </w:r>
    </w:p>
    <w:p>
      <w:pPr>
        <w:spacing w:after="0" w:line="117"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 any physician or patient safety concerns that arise during the course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required regulatory or institutional review board (“IRB”) approval or guidance;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reach timely agreement on acceptable terms with prospective CROs and clinical trial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clinical sites in compliance with clinical trial protocols;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manufacture sufficient quantities of product candidate for use in clinical trials.</w:t>
      </w:r>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addition, we could encounter delays if a clinical trial is suspended or terminated by us, by the relevant IRBs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and operations and prospects.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Adverse events and SAEs that emerge during treatment with our product candidates or other compounds acting through similar biological pathways may be deemed to be related to our product candidate and may result in:</w:t>
      </w:r>
    </w:p>
    <w:p>
      <w:pPr>
        <w:spacing w:after="0" w:line="50"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Phase 3 clinical trial development plan becoming longer and more extensive;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regulatory authorities increasing the data and information required to approve our product candidates and imposing other requirements;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collaboration partners terminating our existing agreements.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occurrence of any or all of these events may cause the development of our product candidates to be delayed or terminated, which could materially and adversely affect our business and prospects. Refer to “</w:t>
      </w:r>
      <w:r>
        <w:rPr>
          <w:rFonts w:ascii="Arial" w:cs="Arial" w:eastAsia="Arial" w:hAnsi="Arial"/>
          <w:sz w:val="17"/>
          <w:szCs w:val="17"/>
          <w:i w:val="1"/>
          <w:iCs w:val="1"/>
          <w:color w:val="auto"/>
        </w:rPr>
        <w:t>Business — Our Development Program for Roxadustat</w:t>
      </w:r>
      <w:r>
        <w:rPr>
          <w:rFonts w:ascii="Arial" w:cs="Arial" w:eastAsia="Arial" w:hAnsi="Arial"/>
          <w:sz w:val="17"/>
          <w:szCs w:val="17"/>
          <w:color w:val="auto"/>
        </w:rPr>
        <w:t>” and “</w:t>
      </w:r>
      <w:r>
        <w:rPr>
          <w:rFonts w:ascii="Arial" w:cs="Arial" w:eastAsia="Arial" w:hAnsi="Arial"/>
          <w:sz w:val="17"/>
          <w:szCs w:val="17"/>
          <w:i w:val="1"/>
          <w:iCs w:val="1"/>
          <w:color w:val="auto"/>
        </w:rPr>
        <w:t>Business — FG-3019 for the Treatment of</w:t>
      </w:r>
      <w:r>
        <w:rPr>
          <w:rFonts w:ascii="Arial" w:cs="Arial" w:eastAsia="Arial" w:hAnsi="Arial"/>
          <w:sz w:val="17"/>
          <w:szCs w:val="17"/>
          <w:color w:val="auto"/>
        </w:rPr>
        <w:t xml:space="preserve"> </w:t>
      </w:r>
      <w:r>
        <w:rPr>
          <w:rFonts w:ascii="Arial" w:cs="Arial" w:eastAsia="Arial" w:hAnsi="Arial"/>
          <w:sz w:val="17"/>
          <w:szCs w:val="17"/>
          <w:i w:val="1"/>
          <w:iCs w:val="1"/>
          <w:color w:val="auto"/>
        </w:rPr>
        <w:t>Fibrosis and Cancer</w:t>
      </w:r>
      <w:r>
        <w:rPr>
          <w:rFonts w:ascii="Arial" w:cs="Arial" w:eastAsia="Arial" w:hAnsi="Arial"/>
          <w:sz w:val="17"/>
          <w:szCs w:val="17"/>
          <w:color w:val="auto"/>
        </w:rPr>
        <w:t>” for a discussion of the adverse events and SAEs that have emerged in clinical trials of roxadustat and FG-3019.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There have been other products, including ESAs, that have been approved by the regulatory authorities but for which safety concerns have been uncovered following approval. Such safety concerns have led to labeling changes or withdrawal of ESAs products from the market, and any of our product candidates may be subject to similar risks. For example, roxadustat for use in anemia in CKD is being developed to address a very diverse patient population expected to have many serious health conditions at the time of administration of roxadustat, including diabetes, high blood pressure and declining kidney function.</w:t>
      </w:r>
    </w:p>
    <w:p>
      <w:pPr>
        <w:spacing w:after="0" w:line="16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Although 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fail to enroll a sufficient number of patients in our clinical trials in a timely manner, which could delay or prevent clinical trials of our product candidates.</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w:t>
      </w:r>
    </w:p>
    <w:p>
      <w:pPr>
        <w:spacing w:after="0" w:line="73"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ongoing clinical trials of competitive agents;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040" w:right="10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physicians’ and patients’ perceptions as to the potential advantages of our product candidates being studied in relation to available therapies or other products under development;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our CRO’s, and our trial sites’ efforts to facilitate timely enrollment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monitor patients and collect patient data adequately during and after treatment.</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Patients may be unwilling to participate in our clinical trials for roxadustat due to adverse events observed in other drug treatments of anemia in CKD, and patients currently controlling their disease with existing ESAs may be reluctant to participate in a clinical trial with an investigational drug. We may not be able to successfully initiate or continue clinical trials if we cannot rapidly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could have a material and adverse effect on our business and prospects.</w:t>
      </w:r>
    </w:p>
    <w:p>
      <w:pPr>
        <w:spacing w:after="0" w:line="2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or third party manufacturers on which we rely cannot manufacture our product candidates and/or products at sufficient yields or quality, we may experience delays in development, regulatory approval and commercialization.</w:t>
      </w:r>
    </w:p>
    <w:p>
      <w:pPr>
        <w:spacing w:after="0" w:line="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Completion of our clinical trials and commercialization of our product candidates require access to, or development of, facilities to manufacture our product candidates at sufficient yields and at commercial scale. We have limited experience manufacturing, or managing third parties in manufacturing any of our product candidates in the volumes that are expected to be necessary to support large-scale clinical trials and sales. Our efforts to establish these capabilities may not meet our requirements as to scale-up, yield, cost, potency or quality in compliance with cGMP. Our clinical trials must be conducted with product produced under applicable cGMP regulations. Failure to comply with these regulations may require us to repeat clinical trials, which would delay the regulatory approval process. Even an experienced third party manufacturer may encounter difficulties in production, which difficulties may include:</w:t>
      </w:r>
    </w:p>
    <w:p>
      <w:pPr>
        <w:spacing w:after="0" w:line="57" w:lineRule="exact"/>
        <w:rPr>
          <w:sz w:val="20"/>
          <w:szCs w:val="20"/>
          <w:color w:val="auto"/>
        </w:rPr>
      </w:pPr>
    </w:p>
    <w:p>
      <w:pPr>
        <w:ind w:left="10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and challenges associated with scale-up and attaining sufficient manufacturing yields, in particular for biologic products such as FG-3019, which is a monoclonal antibody;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supply chain issues, including the timely availability and shelf life requirements of raw materials and supplies;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shortages of qualified personnel and capital required to manufacture large quantities of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regulatory requirements that vary in each country where a product might be sold;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capacity limitations and scheduling availability in contracted facilities;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disasters that affect facilities and possibly limit production.</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example, we have a limited amount of FG-3019 in storage and there are long lead times required to manufacture and scale-up the manufacture of additional supply. If we are unable to manufacture sufficient quantities of FG-3019 on a timely basis, it may limit our ability to replenish inventory or delay our development of FG-3019 in some or all indications. Any delay or interruption in the supply of our product candidates or products could have a material adverse effect on our business and operations.</w:t>
      </w:r>
    </w:p>
    <w:p>
      <w:pPr>
        <w:spacing w:after="0" w:line="29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With respect to roxadustat, we expect that regulatory approvals, if obtained at all, will limit the approved indicated uses for which roxadustat may be marketed, as ESAs have been subject to significant safety limitations on usage as directed by the “Black Box” warnings included in their labels. Refer to “</w:t>
      </w:r>
      <w:r>
        <w:rPr>
          <w:rFonts w:ascii="Arial" w:cs="Arial" w:eastAsia="Arial" w:hAnsi="Arial"/>
          <w:sz w:val="18"/>
          <w:szCs w:val="18"/>
          <w:i w:val="1"/>
          <w:iCs w:val="1"/>
          <w:color w:val="auto"/>
        </w:rPr>
        <w:t>Business — Roxadustat for the Treatment of Anemia in Chronic Kidney Disease — Limitations of the Current Standard of Care for Anemia in CKD</w:t>
      </w:r>
      <w:r>
        <w:rPr>
          <w:rFonts w:ascii="Arial" w:cs="Arial" w:eastAsia="Arial" w:hAnsi="Arial"/>
          <w:sz w:val="18"/>
          <w:szCs w:val="18"/>
          <w:color w:val="auto"/>
        </w:rPr>
        <w:t>”. In addition, in the past, an approved ESA was voluntarily withdrawn due to serious safety issues discovered after approval. The safety concerns relating to ESAs may result in labeling for roxadustat containing similar warnings even if our Phase 3 clinical trials do not suggest that roxadustat has similar safety issues. Even if the label for roxadustat does not contain all of the warnings contained in the Black Box warning for ESAs, the label for roxadustat may contain other warnings that limit the market opportunity for roxadustat. These warnings could include warnings against exceeding specified Hb targets and other warnings that derive from the lack of clarity regarding the basis for the safety issues associated with ESAs, even if our Phase 3 clinical trials do not themselves raise safety concerns.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As an organization, we have never completed a Phase 3 clinical trial or submitted a New Drug Application (“NDA”) before, and may be unable to do so efficiently or at all for roxadustat or any product candidate we are developing.*</w:t>
      </w:r>
    </w:p>
    <w:p>
      <w:pPr>
        <w:spacing w:after="0" w:line="6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We are currently conducting Phase 2 clinical trials for FG-3019 and we may need to conduct additional Phase 2 clinical trials before initiating our Phase 3 clinical trials for FG-3019. We have initiated Phase 3 clinical trials of roxadustat, and if our Phase 2 clinical trials are successful for FG-3019, we intend to conduct Phase 3 clinical trials for FG-3019. The conduct of Phase 3 clinical trials and the submission of a successful NDA is a complicated process. As an organization, we have not completed a Phase 3 clinical trial before, have limited experience in preparing, submitting and prosecuting regulatory filings, and have not submitted an NDA before. Consequently, we may be unable to successfully and efficiently execute and complete necessary clinical trials in a way that leads to NDA submission and approval of roxadustat or for any other product candidate we are developing, even if our earlier stage clinical trials are successful. We may require more time and incur greater costs than our competitors and may not succeed in obtaining regulatory approvals of product candidates that we develop. Failure to commence or complete, or delays in, our planned clinical trials would prevent us from or delay us in commercializing roxadustat or any other product candidate we are developing.</w:t>
      </w:r>
    </w:p>
    <w:p>
      <w:pPr>
        <w:spacing w:after="0" w:line="18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in order for any Phase 3 clinical trial to support an NDA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trial sites, principal investigators or other third parties fail to comply with applicable GCP requirements, the clinical data generated in our clinical trials may be deemed unreliable and the FDA or other regulatory authorities may require us to exclude the use of patient data from our clinical trials not conducted in compliance with GCP or perform additional clinical trials before approving our marketing applications. They may even reject our application for approval or refuse to accept our future applications for an extended time period. We cannot assure you that upon inspection by a regulatory authority, such regulatory authority will determine that any of our clinical trials comply with GCP requirements or that our results may be used in support of our regulatory submissions.</w:t>
      </w:r>
    </w:p>
    <w:p>
      <w:pPr>
        <w:spacing w:after="0" w:line="288" w:lineRule="exact"/>
        <w:rPr>
          <w:sz w:val="20"/>
          <w:szCs w:val="20"/>
          <w:color w:val="auto"/>
        </w:rPr>
      </w:pPr>
    </w:p>
    <w:p>
      <w:pPr>
        <w:jc w:val="both"/>
        <w:ind w:right="18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or maintain agreements with third parties to market and sell our product candidates, we may not be successful in commercializing our product candidates if and when they are approved.</w:t>
      </w:r>
    </w:p>
    <w:p>
      <w:pPr>
        <w:spacing w:after="0" w:line="38"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do not have a sales or marketing infrastructure and have no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62"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sales and marketing teams;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or little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development and commercialization of new pharmaceutical products is highly competitive. Our future success depends on our ability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If roxadustat is approved and launched commercially, competing drugs are expected to include ESAs, particularly in those patient segments where ESAs are used. Currently available ESAs include epoetin alfa (EPOGEN</w:t>
      </w:r>
      <w:r>
        <w:rPr>
          <w:rFonts w:ascii="Arial" w:cs="Arial" w:eastAsia="Arial" w:hAnsi="Arial"/>
          <w:sz w:val="13"/>
          <w:szCs w:val="13"/>
          <w:color w:val="auto"/>
        </w:rPr>
        <w:t>®</w:t>
      </w:r>
      <w:r>
        <w:rPr>
          <w:rFonts w:ascii="Arial" w:cs="Arial" w:eastAsia="Arial" w:hAnsi="Arial"/>
          <w:sz w:val="16"/>
          <w:szCs w:val="16"/>
          <w:color w:val="auto"/>
        </w:rPr>
        <w:t>, commercialized by Amgen Inc. in the U.S., Procrit</w:t>
      </w:r>
      <w:r>
        <w:rPr>
          <w:rFonts w:ascii="Arial" w:cs="Arial" w:eastAsia="Arial" w:hAnsi="Arial"/>
          <w:sz w:val="13"/>
          <w:szCs w:val="13"/>
          <w:color w:val="auto"/>
        </w:rPr>
        <w:t>®</w:t>
      </w:r>
      <w:r>
        <w:rPr>
          <w:rFonts w:ascii="Arial" w:cs="Arial" w:eastAsia="Arial" w:hAnsi="Arial"/>
          <w:sz w:val="16"/>
          <w:szCs w:val="16"/>
          <w:color w:val="auto"/>
        </w:rPr>
        <w:t xml:space="preserve"> and Erypo</w:t>
      </w:r>
      <w:r>
        <w:rPr>
          <w:rFonts w:ascii="Arial" w:cs="Arial" w:eastAsia="Arial" w:hAnsi="Arial"/>
          <w:sz w:val="13"/>
          <w:szCs w:val="13"/>
          <w:color w:val="auto"/>
        </w:rPr>
        <w:t>®</w:t>
      </w:r>
      <w:r>
        <w:rPr>
          <w:rFonts w:ascii="Arial" w:cs="Arial" w:eastAsia="Arial" w:hAnsi="Arial"/>
          <w:sz w:val="16"/>
          <w:szCs w:val="16"/>
          <w:color w:val="auto"/>
        </w:rPr>
        <w:t>/Eprex</w:t>
      </w:r>
      <w:r>
        <w:rPr>
          <w:rFonts w:ascii="Arial" w:cs="Arial" w:eastAsia="Arial" w:hAnsi="Arial"/>
          <w:sz w:val="13"/>
          <w:szCs w:val="13"/>
          <w:color w:val="auto"/>
        </w:rPr>
        <w:t>®</w:t>
      </w:r>
      <w:r>
        <w:rPr>
          <w:rFonts w:ascii="Arial" w:cs="Arial" w:eastAsia="Arial" w:hAnsi="Arial"/>
          <w:sz w:val="16"/>
          <w:szCs w:val="16"/>
          <w:color w:val="auto"/>
        </w:rPr>
        <w:t>, commercialized by Johnson &amp; Johnson Inc.), darbepoetin (Amgen/Kyowa Hakko Kirin’s Aranesp</w:t>
      </w:r>
      <w:r>
        <w:rPr>
          <w:rFonts w:ascii="Arial" w:cs="Arial" w:eastAsia="Arial" w:hAnsi="Arial"/>
          <w:sz w:val="13"/>
          <w:szCs w:val="13"/>
          <w:color w:val="auto"/>
        </w:rPr>
        <w:t>®</w:t>
      </w:r>
      <w:r>
        <w:rPr>
          <w:rFonts w:ascii="Arial" w:cs="Arial" w:eastAsia="Arial" w:hAnsi="Arial"/>
          <w:sz w:val="16"/>
          <w:szCs w:val="16"/>
          <w:color w:val="auto"/>
        </w:rPr>
        <w:t xml:space="preserve"> and NESP</w:t>
      </w:r>
      <w:r>
        <w:rPr>
          <w:rFonts w:ascii="Arial" w:cs="Arial" w:eastAsia="Arial" w:hAnsi="Arial"/>
          <w:sz w:val="13"/>
          <w:szCs w:val="13"/>
          <w:color w:val="auto"/>
        </w:rPr>
        <w:t>®</w:t>
      </w:r>
      <w:r>
        <w:rPr>
          <w:rFonts w:ascii="Arial" w:cs="Arial" w:eastAsia="Arial" w:hAnsi="Arial"/>
          <w:sz w:val="16"/>
          <w:szCs w:val="16"/>
          <w:color w:val="auto"/>
        </w:rPr>
        <w:t xml:space="preserve">) and Mircera </w:t>
      </w:r>
      <w:r>
        <w:rPr>
          <w:rFonts w:ascii="Arial" w:cs="Arial" w:eastAsia="Arial" w:hAnsi="Arial"/>
          <w:sz w:val="13"/>
          <w:szCs w:val="13"/>
          <w:color w:val="auto"/>
        </w:rPr>
        <w:t>®</w:t>
      </w:r>
      <w:r>
        <w:rPr>
          <w:rFonts w:ascii="Arial" w:cs="Arial" w:eastAsia="Arial" w:hAnsi="Arial"/>
          <w:sz w:val="16"/>
          <w:szCs w:val="16"/>
          <w:color w:val="auto"/>
        </w:rPr>
        <w:t xml:space="preserve"> commercialized by Hoffmann-La Roche (“Roche”) outside of the U.S., and by Galenica, a Roche licensee in the U.S. and Puerto Rico, as well as biosimilar versions of these currently marketed ESA products. ESAs have been used in the treatment of anemia in CKD for over 20 years, serving a significant majority of dialysis dependent CKD patients on Medicare. It may be difficult to encourage treatment providers and patients to switch from products with which they have become familiar to roxadustat.</w:t>
      </w:r>
    </w:p>
    <w:p>
      <w:pPr>
        <w:spacing w:after="0" w:line="16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 may also face competition from potential new anemia therapies currently in clinical development for the treatment of anemia in CKD patients, including those patient segments not currently addressed by ESAs. Companies such as GlaxoSmithKline plc (“GSK”), Bayer Corporation (“Bayer”), Akebia Therapeutics, Inc. (“Akebia”), and Japan Tobacco, who are currently developing HIF prolyl hydroxylase (“HIF-PH”) inhibitors, may be in competition with roxadustat for patient recruitment and enrollment for clinical trials and may be in direct competition with roxadustat if and when it is approved and launched commercially. Akebia recently announced that it has initiated its first Phase 3 study in non-dialysis dependent CKD patients in December 2015, and has reached agreement with the FDA regarding its dialysis dependent CKD program. GSK and Bayer are currently in Phase 2 development globally, and Japan Tobacco is in Phase 2b in Japan. Some of these product candidates may enter the market prior to roxadustat. There may be new therapies for renal-related diseases that could limit the market or level of reimbursement available for roxadustat if and when it is commercialized. In addition, there are other companies developing biologic therapies for treatment of other anemia indications that we may also seek to pursue in the future, including myelodysplastic syndrome, for which we plan to submit a Clinical Trial Application in China in the first half of 2016 and may pursue in broader markets.</w:t>
      </w:r>
    </w:p>
    <w:p>
      <w:pPr>
        <w:spacing w:after="0" w:line="16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introduction of biosimilar ESAs into the market in the U.S. may occur by the time roxadustat enters the market and may alter the competitive and pricing landscape of anemia therapy in dialysis patients under the end stage renal disease bundle. A biosimilar product is a follow-on version of an existing, branded biologic product. Under current laws, an application for a biosimilar product should not be approved by the FDA until 12 years after the existing, patent-protected product was approved under a Biologics License Application (“BLA”). The patents for the existing, branded product must expire in a given market before biosimilars may enter that market with limited or no risk of being sued for patent infringement. The patents for epoetin alfa, a version of EPOGEN, expired in 2004 in the European Union (“EU”), and the final material patents expired in May 2015 in the U.S. Several biosimilar versions of currently marketed ESAs are available for sale in the EU, China and other territories. In the U.S., a few ESA biosimilars are currently under development or regulatory review, including Retacrit™, an EPOGEN and Procrit biosimilar that is being marketed by Pfizer in Europe and for which Pfizer has said it plans to resubmit a BLA for after receiving a complete response letter from the FDA denying approval of its BLA in October 2015, as well as Binocrit®, an epoetin alfa biosimilar being marketed in Europe by Sandoz (Novartis ) and in Phase 3 development in the U.S.</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The majority of the current CKD anemia market focuses on dialysis patients, who visit dialysis centers on a regular basis, typically three times a week, and anemia therapies are administered as part of the visit. Two of the largest operators of dialysis clinics in the U.S., DaVita Healthcare Partners Inc. (“DaVita”), and Fresenius Medical Care AG &amp; Co. KGaA (“Fresenius”), collectively, provide dialysis care to approximately 70% of the U.S. dialysis patients, and therefore have historically won long-term contracts including rebate terms with Amgen. DaVita’s contract with Amgen that began in January 2012 includes an exclusive relationship through 2018. Fresenius’ contract with Amgen is non-exclusive and expired in 2015. Fresenius is now administering Mircera </w:t>
      </w:r>
      <w:r>
        <w:rPr>
          <w:rFonts w:ascii="Arial" w:cs="Arial" w:eastAsia="Arial" w:hAnsi="Arial"/>
          <w:sz w:val="13"/>
          <w:szCs w:val="13"/>
          <w:color w:val="auto"/>
        </w:rPr>
        <w:t>®</w:t>
      </w:r>
      <w:r>
        <w:rPr>
          <w:rFonts w:ascii="Arial" w:cs="Arial" w:eastAsia="Arial" w:hAnsi="Arial"/>
          <w:sz w:val="16"/>
          <w:szCs w:val="16"/>
          <w:color w:val="auto"/>
        </w:rPr>
        <w:t xml:space="preserve"> in a significant portion of its U.S. dialysis patients since Mircera was made available by Galenica. Successful penetration of this market may require AstraZeneca to reach a significant agreement with Fresenius or DaVita, the two largest dialysis clinics in the U.S., on favorable terms and on a timely basis.</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FG-3019 is approved and launched commercially to treat IPF, competing drugs are expected to include Roche’s pirfenidone, which is approved for marketing in Europe, Canada, Japan and the U.S., and Boehringer Ingelheim’s nintedanib which has been approved in the U.S. and EU. Nintedanib is also in development for non-small cell lung cancer and ovarian cancer. Other potential competitive product candidates in various stages of Phase 2 development for IPF include Bristol-Myers Squibb’s BMS-986020 and Biogen-Idec’s STX-100.</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If FG-3019 is approved and launched commercially to treat pancreatic cancer, we expect it to be used in combination instead of as monotherapy, and, likely competition for FG-3019 would be from other agents also seeking approval in combination with gemcitibine and nab-paclitaxel from companies such as NewLink Genetics Corporation, Merrimack Pharmaceuticals, Inc., Momenta Pharmaceuticals Inc., Gilead Sciences Inc., and Halozyme Therapeutics, Inc. Gemcitabine and/or nab-paclitaxel are the current standard of care in the first-line treatment of metastatic pancreatic cancer. Celgene Corporation’s Abraxane</w:t>
      </w:r>
    </w:p>
    <w:p>
      <w:pPr>
        <w:ind w:right="140" w:firstLine="8"/>
        <w:spacing w:after="0" w:line="303" w:lineRule="auto"/>
        <w:tabs>
          <w:tab w:leader="none" w:pos="161" w:val="left"/>
        </w:tabs>
        <w:numPr>
          <w:ilvl w:val="0"/>
          <w:numId w:val="24"/>
        </w:numPr>
        <w:rPr>
          <w:rFonts w:ascii="Arial" w:cs="Arial" w:eastAsia="Arial" w:hAnsi="Arial"/>
          <w:sz w:val="14"/>
          <w:szCs w:val="14"/>
          <w:color w:val="auto"/>
        </w:rPr>
      </w:pPr>
      <w:r>
        <w:rPr>
          <w:rFonts w:ascii="Arial" w:cs="Arial" w:eastAsia="Arial" w:hAnsi="Arial"/>
          <w:sz w:val="16"/>
          <w:szCs w:val="16"/>
          <w:color w:val="auto"/>
        </w:rPr>
        <w:t>(nab-paclitaxel) was launched in the U.S. and Europe in 2013 and 2014, and was the first drug approved in this disease in nearly a decade. On October 22, 2015, Merrimack Pharmaceuticals Inc., announced that it had received FDA approval for the use of ONIVYDE (irinotecan liposome injection) for the treatment of patients with metastatic adenocarcinoma of the pancreas after disease progression following gemcitabine-based therapy.</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If FG-3019 is approved and launched commercially to treat DMD, FG-3019 may face competition for some patients from Sarepta Therapeutics, Inc, as well as BioMarin, and PTC Therapeutics, Santhera Pharmaceuticals, Pfizer, Summit plc and Tivorsan Pharmaceuticals. BioMarin along with Sarepta, have entered clinical development with therapeutics based on exon-skipping technology which seeks to help patients produce functioning forms of the dystrophin protein. As there are multiple distinct mutations of the dystrophin gene that cause DMD, each exon skipping therapy targets only one specific mutation, treating only a subset of DMD patients (for example, exon-51 targets approximately 13% of DMD patients). BioMarin and Sarepta are researching and developing clinical candidates for many of the specific mutations in the dystrophin gene. PTC Therapeutics’ product ataluren (Translarna </w:t>
      </w:r>
      <w:r>
        <w:rPr>
          <w:rFonts w:ascii="Arial" w:cs="Arial" w:eastAsia="Arial" w:hAnsi="Arial"/>
          <w:sz w:val="13"/>
          <w:szCs w:val="13"/>
          <w:color w:val="auto"/>
        </w:rPr>
        <w:t>TM</w:t>
      </w:r>
      <w:r>
        <w:rPr>
          <w:rFonts w:ascii="Arial" w:cs="Arial" w:eastAsia="Arial" w:hAnsi="Arial"/>
          <w:sz w:val="16"/>
          <w:szCs w:val="16"/>
          <w:color w:val="auto"/>
        </w:rPr>
        <w:t xml:space="preserve"> ) received conditional approval in Europe in 2014 and a Refuse to File letter from the FDA in March 2016. Translarna targets a different set of DMD patients from those being targeted by BioMarin’s and Sarepta’s existing exon-skipping therapeutics; however it is also limited to a subset of patients who carry a specific mutation. Conversely, FG-3019 is intended to treat DMD patients without limitation to type of mutation. Santhera Pharmaceuticals recently reported positive Phase 3 data with its drug idebenone (Raxone </w:t>
      </w:r>
      <w:r>
        <w:rPr>
          <w:rFonts w:ascii="Arial" w:cs="Arial" w:eastAsia="Arial" w:hAnsi="Arial"/>
          <w:sz w:val="13"/>
          <w:szCs w:val="13"/>
          <w:color w:val="auto"/>
        </w:rPr>
        <w:t>®</w:t>
      </w:r>
      <w:r>
        <w:rPr>
          <w:rFonts w:ascii="Arial" w:cs="Arial" w:eastAsia="Arial" w:hAnsi="Arial"/>
          <w:sz w:val="16"/>
          <w:szCs w:val="16"/>
          <w:color w:val="auto"/>
        </w:rPr>
        <w:t xml:space="preserve"> /Catena </w:t>
      </w:r>
      <w:r>
        <w:rPr>
          <w:rFonts w:ascii="Arial" w:cs="Arial" w:eastAsia="Arial" w:hAnsi="Arial"/>
          <w:sz w:val="13"/>
          <w:szCs w:val="13"/>
          <w:color w:val="auto"/>
        </w:rPr>
        <w:t>®</w:t>
      </w:r>
      <w:r>
        <w:rPr>
          <w:rFonts w:ascii="Arial" w:cs="Arial" w:eastAsia="Arial" w:hAnsi="Arial"/>
          <w:sz w:val="16"/>
          <w:szCs w:val="16"/>
          <w:color w:val="auto"/>
        </w:rPr>
        <w:t>) in a trial measuring changes in lung function for DMD patients. Idebenone is a synthetic short-chain benzoquinone and a cofactor for the enzyme NAD(P)H:quinone oxidoreductase (NQO1). Pfizer’s product candidate, which is in Phase 2 development, is an antibody targeting myostatin which is a protein that regulates muscle growth. The goal of the program is to increase muscle growth and muscle strength in patients with DMD. Summit plc and Tivorsan Pharmaceuticals are both working on drugs involving the utrophin pathway. Utrophin is a protein similar to dystrophin. Summit has completed a Phase 1b trial and started a Phase 2 study in the United Kingdom. Tivorsan is conducting preclinical work on their compound.</w:t>
      </w:r>
    </w:p>
    <w:p>
      <w:pPr>
        <w:spacing w:after="0" w:line="17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FG-5200 is approved and launched to treat corneal blindness resulting from partial thickness corneal damage without active inflammation and infection in China, it is likely to compete with other products designed to treat corneal damage. For example, in April 2015, a subsidiary of China Regenerative Medicine International Limited received approval for their acellular porcine cornea stroma medical device to treat patients in China with corneal ulcers and in April 2016, Guangzhou Yourvision Biotech Co. Ltd, a subsidiary of Guanhao Biotech, received approval for their acellular porcine cornea medical device to treat patients in China with infectious keratitis that does not respond to drug treatment.</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success of any or all of these potential competitive products may negatively impact the development and potential for success of FG-3019. In addition, any competitive products that are on the market or in development may compete with FG-3019 for patient recruitment and enrollment for clinical trials or may force us to change our clinical trial comparators, whether placebo or active, in order to compare FG-3019 against another drug, which may be the new standard of care.</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these companies have greater experience and expertise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research and marketing capabilities than we do and may also have products that have been approved or are in later stages of development, and have collaboration agreements in our target markets with leading dialysis companies and research institutions. These competitors have in the past successfully prevented new and competing products from entering into the anemia market, and we expect that their resources will represent challenges for us and our collaboration partners, AstraZeneca and Astellas. If we and our collaboration partners are not able to compete effectively against existing and potential competitors, our business and financial condition may be materially and adversely affected.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 party payors and others in the health care community.</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Even if we obtain marketing approval for roxadustat, FG-3019 or any other product candidates that we may develop or acquire in the future, these product candidates may not gain market acceptance among physicians, third party payors, patients and others in the health care community. Market acceptance of any approved product depends on a number of other factors, including:</w:t>
      </w:r>
    </w:p>
    <w:p>
      <w:pPr>
        <w:spacing w:after="0" w:line="73" w:lineRule="exact"/>
        <w:rPr>
          <w:sz w:val="20"/>
          <w:szCs w:val="20"/>
          <w:color w:val="auto"/>
        </w:rPr>
      </w:pPr>
    </w:p>
    <w:p>
      <w:pPr>
        <w:ind w:left="1040" w:right="6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labeling required by regulatory authorities for use with the product, including any warnings that may be required in the labeling;</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safety, efficacy and convenience of treatment in relation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or pricing by third party payors and government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ability of treatment providers, such as dialysis clinics, to enter into relationships with us without violating their existing agreement;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3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Limited reimbursement or insurance coverage of our approved products, if any, by third party payors may render our products less attractive to patients and healthcare providers.</w:t>
      </w:r>
    </w:p>
    <w:p>
      <w:pPr>
        <w:spacing w:after="0" w:line="6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Market acceptance and sales of any approved products will depend significantly on reimbursement or coverage of our products by third party payors and may be affected by existing and future healthcare reform measures or the prices of related products for which third party reimbursement applies. Coverage and reimbursement by a third party payor may depend upon a number of factors, including the third party payor’s determination that use of a product is:</w:t>
      </w:r>
    </w:p>
    <w:p>
      <w:pPr>
        <w:spacing w:after="0" w:line="39"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Obtaining coverage and reimbursement approval for a product from a government or other third party payor is a time consuming and costly process that could require us to provide supporting scientific, clinical and cost-effectiveness data for the use of our products to the payor, which we may not be able to provide. Furthermore, the reimbursement policies of third party payors may significantly change in a manner that renders our clinical data insufficient for adequate reimbursement or otherwise limits the successful marketing of our products. Even if we obtain coverage for our product candidates, third party payors may not establish adequate reimbursement amounts, which may reduce the demand for, or the price of, our products. If reimbursement is not available or is available only to limited levels, we may not be able to commercialize certain of our products.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Price controls may limit the price at which products such as roxadustat, if approved, are sold. For example, reference pricing is used by various EU member states and parallel distribution, or arbitrage between low-priced and high-priced member states, can further reduce prices. In some countries, we or our partner may be required to conduct a clinical trial or other studies that compare the cost-effectiveness of our product candidates to other available products in order to obtain or maintain reimbursement or pricing approval. Publication of discounts by third party payors or authorities may lead to further pressure on the prices or reimbursement levels within the country of publication and other countries. If reimbursement of our products is unavailable or limited in scope or amount, or if pricing is set at unacceptable levels, we or our partner may elect not to commercialize our products in such countries, and our business and financial condition could be adversely affected.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If our collaborations with Astellas or AstraZeneca were terminated, or if Astellas or AstraZeneca were to prioritize other initiatives over their collaborations with us, whether as a result of a change of control or otherwise, our ability to successfully develop and commercialize our lead product candidate, roxadustat, would suffer.</w:t>
      </w:r>
    </w:p>
    <w:p>
      <w:pPr>
        <w:spacing w:after="0" w:line="73"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8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In addition, each of those agreements provides our respective partners the right to terminate any of those agreements upon written notice for convenience.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some of our collaborations are exclusive and preclude us from entering into additional collaboration agreements with other parties in the area or field of exclusivity.</w:t>
      </w:r>
    </w:p>
    <w:p>
      <w:pPr>
        <w:spacing w:after="0" w:line="18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we fail to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Conflicts with our collaboration partners could jeopardize our collaboration agreements and our ability to commercialize product candidates.</w:t>
      </w:r>
    </w:p>
    <w:p>
      <w:pPr>
        <w:spacing w:after="0" w:line="14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collaboration partners have certain rights to control decisions regarding the development and commercialization of our product candidates with respect to which they are providing funding. If we have a disagreement over strategy and activities, our plans for obtaining approval may be revised and negatively affect the anticipated timing and potential for success of our product candidates. Even if a product under a collaboration agreement is approved, we will remain substantially dependent on the commercialization strategy and efforts of our collaboration partners, and neither of our collaboration partners has experience in commercialization of a novel drug such as roxadustat in the dialysis market.</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With respect to our collaboration agreements for roxadustat, there are additional complexities in that we and our collaboration partners, Astellas and AstraZeneca, must reach consensus on our Phase 3 development program.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may negatively impact the timing or success of our planned Phase 3 clinical studies.</w:t>
      </w:r>
    </w:p>
    <w:p>
      <w:pPr>
        <w:spacing w:after="0" w:line="19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and we should be precluded from such internal activities. Moreover, disagreements with our collaboration partners could develop over rights to our intellectual property.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rely on third parties for the conduct of most of our preclinical and clinical trials for our product candidates, and if our third party contractors do not properly and successfully perform their obligations under our agreements with them, we may not be able to obtain or may be delayed in receiving regulatory approvals for our product candidates.*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 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Phase 3 development program for roxadustat. We compete with many other companies for the resources of these third parties, and large pharmaceutical companies often have significantly more extensive agreements and relationships with such third party providers, and such third 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8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time period. We cannot assure you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many aspects of our clinical studies and product manufacturing, and these third parties may not perform satisfactorily.</w:t>
      </w:r>
    </w:p>
    <w:p>
      <w:pPr>
        <w:spacing w:after="0" w:line="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do not have any operating manufacturing facilities at this time, and our current manufacturing facility plans in China are not expected to satisfy the requirements necessary to support roxadustat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Risks arising from our reliance on third party manufacturers include:</w:t>
      </w:r>
    </w:p>
    <w:p>
      <w:pPr>
        <w:spacing w:after="0" w:line="63" w:lineRule="exact"/>
        <w:rPr>
          <w:sz w:val="20"/>
          <w:szCs w:val="20"/>
          <w:color w:val="auto"/>
        </w:rPr>
      </w:pPr>
    </w:p>
    <w:p>
      <w:pPr>
        <w:ind w:left="1040" w:right="32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control and additional burdens of oversight as a result of using third party manufacturers for all aspects of manufacturing activities, including regulatory compliance and quality control and assurance;</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may negatively impact our planned development and commercialization activities;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possible misappropriation of our proprietary technology, including our trade secrets and know-how; and</w:t>
      </w:r>
    </w:p>
    <w:p>
      <w:pPr>
        <w:spacing w:after="0" w:line="117" w:lineRule="exact"/>
        <w:rPr>
          <w:rFonts w:ascii="Arial" w:cs="Arial" w:eastAsia="Arial" w:hAnsi="Arial"/>
          <w:sz w:val="18"/>
          <w:szCs w:val="18"/>
          <w:color w:val="auto"/>
        </w:rPr>
      </w:pPr>
    </w:p>
    <w:p>
      <w:pPr>
        <w:ind w:left="1040" w:right="96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disruptions to the operations of our third party manufacturers or suppliers unrelated to our product, including the bankruptcy of the manufacturer or supplier or a catastrophic event affecting our manufacturers or suppliers.</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 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9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Any of our third party manufacturers may terminate their engagement with us at any time and we have not yet entered into any commercial supply agreements for the manufacture of active pharmaceutical ingredients (“APIs”) or drug products. With respect to roxadustat, AstraZeneca and Astellas have certain rights to assume manufacturing of roxadustat and the existence of those rights may limit our ability to enter into favorable long-term supply agreements, if at all, with other third party manufacturers. In addition, our product candidates and any products that we may develop may compete with other product candidates and products for access and prioritization to manufacture. Certain third party manufacturers may be contractually prohibited from manufacturing our product due to non-compete agreements with our competitors or a commitment to grant another party priority relative to our products. There are a limited number of third party manufacturers that operate under cGMP and that might be capable of manufacturing to meet our requirements. Due to the limited number of third party manufacturers with the contractual freedom, expertise, required regulatory approvals and facilities to manufacture our products on a commercial scale, identifying and qualifying a replacement third party manufacturer would be expensive and time-consuming and may cause delay or interruptions in the production of our product candidates or products, which in turn may delay, prevent or impair our development and commercialization efforts.</w:t>
      </w:r>
    </w:p>
    <w:p>
      <w:pPr>
        <w:spacing w:after="0" w:line="18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have a letter agreement with IRIX Pharmaceuticals, Inc. (“IRIX”), a third 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 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we and IRIX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acquired IRIX.</w:t>
      </w:r>
    </w:p>
    <w:p>
      <w:pPr>
        <w:spacing w:after="0" w:line="1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If any third 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 party manufacturer we expect to enter into technical transfer agreements and share our know-how with the third party manufacturer, which can be time-consuming and may result in delays. These delays could result in a suspension or delay of our Phase 3 clinical trials or, if roxadustat is approved and marketed, a failure to satisfy patient demand.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Certain of the components of our product candidates are acquired from single-source suppliers and have been purchased without long-term supply agreements. The loss of any of these suppliers, or their failure to supply us with supplies of sufficient quantity and quality to complete our drug substance or finished drug product of acceptable quality and an acceptable price, would materially and adversely affect our business.</w:t>
      </w:r>
    </w:p>
    <w:p>
      <w:pPr>
        <w:spacing w:after="0" w:line="3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do not have an alternative supplier of certain components of our product candidates. To date, we have used purchase orders for the supply of materials that we use in our product candidates. We may be unable to enter into long-term commercial supply arrangements with our vendors,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 Moreover, we currently do not have any agreements for the commercial production of those materials.</w:t>
      </w:r>
    </w:p>
    <w:p>
      <w:pPr>
        <w:spacing w:after="0" w:line="15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logistics of our supply chain, which include shipment of materials and intermediates from countries such as China and India add additional time and risk to the manufacture of our product candidates. While we have in the past maintained sufficient inventory of materials, API, and drug product to meet our and our collaboration partners’ needs for roxadustat to date, the lead time and regulatory approvals required to source from and into countries outside of the U.S. increase the risk of delay and potential shortages of supply.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Composition-of-matter patents relating to the API are generally considered to be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(“AIA”), effective March 16, 2013. The effects of this change and other elements of the AIA are currently unclear, as the U.S. Patent and Trademark Office (“USPTO”), is still implementing associated regulations, and the applicability of the AIA and associated regulations to our patents and patent applications have not been fully determined. This new system also includes new procedures for challenging issued patents and pending patent applications, which creates additional uncertainty. We may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disputes with third parties and competitors may be costly and time consuming, and may negatively affect our competitive position.*</w:t>
      </w:r>
    </w:p>
    <w:p>
      <w:pPr>
        <w:spacing w:after="0" w:line="152"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may initiate or become a party to, or be threatened with, future litigation or other proceedings regarding intellectual property rights with respect to our product candidates and competing products.</w:t>
      </w:r>
    </w:p>
    <w:p>
      <w:pPr>
        <w:spacing w:after="0" w:line="154"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As our product candidates progress toward commercialization, we or our collaboration partners may be subject to patent infringement claims from third parties. We attempt to ensure that our product candidates do not infringe third 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FG-3019. Any litigation involving defense against claims of infringement, regardless of the merit of such claims, would involve substantial litigation expense and would be a substantial diversion of management time.</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intend, if necessary, to vigorously enforce our intellectual property in order to protect the proprietary position of our product candidates, including roxadustat and FG-3019. Active efforts to enforce our patents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 We previously prevailed in an administrative challenge initiated by a major biopharmaceutical company regarding our intellectual property rights, maintaining our intellectual property in all relevant scope, and will continue to protect and enforce our intellectual property rights. Moreover, third parties may continue to initiate new proceedings in the U.S. and foreign jurisdictions to challenge our patents from time to time.</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We may consider administrative proceedings and other means for challenging third party patents and patent applications. Third parties may also challenge our patents and patent applications, through interference,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post-grant review proceedings before the USPTO or through other comparable proceedings, such as oppositions or invalidation proceedings, before foreign patent offices.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 Even if we are successful, participation in administrative proceedings before the USPTO or a foreign patent office may result in substantial costs and time on the part of our management and other employees. For example, on December 5, 2013, Akebia filed an opposition to our European Patent No. 1463823 (the “’823 patent”), with the European Patent Office, and Akebia and other third parties may initiate or pursue similar proceedings with the European Patent Office or other corresponding foreign jurisdictions. The granted claims of the ’823 patent encompass the use of roxadustat for the treatment of anemia. In March 2016, the opposition division of the European Patent Office decided against FibroGen, revoking the patent as granted. FibroGen has appealed this decision, and the ’823 patent is currently valid and enforceable pending resolution on appeal. While we believe we will be successful on appeal, and while loss of the ’823 patent would not affect our exclusivity for roxadustat or our freedom-to-operate with respect to use of roxadustat for the treatment of anemia, the ultimate outcome of the proceeding remains uncertain and ultimate resolution may take an additional 4 to 5 years and result in substantial costs to us.</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reliance on third 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9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29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have an extensive worldwide patent portfolio. The cost of maintaining our patent protection is high and maintaining our patent protection requires continuous review and compliance in order to maintain worldwide patent protection. We may not be able to effectively maintain our intellectual property position throughout the major markets of the world.</w:t>
      </w:r>
    </w:p>
    <w:p>
      <w:pPr>
        <w:spacing w:after="0" w:line="73"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 party products may compete with our product candidates, and our patents or other intellectual property rights may not be effective or sufficient to prevent them from competing.</w:t>
      </w:r>
    </w:p>
    <w:p>
      <w:pPr>
        <w:spacing w:after="0" w:line="2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particularly certain developing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6" w:lineRule="exact"/>
        <w:rPr>
          <w:sz w:val="20"/>
          <w:szCs w:val="20"/>
          <w:color w:val="auto"/>
        </w:rPr>
      </w:pPr>
    </w:p>
    <w:p>
      <w:pPr>
        <w:ind w:left="1040" w:right="1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28" w:lineRule="exact"/>
        <w:rPr>
          <w:rFonts w:ascii="Arial" w:cs="Arial" w:eastAsia="Arial" w:hAnsi="Arial"/>
          <w:sz w:val="17"/>
          <w:szCs w:val="17"/>
          <w:color w:val="auto"/>
        </w:rPr>
      </w:pPr>
    </w:p>
    <w:p>
      <w:pPr>
        <w:ind w:left="1040" w:right="1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62" w:lineRule="exact"/>
        <w:rPr>
          <w:rFonts w:ascii="Arial" w:cs="Arial" w:eastAsia="Arial" w:hAnsi="Arial"/>
          <w:sz w:val="18"/>
          <w:szCs w:val="18"/>
          <w:color w:val="auto"/>
        </w:rPr>
      </w:pPr>
    </w:p>
    <w:p>
      <w:pPr>
        <w:ind w:left="1040" w:right="20" w:hanging="519"/>
        <w:spacing w:after="0" w:line="312"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Such products may be used for indications or purposes that are not recommended or approved or for which there is no data or inadequate data with regard to safety or efficacy.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regulatory approval process is highly uncertain and we may not obtain regulatory approval for the commercialization of our product candidates.</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neither roxadustat nor FG-3019, nor any future product candidates we may discover, in-license or acquire and seek to develop in the future, will ever obtain regulatory approval.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from the FDA or other regulatory authorities for many reasons, including:</w:t>
      </w:r>
    </w:p>
    <w:p>
      <w:pPr>
        <w:spacing w:after="0" w:line="117"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U.S. where the standard of care is potentially different from that in the U.S.;</w:t>
      </w:r>
    </w:p>
    <w:p>
      <w:pPr>
        <w:spacing w:after="0" w:line="62"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disapproval of the manufacturing processes or facilities of either our manufacturing plant or third party manufacturers with whom we contract for clinical and commercial supplies;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FDA or other regulatory authorities may require more information, including additional preclinical or clinical data to support approval,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9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Even if we believe our current or planned clinical trials are successful, regulatory authorities may not agree that our completed clinical trials provide adequate data on safety or efficacy. Approval by one regulatory authority does not ensure approval by any other 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28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If our product candidates obtain marketing approval, we will be subject to more extensive healthcare laws, regulation and enforcement and our failure to comply with those laws could have a material adverse effect on our results of operations and financial condition.</w:t>
      </w:r>
    </w:p>
    <w:p>
      <w:pPr>
        <w:spacing w:after="0" w:line="3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If we obtain approval for any of our product candidates, the regulatory requirements applicable to our operations, in particular our sales and marketing efforts, will increase significantly with respect to our operations and the potential for civil and criminal enforcement by the federal government and the states and foreign governments will increase with respect to the conduct of our business. The laws that may affect our operations in the U.S. include:</w:t>
      </w:r>
    </w:p>
    <w:p>
      <w:pPr>
        <w:spacing w:after="0" w:line="57" w:lineRule="exact"/>
        <w:rPr>
          <w:sz w:val="20"/>
          <w:szCs w:val="20"/>
          <w:color w:val="auto"/>
        </w:rPr>
      </w:pPr>
    </w:p>
    <w:p>
      <w:pPr>
        <w:ind w:left="1040" w:right="20" w:hanging="519"/>
        <w:spacing w:after="0" w:line="264"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3" w:lineRule="exact"/>
        <w:rPr>
          <w:rFonts w:ascii="Arial" w:cs="Arial" w:eastAsia="Arial" w:hAnsi="Arial"/>
          <w:sz w:val="18"/>
          <w:szCs w:val="18"/>
          <w:color w:val="auto"/>
        </w:rPr>
      </w:pPr>
    </w:p>
    <w:p>
      <w:pPr>
        <w:jc w:val="both"/>
        <w:ind w:left="1040" w:right="280" w:hanging="519"/>
        <w:spacing w:after="0" w:line="264"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 party payors that are false or fraudulent;</w:t>
      </w:r>
    </w:p>
    <w:p>
      <w:pPr>
        <w:spacing w:after="0" w:line="73"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62"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HIPAA, as amended by Health Information Technology and Clinical Health Act, and its implementing regulations, which imposes certain requirements relating to the privacy, security, and transmission of individually identifiable health information;</w:t>
      </w:r>
    </w:p>
    <w:p>
      <w:pPr>
        <w:spacing w:after="0" w:line="62" w:lineRule="exact"/>
        <w:rPr>
          <w:rFonts w:ascii="Arial" w:cs="Arial" w:eastAsia="Arial" w:hAnsi="Arial"/>
          <w:sz w:val="18"/>
          <w:szCs w:val="18"/>
          <w:color w:val="auto"/>
        </w:rPr>
      </w:pPr>
    </w:p>
    <w:p>
      <w:pPr>
        <w:ind w:left="1040" w:right="40" w:hanging="519"/>
        <w:spacing w:after="0" w:line="259"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(“PPACA”), which requires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78" w:lineRule="exact"/>
        <w:rPr>
          <w:rFonts w:ascii="Arial" w:cs="Arial" w:eastAsia="Arial" w:hAnsi="Arial"/>
          <w:sz w:val="18"/>
          <w:szCs w:val="18"/>
          <w:color w:val="auto"/>
        </w:rPr>
      </w:pPr>
    </w:p>
    <w:p>
      <w:pPr>
        <w:ind w:left="1040" w:hanging="519"/>
        <w:spacing w:after="0" w:line="291"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foreign and state law equivalents of each of the above federal laws, such as the U.S. Foreign Corrupt Practices Act (“FCPA”), anti-kickback and false claims laws that may apply to items or services reimbursed by any third 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scope of these laws and our lack of experience in establishing the compliance programs necessary to comply with this complex and evolving regulatory environment increases the risks that we may violate the applicable laws and regulations. If our operations are found to be in violation of any of such laws or any other governmental regulations that apply to us, we may be subject to penalties, including civil and criminal penalties, damages, fines,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2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impact of recent U.S. healthcare reform and other changes in the healthcare industry and in healthcare spending is currently unknown, and may adversely affect our business model.</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commercial potential for our approved products, if any,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the U.S., the Medicare Prescription Drug, Improvement, and Modernization Act of 2003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which could similarly impact the commercial potential for our products.</w:t>
      </w:r>
    </w:p>
    <w:p>
      <w:pPr>
        <w:spacing w:after="0" w:line="17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the Centers for Medicare and Medicaid Services (“CMS”) based on the average cost per treatment, including the cost of ESAs and IV iron doses, typically without adjustment for usage. It is unknown whether roxadustat, if approved, will be included in the payment bundle. Under MIPPA, agents that have no IV equivalent in the bundle are currently expected to be excluded from the bundle until 2025. If roxadustat were included in the bundle, it may reduce the price that could be charged for roxadustat, and therefore potentially limit our profitability. Based on roxadustat’s differentiated mechanism of action and therapeutic effects, and discussions with our collaboration partner, we currently believe that roxadustat might not be included in the bundle. If roxadustat is reimbursed outside of the bundle, it may potentially limit or delay market penetration of roxadustat.</w:t>
      </w:r>
    </w:p>
    <w:p>
      <w:pPr>
        <w:spacing w:after="0" w:line="16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More recently, the PPACA was enacted in 2010 with a goal of reducing the cost of healthcare and substantially changing the way healthcare is financed by both government and private insurers. The PPACA,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U.S. since the PPACA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w:t>
      </w:r>
    </w:p>
    <w:p>
      <w:pPr>
        <w:spacing w:after="0" w:line="16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It is likely that federal and state legislatures within the U.S.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9"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demand for any products that may be approved for sale;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price and profitability of our products;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pricing, coverage and reimbursement applicable to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successfully position and market any approved product;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taxes applicable to our pharmaceutical product revenues.</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conduct, or contract others to conduct, animal testing in the future, which could harm our research and development activities.</w:t>
      </w:r>
    </w:p>
    <w:p>
      <w:pPr>
        <w:spacing w:after="0" w:line="15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2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result in significant liability for us and harm our reputation.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employee fraud or other misconduct, including intentional failure to:</w:t>
      </w:r>
    </w:p>
    <w:p>
      <w:pPr>
        <w:spacing w:after="0" w:line="117"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comply with manufacturing standards we have established;</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comply with the FCPA and other anti-bribery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report financial information or data accurately;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or disclose unauthorized activities to us.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2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are establishing international operations and seeking approval to commercialize our product candidates outside of the U.S., in particular in China, and a number of risks associated with international operations could materially and adversely affect our business.*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29"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indications for which our product candidates are being developed;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foreign distributors;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pharmaceutical industry in China is subject to comprehensive government regulation and supervision, encompassing the approval, registration, manufacturing, packaging, licensing and marketing of new drugs. Refer to “</w:t>
      </w:r>
      <w:r>
        <w:rPr>
          <w:rFonts w:ascii="Arial" w:cs="Arial" w:eastAsia="Arial" w:hAnsi="Arial"/>
          <w:sz w:val="17"/>
          <w:szCs w:val="17"/>
          <w:i w:val="1"/>
          <w:iCs w:val="1"/>
          <w:color w:val="auto"/>
        </w:rPr>
        <w:t>Business — Government Regulation — Regulation in China</w:t>
      </w:r>
      <w:r>
        <w:rPr>
          <w:rFonts w:ascii="Arial" w:cs="Arial" w:eastAsia="Arial" w:hAnsi="Arial"/>
          <w:sz w:val="17"/>
          <w:szCs w:val="17"/>
          <w:color w:val="auto"/>
        </w:rPr>
        <w:t>” for a discussion of the regulatory requirements that are applicable to our current and planned business activities in China. 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Chinese authorities have become increasingly vigilant in enforcing laws in the pharmaceutical industry, in some cases launching industry-wide investigations, oftentimes appearing to focus on foreign companies. The costs and time necessary to respond to an investigation can be material. Any failure by us or our partners to maintain compliance with applicable laws and regulations or obtain and maintain required licenses and permits may result in the suspension or termination of our business activities in China.</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Patients’ use of traditional Chinese medicine in violation of study protocols in our China studies may lead the China Food and Drug Administration (“CFDA”) and regulators in other jurisdictions in which we are seeking approval to suspend our studies, reject our study data and withhold approval for roxadustat.</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common issue encountered in conducting clinical studies in China is patients’ use of traditional Chinese medicine in violation of study protocols. We believe that many patients with anemia in CKD are currently being treated with traditional Chinese medicine, and it is possible that such patients may continue their use of traditional Chinese medicine after enrollment in our studies and in violation of study protocols. If the patients participating in our China clinical studies do not comply with study protocols and continue to use traditional Chinese medicine, adverse events may emerge in our studies that are due to such traditional Chinese medicine or the interaction between such traditional Chinese medicine and roxadustat. In addition, the use of traditional Chinese medicine by patients in our studies may confound our study results. The occurrence of such adverse events or the confounding of our study results may lead the CFDA and regulators in other jurisdictions in which we are seeking approval to, among other things, suspend our studies, reject our study data and withhold approval for roxadustat.</w:t>
      </w:r>
    </w:p>
    <w:p>
      <w:pPr>
        <w:spacing w:after="0" w:line="30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We are planning on using our own manufacturing facility in China to produce roxadustat drug product, and possibly API, and corneal implants. As an organization, we have limited experience in the construction, licensure, or operation of a manufacturing plant, and, accordingly we cannot assure you we will be able to meet regulatory requirements to operate our plant and to sell our products.</w:t>
      </w:r>
    </w:p>
    <w:p>
      <w:pPr>
        <w:spacing w:after="0" w:line="5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2014, we recently received a Pharmaceutical Production Permit (“PPP”) for our facility in China in which we intend to manufacture roxadustat. The PPP allowed us to produce the NDA registration campaign of roxadustat according to cGMP. However, we have not yet received a license for commercial manufacture of roxadustat. As an organization, we have limited experience building a manufacturing facility in the past and our facility must be constructed, licensed and operated in conformity with applicable cGMP requirements. We will be obligated to comply with continuing cGMP requirements and there can be no assurance that we will receive and maintain all of the appropriate licenses required to manufacture our product candidates for clinical and commercial use in China. In addition, we and our product suppliers must continually spend time, money and effort in production, record-keeping and quality assurance and appropriate controls in order to ensure that any products manufactured in our facility meet applicable specifications and other requirements for product safety, efficacy and quality and there can be no assurance that our efforts will succeed for licensure or continue to be successful in meeting these requirements.</w:t>
      </w:r>
    </w:p>
    <w:p>
      <w:pPr>
        <w:spacing w:after="0" w:line="19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would require separate approval for the manufacture of FG-5200. In addition, we may convert our existing manufacturing process of FG-5200 to a semi-automated process which may require us to show that implants from our new manufacturing process are comparable to the implants from our existing manufacturing process. There can be no assurance that we will successfully receive licensure and maintain approval for the manufacture of either or both of roxadustat or FG-5200, either of which would be expected to delay or preclude our ability to develop and commercialize those product candidates in China and may materially adversely affect our business and operations and prospects in China.</w:t>
      </w:r>
    </w:p>
    <w:p>
      <w:pPr>
        <w:spacing w:after="0" w:line="1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Manufacturing facilities in China are subject to periodic unannounced inspections by the CFDA and other regulatory authorities. We expect to depend on these facilities for our product candidates and business operations in China. Natural disasters or other unanticipated catastrophic events, including power interruptions, water shortages, storms, fires, earthquakes, terrorist attacks, government appropriation of our facility, and wars, could significantly impair our ability to operate our manufacturing facility. Certain equipment, records and other materials located in these facilities would be difficult to replace or would require substantial replacement lead 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decision to seek approval in China for roxadustat prior to approval in the U.S. or Europe is largely unprecedented and could be subject to significant risk, delay and expense.*</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subsidiaries, FibroGen China Anemia Holdings, Ltd. and FibroGen (China) Medical Technology Development Co., Ltd. (individually or collectively referred to as “FibroGen China”), plan to seek approval for roxadustat in China as a Domestic Class 1.1 Drug, which we believe, if approved, would be the first CFDA approval of a first in class drug candidate while Phase 3 trials are ongoing in the U.S. and Europe. Because of this largely novel regulatory pathway, the CFDA approval process may take longer than we currently expect, or the CFDA may require us to submit additional data including data from the U.S. or European Phase 3 trials. In addition, negative data from the U.S. or European Phase 3 trials could impact the CFDA approval process. Any such development delays would result in significant delay in our commercialization plans for roxadustat in China. Elements of our plan for approval of roxadustat and other product candidates in China are based on communications with the CFDA, some of which are not reflected in formal written communications, regulations, findings or determinations. Accordingly, while we believe we have understandings with the CFDA regarding the domestic drug approval process and the clinical and manufacturing (including bio-equivalency) data currently required for approval and the timing and process of a potential approval, the regulatory authorities may later determine that changes are required in the drug approval process, or that additional or different clinical or manufacturing data must be generated, any of which could significantly delay approval of roxadustat or any of our other product candidates, and materially and adversely affect our plans and operations in China. It is possible that other unforeseen delays in the China regulatory process could have a material adverse effect on our development and commercialization of roxadustat in China. For example, some of our clinical trial sites recently received permission from the Ministry of Science and Technology, under a new approval process, to obtain routine blood and urine samples that contain genetic information. Such applications are reviewed only on a quarterly basis, thus studies to be performed at additional clinical trial sites could be delayed until they receive approval.</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there are evolving environmental and manufacturing regulations in China. Final regulations and the application thereof, and any further changes to these regulations may impact our API manufacturing location or strategy. It is possible that we may be able to produce API at contract manufacturers or we may be required to move our API manufacturing to another facility that we must build outside of Beijing. The exact impact of these regulations are yet to be determined, however, it is possible that they could adversely affect the cost or, potentially, the timeline of our commercial manufacturing plan and timing of our commercialization in China.</w:t>
      </w:r>
    </w:p>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Even if roxadustat is approved in China, we and our collaboration partner in China, AstraZeneca, may experience difficulties in successfully generating sales of roxadustat in China.</w:t>
      </w:r>
    </w:p>
    <w:p>
      <w:pPr>
        <w:spacing w:after="0" w:line="6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and AstraZeneca have a profit sharing arrangement with respect to roxadustat in China. Even if roxadustat is approved for sale in China, we and AstraZeneca may experience difficulties in our marketing, commercialization and sales efforts in China, and our business and operations could be adversely affected. In particular, sales of roxadustat in China may be limited due to the complex nature of the healthcare system, low average personal income, lack of patient cost reimbursement, pricing controls, poorly developed infrastructure and potentially rapid competition from other products.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treatments of anemia in CKD in China is highly competitive.</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Even if roxadustat is approved in China, it will face intense competition in the market for treatments of anemia in CKD. Roxadustat would compete with ESAs, which are offered by established multinational pharmaceutical companies such as Kyowa Hakko Kirin Brewery Co., Ltd. and Roche and Chinese pharmaceutical companies such as 3SBio Inc. and Di’ao Group Chengdu Diao Jiuhong Pharmaceutical Factory. Many of these competitors have substantially greater name recognition, scientific, financial and marketing resources as well as established distribution capabilities than we do. Many of our competitors have more resources to develop or acquire, and more experience in developing or acquiring, new products and in creating market awareness for those products. Many of these competitors have significantly more experience than we have in navigating the Chinese regulatory framework regarding the development, manufacturing and marketing of drugs in China, as well as in marketing and selling anemia products in China. Additionally, we believe that most patients with anemia in CKD in China are currently being treated with traditional Chinese medicine, which is widely accepted and highly prevalent in China. Traditional Chinese medicine treatments are often oral and thus convenient and low-cost, and practitioners of traditional Chinese medicine are numerous and accessible in China. As a result, it may be difficult to persuade patients with anemia in CKD to switch from traditional Chinese medicine to roxadustat.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assurance that roxadustat will be included in the Medical Insurance Catalogs.</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Eligible participants in the national basic medical insurance program in China, which consists of mostly urban residents, are entitled to reimbursement from the social medical insurance fund for up to the entire cost of medicines that are included in the Medical Insurance Catalogs. Refer to “</w:t>
      </w:r>
      <w:r>
        <w:rPr>
          <w:rFonts w:ascii="Arial" w:cs="Arial" w:eastAsia="Arial" w:hAnsi="Arial"/>
          <w:sz w:val="16"/>
          <w:szCs w:val="16"/>
          <w:i w:val="1"/>
          <w:iCs w:val="1"/>
          <w:color w:val="auto"/>
        </w:rPr>
        <w:t>Business —</w:t>
      </w:r>
      <w:r>
        <w:rPr>
          <w:rFonts w:ascii="Arial" w:cs="Arial" w:eastAsia="Arial" w:hAnsi="Arial"/>
          <w:sz w:val="16"/>
          <w:szCs w:val="16"/>
          <w:color w:val="auto"/>
        </w:rPr>
        <w:t xml:space="preserve"> </w:t>
      </w:r>
      <w:r>
        <w:rPr>
          <w:rFonts w:ascii="Arial" w:cs="Arial" w:eastAsia="Arial" w:hAnsi="Arial"/>
          <w:sz w:val="16"/>
          <w:szCs w:val="16"/>
          <w:i w:val="1"/>
          <w:iCs w:val="1"/>
          <w:color w:val="auto"/>
        </w:rPr>
        <w:t>Government Regulation — Regulation in China</w:t>
      </w:r>
      <w:r>
        <w:rPr>
          <w:rFonts w:ascii="Arial" w:cs="Arial" w:eastAsia="Arial" w:hAnsi="Arial"/>
          <w:sz w:val="16"/>
          <w:szCs w:val="16"/>
          <w:color w:val="auto"/>
        </w:rPr>
        <w:t>.” We believe that the inclusion of a drug in the Medical Insurance Catalogs can substantially improve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sales of a drug. The Ministry of Labor and Social Security in China (“MLSS”) together with other government authorities, select medicines to be included in the Medical Insurance Catalogs based on a variety of factors, including treatment requirements, frequency of use, effectiveness and price. The MLSS also occasionally removes medicines from such catalogs. There can be no assurance that roxadustat will be included, and once included, remain in the Medical Insurance Catalogs. The exclusion or removal of roxadustat from the Medical Insurance Catalogs may materially and adversely affect sales of roxadustat.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the tender processes for the purchase of medicines by state-owned and state-controlled hospitals.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Most hospitals in China participate in collective tender processes for the purchase of medicines listed in the Medical Insurance Catalogs and medicines that are consumed in large volumes and commonly prescribed for clinical uses. During a collective tender process, the hospitals will establish a committee consisting of recognized pharmaceutical experts. The committee will assess the bids submitted by the various participating pharmaceutical manufacturers, taking into consideration, among other things, the quality and price of the drug product and the service and reputation of the manufacturer. Only drug products that have been selected in the collective tender processes may be purchased by participating hospitals. If we are unable to win purchase contracts through the collective tender processes in which we decide to participate, there will be limited demand for roxadustat, and sales revenues from roxadustat will be materially and adversely affected.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FG-5200 can be manufactured successfully and achieve regulatory approval, we may not achieve commercial success.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have not yet received a license to manufacture FG-5200 in our China manufacturing facility or at scale, and we will have to show that FG-5200 from our China manufacturing facility meets the applicable regulatory requirements. There can be no assurance that we can meet these requirements or that FG-5200 can be approved for development, manufacture and sale in China.</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Even if we are able to manufacture and develop FG-5200 as a medical device in China, the size and length of any potential clinical trials required for approval are uncertain and we are unable to predict the time and investment required to obtain regulatory approval. Moreover, even if FG-5200 can be successfully developed for approval in China, our product candidate would require extensive training and investment in assisting physicians in the use of FG-5200.</w:t>
      </w:r>
    </w:p>
    <w:p>
      <w:pPr>
        <w:spacing w:after="0" w:line="25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retail prices of any product candidates that we develop may be subject to control, including periodic downward adjustment, by Chinese government authorities.</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price for pharmaceutical products is highly regulated in China, both at the national and provincial level. Price controls may reduce prices to levels significantly below those that would prevail in less regulated markets or limit the volume of products which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our planned business activities in China fall within a restricted category under the China Catalog for Guidance for Foreign Investment, we will need to operate in China through a variable interest entity (“VIE”) structure.</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China Catalog for Guidance for Foreign Investment sets forth the industries and sectors that the Chinese government encourages and restricts with respect to foreign investment and participation. The Catalog for Guidance for Foreign Investment is subject to revision from time to time by the China Ministry of Commerce. While we currently do not believe the development and marketing of roxadustat falls within a restricted category under the Catalog for Guidance for Foreign Investment, if roxadustat does fall under such a restricted category, we will need to operate in China through a VIE structure. A VIE structure involves a wholly foreign-owned enterprise that would control and receive the economic benefits of a domestic Chinese company through various contractual relationships. Such a structure would subject us to a number of risks that may have an adverse effect on our business, including that the Chinese government may determine that such contractual arrangements do not comply with applicable regulations, Chinese tax authorities may require us to pay additional taxes, shareholders of our VIEs may have potential conflicts of interest with us, and we may lose the ability to use and enjoy assets held by our VIEs that are important to the operations of our business if such entities go bankrupt or become subject to dissolution or liquidation proceedings. VIE structures in China have come under increasing scrutiny from accounting firms and the SEC staff. If we do attempt to use a VIE structure and are unsuccessful in structuring it so as to qualify as a VIE, we would not be able to consolidate the financial statements of the VIE with our financial statements, which could have a material adverse effect on our operating results and financial condition.</w:t>
      </w:r>
    </w:p>
    <w:p>
      <w:pPr>
        <w:spacing w:after="0" w:line="2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FibroGen (China) Medical Technology Development Co., Ltd. (“FibroGen Beijing”) would be subject to restrictions on paying dividends or making other payments to us, which may restrict our ability to satisfy our liquidity requirements.</w:t>
      </w:r>
    </w:p>
    <w:p>
      <w:pPr>
        <w:spacing w:after="0" w:line="6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plan to conduct all of our business in China through FibroGen Beijing. We may rely on dividends and royalties paid by FibroGen Beijing for a portion of our cash needs, including the funds necessary to service any debt we may incur and to pay our operating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March 31, 2016, approximately $6.6 million of our cash and cash equivalents is held in China.</w:t>
      </w:r>
    </w:p>
    <w:p>
      <w:pPr>
        <w:spacing w:after="0" w:line="2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29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roxadustat is approved for sale in China, 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(“SAFE”) by complying with certain procedural requirements. However, approval from SAFE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inefficiencies associated with our offshore corporate structure.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we and our foreign subsidiaries have various intercompany transactions. We may not be able to obtain certain benefits under relevant tax treaties to avoid double taxation on certain transactions among our subsidiaries. If we are not able to avail ourselves of the tax treaties, we could be subject to additional taxes, which could adversely affect our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foreign operations, particularly those in China, are subject to significant risks involving the protection of intellectual property.</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currently have at least 5 granted patents relating to roxadustat in China. Refer to “</w:t>
      </w:r>
      <w:r>
        <w:rPr>
          <w:rFonts w:ascii="Arial" w:cs="Arial" w:eastAsia="Arial" w:hAnsi="Arial"/>
          <w:sz w:val="17"/>
          <w:szCs w:val="17"/>
          <w:i w:val="1"/>
          <w:iCs w:val="1"/>
          <w:color w:val="auto"/>
        </w:rPr>
        <w:t>Business — Intellectual Property</w:t>
      </w:r>
      <w:r>
        <w:rPr>
          <w:rFonts w:ascii="Arial" w:cs="Arial" w:eastAsia="Arial" w:hAnsi="Arial"/>
          <w:sz w:val="17"/>
          <w:szCs w:val="17"/>
          <w:color w:val="auto"/>
        </w:rPr>
        <w:t>.”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patents that may be granted from our currently pending patent applications have, absent any patent term adjustment or extension, a twenty-year protection period starting from the date of application.</w:t>
      </w:r>
    </w:p>
    <w:p>
      <w:pPr>
        <w:spacing w:after="0" w:line="1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Chinese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Chinese courts in handling intellectual property litigation varies and outcomes are unpredictable. An adverse determination in any such litigation could materially impair our intellectual property rights and may harm our business.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laws and regulations governing corruption, which will require us to develop and implement costly compliance programs.</w:t>
      </w:r>
    </w:p>
    <w:p>
      <w:pPr>
        <w:spacing w:after="0" w:line="1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must comply with a wide range of laws and regulations to prevent corruption, bribery, and other unethical business practices, including the FCPA, anti-bribery and anti-corruption laws in other countries, particularly China. The creation and implementation of international business practices compliance programs is costly and such programs are difficult to enforce, particularly where reliance on third parties is required.</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6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pharmaceutical industry, corrupt practices include, among others, acceptance of kickbacks, bribes or other illegal gains or benefits by the hospitals and medical practitioners from pharmaceutical manufacturers, distributors or their third party agents in connection with the prescription of certain pharmaceuticals. If our employees, affiliates, distributors or third 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company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China legal system could have a material adverse effect on us.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the China legal system will require the devotion of significant resources and time, and there can be no assurance that our contractual and other rights will ultimately be enforced.</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China’s economic, political or social conditions or government policies could have a material adverse effect on our business and operations.</w:t>
      </w:r>
    </w:p>
    <w:p>
      <w:pPr>
        <w:spacing w:after="0" w:line="15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Chinese economy and Chinese society continue to undergo significant change. Adverse changes in the political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structure of foreign investment in this industry. We are unable to predict the frequency and scope of such policy changes, any of which could materially and adversely affect FibroGen Beijing’s liquidity, access to capital and its ability to conduct business in China. Any failure on our part to comply with changing government regulations and policies could result in the loss of our ability to develop and commercialize our product candidates in China.</w:t>
      </w:r>
    </w:p>
    <w:p>
      <w:pPr>
        <w:spacing w:after="0" w:line="2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China Labor Contract Law, which became effective in 2008 and provides stronger protections for employees and imposes more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in order to manage any future growth effectively. Our failure to accomplish any of these steps could prevent us from successfully implementing our strategy and maintaining the confidence of investors in our company.</w:t>
      </w:r>
    </w:p>
    <w:p>
      <w:pPr>
        <w:spacing w:after="0" w:line="2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personnel, in particular our chief executive officer, we may be unable to successfully develop our product candidates, conduct our clinical trials and commercialize our product candidates.</w:t>
      </w:r>
    </w:p>
    <w:p>
      <w:pPr>
        <w:spacing w:after="0" w:line="62"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We are highly dependent on our chief executive officer, Thomas B. Neff, and other members of our senior management team. The loss of the services of Mr. Neff or any of these other individuals would be expected to significantly negatively impact the development and commercialization of our product candidates, our existing collaborative relationships and our ability to successfully implement our business strategy.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Recruiting and retaining qualified commercial, development, scientific, clinical and manufacturing personnel are and will continue to be critical to our success.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7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64"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termination of further development of unapproved product candidates or significantly reduced demand for any approved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material costs and expenses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diversion of time and resources across the entire organization, including our executive management;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recalls, withdrawals or labeling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collaboration partners;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reputational damage negatively impacting our other product candidates in development.</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 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If such an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Our headquarters and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results of operations and financial condition.</w:t>
      </w:r>
    </w:p>
    <w:p>
      <w:pPr>
        <w:spacing w:after="0" w:line="7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and some of the third party service providers on which we depend for various support functions, such as data storage,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damaged critical infrastructure, such as our data storage facilities, enterprise financial systems or manufacturing resource planning and enterprise quality systems, or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your purchase price.</w:t>
      </w:r>
    </w:p>
    <w:p>
      <w:pPr>
        <w:spacing w:after="0" w:line="14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63"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including roxadustat and FG-3019;</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of the release of results of and regulatory updates regarding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safety issues with respect to our product candidates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developments concerning our collaborations and our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termination of a collaboration or the inability to establish additional collaborations;</w:t>
      </w:r>
    </w:p>
    <w:p>
      <w:pPr>
        <w:spacing w:after="0" w:line="117" w:lineRule="exact"/>
        <w:rPr>
          <w:rFonts w:ascii="Arial" w:cs="Arial" w:eastAsia="Arial" w:hAnsi="Arial"/>
          <w:sz w:val="18"/>
          <w:szCs w:val="18"/>
          <w:color w:val="auto"/>
        </w:rPr>
      </w:pPr>
    </w:p>
    <w:p>
      <w:pPr>
        <w:ind w:left="1040" w:right="80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publication of research reports by securities analysts about us or our competitors or our industry or negative recommendations or withdrawal of research coverage by securities analysts;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ineffectiveness of our internal controls;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announced strategic decisions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legislation or other regulatory developments affecting our product candidates or our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the valuation of the biotechnology industry and particular companies perceived by investors to be comparable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activities of the government of China, including those related to the pharmaceutical industry as well as industrial policy generally;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performance of other U.S. publicly traded companies with significant operations in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natural disasters such as earthquakes and other calamities;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reports about our business, or if they change their recommendations regarding our stock adversely, our stock price and trading volume could decline.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 analysts who cover us downgrade our stock, our stock price would likely decline. If one or more of these analysts cease coverage of our company or fail to regularly publish reports on us, we could lose visibility in the financial markets, which in turn could cause our stock price or trading volume to decline.</w:t>
      </w:r>
    </w:p>
    <w:p>
      <w:pPr>
        <w:spacing w:after="0" w:line="29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As of April 30, 2016, our executive officers, directors and principal stockholders, together with their respective affiliates, owned approximately 25.61%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April 30, 2016.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Additional remedial measures that may be imposed in the proceedings instituted by the SEC against five China based accounting firms, including the Chinese affiliate of our independent registered public accounting firm, could result in our consolidated financial statements being determined to not be in compliance with the requirements of the Exchange Act.</w:t>
      </w:r>
    </w:p>
    <w:p>
      <w:pPr>
        <w:spacing w:after="0" w:line="7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of 2002 against the Chinese affiliates of the “big four” accounting firms, including PricewaterhouseCoopers Zhong Tian CPAs Limited, the Chinese affiliate of our independent registered public accounting firm. The Rule 102(e) proceedings initiated by the SEC relate to these firms’ failure to produce documents, including audit work papers, in response to the request of the SEC pursuant to Section 106 of the Sarbanes-Oxley Act of 2002, as the auditors located in China are not in a position lawfully to produce documents directly to the SEC because of restrictions under Chinese law and specific directives issued by the China Securities Regulatory Commission (“CSRC”). The issues raised by the proceedings are not specific to our auditors or to us.</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January 2014, an administrative law judge reached an initial decision that the Chinese affiliates of the “big four” accounting firms should be barred from practicing before the SEC for a period of six months. In February 2015, the Chinese affiliates of the “big four”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If future document productions fail to meet specified criteria, the SEC retains authority to impose a variety of additional remedial measures on the firms depending on the nature of the failure.</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cannot predict if the SEC will further review the four firms’ compliance with specified criteria or if such further review would result in the SEC imposing additional penalties such as suspensions or commencing any further administrative proceedings. Although it does not play a substantial role (as defined under PCAOB standards) in the audit of our consolidated financial statements, if PricewaterhouseCoopers Zhong Tian CPAs Limited were denied, temporarily, the ability to practice before the SEC, our ability to produce audited consolidated financial statements for our company could be affected and we could be determined not to be in compliance with the requirements of the Exchange Act. Such a determination could ultimately lead to the delisting of our shares from the NASDAQ Global Select Market or deregistration from the SEC, or both, which would substantially reduce or effectively terminate the trading of our stock.</w:t>
      </w:r>
    </w:p>
    <w:p>
      <w:pPr>
        <w:spacing w:after="0" w:line="29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are incurring significant compliance costs as a result of operating as a public company and our management is required to devote substantial resources to public company compliance programs.*</w:t>
      </w:r>
    </w:p>
    <w:p>
      <w:pPr>
        <w:spacing w:after="0" w:line="6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As a newly public company, we are incurring significant legal, insurance, accounting and other expenses that we did not incur as a private company. The Sarbanes-Oxley Act of 2002, the Dodd-Frank Wall Street Reform and Consumer Protection Act of 2010,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are currently and intend to continue to invest resources to comply with evolving laws, regulations and standards, and this investment will result in increased general and administrative expenses and may divert management’s time and attention from product development activities, particularly now that we are no longer an “emerging growth company”.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Specifically, in order to comply with the requirements of being a public company, we may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ordinary shares could decline. In addition, if we are unable to continue to meet these requirements, we may not be able to remain listed on The NASDAQ Stock Market.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required to comply with the SEC’s rules that implement Section 404 of the Sarbanes-Oxley Act (“Section 404”), which include the disclosure of any material weaknesses in our internal control over financial reporting identified by our management or our independent registered public accounting firm. In addition, we are required to have our independent registered public accounting firm attest to the effectiveness of our internal control over financial reporting. To achieve compliance with Section 404, we need to continue to dedicate internal resources, outside consultants and continue to execute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consolidated financial statements and we cannot assure you that there will not be material weaknesses or significant deficiencies in our internal controls in the future.</w:t>
      </w:r>
    </w:p>
    <w:p>
      <w:pPr>
        <w:spacing w:after="0" w:line="28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engage in future acquisitions that could disrupt our business, cause dilution to our stockholders and harm our business, results of operations, financial condition and cash flows and future prospects.</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While we currently have no specific plans to acquire any other businesses, we may, in the future, make acquisitions of, or investments in, companies that we believe have products or capabilities that are a strategic or commercial fit with our present or future product candidates and business or otherwise offer opportunities for our company. In connection with these acquisitions or investments, we may:</w:t>
      </w:r>
    </w:p>
    <w:p>
      <w:pPr>
        <w:spacing w:after="0" w:line="73"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 stock that would dilute our existing stockholders’ percentage of ownership;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 debt and assume liabilities;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73"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or technologies, or employees or other assets of the acquisition target;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or undisclosed liabilities of the acquired asset or company;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reprioritization of our development programs and even cessation of development and commercialization of our current product candidates;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harm to our operating results or financial condition;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entrance into markets in which we have limited or no prior experience;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able to complete any acquisitions or effectively integrate the operations, products or personnel gained through any such acquisition.</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directors or management.</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5" w:lineRule="exact"/>
        <w:rPr>
          <w:sz w:val="20"/>
          <w:szCs w:val="20"/>
          <w:color w:val="auto"/>
        </w:rPr>
      </w:pPr>
    </w:p>
    <w:p>
      <w:pPr>
        <w:ind w:left="1040" w:right="6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our directors may be removed prior to the end of their term only for cause;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require a supermajority vote of the holders of our common stock or the majority vote of our board of directors to amend our bylaws; and</w:t>
      </w:r>
    </w:p>
    <w:p>
      <w:pPr>
        <w:spacing w:after="0" w:line="128" w:lineRule="exact"/>
        <w:rPr>
          <w:rFonts w:ascii="Arial" w:cs="Arial" w:eastAsia="Arial" w:hAnsi="Arial"/>
          <w:sz w:val="17"/>
          <w:szCs w:val="17"/>
          <w:color w:val="auto"/>
        </w:rPr>
      </w:pPr>
    </w:p>
    <w:p>
      <w:pPr>
        <w:ind w:left="1040" w:right="20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(“NOLs”) to offset future taxable income may be subject to certain limitations.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In general, under Section 382 of the Internal Revenue Code of 1986, as amended (“Code”), a corporation that undergoes an “ownership change” is subject to limitations on its ability to utilize its pre-change NOL or tax credits (“credits”), to offset future taxable income. Our existing NOLs or credits may be subject to substantial limitations arising from previous ownership changes, and if we undergo an ownership change our ability to utilize NOLs or credits could be further limited by Section 382 of the Code. In addition, future changes in our stock ownership, many of which are outside of our control, could result in an ownership change under Section 382 of the Code. Our NOLs or credits may also be impaired under state law. Accordingly, we may not be able to utilize a material portion of our NOLs or credits. Furthermore, our ability to utilize our NOLs or credits is conditioned upon our attaining profitability and generating U.S. federal and state taxable income. As described above under “— </w:t>
      </w:r>
      <w:r>
        <w:rPr>
          <w:rFonts w:ascii="Arial" w:cs="Arial" w:eastAsia="Arial" w:hAnsi="Arial"/>
          <w:sz w:val="17"/>
          <w:szCs w:val="17"/>
          <w:i w:val="1"/>
          <w:iCs w:val="1"/>
          <w:color w:val="auto"/>
        </w:rPr>
        <w:t>Risks Related to Our Financial Condition and History of Operating Losses</w:t>
      </w:r>
      <w:r>
        <w:rPr>
          <w:rFonts w:ascii="Arial" w:cs="Arial" w:eastAsia="Arial" w:hAnsi="Arial"/>
          <w:sz w:val="17"/>
          <w:szCs w:val="17"/>
          <w:color w:val="auto"/>
        </w:rPr>
        <w:t>,” we have incurred significant net losses since our inception and anticipate that we will continue to incur significant losses for the foreseeable future; thus, we do not know whether or when we will generate the U.S. federal or state taxable income necessary to utilize our NOLs or credits. A full valuation allowance has been provided for all of our NOLs and credits.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provision or exposure to additional tax liabilities could adversely affect our earnings and financial condition.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are also subject to non-income taxes, such as payroll, sales, use, value-added, net worth, property and goods and services taxes in the U.S. and various foreign jurisdictions. We are subject to audit and assessments by tax authorities with respect to these non-income taxes and may have exposure to additional non-income tax liabilities which could have an adverse effect on our results of operations and financial condition.</w:t>
      </w:r>
    </w:p>
    <w:p>
      <w:pPr>
        <w:spacing w:after="0" w:line="27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9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 and you may never receive a return on your investment.</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November 13, 2014, our Registration Statement on Form S-1, as amended (Reg. Nos. 333-199069 and 333-200189) was declared effective in connection with the initial public offering of our common stock. There has been no material change in the planned use of proceeds from our initial public offering as described in our final prospectus filed with the SEC pursuant to Rule 424(b) under the Securities Act on November 14,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exhibits listed on the accompanying Exhibit Index are filed or incorporated by reference (as stated therein) as part of this Quarterly Report on From 10-Q.</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FibroGen, Inc.</w:t>
            </w:r>
          </w:p>
        </w:tc>
        <w:tc>
          <w:tcPr>
            <w:tcW w:w="20" w:type="dxa"/>
            <w:vAlign w:val="bottom"/>
          </w:tcPr>
          <w:p>
            <w:pPr>
              <w:spacing w:after="0"/>
              <w:rPr>
                <w:sz w:val="17"/>
                <w:szCs w:val="17"/>
                <w:color w:val="auto"/>
              </w:rPr>
            </w:pPr>
          </w:p>
        </w:tc>
      </w:tr>
      <w:tr>
        <w:trPr>
          <w:trHeight w:val="20"/>
        </w:trPr>
        <w:tc>
          <w:tcPr>
            <w:tcW w:w="35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3560" w:type="dxa"/>
            <w:vAlign w:val="bottom"/>
          </w:tcPr>
          <w:p>
            <w:pPr>
              <w:spacing w:after="0"/>
              <w:rPr>
                <w:sz w:val="20"/>
                <w:szCs w:val="20"/>
                <w:color w:val="auto"/>
              </w:rPr>
            </w:pPr>
            <w:r>
              <w:rPr>
                <w:rFonts w:ascii="Arial" w:cs="Arial" w:eastAsia="Arial" w:hAnsi="Arial"/>
                <w:sz w:val="18"/>
                <w:szCs w:val="18"/>
                <w:color w:val="auto"/>
              </w:rPr>
              <w:t>Dated: May 9, 2016</w:t>
            </w:r>
          </w:p>
        </w:tc>
        <w:tc>
          <w:tcPr>
            <w:tcW w:w="3000" w:type="dxa"/>
            <w:vAlign w:val="bottom"/>
          </w:tcPr>
          <w:p>
            <w:pPr>
              <w:spacing w:after="0"/>
              <w:rPr>
                <w:sz w:val="24"/>
                <w:szCs w:val="24"/>
                <w:color w:val="auto"/>
              </w:rPr>
            </w:pPr>
          </w:p>
        </w:tc>
        <w:tc>
          <w:tcPr>
            <w:tcW w:w="4860" w:type="dxa"/>
            <w:vAlign w:val="bottom"/>
            <w:gridSpan w:val="4"/>
          </w:tcPr>
          <w:p>
            <w:pPr>
              <w:spacing w:after="0"/>
              <w:rPr>
                <w:sz w:val="20"/>
                <w:szCs w:val="20"/>
                <w:color w:val="auto"/>
              </w:rPr>
            </w:pPr>
            <w:r>
              <w:rPr>
                <w:rFonts w:ascii="Arial" w:cs="Arial" w:eastAsia="Arial" w:hAnsi="Arial"/>
                <w:sz w:val="18"/>
                <w:szCs w:val="18"/>
                <w:color w:val="auto"/>
              </w:rPr>
              <w:t>By: /s/ Thomas B. Neff</w:t>
            </w:r>
          </w:p>
        </w:tc>
        <w:tc>
          <w:tcPr>
            <w:tcW w:w="2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Thomas B. Neff</w:t>
            </w:r>
          </w:p>
        </w:tc>
        <w:tc>
          <w:tcPr>
            <w:tcW w:w="2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Chairman of the Board and Chief Executive Officer</w:t>
            </w:r>
          </w:p>
        </w:tc>
        <w:tc>
          <w:tcPr>
            <w:tcW w:w="2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20" w:type="dxa"/>
            <w:vAlign w:val="bottom"/>
          </w:tcPr>
          <w:p>
            <w:pPr>
              <w:spacing w:after="0"/>
              <w:rPr>
                <w:sz w:val="20"/>
                <w:szCs w:val="20"/>
                <w:color w:val="auto"/>
              </w:rPr>
            </w:pPr>
          </w:p>
        </w:tc>
      </w:tr>
      <w:tr>
        <w:trPr>
          <w:trHeight w:val="459"/>
        </w:trPr>
        <w:tc>
          <w:tcPr>
            <w:tcW w:w="3560" w:type="dxa"/>
            <w:vAlign w:val="bottom"/>
          </w:tcPr>
          <w:p>
            <w:pPr>
              <w:spacing w:after="0"/>
              <w:rPr>
                <w:sz w:val="20"/>
                <w:szCs w:val="20"/>
                <w:color w:val="auto"/>
              </w:rPr>
            </w:pPr>
            <w:r>
              <w:rPr>
                <w:rFonts w:ascii="Arial" w:cs="Arial" w:eastAsia="Arial" w:hAnsi="Arial"/>
                <w:sz w:val="18"/>
                <w:szCs w:val="18"/>
                <w:color w:val="auto"/>
              </w:rPr>
              <w:t>Dated: May 9, 2016</w:t>
            </w:r>
          </w:p>
        </w:tc>
        <w:tc>
          <w:tcPr>
            <w:tcW w:w="3000" w:type="dxa"/>
            <w:vAlign w:val="bottom"/>
          </w:tcPr>
          <w:p>
            <w:pPr>
              <w:spacing w:after="0"/>
              <w:rPr>
                <w:sz w:val="24"/>
                <w:szCs w:val="24"/>
                <w:color w:val="auto"/>
              </w:rPr>
            </w:pPr>
          </w:p>
        </w:tc>
        <w:tc>
          <w:tcPr>
            <w:tcW w:w="4860" w:type="dxa"/>
            <w:vAlign w:val="bottom"/>
            <w:gridSpan w:val="4"/>
          </w:tcPr>
          <w:p>
            <w:pPr>
              <w:spacing w:after="0"/>
              <w:rPr>
                <w:sz w:val="20"/>
                <w:szCs w:val="20"/>
                <w:color w:val="auto"/>
              </w:rPr>
            </w:pPr>
            <w:r>
              <w:rPr>
                <w:rFonts w:ascii="Arial" w:cs="Arial" w:eastAsia="Arial" w:hAnsi="Arial"/>
                <w:sz w:val="18"/>
                <w:szCs w:val="18"/>
                <w:color w:val="auto"/>
              </w:rPr>
              <w:t>By: /s/ Pat Cotroneo</w:t>
            </w:r>
          </w:p>
        </w:tc>
        <w:tc>
          <w:tcPr>
            <w:tcW w:w="2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5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Pat Cotroneo</w:t>
            </w:r>
          </w:p>
        </w:tc>
        <w:tc>
          <w:tcPr>
            <w:tcW w:w="2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Vice President, Finance and Chief Financial Officer</w:t>
            </w:r>
          </w:p>
        </w:tc>
        <w:tc>
          <w:tcPr>
            <w:tcW w:w="2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20" w:type="dxa"/>
            <w:vAlign w:val="bottom"/>
          </w:tcPr>
          <w:p>
            <w:pPr>
              <w:spacing w:after="0"/>
              <w:rPr>
                <w:sz w:val="20"/>
                <w:szCs w:val="20"/>
                <w:color w:val="auto"/>
              </w:rPr>
            </w:pPr>
          </w:p>
        </w:tc>
      </w:tr>
      <w:tr>
        <w:trPr>
          <w:trHeight w:val="864"/>
        </w:trPr>
        <w:tc>
          <w:tcPr>
            <w:tcW w:w="3560" w:type="dxa"/>
            <w:vAlign w:val="bottom"/>
          </w:tcPr>
          <w:p>
            <w:pPr>
              <w:spacing w:after="0"/>
              <w:rPr>
                <w:sz w:val="24"/>
                <w:szCs w:val="24"/>
                <w:color w:val="auto"/>
              </w:rPr>
            </w:pPr>
          </w:p>
        </w:tc>
        <w:tc>
          <w:tcPr>
            <w:tcW w:w="3000" w:type="dxa"/>
            <w:vAlign w:val="bottom"/>
          </w:tcPr>
          <w:p>
            <w:pPr>
              <w:jc w:val="right"/>
              <w:ind w:right="670"/>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80" w:type="dxa"/>
            <w:vAlign w:val="bottom"/>
          </w:tcPr>
          <w:p>
            <w:pPr>
              <w:ind w:left="39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2"/>
        </w:trPr>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6780" w:type="dxa"/>
            <w:vAlign w:val="bottom"/>
            <w:vMerge w:val="restart"/>
          </w:tcPr>
          <w:p>
            <w:pPr>
              <w:ind w:left="28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6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6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Amended and Restated Certificate of Incorporation of FibroGen, Inc.</w:t>
            </w: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Amended and Restated Bylaws of FibroGen, Inc.</w:t>
            </w: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323"/>
        </w:trPr>
        <w:tc>
          <w:tcPr>
            <w:tcW w:w="1060" w:type="dxa"/>
            <w:vAlign w:val="bottom"/>
          </w:tcPr>
          <w:p>
            <w:pPr>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6"/>
              </w:rPr>
              <w:t>Investor Rights Agreement by and among FibroGen, Inc. and certain of its stockholders,</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dated as of December 1995.</w:t>
            </w:r>
          </w:p>
        </w:tc>
        <w:tc>
          <w:tcPr>
            <w:tcW w:w="0" w:type="dxa"/>
            <w:vAlign w:val="bottom"/>
          </w:tcPr>
          <w:p>
            <w:pPr>
              <w:spacing w:after="0"/>
              <w:rPr>
                <w:sz w:val="1"/>
                <w:szCs w:val="1"/>
                <w:color w:val="auto"/>
              </w:rPr>
            </w:pPr>
          </w:p>
        </w:tc>
      </w:tr>
      <w:tr>
        <w:trPr>
          <w:trHeight w:val="323"/>
        </w:trPr>
        <w:tc>
          <w:tcPr>
            <w:tcW w:w="1060" w:type="dxa"/>
            <w:vAlign w:val="bottom"/>
          </w:tcPr>
          <w:p>
            <w:pPr>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6"/>
              </w:rPr>
              <w:t>Investor Rights Agreement by and among FibroGen, Inc. and certain of its stockholders,</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dated as of February 20, 1998.</w:t>
            </w:r>
          </w:p>
        </w:tc>
        <w:tc>
          <w:tcPr>
            <w:tcW w:w="0" w:type="dxa"/>
            <w:vAlign w:val="bottom"/>
          </w:tcPr>
          <w:p>
            <w:pPr>
              <w:spacing w:after="0"/>
              <w:rPr>
                <w:sz w:val="1"/>
                <w:szCs w:val="1"/>
                <w:color w:val="auto"/>
              </w:rPr>
            </w:pPr>
          </w:p>
        </w:tc>
      </w:tr>
      <w:tr>
        <w:trPr>
          <w:trHeight w:val="323"/>
        </w:trPr>
        <w:tc>
          <w:tcPr>
            <w:tcW w:w="1060" w:type="dxa"/>
            <w:vAlign w:val="bottom"/>
          </w:tcPr>
          <w:p>
            <w:pPr>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3"/>
              </w:rPr>
              <w:t>Investor Rights Agreement by and among FibroGen, Inc. and certain of its warrant holders,</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dated as of June 3, 1999.</w:t>
            </w:r>
          </w:p>
        </w:tc>
        <w:tc>
          <w:tcPr>
            <w:tcW w:w="0" w:type="dxa"/>
            <w:vAlign w:val="bottom"/>
          </w:tcPr>
          <w:p>
            <w:pPr>
              <w:spacing w:after="0"/>
              <w:rPr>
                <w:sz w:val="1"/>
                <w:szCs w:val="1"/>
                <w:color w:val="auto"/>
              </w:rPr>
            </w:pPr>
          </w:p>
        </w:tc>
      </w:tr>
      <w:tr>
        <w:trPr>
          <w:trHeight w:val="323"/>
        </w:trPr>
        <w:tc>
          <w:tcPr>
            <w:tcW w:w="1060" w:type="dxa"/>
            <w:vAlign w:val="bottom"/>
          </w:tcPr>
          <w:p>
            <w:pPr>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3"/>
              </w:rPr>
              <w:t>Investor Rights Agreement by and among FibroGen, Inc. and certain of its warrant holders,</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dated as of February 8, 2000.</w:t>
            </w:r>
          </w:p>
        </w:tc>
        <w:tc>
          <w:tcPr>
            <w:tcW w:w="0" w:type="dxa"/>
            <w:vAlign w:val="bottom"/>
          </w:tcPr>
          <w:p>
            <w:pPr>
              <w:spacing w:after="0"/>
              <w:rPr>
                <w:sz w:val="1"/>
                <w:szCs w:val="1"/>
                <w:color w:val="auto"/>
              </w:rPr>
            </w:pPr>
          </w:p>
        </w:tc>
      </w:tr>
      <w:tr>
        <w:trPr>
          <w:trHeight w:val="323"/>
        </w:trPr>
        <w:tc>
          <w:tcPr>
            <w:tcW w:w="1060" w:type="dxa"/>
            <w:vAlign w:val="bottom"/>
          </w:tcPr>
          <w:p>
            <w:pPr>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4"/>
              </w:rPr>
              <w:t>Warrant to Purchase 4,000 Shares of Common Stock issued to Laurence S. Shushan and</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0"/>
              </w:rPr>
              <w:t>Magdalena Shushan, Trustees of The Laurence and Magdalena Shushan Family Trust, dated</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as of June 3, 1999.</w:t>
            </w:r>
          </w:p>
        </w:tc>
        <w:tc>
          <w:tcPr>
            <w:tcW w:w="0" w:type="dxa"/>
            <w:vAlign w:val="bottom"/>
          </w:tcPr>
          <w:p>
            <w:pPr>
              <w:spacing w:after="0"/>
              <w:rPr>
                <w:sz w:val="1"/>
                <w:szCs w:val="1"/>
                <w:color w:val="auto"/>
              </w:rPr>
            </w:pPr>
          </w:p>
        </w:tc>
      </w:tr>
      <w:tr>
        <w:trPr>
          <w:trHeight w:val="323"/>
        </w:trPr>
        <w:tc>
          <w:tcPr>
            <w:tcW w:w="1060" w:type="dxa"/>
            <w:vAlign w:val="bottom"/>
          </w:tcPr>
          <w:p>
            <w:pPr>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3"/>
              </w:rPr>
              <w:t>Warrant to Purchase 11,076 Shares of Common Stock issued to Bristow Investments, L.P,</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dated as of February 8, 2000.</w:t>
            </w:r>
          </w:p>
        </w:tc>
        <w:tc>
          <w:tcPr>
            <w:tcW w:w="0" w:type="dxa"/>
            <w:vAlign w:val="bottom"/>
          </w:tcPr>
          <w:p>
            <w:pPr>
              <w:spacing w:after="0"/>
              <w:rPr>
                <w:sz w:val="1"/>
                <w:szCs w:val="1"/>
                <w:color w:val="auto"/>
              </w:rPr>
            </w:pPr>
          </w:p>
        </w:tc>
      </w:tr>
      <w:tr>
        <w:trPr>
          <w:trHeight w:val="323"/>
        </w:trPr>
        <w:tc>
          <w:tcPr>
            <w:tcW w:w="1060" w:type="dxa"/>
            <w:vAlign w:val="bottom"/>
          </w:tcPr>
          <w:p>
            <w:pPr>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4"/>
              </w:rPr>
              <w:t>Warrant to Purchase 2,769 Shares of Common Stock issued to Laurence S. Shushan and</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0"/>
              </w:rPr>
              <w:t>Magdalena Shushan, Trustees of The Laurence and Magdalena Shushan Family Trust, dated</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as of February 8, 2000.</w:t>
            </w:r>
          </w:p>
        </w:tc>
        <w:tc>
          <w:tcPr>
            <w:tcW w:w="0" w:type="dxa"/>
            <w:vAlign w:val="bottom"/>
          </w:tcPr>
          <w:p>
            <w:pPr>
              <w:spacing w:after="0"/>
              <w:rPr>
                <w:sz w:val="1"/>
                <w:szCs w:val="1"/>
                <w:color w:val="auto"/>
              </w:rPr>
            </w:pPr>
          </w:p>
        </w:tc>
      </w:tr>
      <w:tr>
        <w:trPr>
          <w:trHeight w:val="323"/>
        </w:trPr>
        <w:tc>
          <w:tcPr>
            <w:tcW w:w="1060" w:type="dxa"/>
            <w:vAlign w:val="bottom"/>
          </w:tcPr>
          <w:p>
            <w:pPr>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2"/>
              </w:rPr>
              <w:t>Shareholders’ Agreement by and among FibroGen China Anemia Holdings, Ltd. and certain</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of its shareholders, dated as of July 11, 2012.</w:t>
            </w:r>
          </w:p>
        </w:tc>
        <w:tc>
          <w:tcPr>
            <w:tcW w:w="0" w:type="dxa"/>
            <w:vAlign w:val="bottom"/>
          </w:tcPr>
          <w:p>
            <w:pPr>
              <w:spacing w:after="0"/>
              <w:rPr>
                <w:sz w:val="1"/>
                <w:szCs w:val="1"/>
                <w:color w:val="auto"/>
              </w:rPr>
            </w:pPr>
          </w:p>
        </w:tc>
      </w:tr>
      <w:tr>
        <w:trPr>
          <w:trHeight w:val="323"/>
        </w:trPr>
        <w:tc>
          <w:tcPr>
            <w:tcW w:w="1060" w:type="dxa"/>
            <w:vAlign w:val="bottom"/>
          </w:tcPr>
          <w:p>
            <w:pPr>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3"/>
              </w:rPr>
              <w:t>Share Purchase Agreement by and among FibroGen China Anemia Holdings, Ltd. and the</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purchasers party thereto, dated as of July 11, 2012.</w:t>
            </w:r>
          </w:p>
        </w:tc>
        <w:tc>
          <w:tcPr>
            <w:tcW w:w="0" w:type="dxa"/>
            <w:vAlign w:val="bottom"/>
          </w:tcPr>
          <w:p>
            <w:pPr>
              <w:spacing w:after="0"/>
              <w:rPr>
                <w:sz w:val="1"/>
                <w:szCs w:val="1"/>
                <w:color w:val="auto"/>
              </w:rPr>
            </w:pPr>
          </w:p>
        </w:tc>
      </w:tr>
      <w:tr>
        <w:trPr>
          <w:trHeight w:val="323"/>
        </w:trPr>
        <w:tc>
          <w:tcPr>
            <w:tcW w:w="1060" w:type="dxa"/>
            <w:vAlign w:val="bottom"/>
          </w:tcPr>
          <w:p>
            <w:pPr>
              <w:spacing w:after="0"/>
              <w:rPr>
                <w:sz w:val="20"/>
                <w:szCs w:val="20"/>
                <w:color w:val="auto"/>
              </w:rPr>
            </w:pPr>
            <w:r>
              <w:rPr>
                <w:rFonts w:ascii="Arial" w:cs="Arial" w:eastAsia="Arial" w:hAnsi="Arial"/>
                <w:sz w:val="18"/>
                <w:szCs w:val="18"/>
                <w:color w:val="auto"/>
              </w:rPr>
              <w:t>4.11</w:t>
            </w:r>
          </w:p>
        </w:tc>
        <w:tc>
          <w:tcPr>
            <w:tcW w:w="6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3"/>
              </w:rPr>
              <w:t>Common Stock Purchase Agreement by and between FibroGen, Inc. and AstraZeneca AB,</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dated as of October 20, 2014.</w:t>
            </w: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FibroGen, Inc. Non-Employee Director Compensation Plan, as amended</w:t>
            </w: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6"/>
              </w:rPr>
              <w:t>Certification of Chief Executive Officer, as required by Rule 13a-14(a) or Rule 15d-14(a).</w:t>
            </w: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6"/>
              </w:rPr>
              <w:t>Certification of Chief Financial Officer, as required by Rule 13a-14(a) or Rule 15d-14(a).</w:t>
            </w:r>
          </w:p>
        </w:tc>
        <w:tc>
          <w:tcPr>
            <w:tcW w:w="0" w:type="dxa"/>
            <w:vAlign w:val="bottom"/>
          </w:tcPr>
          <w:p>
            <w:pPr>
              <w:spacing w:after="0"/>
              <w:rPr>
                <w:sz w:val="1"/>
                <w:szCs w:val="1"/>
                <w:color w:val="auto"/>
              </w:rPr>
            </w:pPr>
          </w:p>
        </w:tc>
      </w:tr>
      <w:tr>
        <w:trPr>
          <w:trHeight w:val="323"/>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6"/>
              </w:rPr>
              <w:t>Certification of Principal Executive Officer and Principal Financial Officer, as required by</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4"/>
              </w:rPr>
              <w:t>Rule 13a-14(b) or Rule 15d-14(b) and Section 1350 of Chapter 63 of Title 18 of the United</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States Code (18 U.S.C. §1350)(1).</w:t>
            </w:r>
          </w:p>
        </w:tc>
        <w:tc>
          <w:tcPr>
            <w:tcW w:w="0" w:type="dxa"/>
            <w:vAlign w:val="bottom"/>
          </w:tcPr>
          <w:p>
            <w:pPr>
              <w:spacing w:after="0"/>
              <w:rPr>
                <w:sz w:val="1"/>
                <w:szCs w:val="1"/>
                <w:color w:val="auto"/>
              </w:rPr>
            </w:pPr>
          </w:p>
        </w:tc>
      </w:tr>
      <w:tr>
        <w:trPr>
          <w:trHeight w:val="323"/>
        </w:trPr>
        <w:tc>
          <w:tcPr>
            <w:tcW w:w="1060" w:type="dxa"/>
            <w:vAlign w:val="bottom"/>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2"/>
              </w:rPr>
              <w:t>Financial statements from the quarterly report on Form 10-Q of the Company for the quarter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1"/>
              </w:rPr>
              <w:t>ended March 31, 2016, formatted in XBRL: (i) the Condensed Consolidated Balance Sheets,</w:t>
            </w:r>
          </w:p>
        </w:tc>
        <w:tc>
          <w:tcPr>
            <w:tcW w:w="0" w:type="dxa"/>
            <w:vAlign w:val="bottom"/>
          </w:tcPr>
          <w:p>
            <w:pPr>
              <w:spacing w:after="0"/>
              <w:rPr>
                <w:sz w:val="1"/>
                <w:szCs w:val="1"/>
                <w:color w:val="auto"/>
              </w:rPr>
            </w:pPr>
          </w:p>
        </w:tc>
      </w:tr>
    </w:tbl>
    <w:p>
      <w:pPr>
        <w:ind w:left="1120" w:right="160" w:firstLine="9"/>
        <w:spacing w:after="0" w:line="302" w:lineRule="auto"/>
        <w:tabs>
          <w:tab w:leader="none" w:pos="1385"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Condensed Consolidated Statements of Operations (iii) the Condensed Consolidated Statement of Comprehensive Loss, (iv) the Condensed Consolidated Statements of Cash Flows and (v) the Notes to the Condensed Consolidated Financial Statements.</w:t>
      </w:r>
    </w:p>
    <w:p>
      <w:pPr>
        <w:spacing w:after="0" w:line="8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858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22294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60" w:type="dxa"/>
            <w:vAlign w:val="bottom"/>
          </w:tcPr>
          <w:p>
            <w:pPr>
              <w:spacing w:after="0"/>
              <w:rPr>
                <w:sz w:val="14"/>
                <w:szCs w:val="14"/>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SEC File No.</w:t>
            </w:r>
          </w:p>
        </w:tc>
        <w:tc>
          <w:tcPr>
            <w:tcW w:w="60" w:type="dxa"/>
            <w:vAlign w:val="bottom"/>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Filing Date</w:t>
            </w:r>
          </w:p>
        </w:tc>
      </w:tr>
      <w:tr>
        <w:trPr>
          <w:trHeight w:val="331"/>
        </w:trPr>
        <w:tc>
          <w:tcPr>
            <w:tcW w:w="5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11/21/2014</w:t>
            </w:r>
          </w:p>
        </w:tc>
      </w:tr>
      <w:tr>
        <w:trPr>
          <w:trHeight w:val="338"/>
        </w:trPr>
        <w:tc>
          <w:tcPr>
            <w:tcW w:w="56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10/23/2014</w:t>
            </w:r>
          </w:p>
        </w:tc>
      </w:tr>
      <w:tr>
        <w:trPr>
          <w:trHeight w:val="338"/>
        </w:trPr>
        <w:tc>
          <w:tcPr>
            <w:tcW w:w="5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11/21/2014</w:t>
            </w:r>
          </w:p>
        </w:tc>
      </w:tr>
      <w:tr>
        <w:trPr>
          <w:trHeight w:val="338"/>
        </w:trPr>
        <w:tc>
          <w:tcPr>
            <w:tcW w:w="560" w:type="dxa"/>
            <w:vAlign w:val="bottom"/>
            <w:gridSpan w:val="2"/>
          </w:tcPr>
          <w:p>
            <w:pPr>
              <w:jc w:val="center"/>
              <w:ind w:right="4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54"/>
        </w:trPr>
        <w:tc>
          <w:tcPr>
            <w:tcW w:w="560" w:type="dxa"/>
            <w:vAlign w:val="bottom"/>
            <w:gridSpan w:val="2"/>
          </w:tcPr>
          <w:p>
            <w:pPr>
              <w:jc w:val="center"/>
              <w:ind w:right="4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54"/>
        </w:trPr>
        <w:tc>
          <w:tcPr>
            <w:tcW w:w="560" w:type="dxa"/>
            <w:vAlign w:val="bottom"/>
            <w:gridSpan w:val="2"/>
          </w:tcPr>
          <w:p>
            <w:pPr>
              <w:jc w:val="center"/>
              <w:ind w:right="4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54"/>
        </w:trPr>
        <w:tc>
          <w:tcPr>
            <w:tcW w:w="560" w:type="dxa"/>
            <w:vAlign w:val="bottom"/>
            <w:gridSpan w:val="2"/>
          </w:tcPr>
          <w:p>
            <w:pPr>
              <w:jc w:val="center"/>
              <w:ind w:right="4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54"/>
        </w:trPr>
        <w:tc>
          <w:tcPr>
            <w:tcW w:w="560" w:type="dxa"/>
            <w:vAlign w:val="bottom"/>
            <w:gridSpan w:val="2"/>
          </w:tcPr>
          <w:p>
            <w:pPr>
              <w:jc w:val="center"/>
              <w:ind w:right="4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4.10</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770"/>
        </w:trPr>
        <w:tc>
          <w:tcPr>
            <w:tcW w:w="560" w:type="dxa"/>
            <w:vAlign w:val="bottom"/>
            <w:gridSpan w:val="2"/>
          </w:tcPr>
          <w:p>
            <w:pPr>
              <w:jc w:val="center"/>
              <w:ind w:right="4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4.12</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54"/>
        </w:trPr>
        <w:tc>
          <w:tcPr>
            <w:tcW w:w="560" w:type="dxa"/>
            <w:vAlign w:val="bottom"/>
            <w:gridSpan w:val="2"/>
          </w:tcPr>
          <w:p>
            <w:pPr>
              <w:jc w:val="center"/>
              <w:ind w:right="4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4.13</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770"/>
        </w:trPr>
        <w:tc>
          <w:tcPr>
            <w:tcW w:w="560" w:type="dxa"/>
            <w:vAlign w:val="bottom"/>
            <w:gridSpan w:val="2"/>
          </w:tcPr>
          <w:p>
            <w:pPr>
              <w:jc w:val="center"/>
              <w:ind w:right="4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4.15</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54"/>
        </w:trPr>
        <w:tc>
          <w:tcPr>
            <w:tcW w:w="560" w:type="dxa"/>
            <w:vAlign w:val="bottom"/>
            <w:gridSpan w:val="2"/>
          </w:tcPr>
          <w:p>
            <w:pPr>
              <w:jc w:val="center"/>
              <w:ind w:right="4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4.16</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54"/>
        </w:trPr>
        <w:tc>
          <w:tcPr>
            <w:tcW w:w="1760" w:type="dxa"/>
            <w:vAlign w:val="bottom"/>
            <w:gridSpan w:val="4"/>
          </w:tcPr>
          <w:p>
            <w:pPr>
              <w:ind w:left="40"/>
              <w:spacing w:after="0"/>
              <w:rPr>
                <w:sz w:val="20"/>
                <w:szCs w:val="20"/>
                <w:color w:val="auto"/>
              </w:rPr>
            </w:pPr>
            <w:r>
              <w:rPr>
                <w:rFonts w:ascii="Arial" w:cs="Arial" w:eastAsia="Arial" w:hAnsi="Arial"/>
                <w:sz w:val="18"/>
                <w:szCs w:val="18"/>
                <w:color w:val="auto"/>
              </w:rPr>
              <w:t>S-1/A   333-199069</w:t>
            </w: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4.17</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10/24/2014</w:t>
            </w:r>
          </w:p>
        </w:tc>
      </w:tr>
      <w:tr>
        <w:trPr>
          <w:trHeight w:val="554"/>
        </w:trPr>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38"/>
        </w:trPr>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38"/>
        </w:trPr>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38"/>
        </w:trPr>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770"/>
        </w:trPr>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2">
            <w:col w:w="7900" w:space="40"/>
            <w:col w:w="3520"/>
          </w:cols>
          <w:pgMar w:left="240" w:top="125" w:right="19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September 17,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March 4,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February 23, 2016, Effective as of the 2016 Annual Meeting of Stockholders</w:t>
      </w:r>
    </w:p>
    <w:p>
      <w:pPr>
        <w:spacing w:after="0" w:line="31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Non-Employee Director Compensation Policy (the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documents the terms and conditions of the cash and equity compensation that non-employee members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FibroGen, Inc. (“</w:t>
      </w:r>
      <w:r>
        <w:rPr>
          <w:rFonts w:ascii="Arial" w:cs="Arial" w:eastAsia="Arial" w:hAnsi="Arial"/>
          <w:sz w:val="18"/>
          <w:szCs w:val="18"/>
          <w:b w:val="1"/>
          <w:bCs w:val="1"/>
          <w:i w:val="1"/>
          <w:iCs w:val="1"/>
          <w:color w:val="auto"/>
        </w:rPr>
        <w:t>FibroGen</w:t>
      </w:r>
      <w:r>
        <w:rPr>
          <w:rFonts w:ascii="Arial" w:cs="Arial" w:eastAsia="Arial" w:hAnsi="Arial"/>
          <w:sz w:val="18"/>
          <w:szCs w:val="18"/>
          <w:color w:val="auto"/>
        </w:rPr>
        <w:t>”) may earn for their service on the Board from and after the initial public offering of the common stock of FibroGen.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Directors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Only members of the Board who are not concurrently employees of FibroGen are eligible for compensation under this Policy (each such member, a</w:t>
      </w:r>
    </w:p>
    <w:p>
      <w:pPr>
        <w:spacing w:after="0" w:line="3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Any director may also decline compensation per policy of their affiliated entity or for any other reason prior to the start of the period of service to which the compensation relates.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Compensation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annual cash compensation set forth below is payable in equal quarterly installments, in arrears, on the last day of each quarter in which the service occurred, pro-rated for any partial quarters of service. All annual cash fees are vested upon payment.</w:t>
      </w:r>
    </w:p>
    <w:p>
      <w:pPr>
        <w:spacing w:after="0" w:line="170" w:lineRule="exact"/>
        <w:rPr>
          <w:sz w:val="20"/>
          <w:szCs w:val="20"/>
          <w:color w:val="auto"/>
        </w:rPr>
      </w:pPr>
    </w:p>
    <w:p>
      <w:pPr>
        <w:ind w:left="880" w:right="8240" w:hanging="872"/>
        <w:spacing w:after="0" w:line="342" w:lineRule="auto"/>
        <w:tabs>
          <w:tab w:leader="none" w:pos="867"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Annual Board Service Retainer</w:t>
      </w:r>
      <w:r>
        <w:rPr>
          <w:rFonts w:ascii="Arial" w:cs="Arial" w:eastAsia="Arial" w:hAnsi="Arial"/>
          <w:sz w:val="16"/>
          <w:szCs w:val="16"/>
          <w:color w:val="auto"/>
        </w:rPr>
        <w:t>: All Directors: $45,000</w:t>
      </w:r>
    </w:p>
    <w:p>
      <w:pPr>
        <w:spacing w:after="0" w:line="123" w:lineRule="exact"/>
        <w:rPr>
          <w:rFonts w:ascii="Arial" w:cs="Arial" w:eastAsia="Arial" w:hAnsi="Arial"/>
          <w:sz w:val="16"/>
          <w:szCs w:val="16"/>
          <w:color w:val="auto"/>
        </w:rPr>
      </w:pPr>
    </w:p>
    <w:p>
      <w:pPr>
        <w:ind w:left="880" w:hanging="872"/>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Annual Committee Chair Service Fee</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660" w:hanging="775"/>
        <w:spacing w:after="0"/>
        <w:tabs>
          <w:tab w:leader="none" w:pos="1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Chairman of the Audit Committee: $20,000</w:t>
      </w:r>
    </w:p>
    <w:p>
      <w:pPr>
        <w:spacing w:after="0" w:line="9" w:lineRule="exact"/>
        <w:rPr>
          <w:rFonts w:ascii="Arial" w:cs="Arial" w:eastAsia="Arial" w:hAnsi="Arial"/>
          <w:sz w:val="18"/>
          <w:szCs w:val="18"/>
          <w:color w:val="auto"/>
        </w:rPr>
      </w:pPr>
    </w:p>
    <w:p>
      <w:pPr>
        <w:ind w:left="1660" w:hanging="775"/>
        <w:spacing w:after="0"/>
        <w:tabs>
          <w:tab w:leader="none" w:pos="1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Chairman of the Compensation Committee: $15,000</w:t>
      </w:r>
    </w:p>
    <w:p>
      <w:pPr>
        <w:spacing w:after="0" w:line="9" w:lineRule="exact"/>
        <w:rPr>
          <w:rFonts w:ascii="Arial" w:cs="Arial" w:eastAsia="Arial" w:hAnsi="Arial"/>
          <w:sz w:val="18"/>
          <w:szCs w:val="18"/>
          <w:color w:val="auto"/>
        </w:rPr>
      </w:pPr>
    </w:p>
    <w:p>
      <w:pPr>
        <w:ind w:left="1660" w:hanging="775"/>
        <w:spacing w:after="0"/>
        <w:tabs>
          <w:tab w:leader="none" w:pos="1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Chairman of the Nominating and Governance Committee: $10,000</w:t>
      </w:r>
    </w:p>
    <w:p>
      <w:pPr>
        <w:spacing w:after="0" w:line="210" w:lineRule="exact"/>
        <w:rPr>
          <w:rFonts w:ascii="Arial" w:cs="Arial" w:eastAsia="Arial" w:hAnsi="Arial"/>
          <w:sz w:val="18"/>
          <w:szCs w:val="18"/>
          <w:color w:val="auto"/>
        </w:rPr>
      </w:pPr>
    </w:p>
    <w:p>
      <w:pPr>
        <w:ind w:left="800" w:hanging="792"/>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Annual Committee Member (non-Chair) Service Fee</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660" w:hanging="775"/>
        <w:spacing w:after="0"/>
        <w:tabs>
          <w:tab w:leader="none" w:pos="1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Audit Committee: $10,000</w:t>
      </w:r>
    </w:p>
    <w:p>
      <w:pPr>
        <w:spacing w:after="0" w:line="9" w:lineRule="exact"/>
        <w:rPr>
          <w:rFonts w:ascii="Arial" w:cs="Arial" w:eastAsia="Arial" w:hAnsi="Arial"/>
          <w:sz w:val="18"/>
          <w:szCs w:val="18"/>
          <w:color w:val="auto"/>
        </w:rPr>
      </w:pPr>
    </w:p>
    <w:p>
      <w:pPr>
        <w:ind w:left="1660" w:hanging="775"/>
        <w:spacing w:after="0"/>
        <w:tabs>
          <w:tab w:leader="none" w:pos="1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Compensation Committee: $7,500</w:t>
      </w:r>
    </w:p>
    <w:p>
      <w:pPr>
        <w:spacing w:after="0" w:line="9" w:lineRule="exact"/>
        <w:rPr>
          <w:rFonts w:ascii="Arial" w:cs="Arial" w:eastAsia="Arial" w:hAnsi="Arial"/>
          <w:sz w:val="18"/>
          <w:szCs w:val="18"/>
          <w:color w:val="auto"/>
        </w:rPr>
      </w:pPr>
    </w:p>
    <w:p>
      <w:pPr>
        <w:ind w:left="1660" w:hanging="775"/>
        <w:spacing w:after="0"/>
        <w:tabs>
          <w:tab w:leader="none" w:pos="1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Nominating and Governance Committee: $5,000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Equity awards will be granted under the FibroGen, Inc. 2014 Equity Incentive Plan (or any successor thereto,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All stock options granted under this policy will be non-statutory stock options, with an exercise price per share equal to 100% of the Fair Market Value (as defined in the Plan) of the underlying Company common stock on the date of grant, and a term of ten (10) years from the date of grant (subject to earlier termination in connection with a termination of service or a corporate transaction as provided in the Plan). All equity awards granted under this Policy will be documented on the applicable form of equity award agreement most recently approved for use by the Board (or a duly authorized committee thereof) for Directors. The terms of the equity awards described in this Policy will be automatically adjusted upon any Capitalization Adjustment (as defined and provided for under the Plan).</w:t>
      </w:r>
    </w:p>
    <w:p>
      <w:pPr>
        <w:spacing w:after="0" w:line="165" w:lineRule="exact"/>
        <w:rPr>
          <w:sz w:val="20"/>
          <w:szCs w:val="20"/>
          <w:color w:val="auto"/>
        </w:rPr>
      </w:pPr>
    </w:p>
    <w:p>
      <w:pPr>
        <w:jc w:val="both"/>
        <w:ind w:firstLine="8"/>
        <w:spacing w:after="0" w:line="257" w:lineRule="auto"/>
        <w:tabs>
          <w:tab w:leader="none" w:pos="78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Initial Grant</w:t>
      </w:r>
      <w:r>
        <w:rPr>
          <w:rFonts w:ascii="Arial" w:cs="Arial" w:eastAsia="Arial" w:hAnsi="Arial"/>
          <w:sz w:val="18"/>
          <w:szCs w:val="18"/>
          <w:color w:val="auto"/>
        </w:rPr>
        <w:t>: On the date of the Director’s initial election or appointment to the Board (or, if such date is not a market trading day, the first market trading day thereafter), the Director will be automatically, and without further action by the Board, granted stock options covering 12,000 shares of FibroGen’s common stock (post-split). Such options will vest in equal quarterly installments over three years from the grant date, subject to the Director’s Continuous Service. A Director who, in the one year prior to his or her initial election to serve on the Board as a Director, served as an employee of FibroGen or one of its subsidiaries, will not be eligible for an initial grant.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jc w:val="both"/>
        <w:ind w:firstLine="8"/>
        <w:spacing w:after="0" w:line="259" w:lineRule="auto"/>
        <w:tabs>
          <w:tab w:leader="none" w:pos="783"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Annual Grant</w:t>
      </w:r>
      <w:r>
        <w:rPr>
          <w:rFonts w:ascii="Arial" w:cs="Arial" w:eastAsia="Arial" w:hAnsi="Arial"/>
          <w:sz w:val="18"/>
          <w:szCs w:val="18"/>
          <w:color w:val="auto"/>
        </w:rPr>
        <w:t>: On the date of each Company annual stockholder meeting, each person who is elected or appointed as a Director, and each other Director who continues to serve as a Director immediately after such annual stockholder meeting, will be automatically, and without further action by the Board, granted stock options covering 12,000 shares of FibroGen’s common stock (post-split). Such options will vest in equal quarterly installments over one year following the vesting commencement date, subject to the Director’s Continuous Service.</w:t>
      </w:r>
    </w:p>
    <w:p>
      <w:pPr>
        <w:spacing w:after="0" w:line="186" w:lineRule="exact"/>
        <w:rPr>
          <w:rFonts w:ascii="Arial" w:cs="Arial" w:eastAsia="Arial" w:hAnsi="Arial"/>
          <w:sz w:val="18"/>
          <w:szCs w:val="18"/>
          <w:color w:val="auto"/>
        </w:rPr>
      </w:pPr>
    </w:p>
    <w:p>
      <w:pPr>
        <w:jc w:val="both"/>
        <w:ind w:firstLine="8"/>
        <w:spacing w:after="0" w:line="293" w:lineRule="auto"/>
        <w:tabs>
          <w:tab w:leader="none" w:pos="783"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Prorated Annual Grants</w:t>
      </w:r>
      <w:r>
        <w:rPr>
          <w:rFonts w:ascii="Arial" w:cs="Arial" w:eastAsia="Arial" w:hAnsi="Arial"/>
          <w:sz w:val="16"/>
          <w:szCs w:val="16"/>
          <w:color w:val="auto"/>
        </w:rPr>
        <w:t>. If a Director is elected or appointed to the Board at a time other than at the annual stockholder meeting, then on the date of such election or appointment (or, if such date is not a market trading day, the first market trading day thereafter), the Director will be automatically, and without further action by the Board, granted stock options covering the number of shares of FibroGen’s common stock equal to the product of (x) 12,000 shares and (y) the Applicable Fraction (a “</w:t>
      </w:r>
      <w:r>
        <w:rPr>
          <w:rFonts w:ascii="Arial" w:cs="Arial" w:eastAsia="Arial" w:hAnsi="Arial"/>
          <w:sz w:val="16"/>
          <w:szCs w:val="16"/>
          <w:b w:val="1"/>
          <w:bCs w:val="1"/>
          <w:i w:val="1"/>
          <w:iCs w:val="1"/>
          <w:color w:val="auto"/>
        </w:rPr>
        <w:t>Prorated Annual Grant</w:t>
      </w:r>
      <w:r>
        <w:rPr>
          <w:rFonts w:ascii="Arial" w:cs="Arial" w:eastAsia="Arial" w:hAnsi="Arial"/>
          <w:sz w:val="16"/>
          <w:szCs w:val="16"/>
          <w:color w:val="auto"/>
        </w:rPr>
        <w:t>”). The Applicable Fraction means a fraction with (a) a numerator equal to the number of days between the date of the Director’s initial election or appointment to the Board and the date which is the first anniversary of the date of the most recent annual stockholder meeting occurring before the Director is elected or appointed to the Board, and (b) a denominator equal to 365.</w:t>
      </w:r>
    </w:p>
    <w:p>
      <w:pPr>
        <w:spacing w:after="0" w:line="164" w:lineRule="exact"/>
        <w:rPr>
          <w:rFonts w:ascii="Arial" w:cs="Arial" w:eastAsia="Arial" w:hAnsi="Arial"/>
          <w:sz w:val="16"/>
          <w:szCs w:val="16"/>
          <w:color w:val="auto"/>
        </w:rPr>
      </w:pPr>
    </w:p>
    <w:p>
      <w:pPr>
        <w:jc w:val="both"/>
        <w:ind w:firstLine="8"/>
        <w:spacing w:after="0" w:line="259" w:lineRule="auto"/>
        <w:tabs>
          <w:tab w:leader="none" w:pos="783"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Vesting of awards granted under this Policy will cease if the Director resigns from the Board or otherwise ceases to serve as a Director, unless the Board determines that the circumstances warrant continuation of vesting. All equity awards granted under this Policy will vest in full immediately prior to a Change in Control (as defined in the Plan), subject to the Director’s Continuous Service (as defined in the Plan) as of the day prior to the closing of the Change in Control.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reimburse Directors for ordinary, necessary and reasonable out-of-pocket travel expenses to cover in-person attendance at and participation in Board meetings.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Policy is designed to attract and retain experienced, talented individuals to serve on the Board. The Board anticipates that the Board, or a duly authorized committee thereof, will generally review Director compensation on an annual basis following the initial public offering. The Policy, as amended from time to time, may take into account the time commitment expected of Directors, best practices and market rates in Director compensation, the economic position of FibroGen, broader economic conditions, historical compensation structure, the advice of the compensation consultant that the Compensation Committee or the Board may retain from time to time, and the potential dilutive effect of equity awards on our stockholders.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this Policy, Directors receive cash compensation in the form of retainers to recognize their day to day contributions, the level of responsibility as well as the necessary time commitment involved in serving in a leadership role and/or on committees. Directors also receive equity compensation because we believe that stock ownership provides an incentive to act in ways that maximize long-term stockholder value. Further, we believe that stock-based awards are essential to attracting and retaining talented Board members. When options are granted, these options have an exercise price equal to not less than the fair market value of FibroGen’s Common Stock on the date of grant, so that options provide a return only if the fair market value appreciates over the period in which the option vests and remains exercisable. We believe that the vesting acceleration provided in the case of a change in control is consistent with market practices and is critical to attracting and retaining high quality Directors.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57"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B. Neff, certify that;</w:t>
      </w:r>
    </w:p>
    <w:p>
      <w:pPr>
        <w:spacing w:after="0" w:line="117"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FibroGen,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right="440" w:firstLine="526"/>
        <w:spacing w:after="0" w:line="264" w:lineRule="auto"/>
        <w:tabs>
          <w:tab w:leader="none" w:pos="763"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ind w:right="960" w:firstLine="526"/>
        <w:spacing w:after="0" w:line="342" w:lineRule="auto"/>
        <w:tabs>
          <w:tab w:leader="none" w:pos="763"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0" w:firstLine="526"/>
        <w:spacing w:after="0" w:line="264" w:lineRule="auto"/>
        <w:tabs>
          <w:tab w:leader="none" w:pos="773"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40" w:firstLine="526"/>
        <w:spacing w:after="0" w:line="277" w:lineRule="auto"/>
        <w:tabs>
          <w:tab w:leader="none" w:pos="763"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00" w:firstLine="526"/>
        <w:spacing w:after="0" w:line="277" w:lineRule="auto"/>
        <w:tabs>
          <w:tab w:leader="none" w:pos="773"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9, 2016</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B. Neff</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Thomas B. Neff</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 Cotroneo, certify that;</w:t>
      </w:r>
    </w:p>
    <w:p>
      <w:pPr>
        <w:spacing w:after="0" w:line="117"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FibroGen,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right="440" w:firstLine="526"/>
        <w:spacing w:after="0" w:line="264" w:lineRule="auto"/>
        <w:tabs>
          <w:tab w:leader="none" w:pos="763"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ind w:right="960" w:firstLine="526"/>
        <w:spacing w:after="0" w:line="342" w:lineRule="auto"/>
        <w:tabs>
          <w:tab w:leader="none" w:pos="763"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0" w:firstLine="526"/>
        <w:spacing w:after="0" w:line="264" w:lineRule="auto"/>
        <w:tabs>
          <w:tab w:leader="none" w:pos="773"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40" w:firstLine="526"/>
        <w:spacing w:after="0" w:line="277" w:lineRule="auto"/>
        <w:tabs>
          <w:tab w:leader="none" w:pos="763"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00" w:firstLine="526"/>
        <w:spacing w:after="0" w:line="277" w:lineRule="auto"/>
        <w:tabs>
          <w:tab w:leader="none" w:pos="773"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9, 2016</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 Cotroneo</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Pat Cotroneo</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as adopted pursuant to Section 906 of the Sarbanes-Oxley Act of 2002, Thomas B. Neff, Chief Executive Officer of FibroGen, Inc. (the “Company”), and Pat Cotroneo, Chief Financial Officer of the Company, each hereby certifies that, to the best of his knowledge:</w:t>
      </w:r>
    </w:p>
    <w:p>
      <w:pPr>
        <w:spacing w:after="0" w:line="187" w:lineRule="exact"/>
        <w:rPr>
          <w:sz w:val="20"/>
          <w:szCs w:val="20"/>
          <w:color w:val="auto"/>
        </w:rPr>
      </w:pPr>
    </w:p>
    <w:p>
      <w:pPr>
        <w:ind w:left="520" w:right="480" w:hanging="512"/>
        <w:spacing w:after="0" w:line="308"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March 31, 2016, to which this Certification is attached as Exhibit 32.1 (the “Quarterly Report”) fully complies with the requirements of Section 13(a) or Section 15(d) of the Exchange Act, and</w:t>
      </w:r>
    </w:p>
    <w:p>
      <w:pPr>
        <w:spacing w:after="0" w:line="38" w:lineRule="exact"/>
        <w:rPr>
          <w:rFonts w:ascii="Arial" w:cs="Arial" w:eastAsia="Arial" w:hAnsi="Arial"/>
          <w:sz w:val="17"/>
          <w:szCs w:val="17"/>
          <w:color w:val="auto"/>
        </w:rPr>
      </w:pPr>
    </w:p>
    <w:p>
      <w:pPr>
        <w:ind w:left="520" w:right="500" w:hanging="512"/>
        <w:spacing w:after="0" w:line="277"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Dated: May 9, 2016</w:t>
            </w:r>
          </w:p>
        </w:tc>
        <w:tc>
          <w:tcPr>
            <w:tcW w:w="5140" w:type="dxa"/>
            <w:vAlign w:val="bottom"/>
          </w:tcPr>
          <w:p>
            <w:pPr>
              <w:spacing w:after="0"/>
              <w:rPr>
                <w:sz w:val="20"/>
                <w:szCs w:val="20"/>
                <w:color w:val="auto"/>
              </w:rPr>
            </w:pPr>
          </w:p>
        </w:tc>
      </w:tr>
      <w:tr>
        <w:trPr>
          <w:trHeight w:val="432"/>
        </w:trPr>
        <w:tc>
          <w:tcPr>
            <w:tcW w:w="6280" w:type="dxa"/>
            <w:vAlign w:val="bottom"/>
            <w:gridSpan w:val="3"/>
          </w:tcPr>
          <w:p>
            <w:pPr>
              <w:spacing w:after="0"/>
              <w:rPr>
                <w:sz w:val="20"/>
                <w:szCs w:val="20"/>
                <w:color w:val="auto"/>
              </w:rPr>
            </w:pPr>
            <w:r>
              <w:rPr>
                <w:rFonts w:ascii="Arial" w:cs="Arial" w:eastAsia="Arial" w:hAnsi="Arial"/>
                <w:sz w:val="18"/>
                <w:szCs w:val="18"/>
                <w:color w:val="auto"/>
              </w:rPr>
              <w:t>/s/ Thomas B. Neff</w:t>
            </w:r>
          </w:p>
        </w:tc>
        <w:tc>
          <w:tcPr>
            <w:tcW w:w="5140" w:type="dxa"/>
            <w:vAlign w:val="bottom"/>
          </w:tcPr>
          <w:p>
            <w:pPr>
              <w:spacing w:after="0"/>
              <w:rPr>
                <w:sz w:val="20"/>
                <w:szCs w:val="20"/>
                <w:color w:val="auto"/>
              </w:rPr>
            </w:pPr>
            <w:r>
              <w:rPr>
                <w:rFonts w:ascii="Arial" w:cs="Arial" w:eastAsia="Arial" w:hAnsi="Arial"/>
                <w:sz w:val="18"/>
                <w:szCs w:val="18"/>
                <w:color w:val="auto"/>
              </w:rPr>
              <w:t>/s/ Pat Cotroneo</w:t>
            </w: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B. Neff</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 Cotroneo</w:t>
            </w: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Chairman of the Board and Chief Executive Officer</w:t>
            </w:r>
          </w:p>
        </w:tc>
        <w:tc>
          <w:tcPr>
            <w:tcW w:w="514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r>
    </w:tbl>
    <w:p>
      <w:pPr>
        <w:spacing w:after="0" w:line="20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o"/>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2"/>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decimal"/>
      <w:start w:val="3"/>
    </w:lvl>
  </w:abstractNum>
  <w:abstractNum w:abstractNumId="9">
    <w:nsid w:val="836C40E"/>
    <w:multiLevelType w:val="hybridMultilevel"/>
    <w:lvl w:ilvl="0">
      <w:lvlJc w:val="left"/>
      <w:lvlText w:val="%1."/>
      <w:numFmt w:val="decimal"/>
      <w:start w:val="5"/>
    </w:lvl>
  </w:abstractNum>
  <w:abstractNum w:abstractNumId="10">
    <w:nsid w:val="2901D82"/>
    <w:multiLevelType w:val="hybridMultilevel"/>
    <w:lvl w:ilvl="0">
      <w:lvlJc w:val="left"/>
      <w:lvlText w:val="%1."/>
      <w:numFmt w:val="decimal"/>
      <w:start w:val="6"/>
    </w:lvl>
  </w:abstractNum>
  <w:abstractNum w:abstractNumId="11">
    <w:nsid w:val="3A95F874"/>
    <w:multiLevelType w:val="hybridMultilevel"/>
    <w:lvl w:ilvl="0">
      <w:lvlJc w:val="left"/>
      <w:lvlText w:val="%1."/>
      <w:numFmt w:val="decimal"/>
      <w:start w:val="7"/>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lvl w:ilvl="1">
      <w:lvlJc w:val="left"/>
      <w:lvlText w:val="(%2)"/>
      <w:numFmt w:val="lowerRoman"/>
      <w:start w:val="2"/>
    </w:lvl>
  </w:abstractNum>
  <w:abstractNum w:abstractNumId="41">
    <w:nsid w:val="2CD89A32"/>
    <w:multiLevelType w:val="hybridMultilevel"/>
    <w:lvl w:ilvl="0">
      <w:lvlJc w:val="left"/>
      <w:lvlText w:val="%1."/>
      <w:numFmt w:val="decimal"/>
      <w:start w:val="1"/>
    </w:lvl>
    <w:lvl w:ilvl="1">
      <w:lvlJc w:val="left"/>
      <w:lvlText w:val="%2."/>
      <w:numFmt w:val="lowerLetter"/>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2"/>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2019-12-29T12:45:43Z</dcterms:created>
  <dcterms:modified xsi:type="dcterms:W3CDTF">2019-12-29T12:45:43Z</dcterms:modified>
</cp:coreProperties>
</file>