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400" w:hanging="512"/>
        <w:spacing w:after="0" w:line="256" w:lineRule="auto"/>
        <w:tabs>
          <w:tab w:leader="none" w:pos="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74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3876675</wp:posOffset>
            </wp:positionH>
            <wp:positionV relativeFrom="paragraph">
              <wp:posOffset>-7620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FIBROGEN,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40"/>
              <w:spacing w:after="0"/>
              <w:rPr>
                <w:sz w:val="20"/>
                <w:szCs w:val="20"/>
                <w:color w:val="auto"/>
              </w:rPr>
            </w:pPr>
            <w:r>
              <w:rPr>
                <w:rFonts w:ascii="Arial" w:cs="Arial" w:eastAsia="Arial" w:hAnsi="Arial"/>
                <w:sz w:val="18"/>
                <w:szCs w:val="18"/>
                <w:b w:val="1"/>
                <w:bCs w:val="1"/>
                <w:color w:val="auto"/>
              </w:rPr>
              <w:t>77-0357827</w:t>
            </w:r>
          </w:p>
        </w:tc>
      </w:tr>
      <w:tr>
        <w:trPr>
          <w:trHeight w:val="149"/>
        </w:trPr>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90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90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409 Illinois Street</w:t>
            </w:r>
          </w:p>
        </w:tc>
        <w:tc>
          <w:tcPr>
            <w:tcW w:w="5100" w:type="dxa"/>
            <w:vAlign w:val="bottom"/>
          </w:tcPr>
          <w:p>
            <w:pPr>
              <w:spacing w:after="0"/>
              <w:rPr>
                <w:sz w:val="24"/>
                <w:szCs w:val="24"/>
                <w:color w:val="auto"/>
              </w:rPr>
            </w:pPr>
          </w:p>
        </w:tc>
      </w:tr>
      <w:tr>
        <w:trPr>
          <w:trHeight w:val="212"/>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San Francisco, CA</w:t>
            </w:r>
          </w:p>
        </w:tc>
        <w:tc>
          <w:tcPr>
            <w:tcW w:w="5100" w:type="dxa"/>
            <w:vAlign w:val="bottom"/>
          </w:tcPr>
          <w:p>
            <w:pPr>
              <w:jc w:val="right"/>
              <w:ind w:right="260"/>
              <w:spacing w:after="0"/>
              <w:rPr>
                <w:sz w:val="20"/>
                <w:szCs w:val="20"/>
                <w:color w:val="auto"/>
              </w:rPr>
            </w:pPr>
            <w:r>
              <w:rPr>
                <w:rFonts w:ascii="Arial" w:cs="Arial" w:eastAsia="Arial" w:hAnsi="Arial"/>
                <w:sz w:val="18"/>
                <w:szCs w:val="18"/>
                <w:b w:val="1"/>
                <w:bCs w:val="1"/>
                <w:color w:val="auto"/>
              </w:rPr>
              <w:t>94158</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500" w:type="dxa"/>
            <w:vAlign w:val="bottom"/>
          </w:tcPr>
          <w:p>
            <w:pPr>
              <w:spacing w:after="0"/>
              <w:rPr>
                <w:sz w:val="24"/>
                <w:szCs w:val="24"/>
                <w:color w:val="auto"/>
              </w:rPr>
            </w:pPr>
          </w:p>
        </w:tc>
        <w:tc>
          <w:tcPr>
            <w:tcW w:w="5100" w:type="dxa"/>
            <w:vAlign w:val="bottom"/>
          </w:tcPr>
          <w:p>
            <w:pPr>
              <w:jc w:val="right"/>
              <w:ind w:right="2820"/>
              <w:spacing w:after="0"/>
              <w:rPr>
                <w:sz w:val="20"/>
                <w:szCs w:val="20"/>
                <w:color w:val="auto"/>
              </w:rPr>
            </w:pPr>
            <w:r>
              <w:rPr>
                <w:rFonts w:ascii="Arial" w:cs="Arial" w:eastAsia="Arial" w:hAnsi="Arial"/>
                <w:sz w:val="18"/>
                <w:szCs w:val="18"/>
                <w:b w:val="1"/>
                <w:bCs w:val="1"/>
                <w:color w:val="auto"/>
              </w:rPr>
              <w:t>(415) 978-1200</w:t>
            </w:r>
          </w:p>
        </w:tc>
      </w:tr>
      <w:tr>
        <w:trPr>
          <w:trHeight w:val="186"/>
        </w:trPr>
        <w:tc>
          <w:tcPr>
            <w:tcW w:w="2500" w:type="dxa"/>
            <w:vAlign w:val="bottom"/>
          </w:tcPr>
          <w:p>
            <w:pPr>
              <w:spacing w:after="0"/>
              <w:rPr>
                <w:sz w:val="16"/>
                <w:szCs w:val="16"/>
                <w:color w:val="auto"/>
              </w:rPr>
            </w:pPr>
          </w:p>
        </w:tc>
        <w:tc>
          <w:tcPr>
            <w:tcW w:w="5100" w:type="dxa"/>
            <w:vAlign w:val="bottom"/>
          </w:tcPr>
          <w:p>
            <w:pPr>
              <w:jc w:val="center"/>
              <w:ind w:right="1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76200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jc w:val="both"/>
        <w:ind w:right="2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42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6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24"/>
                <w:szCs w:val="24"/>
                <w:color w:val="auto"/>
              </w:rPr>
            </w:pPr>
          </w:p>
        </w:tc>
      </w:tr>
      <w:tr>
        <w:trPr>
          <w:trHeight w:val="338"/>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640" w:type="dxa"/>
            <w:vAlign w:val="bottom"/>
          </w:tcPr>
          <w:p>
            <w:pPr>
              <w:ind w:left="42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c>
          <w:tcPr>
            <w:tcW w:w="20" w:type="dxa"/>
            <w:vAlign w:val="bottom"/>
          </w:tcPr>
          <w:p>
            <w:pPr>
              <w:spacing w:after="0"/>
              <w:rPr>
                <w:sz w:val="24"/>
                <w:szCs w:val="24"/>
                <w:color w:val="auto"/>
              </w:rPr>
            </w:pPr>
          </w:p>
        </w:tc>
      </w:tr>
      <w:tr>
        <w:trPr>
          <w:trHeight w:val="324"/>
        </w:trPr>
        <w:tc>
          <w:tcPr>
            <w:tcW w:w="8340" w:type="dxa"/>
            <w:vAlign w:val="bottom"/>
            <w:gridSpan w:val="2"/>
          </w:tcPr>
          <w:p>
            <w:pPr>
              <w:ind w:left="520"/>
              <w:spacing w:after="0"/>
              <w:rPr>
                <w:sz w:val="20"/>
                <w:szCs w:val="20"/>
                <w:color w:val="auto"/>
              </w:rPr>
            </w:pPr>
            <w:r>
              <w:rPr>
                <w:rFonts w:ascii="Arial" w:cs="Arial" w:eastAsia="Arial" w:hAnsi="Arial"/>
                <w:sz w:val="18"/>
                <w:szCs w:val="18"/>
                <w:color w:val="auto"/>
                <w:w w:val="91"/>
              </w:rPr>
              <w:t>Indicate by check mark whether the registrant is a shell company (as defined in Exchange Act Rule 12b-2).</w:t>
            </w:r>
          </w:p>
        </w:tc>
        <w:tc>
          <w:tcPr>
            <w:tcW w:w="26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8340" w:type="dxa"/>
            <w:vAlign w:val="bottom"/>
            <w:gridSpan w:val="2"/>
          </w:tcPr>
          <w:p>
            <w:pPr>
              <w:ind w:left="520"/>
              <w:spacing w:after="0"/>
              <w:rPr>
                <w:sz w:val="20"/>
                <w:szCs w:val="20"/>
                <w:color w:val="auto"/>
              </w:rPr>
            </w:pPr>
            <w:r>
              <w:rPr>
                <w:rFonts w:ascii="Arial" w:cs="Arial" w:eastAsia="Arial" w:hAnsi="Arial"/>
                <w:sz w:val="18"/>
                <w:szCs w:val="18"/>
                <w:color w:val="auto"/>
              </w:rPr>
              <w:t>The number of shares of common stock outstanding as of October 31, 2015 was 61,335,151.</w:t>
            </w:r>
          </w:p>
        </w:tc>
        <w:tc>
          <w:tcPr>
            <w:tcW w:w="2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1860" w:type="dxa"/>
            <w:vAlign w:val="bottom"/>
            <w:tcBorders>
              <w:bottom w:val="single" w:sz="8" w:color="auto"/>
            </w:tcBorders>
          </w:tcPr>
          <w:p>
            <w:pPr>
              <w:spacing w:after="0"/>
              <w:rPr>
                <w:sz w:val="15"/>
                <w:szCs w:val="15"/>
                <w:color w:val="auto"/>
              </w:rPr>
            </w:pPr>
          </w:p>
        </w:tc>
        <w:tc>
          <w:tcPr>
            <w:tcW w:w="64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5"/>
        </w:trPr>
        <w:tc>
          <w:tcPr>
            <w:tcW w:w="186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25"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gridSpan w:val="7"/>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960" w:type="dxa"/>
            <w:vAlign w:val="bottom"/>
            <w:gridSpan w:val="6"/>
            <w:vMerge w:val="restart"/>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tcBorders>
              <w:bottom w:val="single" w:sz="8" w:color="0000EE"/>
            </w:tcBorders>
            <w:gridSpan w:val="7"/>
            <w:vMerge w:val="continue"/>
          </w:tcPr>
          <w:p>
            <w:pPr>
              <w:spacing w:after="0"/>
              <w:rPr>
                <w:sz w:val="14"/>
                <w:szCs w:val="14"/>
                <w:color w:val="auto"/>
              </w:rPr>
            </w:pPr>
          </w:p>
        </w:tc>
        <w:tc>
          <w:tcPr>
            <w:tcW w:w="3960" w:type="dxa"/>
            <w:vAlign w:val="bottom"/>
            <w:gridSpan w:val="6"/>
            <w:vMerge w:val="continue"/>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w:t>
              </w:r>
            </w:hyperlink>
          </w:p>
        </w:tc>
        <w:tc>
          <w:tcPr>
            <w:tcW w:w="6700" w:type="dxa"/>
            <w:vAlign w:val="bottom"/>
            <w:gridSpan w:val="11"/>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2015 and December 31, 2014</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quarter and nine months ended September 30, 2015 and 2014</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Comprehensive Income (Loss) for the quarter and nine months ended September 30, 2015 and</w:t>
              </w:r>
            </w:hyperlink>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2014</w:t>
              </w:r>
            </w:hyperlink>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2015 and 2014</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8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2220" w:type="dxa"/>
            <w:vAlign w:val="bottom"/>
            <w:gridSpan w:val="3"/>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060" w:type="dxa"/>
            <w:vAlign w:val="bottom"/>
            <w:gridSpan w:val="2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600" w:type="dxa"/>
            <w:vAlign w:val="bottom"/>
            <w:gridSpan w:val="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2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gridSpan w:val="12"/>
          </w:tcPr>
          <w:p>
            <w:pPr>
              <w:jc w:val="center"/>
              <w:ind w:right="412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II—OTHER INFORMATION</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08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2860" w:type="dxa"/>
            <w:vAlign w:val="bottom"/>
            <w:tcBorders>
              <w:top w:val="single" w:sz="8" w:color="0000EE"/>
            </w:tcBorders>
            <w:gridSpan w:val="5"/>
          </w:tcPr>
          <w:p>
            <w:pPr>
              <w:spacing w:after="0"/>
              <w:rPr>
                <w:sz w:val="24"/>
                <w:szCs w:val="24"/>
                <w:color w:val="auto"/>
              </w:rPr>
            </w:pPr>
          </w:p>
        </w:tc>
        <w:tc>
          <w:tcPr>
            <w:tcW w:w="4120" w:type="dxa"/>
            <w:vAlign w:val="bottom"/>
            <w:gridSpan w:val="7"/>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7"/>
                <w:szCs w:val="17"/>
                <w:color w:val="auto"/>
              </w:rPr>
            </w:pPr>
          </w:p>
        </w:tc>
        <w:tc>
          <w:tcPr>
            <w:tcW w:w="8720" w:type="dxa"/>
            <w:vAlign w:val="bottom"/>
            <w:gridSpan w:val="16"/>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Unregistered Sales of Equity Securities and Use of Proceeds</w:t>
              </w:r>
            </w:hyperlink>
          </w:p>
        </w:tc>
        <w:tc>
          <w:tcPr>
            <w:tcW w:w="5700" w:type="dxa"/>
            <w:vAlign w:val="bottom"/>
            <w:gridSpan w:val="9"/>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Defaults Upon Senior Securities</w:t>
              </w:r>
            </w:hyperlink>
          </w:p>
        </w:tc>
        <w:tc>
          <w:tcPr>
            <w:tcW w:w="7720" w:type="dxa"/>
            <w:vAlign w:val="bottom"/>
            <w:gridSpan w:val="1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Mine Safety Disclosures</w:t>
              </w:r>
            </w:hyperlink>
          </w:p>
        </w:tc>
        <w:tc>
          <w:tcPr>
            <w:tcW w:w="8280" w:type="dxa"/>
            <w:vAlign w:val="bottom"/>
            <w:gridSpan w:val="1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060" w:type="dxa"/>
            <w:vAlign w:val="bottom"/>
            <w:gridSpan w:val="2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874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60" w:type="dxa"/>
            <w:vAlign w:val="bottom"/>
            <w:gridSpan w:val="1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60" w:type="dxa"/>
            <w:vAlign w:val="bottom"/>
            <w:gridSpan w:val="1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Exhibit Index</w:t>
              </w:r>
            </w:hyperlink>
          </w:p>
        </w:tc>
        <w:tc>
          <w:tcPr>
            <w:tcW w:w="9060" w:type="dxa"/>
            <w:vAlign w:val="bottom"/>
            <w:gridSpan w:val="18"/>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5940" w:type="dxa"/>
            <w:vAlign w:val="bottom"/>
            <w:gridSpan w:val="17"/>
          </w:tcPr>
          <w:p>
            <w:pPr>
              <w:ind w:left="47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3"/>
              </w:rPr>
              <w:t>September 30, 2015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3"/>
              </w:rPr>
              <w:t>December 31, 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Current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208,650</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($5,461 and $5,033 from a related party)</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7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7,254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7,254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129,607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Current liabilities: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4,234</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Accrued liabilities ($3,532 and $4,594 to related parties)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41,774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48,985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58,988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Long-term portion of lease financing obligations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Product development obligations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Deferred revenue, net of current</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85,720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60,988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262,692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242,852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7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 $0.01 par value; 125,000 shares authorized at September</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30, 2015 and December 31, 2014; no shares issued and outstanding at</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September 30, 2015 and December 31, 2014</w:t>
            </w: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Common stock, $0.01 par value; 225,000 shares authorized at September</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30, 2015 and December 31, 2014; 61,240 and 59,046 shares issued and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ind w:left="360"/>
              <w:spacing w:after="0"/>
              <w:rPr>
                <w:sz w:val="20"/>
                <w:szCs w:val="20"/>
                <w:color w:val="auto"/>
              </w:rPr>
            </w:pPr>
            <w:r>
              <w:rPr>
                <w:rFonts w:ascii="Arial" w:cs="Arial" w:eastAsia="Arial" w:hAnsi="Arial"/>
                <w:sz w:val="18"/>
                <w:szCs w:val="18"/>
                <w:color w:val="auto"/>
              </w:rPr>
              <w:t>outstanding at September 30, 2015 and December 31, 2014</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574,979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546,247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(356,693)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(322,283)</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217,284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1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236,555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499,247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483,528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Quarter Ended September 30,</w:t>
            </w:r>
          </w:p>
        </w:tc>
        <w:tc>
          <w:tcPr>
            <w:tcW w:w="140" w:type="dxa"/>
            <w:vAlign w:val="bottom"/>
          </w:tcPr>
          <w:p>
            <w:pPr>
              <w:spacing w:after="0"/>
              <w:rPr>
                <w:sz w:val="14"/>
                <w:szCs w:val="14"/>
                <w:color w:val="auto"/>
              </w:rPr>
            </w:pPr>
          </w:p>
        </w:tc>
        <w:tc>
          <w:tcPr>
            <w:tcW w:w="25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License and milestone revenue (includes $5,120,</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360"/>
              <w:spacing w:after="0"/>
              <w:rPr>
                <w:sz w:val="20"/>
                <w:szCs w:val="20"/>
                <w:color w:val="auto"/>
              </w:rPr>
            </w:pPr>
            <w:r>
              <w:rPr>
                <w:rFonts w:ascii="Arial" w:cs="Arial" w:eastAsia="Arial" w:hAnsi="Arial"/>
                <w:sz w:val="18"/>
                <w:szCs w:val="18"/>
                <w:color w:val="auto"/>
              </w:rPr>
              <w:t>$3,506, $14,672 and $9,966 from a related party)</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13,045</w:t>
            </w:r>
          </w:p>
        </w:tc>
        <w:tc>
          <w:tcPr>
            <w:tcW w:w="160" w:type="dxa"/>
            <w:vAlign w:val="bottom"/>
          </w:tcPr>
          <w:p>
            <w:pPr>
              <w:spacing w:after="0"/>
              <w:rPr>
                <w:sz w:val="20"/>
                <w:szCs w:val="20"/>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9,027</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131,430</w:t>
            </w:r>
          </w:p>
        </w:tc>
        <w:tc>
          <w:tcPr>
            <w:tcW w:w="30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106,175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Collaboration services and other revenue (includes</w:t>
            </w: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$868, $890, $2,221 and $2,507 from a related party)</w:t>
            </w:r>
          </w:p>
        </w:tc>
        <w:tc>
          <w:tcPr>
            <w:tcW w:w="9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2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24,956</w:t>
            </w:r>
          </w:p>
        </w:tc>
        <w:tc>
          <w:tcPr>
            <w:tcW w:w="3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156,386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121,496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154,165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99,536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31,399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50,757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185,564</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(2,723)</w:t>
            </w: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(8,278)</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net</w:t>
            </w:r>
          </w:p>
        </w:tc>
        <w:tc>
          <w:tcPr>
            <w:tcW w:w="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3,008</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(34,448)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from income taxes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(39,535)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(34,410)</w:t>
            </w: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loss per basic and diluted share</w:t>
            </w:r>
          </w:p>
        </w:tc>
        <w:tc>
          <w:tcPr>
            <w:tcW w:w="12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(0.74)</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(0.57)</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Weighted average number of common shares used to</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calculate net loss per basic and diluted share</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60,767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13,503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59,926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Quarter Ended September 30,</w:t>
            </w:r>
          </w:p>
        </w:tc>
        <w:tc>
          <w:tcPr>
            <w:tcW w:w="140" w:type="dxa"/>
            <w:vAlign w:val="bottom"/>
          </w:tcPr>
          <w:p>
            <w:pPr>
              <w:spacing w:after="0"/>
              <w:rPr>
                <w:sz w:val="14"/>
                <w:szCs w:val="14"/>
                <w:color w:val="auto"/>
              </w:rPr>
            </w:pPr>
          </w:p>
        </w:tc>
        <w:tc>
          <w:tcPr>
            <w:tcW w:w="2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6"/>
        </w:trPr>
        <w:tc>
          <w:tcPr>
            <w:tcW w:w="542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(45,098)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(34,410)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(8,944)</w:t>
            </w:r>
          </w:p>
        </w:tc>
        <w:tc>
          <w:tcPr>
            <w:tcW w:w="12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FF0FC"/>
          </w:tcPr>
          <w:p>
            <w:pPr>
              <w:spacing w:after="0"/>
              <w:rPr>
                <w:sz w:val="19"/>
                <w:szCs w:val="19"/>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(loss) on investments, net of tax effect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(1,052)</w:t>
            </w:r>
          </w:p>
        </w:tc>
      </w:tr>
      <w:tr>
        <w:trPr>
          <w:trHeight w:val="230"/>
        </w:trPr>
        <w:tc>
          <w:tcPr>
            <w:tcW w:w="5420" w:type="dxa"/>
            <w:vAlign w:val="bottom"/>
          </w:tcPr>
          <w:p>
            <w:pPr>
              <w:ind w:left="500"/>
              <w:spacing w:after="0"/>
              <w:rPr>
                <w:sz w:val="20"/>
                <w:szCs w:val="20"/>
                <w:color w:val="auto"/>
              </w:rPr>
            </w:pPr>
            <w:r>
              <w:rPr>
                <w:rFonts w:ascii="Arial" w:cs="Arial" w:eastAsia="Arial" w:hAnsi="Arial"/>
                <w:sz w:val="18"/>
                <w:szCs w:val="18"/>
                <w:color w:val="auto"/>
              </w:rPr>
              <w:t>Reclassification from accumulated other comprehensive loss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54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change in unrealized gain (loss) on</w:t>
            </w:r>
          </w:p>
        </w:tc>
        <w:tc>
          <w:tcPr>
            <w:tcW w:w="5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available-for-sale investments</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(1,052)</w:t>
            </w:r>
          </w:p>
        </w:tc>
      </w:tr>
      <w:tr>
        <w:trPr>
          <w:trHeight w:val="223"/>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5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2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FF0FC"/>
            </w:tcBorders>
          </w:tcPr>
          <w:p>
            <w:pPr>
              <w:spacing w:after="0"/>
              <w:rPr>
                <w:sz w:val="19"/>
                <w:szCs w:val="19"/>
                <w:color w:val="auto"/>
              </w:rPr>
            </w:pPr>
          </w:p>
        </w:tc>
      </w:tr>
      <w:tr>
        <w:trPr>
          <w:trHeight w:val="223"/>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(46,089)</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(38,579)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(32,875)</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680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2120" w:type="dxa"/>
            <w:vAlign w:val="bottom"/>
            <w:gridSpan w:val="2"/>
          </w:tcPr>
          <w:p>
            <w:pPr>
              <w:jc w:val="right"/>
              <w:ind w:right="76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(34,410)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(8,944)</w:t>
            </w: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4,218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premium on investments</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Loss on disposal of property and equipment</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9,734</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Tax benefit on unrealized gain on available-for-sale securities</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gain on sales of available-for-sale securities</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(3,930)</w:t>
            </w: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(243)</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(913)</w:t>
            </w: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(317)</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(7,611)</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8,657</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28,494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34,837</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financing liability</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1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20,732</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46,179</w:t>
            </w:r>
          </w:p>
        </w:tc>
        <w:tc>
          <w:tcPr>
            <w:tcW w:w="120" w:type="dxa"/>
            <w:vAlign w:val="bottom"/>
            <w:shd w:val="clear" w:color="auto" w:fill="CFF0FC"/>
          </w:tcPr>
          <w:p>
            <w:pPr>
              <w:spacing w:after="0"/>
              <w:rPr>
                <w:sz w:val="19"/>
                <w:szCs w:val="19"/>
                <w:color w:val="auto"/>
              </w:rPr>
            </w:pPr>
          </w:p>
        </w:tc>
      </w:tr>
      <w:tr>
        <w:trPr>
          <w:trHeight w:val="453"/>
        </w:trPr>
        <w:tc>
          <w:tcPr>
            <w:tcW w:w="68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(1,668)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(5,542)</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Purchases of available-for-sale securities</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(8,217)</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sales of available-for-sale securities</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1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14,035</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38,546</w:t>
            </w:r>
          </w:p>
        </w:tc>
        <w:tc>
          <w:tcPr>
            <w:tcW w:w="12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11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14,304</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33,004</w:t>
            </w:r>
          </w:p>
        </w:tc>
        <w:tc>
          <w:tcPr>
            <w:tcW w:w="120" w:type="dxa"/>
            <w:vAlign w:val="bottom"/>
            <w:shd w:val="clear" w:color="auto" w:fill="CFF0FC"/>
          </w:tcPr>
          <w:p>
            <w:pPr>
              <w:spacing w:after="0"/>
              <w:rPr>
                <w:sz w:val="19"/>
                <w:szCs w:val="19"/>
                <w:color w:val="auto"/>
              </w:rPr>
            </w:pPr>
          </w:p>
        </w:tc>
      </w:tr>
      <w:tr>
        <w:trPr>
          <w:trHeight w:val="453"/>
        </w:trPr>
        <w:tc>
          <w:tcPr>
            <w:tcW w:w="68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Repayments of lease liability</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(302)</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8,523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Payments of deferred offering costs</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(2,194)</w:t>
            </w:r>
          </w:p>
        </w:tc>
      </w:tr>
      <w:tr>
        <w:trPr>
          <w:trHeight w:val="223"/>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11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8,221</w:t>
            </w:r>
          </w:p>
        </w:tc>
        <w:tc>
          <w:tcPr>
            <w:tcW w:w="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 on cash and cash equivalents</w:t>
            </w:r>
          </w:p>
        </w:tc>
        <w:tc>
          <w:tcPr>
            <w:tcW w:w="11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43,195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77,557</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1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165,455</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76,332</w:t>
            </w:r>
          </w:p>
        </w:tc>
        <w:tc>
          <w:tcPr>
            <w:tcW w:w="120" w:type="dxa"/>
            <w:vAlign w:val="bottom"/>
            <w:shd w:val="clear" w:color="auto" w:fill="CFF0FC"/>
          </w:tcPr>
          <w:p>
            <w:pPr>
              <w:spacing w:after="0"/>
              <w:rPr>
                <w:sz w:val="19"/>
                <w:szCs w:val="19"/>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180" w:type="dxa"/>
            <w:vAlign w:val="bottom"/>
          </w:tcPr>
          <w:p>
            <w:pPr>
              <w:spacing w:after="0"/>
              <w:rPr>
                <w:sz w:val="19"/>
                <w:szCs w:val="19"/>
                <w:color w:val="auto"/>
              </w:rPr>
            </w:pP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208,650</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153,889</w:t>
            </w:r>
          </w:p>
        </w:tc>
        <w:tc>
          <w:tcPr>
            <w:tcW w:w="12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Operations</w:t>
      </w:r>
    </w:p>
    <w:p>
      <w:pPr>
        <w:spacing w:after="0" w:line="117" w:lineRule="exact"/>
        <w:rPr>
          <w:sz w:val="20"/>
          <w:szCs w:val="20"/>
          <w:color w:val="auto"/>
        </w:rPr>
      </w:pPr>
    </w:p>
    <w:p>
      <w:pPr>
        <w:ind w:right="220" w:firstLine="518"/>
        <w:spacing w:after="0" w:line="271" w:lineRule="auto"/>
        <w:rPr>
          <w:sz w:val="20"/>
          <w:szCs w:val="20"/>
          <w:color w:val="auto"/>
        </w:rPr>
      </w:pPr>
      <w:r>
        <w:rPr>
          <w:rFonts w:ascii="Arial" w:cs="Arial" w:eastAsia="Arial" w:hAnsi="Arial"/>
          <w:sz w:val="17"/>
          <w:szCs w:val="17"/>
          <w:color w:val="auto"/>
        </w:rPr>
        <w:t>FibroGen, Inc. (“FibroGen,” the “Company,” or “we” and other similar pronouns) was incorporated in 1993 in Delaware and is a research-based biopharmaceutical company focused on the discovery, development and commercialization of novel therapeutics to treat serious unmet medical needs. Our focus in the areas of fibrosis and hypoxia-inducible factor (“HIF”) biology has generated multiple programs targeting various therapeutic areas. Our most advanced product candidate, roxadustat, or FG-4592, is an oral small molecule inhibitor of HIF prolyl hydroxylases (“HIF-PHs”) in Phase 3 clinical development for the treatment of anemia in chronic kidney disease (“CKD”). FG-3019 is our monoclonal antibody in Phase 2 clinical development for the treatment of idiopathic pulmonary fibrosis (“IPF”), pancreatic cancer, Duchenne muscular dystrophy (“DMD”) and liver fibrosis. We have taken a global approach with respect to the development and future commercialization of our product candidates, and this includes development and commercialization in the People’s Republic of China (“China”).</w:t>
      </w:r>
    </w:p>
    <w:p>
      <w:pPr>
        <w:spacing w:after="0" w:line="179"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On November 10, 2014, we effected a 1-for-2.5 reverse split of our common stock. Upon the effectiveness of the reverse stock split, (i) every 2.5 shares of outstanding common stock were combined into one share of common stock, (ii) the number of shares of common stock for which each outstanding option or warrant to purchase common stock is exercisable was proportionally decreased on a 1-for-2.5 basis, (iii) the exercise price of each outstanding option or warrant to purchase common stock was proportionately increased on a 1-for- 2.5 basis, (iv) the exchange ratio for each share of outstanding FibroGen Europe Oy (“FibroGen Europe”) share of stock which is exchangeable into our common stock was proportionately reduced on a 1-for-2.5 basis, and (v) the conversion ratio for each share of outstanding preferred stock which is convertible into our common stock was proportionately reduced on a 1-for-2.5 basis. All of the outstanding common stock share numbers (including shares of common stock which our outstanding preferred stock shares were convertible into), common stock warrants, share prices, exercise prices and per share amounts have been adjusted in these condensed consolidated financial statements, on a retroactive basis, to reflect this 1-for-2.5 reverse stock split for all periods presented. The par value per share and the authorized number of shares of common stock and preferred stock were not adjusted as a result of the reverse stock split.</w:t>
      </w:r>
    </w:p>
    <w:p>
      <w:pPr>
        <w:spacing w:after="0" w:line="16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On November 19, 2014, we closed the initial public offering (“IPO”) of our common stock. In our IPO, we sold 9,315,000 shares of our common stock at a public offering price of $18.00 per share. Net proceeds from our IPO and concurrent private placement were $171.8 million, after deducting underwriting discounts and commissions of $11.7 million and offering expenses of $4.1 million. Concurrent with the closing of our IPO, AstraZeneca AB (“AstraZeneca”), one of our collaboration partners, purchased shares of our common stock in a private placement at a price per share equal to the IPO price for an aggregate purchase price of $20.0 million. Upon the closing of our IPO, all outstanding shares of our convertible preferred stock automatically converted into 33,919,954 shares of common stock and 958,996 shares of FibroGen Europe convertible preferred stock were converted into shares of our common stock. Our proceeds from the sale of the common stock sold in the concurrent private placement were $20.0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The condensed consolidated financial statements include the accounts of FibroGen, its wholly owned subsidiaries and its majority-owned subsidiaries, FibroGen Europe and FibroGen China Anemia Holdings, Ltd. All inter-company transactions and balances have been eliminated in consolidation. We operate in one segment—the discovery, development and commercialization of novel therapeutics to treat serious unmet medical needs.</w:t>
      </w:r>
    </w:p>
    <w:p>
      <w:pPr>
        <w:spacing w:after="0" w:line="14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condensed consolidated financial statements have been prepared in accordance with accounting principles generally accepted in the United States of America (“GAAP”) for interim financial reporting and the rules and regulations of the U.S. Securities and Exchange Commission (“SEC”) and, therefore, do not include all information and footnote disclosures normally included in the annual consolidated financial statements. The December 31, 2014 condensed consolidated balance sheet data contained within this Form 10-Q was derived from audited consolidated financial statements included in our Form 10-K for the year ended December 31, 2014, but does not include all disclosures required by accounting principles generally accepted in the United States.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Actual results could differ from those estimates. In our opinion, the accompanying unaudited condensed consolidated financial statements include all normal recurring adjustments necessary for a fair presentation of our financial position, results of operations and cash flows for the interim periods presented.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color w:val="auto"/>
        </w:rPr>
        <w:t>We define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47"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Our valuation techniques are based on observable and unobservable inputs. Observable inputs reflect readily obtainable data from independent sources, while unobservable inputs reflect our market assumptions. We classify these inputs into the following hierarchy:</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for identical instruments in active markets.</w:t>
      </w:r>
    </w:p>
    <w:p>
      <w:pPr>
        <w:spacing w:after="0" w:line="117" w:lineRule="exact"/>
        <w:rPr>
          <w:sz w:val="20"/>
          <w:szCs w:val="20"/>
          <w:color w:val="auto"/>
        </w:rPr>
      </w:pPr>
    </w:p>
    <w:p>
      <w:pPr>
        <w:ind w:left="520" w:right="920"/>
        <w:spacing w:after="0" w:line="308"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—Quoted prices for similar instruments in active markets; quoted prices for identical or similar instruments in markets that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active; and model-derived valuations whose inputs are observable or whose significant value drivers are observable.</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and little, if any, market activity for the assets.</w:t>
      </w:r>
    </w:p>
    <w:p>
      <w:pPr>
        <w:spacing w:after="0" w:line="225"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 assessment of the significance of a particular input to the fair value measurement in its entirety requires management to make judgments and considers factors specific to the asset or liability. In addition, the categories presented do not suggest how prices may be affected by the size of the purchases or sales, particularly with the largest highly liquid financial issuers who are in markets continuously with non-equity instruments, or how any such financial assets may be impacted by other factors such as U.S. government guarantees. Assets and liabilities measured at fair value are classified in their entirety based on the lowest level of input that is significant to the fair value measurement.</w:t>
      </w:r>
    </w:p>
    <w:p>
      <w:pPr>
        <w:spacing w:after="0" w:line="17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Carrying amounts of certain of our financial instruments including cash equivalents, investments, receivables, accounts payable and accrued liabilities approximate fair value due to their short maturities.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Substantially all of our revenues to date have been generated from our collaboration agreements.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collaboration agreements include multiple deliverables, and we, therefore, follow the guidance in Accounting Standards Codification (“ASC”)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Topic 605-25, “Revenue Recognition–Multiple-Element Arrangements” (“ASC 605-25”). ASC 605-25:</w:t>
      </w:r>
    </w:p>
    <w:p>
      <w:pPr>
        <w:spacing w:after="0" w:line="103" w:lineRule="exact"/>
        <w:rPr>
          <w:sz w:val="20"/>
          <w:szCs w:val="20"/>
          <w:color w:val="auto"/>
        </w:rPr>
      </w:pPr>
    </w:p>
    <w:p>
      <w:pPr>
        <w:ind w:left="1040" w:right="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provides guidance on how revenue arrangements with multiple deliverables should be separated and how the arrangement consideration should be allocated among the separate units of accounting;</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requires an entity to determine the selling price of a separate deliverable using a hierarchy of (i) vendor-specific objective evidence (“VSOE”), (ii) third-party evidence (“TPE”), or (iii) best estimate of selling price (“BESP”); and</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requires the allocation of the arrangement consideration, at the inception of the arrangement, to the separate units of accounting based on relative selling price.</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evaluate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Significant judgment may be required in determining whether a deliverable provides stand-alone value, determining the amount of arrangement consideration that is fixed or determinable, and estimating the stand-alone selling price of each unit of accounting.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To date, we have determined that the selling price for the deliverables within our collaboration agreements should be determined using BESP, as neither VSOE nor TPE is available. The process for determining BESP involves significant judgment on our part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5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For each unit of accounting identified within an arrangement, we determine the period over which the deliverables are provided and the performance obligation is satisfied. Service revenue is recognized using a proportional performance method. Direct labor hours or full time equivalents are typically used as the measurement of performance. Revenue may be recognized using a straight line method when performance is expected to occur roughly consistently over a period of time.</w:t>
      </w:r>
    </w:p>
    <w:p>
      <w:pPr>
        <w:spacing w:after="0" w:line="18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Payments or reimbursements resulting from our research and development efforts for those arrangements where such efforts are considered as deliverables are recognized as the services are performed and are presented on a gross basis. To the extent payments are required to be made to the collaboration partners pursuant to research and development efforts, those costs are charged to research and development using the guidance pursuant to ASC Topic 605-250, “Customer Payments and Incentives”, which states that cash consideration given by a vendor to a customer is presumed to be a reduction of the selling prices unless the vendor receives an identifiable benefit in exchange for the consideration that is sufficiently separable from the recipient’s purchase of the vendor’s products, and the vendor can reasonably estimate the fair value of the benefit.</w:t>
      </w:r>
    </w:p>
    <w:p>
      <w:pPr>
        <w:spacing w:after="0" w:line="178"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Each of our collaboration agreements includes milestones for which we follow ASC Topic 605-28, “Revenue Recognition—Milestone Method” (“ASC 605-28”). ASC 605-28 establishes the milestone method as an acceptable method of revenue recognition for certain contingent event-based payments under research and development arrangements. Under the milestone method, a payment that is contingent upon the achievement of a substantive milestone is recognized in its entirety in the period in which the milestone is achieved. A milestone is an event (i) that can only be achieved based in whole or in part on either our performance or on the occurrence of a specific outcome resulting from our performance, (ii) for which there is substantive uncertainty at the date the arrangement is entered into that the event will be achieved and (iii) that would result in additional payments being due to us. Determining whether a milestone is substantive is a matter of judgment and that assessment must be made at the inception of the arrangement. Milestones are considered substantive when the consideration earned from the achievement of the milestone is (i) commensurate with either our performance to achieve the milestone or the enhancement of the value of the item delivered as a result of a specific outcome resulting from our performance to achieve the milestone, (ii) relates solely to past performance and (iii) is reasonable relative to all deliverables and payment terms in the arrangement. Payments for achieving milestones which are not considered substantive are treated as additional arrangement consideration and are allocated following the relative selling price method previously described.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Immediately prior to the IPO, the Company had authorized 125,000,000 shares of Preferred Stock with a par value of $0.01 per share. The Series A Preferred Stock, Series B Preferred Stock, Series C Preferred Stock, Series D Preferred Stock, Royalty Acquisition Preferred Stock and Series G-1 Preferred Stock are collectively referred to as the “Junior Preferred Stock”. The Series E Redeemable Convertible Preferred Stock and Series F Redeemable Convertible Preferred Stock are collectively referred to as the “Senior Preferred Stock”. As of December 31, 2014, there was no outstanding convertible preferred stock as all issued and outstanding preferred stock were converted to common stock at the closing of the Company’s IPO in November 2014.</w:t>
      </w:r>
    </w:p>
    <w:p>
      <w:pPr>
        <w:spacing w:after="0" w:line="15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Prior to the IPO, we applied the two-class method to calculate basic and diluted net income (loss) per share of common stock. The two-class method is an earnings allocation method under which earnings per share is calculated for common stock considering a participating security’s rights to undistributed earnings as if all such earnings had been distributed during the period. The Junior Preferred Stock were participating securities due to their dividend rights and the Senior Preferred Stock had stated dividend rates. During periods of net income, the calculation of basic net income per share was reclassified to exclude the income attributable to all participating securities from the numerator and exclude the dilutive impact of those shares from the denominator. During periods of net loss, all participating securities were not included in the calculation of net loss per share because the preferred stockholders had no contractual obligation to participate in losses.</w:t>
      </w:r>
    </w:p>
    <w:p>
      <w:pPr>
        <w:spacing w:after="0" w:line="189"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Diluted net loss per share does not include the effect of 15.0 million and 48.0 million securities for the quarter ended September 30, 2015 and 2014 and 15.0 million and 48.0 million securities for the nine months ended September 30, 2015 and 2014 because their effect would have been anti-dilutive.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(Topic 606), which supersedes the revenue recognition requirements in ASC 605,</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ASU 2014-09 is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for ASU 2014-09 was initially for fiscal years beginning after December 15, 2016. In July 2015, the FASB approved a one year deferral of this standard with a new effective date for fiscal years beginning after December 15, 2017. The new guidelines can be implemented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We are currently evaluating the impact of this guidance on our consolidated financial statements.</w:t>
      </w:r>
    </w:p>
    <w:p>
      <w:pPr>
        <w:spacing w:after="0" w:line="354"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June 2005, we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The Japan Agreement also provides for additional development and regulatory approval milestone payments up to $117.5 million, a commercial sales related milestone of $15.0 million and additional consideration based on net sales (as defined) in the low 20% range after commercial launch. A clinical milestone payment of $12.5 million was received in 2013. We evaluated the criteria under ASC 605-28 (as disclosed in Note 1) and concluded that the aforementioned milestone was substantive.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April 2006, we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Clinical milestone payments of $40.0 million and $50.0 million were received in 2010 and 2012. We evaluated the criteria under ASC 605-28 (as disclosed in Note 1) and concluded that each of the aforementioned milestones was substantive.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Agreement</w:t>
      </w:r>
    </w:p>
    <w:p>
      <w:pPr>
        <w:spacing w:after="0" w:line="117"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Effective July 30, 2013, we entered into a collaboration agreement with AstraZeneca for the development and commercialization of roxadustat for the treatment of anemia in the United States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has agreed to pay upfront, non-contingent and time-based payments totaling $374.0 million, which we expect to receive in various amounts through June 2016, of which $312.0 million was received as of September 30, 2015. In addition, the U.S./RoW Agreement also provides for development and regulatory approval based milestone payments of up to $550.0 million, which include potential future indications which the companies choose to pursue, and commercial related milestone payments of up to $325.0 million. During the second quarter of 2015, we received a $15.0 million development milestone payment as a result of the finalization of our two audited pre-clinical carcinogenicity study reports. We evaluated the criteria under ASC 605-28 (as disclosed in Note 1) and concluded that the aforementioned milestone was substantive.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Under the U.S./RoW Agreement, we and AstraZeneca will share equally in the development costs of roxadustat not already paid for by Astellas, up to a total of $233.0 million. Any additional development costs incurred by us during the development period in excess of the $233.0 million (aggregated spend) will be fully reimbursed by AstraZeneca. AstraZeneca will pay us tiered royalty payments on AstraZeneca’s future net sales (as defined in the agreement) of roxadustat in the low 20% range. In addition we will receive a transfer price for delivery of commercial product based on a percentage of AstraZeneca’s net sales (as defined in the agreement) in the low- to mid-single digit range.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Effective July 30, 2013, we (through our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(such amounts were fully received as of March 31, 2014). In addition, the China Agreement provides for AstraZeneca to pay regulatory approval and other approval related milestones of up to $161.0 million. The China Agreement also provides for sales related milestone payments of up to $167.5 million and contingent payments of $20.0 million related to possible future compounds.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Astellas Agreements</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For each of the Astellas agreements, we evaluated the deliverables within the respective arrangements and separated them into various units of accounting.</w:t>
      </w:r>
    </w:p>
    <w:p>
      <w:pPr>
        <w:spacing w:after="0" w:line="170"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Deliverables that did not provide standalone value have been combined with other deliverables to form a unit of accounting that collectively has standalone value, with revenue being recognized on the combined unit of accounting, rather than the individual deliverables. There are no right-of-return provisions for the delivered items in the Astellas agreements.</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For the Astellas agreements, we allocated arrangement consideration to various units of accounting based on BESP of each deliverable within each unit of accounting using the relative selling price method as we did not have VSOE or TPE of selling price for such deliverables. Arrangement consideration includes non-contingent upfront payments of $360.1 million and cumulative co-development billings of $119.8 million (for the Europe Agreement) as of September 30, 2015.</w:t>
      </w:r>
    </w:p>
    <w:p>
      <w:pPr>
        <w:spacing w:after="0" w:line="18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For the technology license under the Japan Agreement and Europe Agreement, BESP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Our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BESP also considered certain future royalty payments associated with commercial performance of our compounds, transfer prices and expected gross margins.</w:t>
      </w:r>
    </w:p>
    <w:p>
      <w:pPr>
        <w:spacing w:after="0" w:line="182"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units of accounting that were analyzed, along with their general timing of delivery or performance of service and general timing of revenue recognition, are as follows:</w:t>
      </w:r>
    </w:p>
    <w:p>
      <w:pPr>
        <w:spacing w:after="0" w:line="58" w:lineRule="exact"/>
        <w:rPr>
          <w:sz w:val="20"/>
          <w:szCs w:val="20"/>
          <w:color w:val="auto"/>
        </w:rPr>
      </w:pPr>
    </w:p>
    <w:p>
      <w:pPr>
        <w:ind w:left="1040" w:hanging="519"/>
        <w:spacing w:after="0" w:line="272"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License to our technology existing at the effective date of the agreements. </w:t>
      </w:r>
      <w:r>
        <w:rPr>
          <w:rFonts w:ascii="Arial" w:cs="Arial" w:eastAsia="Arial" w:hAnsi="Arial"/>
          <w:sz w:val="17"/>
          <w:szCs w:val="17"/>
          <w:color w:val="auto"/>
        </w:rPr>
        <w:t>For both of the Astellas agreements, the license was delivered at</w:t>
      </w:r>
      <w:r>
        <w:rPr>
          <w:rFonts w:ascii="Arial" w:cs="Arial" w:eastAsia="Arial" w:hAnsi="Arial"/>
          <w:sz w:val="17"/>
          <w:szCs w:val="17"/>
          <w:b w:val="1"/>
          <w:bCs w:val="1"/>
          <w:color w:val="auto"/>
        </w:rPr>
        <w:t xml:space="preserve"> </w:t>
      </w:r>
      <w:r>
        <w:rPr>
          <w:rFonts w:ascii="Arial" w:cs="Arial" w:eastAsia="Arial" w:hAnsi="Arial"/>
          <w:sz w:val="17"/>
          <w:szCs w:val="17"/>
          <w:color w:val="auto"/>
        </w:rPr>
        <w:t>the beginning of the agreement terms, or when the agreements were signed, and any contingencies had been removed. In both cases, we concluded at the time of the agreement that our collaboration partner, Astellas, would have the knowledge and capabilities to exploit the licenses without our further involvement. However, the Japan Agreement with Astellas has contractual limitations that might affect Astellas’ ability to exploit the license and therefore, potentially, the conclusion as to whether the license provides stand-alone value. In the Japan agreement, Astellas does not have the right to manufacture commercial supplies of the drug. In order to determine whether this characteristic of the agreement should lead to a conclusion that the license did not have stand-alone value, we considered the intent of the parties and the substantive reasons that led to that feature of the agreement.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1040" w:right="140" w:hanging="519"/>
        <w:spacing w:after="0" w:line="256"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Manufacturing rights. </w:t>
      </w:r>
      <w:r>
        <w:rPr>
          <w:rFonts w:ascii="Arial" w:cs="Arial" w:eastAsia="Arial" w:hAnsi="Arial"/>
          <w:sz w:val="18"/>
          <w:szCs w:val="18"/>
          <w:color w:val="auto"/>
        </w:rPr>
        <w:t>In the case of the Japan Agreement, we retained manufacturing rights largely because of the way the parties chose for</w:t>
      </w:r>
      <w:r>
        <w:rPr>
          <w:rFonts w:ascii="Arial" w:cs="Arial" w:eastAsia="Arial" w:hAnsi="Arial"/>
          <w:sz w:val="18"/>
          <w:szCs w:val="18"/>
          <w:b w:val="1"/>
          <w:bCs w:val="1"/>
          <w:color w:val="auto"/>
        </w:rPr>
        <w:t xml:space="preserve"> </w:t>
      </w:r>
      <w:r>
        <w:rPr>
          <w:rFonts w:ascii="Arial" w:cs="Arial" w:eastAsia="Arial" w:hAnsi="Arial"/>
          <w:sz w:val="18"/>
          <w:szCs w:val="18"/>
          <w:color w:val="auto"/>
        </w:rPr>
        <w:t>FibroGen to be compensated under the agreement. At the time the agreement was signed, we believed that it was more advantageous upon commercialization to have a transfer price revenue model in place as opposed to a traditional sales-based model. We and Astellas could have structured the arrangement with a transfer of manufacturing rights and compensated us through a royalty or other feature without significantly diminishing the prospects of the drug product. Therefore, we determined that the license in Japan provides stand-alone value to the customer despite the lack of manufacturing rights.</w:t>
      </w:r>
    </w:p>
    <w:p>
      <w:pPr>
        <w:spacing w:after="0" w:line="79" w:lineRule="exact"/>
        <w:rPr>
          <w:rFonts w:ascii="Arial" w:cs="Arial" w:eastAsia="Arial" w:hAnsi="Arial"/>
          <w:sz w:val="18"/>
          <w:szCs w:val="18"/>
          <w:color w:val="auto"/>
        </w:rPr>
      </w:pPr>
    </w:p>
    <w:p>
      <w:pPr>
        <w:ind w:left="1040" w:right="40" w:hanging="519"/>
        <w:spacing w:after="0" w:line="266"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License to our technology developed during the term of the agreement and development (referred to as “when and if available”) and information sharing services. </w:t>
      </w:r>
      <w:r>
        <w:rPr>
          <w:rFonts w:ascii="Arial" w:cs="Arial" w:eastAsia="Arial" w:hAnsi="Arial"/>
          <w:sz w:val="18"/>
          <w:szCs w:val="18"/>
          <w:color w:val="auto"/>
        </w:rPr>
        <w:t>These deliverables are generally delivered throughout the term of the agreements and are recognized as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as the services are provided.</w:t>
      </w:r>
    </w:p>
    <w:p>
      <w:pPr>
        <w:spacing w:after="0" w:line="68" w:lineRule="exact"/>
        <w:rPr>
          <w:rFonts w:ascii="Arial" w:cs="Arial" w:eastAsia="Arial" w:hAnsi="Arial"/>
          <w:sz w:val="18"/>
          <w:szCs w:val="18"/>
          <w:color w:val="auto"/>
        </w:rPr>
      </w:pPr>
    </w:p>
    <w:p>
      <w:pPr>
        <w:ind w:left="1040" w:hanging="519"/>
        <w:spacing w:after="0" w:line="258"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Co-development services (Europe Agreement). </w:t>
      </w:r>
      <w:r>
        <w:rPr>
          <w:rFonts w:ascii="Arial" w:cs="Arial" w:eastAsia="Arial" w:hAnsi="Arial"/>
          <w:sz w:val="18"/>
          <w:szCs w:val="18"/>
          <w:color w:val="auto"/>
        </w:rPr>
        <w:t>This deliverable relates to co-development services that were reasonably expected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by us at the time the collaboration agreement was signed. Revenue is recognized as reimbursements for such co-development services are earned. The period related to this deliverable represented our determination of the non-contingent performance period, which was estimated to be 36 months for the Europe Agreement from the signing of the agreement. There was no provision for co-development services in the Japan agreement.</w:t>
      </w:r>
    </w:p>
    <w:p>
      <w:pPr>
        <w:spacing w:after="0" w:line="75"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Manufacturing of clinical supplies of products. </w:t>
      </w:r>
      <w:r>
        <w:rPr>
          <w:rFonts w:ascii="Arial" w:cs="Arial" w:eastAsia="Arial" w:hAnsi="Arial"/>
          <w:sz w:val="17"/>
          <w:szCs w:val="17"/>
          <w:color w:val="auto"/>
        </w:rPr>
        <w:t>This deliverable is satisfied as supplies for clinical product are delivered for use in our</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trial programs during the development period, or pre-commercialization period. Revenue is recognized based on the estimated proportion of the development services performed during the development period. These estimates are made at the beginning of each accounting period and will likely change throughout the course of the terms of both agreements. As new information related to these estimates becomes available, we may adjust the timing of revenue recognition related to this unit of accounting.</w:t>
      </w:r>
    </w:p>
    <w:p>
      <w:pPr>
        <w:spacing w:after="0" w:line="60" w:lineRule="exact"/>
        <w:rPr>
          <w:rFonts w:ascii="Arial" w:cs="Arial" w:eastAsia="Arial" w:hAnsi="Arial"/>
          <w:sz w:val="17"/>
          <w:szCs w:val="17"/>
          <w:color w:val="auto"/>
        </w:rPr>
      </w:pPr>
    </w:p>
    <w:p>
      <w:pPr>
        <w:ind w:left="1040" w:right="260" w:hanging="519"/>
        <w:spacing w:after="0" w:line="266"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Manufacturing commercial supplies of products. </w:t>
      </w:r>
      <w:r>
        <w:rPr>
          <w:rFonts w:ascii="Arial" w:cs="Arial" w:eastAsia="Arial" w:hAnsi="Arial"/>
          <w:sz w:val="18"/>
          <w:szCs w:val="18"/>
          <w:color w:val="auto"/>
        </w:rPr>
        <w:t>This deliverable is satisfied and revenue is recognized as supplies are shipped for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use during the commercialization period. As this deliverable is considered a contingent deliverable, it is outside the scope of the initial allocation of upfront and other consideration.</w:t>
      </w:r>
    </w:p>
    <w:p>
      <w:pPr>
        <w:spacing w:after="0" w:line="68" w:lineRule="exact"/>
        <w:rPr>
          <w:rFonts w:ascii="Arial" w:cs="Arial" w:eastAsia="Arial" w:hAnsi="Arial"/>
          <w:sz w:val="18"/>
          <w:szCs w:val="18"/>
          <w:color w:val="auto"/>
        </w:rPr>
      </w:pPr>
    </w:p>
    <w:p>
      <w:pPr>
        <w:ind w:left="1040" w:right="280" w:hanging="519"/>
        <w:spacing w:after="0" w:line="282"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Committee service. </w:t>
      </w:r>
      <w:r>
        <w:rPr>
          <w:rFonts w:ascii="Arial" w:cs="Arial" w:eastAsia="Arial" w:hAnsi="Arial"/>
          <w:sz w:val="18"/>
          <w:szCs w:val="18"/>
          <w:color w:val="auto"/>
        </w:rPr>
        <w:t>This deliverable is satisfied and revenue is recognized throughout the course of the various agreements as meetings are</w:t>
      </w:r>
      <w:r>
        <w:rPr>
          <w:rFonts w:ascii="Arial" w:cs="Arial" w:eastAsia="Arial" w:hAnsi="Arial"/>
          <w:sz w:val="18"/>
          <w:szCs w:val="18"/>
          <w:b w:val="1"/>
          <w:bCs w:val="1"/>
          <w:color w:val="auto"/>
        </w:rPr>
        <w:t xml:space="preserve"> </w:t>
      </w:r>
      <w:r>
        <w:rPr>
          <w:rFonts w:ascii="Arial" w:cs="Arial" w:eastAsia="Arial" w:hAnsi="Arial"/>
          <w:sz w:val="18"/>
          <w:szCs w:val="18"/>
          <w:color w:val="auto"/>
        </w:rPr>
        <w:t>attended.</w:t>
      </w:r>
    </w:p>
    <w:p>
      <w:pPr>
        <w:spacing w:after="0" w:line="166"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Any consideration received for each Astellas agreement after the initial proceeds on the agreement signing date were also (and will be also) allocated to the various units of accounting above per agreement using the relative selling price method under ASC 605-25-30-2 and 30-5.</w:t>
      </w:r>
    </w:p>
    <w:p>
      <w:pPr>
        <w:spacing w:after="0" w:line="14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Under the Japan Agreement, we are also eligible to receive from Astellas an aggregate of approximately $132.5 million in potential milestone</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payments, comprised of (i) up to $22.5 million in substantive milestone payments upon achievement of specified clinical and development milestone events,</w:t>
      </w:r>
    </w:p>
    <w:p>
      <w:pPr>
        <w:spacing w:after="0" w:line="32" w:lineRule="exact"/>
        <w:rPr>
          <w:sz w:val="20"/>
          <w:szCs w:val="20"/>
          <w:color w:val="auto"/>
        </w:rPr>
      </w:pPr>
    </w:p>
    <w:p>
      <w:pPr>
        <w:ind w:right="780" w:firstLine="8"/>
        <w:spacing w:after="0" w:line="261"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$95.0 million in substantive milestone payments upon achievement of specified regulatory milestone events, and (iii) up to approximately $15.0 million in milestone payments upon the achievement of specified commercial sales milestone.</w:t>
      </w:r>
    </w:p>
    <w:p>
      <w:pPr>
        <w:spacing w:after="0" w:line="184"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Under the Europe Agreement, we are also eligible to receive from Astellas an aggregate of approximately $425.0 million in potential milestone payments, comprised of (i) up to $90.0 million in substantive milestone payments upon achievement of specified clinical and development milestone events,</w:t>
      </w:r>
    </w:p>
    <w:p>
      <w:pPr>
        <w:ind w:right="480" w:firstLine="8"/>
        <w:spacing w:after="0" w:line="261"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$335.0 million in substantive milestone payments upon achievement of specified regulatory milestone events, including up to $25.0 million in milestone payments in connection with receipt of marketing approval in Russia.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AstraZeneca Agreements</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We evaluated whether or not the U.S./RoW and China Agreements should be accounted for as a single arrangement and concluded that the agreements should be accounted for as a single arrangement with the presumption that two or more agreements executed with a single customer at or around the same time are a single arrangement. Accordingly, upfront and other non-contingent arrangement consideration received and to be received has been and will be pooled together and allocated to each of the units of accounting in both the U.S./RoW and China Agreements based on their relative fair values.</w:t>
      </w:r>
    </w:p>
    <w:p>
      <w:pPr>
        <w:spacing w:after="0" w:line="154"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We evaluated the deliverables within the arrangement and separated them into various units of accounting. Deliverables that did not provide stand-alone value have been combined with other deliverables to form a unit of accounting that collectively has stand-alone value, with revenue being recognized on the combined unit of accounting, rather than the individual deliverables. There are no right-of-return provisions for the delivered items in the agreements.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For the technology license under the AstraZeneca U.S./RoW Agreement, BESP was determined based on a two-step process. The first step involved determining an implied royalty rate that would result in the net present value of future cash flows to equal to zero (i.e. where the IRR on the transaction would equal the target return for the investment). This results in an upper bound estimation of the magnitude of royalties that a hypothetical acquirer would reasonably pay for the forecasted cash flow stream. Our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U.S./RoW Agreement:</w:t>
      </w:r>
    </w:p>
    <w:p>
      <w:pPr>
        <w:spacing w:after="0" w:line="117"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units of accounting that were analyzed, along with their general timing of delivery or performance of service and general timing of revenue recognition, are as follows:</w:t>
      </w:r>
    </w:p>
    <w:p>
      <w:pPr>
        <w:spacing w:after="0" w:line="58" w:lineRule="exact"/>
        <w:rPr>
          <w:sz w:val="20"/>
          <w:szCs w:val="20"/>
          <w:color w:val="auto"/>
        </w:rPr>
      </w:pPr>
    </w:p>
    <w:p>
      <w:pPr>
        <w:ind w:left="1040" w:right="20" w:hanging="519"/>
        <w:spacing w:after="0" w:line="26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License to our technology existing at the effective date of the agreements. </w:t>
      </w:r>
      <w:r>
        <w:rPr>
          <w:rFonts w:ascii="Arial" w:cs="Arial" w:eastAsia="Arial" w:hAnsi="Arial"/>
          <w:sz w:val="18"/>
          <w:szCs w:val="18"/>
          <w:color w:val="auto"/>
        </w:rPr>
        <w:t>For the U.S./RoW Agreement, the license was delivered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of the agreement terms as all contingencies had been removed. We concluded that AstraZeneca has the knowledge and capabilities to exploit the U.S./RoW license without our further involvement.</w:t>
      </w:r>
    </w:p>
    <w:p>
      <w:pPr>
        <w:spacing w:after="0" w:line="68" w:lineRule="exact"/>
        <w:rPr>
          <w:rFonts w:ascii="Arial" w:cs="Arial" w:eastAsia="Arial" w:hAnsi="Arial"/>
          <w:sz w:val="18"/>
          <w:szCs w:val="18"/>
          <w:color w:val="auto"/>
        </w:rPr>
      </w:pPr>
    </w:p>
    <w:p>
      <w:pPr>
        <w:ind w:left="1040" w:right="80" w:hanging="519"/>
        <w:spacing w:after="0" w:line="261"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Co-development services. </w:t>
      </w:r>
      <w:r>
        <w:rPr>
          <w:rFonts w:ascii="Arial" w:cs="Arial" w:eastAsia="Arial" w:hAnsi="Arial"/>
          <w:sz w:val="18"/>
          <w:szCs w:val="18"/>
          <w:color w:val="auto"/>
        </w:rPr>
        <w:t>This deliverable relates to co-development services which were reasonably expected to be performed by us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the U.S./RoW Agreement was signed. Revenue is recognized as reimbursements for such co-development services are earned. The period related to this deliverable represented our determination of the non-contingent performance period, which was estimated to be 65 months from the signing of the U.S./RoW Agreement.</w:t>
      </w:r>
    </w:p>
    <w:p>
      <w:pPr>
        <w:spacing w:after="0" w:line="71"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Manufacturing of clinical supplies of products. </w:t>
      </w:r>
      <w:r>
        <w:rPr>
          <w:rFonts w:ascii="Arial" w:cs="Arial" w:eastAsia="Arial" w:hAnsi="Arial"/>
          <w:sz w:val="17"/>
          <w:szCs w:val="17"/>
          <w:color w:val="auto"/>
        </w:rPr>
        <w:t>This deliverable is satisfied as supplies for clinical product are delivered for use in our</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trial programs during the development period, or pre-commercialization period. Revenue is recognized based on the estimated proportion of the development services performed during the development period. These estimates are made at the beginning of each accounting period and will likely change throughout the course of the agreements. As new information related to these estimates becomes available, we may adjust the timing of revenue recognition related to this unit of accounting.</w:t>
      </w:r>
    </w:p>
    <w:p>
      <w:pPr>
        <w:spacing w:after="0" w:line="60" w:lineRule="exact"/>
        <w:rPr>
          <w:rFonts w:ascii="Arial" w:cs="Arial" w:eastAsia="Arial" w:hAnsi="Arial"/>
          <w:sz w:val="17"/>
          <w:szCs w:val="17"/>
          <w:color w:val="auto"/>
        </w:rPr>
      </w:pPr>
    </w:p>
    <w:p>
      <w:pPr>
        <w:ind w:left="1040" w:right="280" w:hanging="519"/>
        <w:spacing w:after="0" w:line="26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Manufacturing commercial supplies of products. </w:t>
      </w:r>
      <w:r>
        <w:rPr>
          <w:rFonts w:ascii="Arial" w:cs="Arial" w:eastAsia="Arial" w:hAnsi="Arial"/>
          <w:sz w:val="18"/>
          <w:szCs w:val="18"/>
          <w:color w:val="auto"/>
        </w:rPr>
        <w:t>This deliverable is satisfied and revenue is recognized as supplies are shipped for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use during the commercialization period. As this deliverable is considered a contingent deliverable, it is outside the scope of the initial allocation of upfront and other consideration.</w:t>
      </w:r>
    </w:p>
    <w:p>
      <w:pPr>
        <w:spacing w:after="0" w:line="68" w:lineRule="exact"/>
        <w:rPr>
          <w:rFonts w:ascii="Arial" w:cs="Arial" w:eastAsia="Arial" w:hAnsi="Arial"/>
          <w:sz w:val="18"/>
          <w:szCs w:val="18"/>
          <w:color w:val="auto"/>
        </w:rPr>
      </w:pPr>
    </w:p>
    <w:p>
      <w:pPr>
        <w:ind w:left="1040" w:right="300" w:hanging="519"/>
        <w:spacing w:after="0" w:line="282"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Committee service. </w:t>
      </w:r>
      <w:r>
        <w:rPr>
          <w:rFonts w:ascii="Arial" w:cs="Arial" w:eastAsia="Arial" w:hAnsi="Arial"/>
          <w:sz w:val="18"/>
          <w:szCs w:val="18"/>
          <w:color w:val="auto"/>
        </w:rPr>
        <w:t>This deliverable is satisfied and revenue is recognized throughout the course of the various agreements as meetings are</w:t>
      </w:r>
      <w:r>
        <w:rPr>
          <w:rFonts w:ascii="Arial" w:cs="Arial" w:eastAsia="Arial" w:hAnsi="Arial"/>
          <w:sz w:val="18"/>
          <w:szCs w:val="18"/>
          <w:b w:val="1"/>
          <w:bCs w:val="1"/>
          <w:color w:val="auto"/>
        </w:rPr>
        <w:t xml:space="preserve"> </w:t>
      </w:r>
      <w:r>
        <w:rPr>
          <w:rFonts w:ascii="Arial" w:cs="Arial" w:eastAsia="Arial" w:hAnsi="Arial"/>
          <w:sz w:val="18"/>
          <w:szCs w:val="18"/>
          <w:color w:val="auto"/>
        </w:rPr>
        <w:t>attended.</w:t>
      </w:r>
    </w:p>
    <w:p>
      <w:pPr>
        <w:spacing w:after="0" w:line="166"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Under the terms of the U.S./RoW Agreement, AstraZeneca has agreed to pay upfront, non-contingent and time-based payments totaling $374.0 million, which we expect to receive in various amounts through June 2016, of which $82.0 million was received as of December 31, 2013 and was determined to be fixed and determinable upon the execution of the collaboration agreement. Out of the remaining payments of $292.0 million, which are contractually due, $230.0 million have extended payment terms and, accordingly, were not considered to be fixed or determinable upon the execution of the agreement. As such, for these remaining payments, the amount of revenue recognized is limited to the amount of cash consideration received; additionally, for each of the amounts received, the amount of revenue recognized is determined on the basis of applying the relative selling price method to each of the units of accounting underlying the agreement. Further, $62.0 million of the remaining payment is contingent upon the occurrence of a specified event and accordingly is also not considered fixed or determinable.</w:t>
      </w:r>
    </w:p>
    <w:p>
      <w:pPr>
        <w:spacing w:after="0" w:line="19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Under the U.S./RoW Agreement, we are also eligible to receive from AstraZeneca an aggregate of approximately $875.0 million in potential milestone payments, comprised of (i) up to $65.0 million in substantive milestone payments upon achievement of specified clinical and development milestone events,</w:t>
      </w:r>
    </w:p>
    <w:p>
      <w:pPr>
        <w:ind w:right="100" w:firstLine="8"/>
        <w:spacing w:after="0" w:line="277"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up to $325.0 million in substantive milestone payments upon achievement of specified regulatory milestone events, (iii) up to $160.0 million in a non-substantive deferred approval milestone, which would be paid if certain competitors do not launch a HIF compound in the U.S. on or before January 1, 2023, and (iv) up to approximately $325.0 million in milestone payments upon the achievement of specified commercial sales events.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 units of accounting that were analyzed, along with their general timing of delivery or performance of service and general timing of revenue recognition, are as follows:</w:t>
      </w:r>
    </w:p>
    <w:p>
      <w:pPr>
        <w:spacing w:after="0" w:line="58" w:lineRule="exact"/>
        <w:rPr>
          <w:sz w:val="20"/>
          <w:szCs w:val="20"/>
          <w:color w:val="auto"/>
        </w:rPr>
      </w:pPr>
    </w:p>
    <w:p>
      <w:pPr>
        <w:ind w:left="1040" w:right="60" w:hanging="519"/>
        <w:spacing w:after="0" w:line="274"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License to our technology existing at the effective date of the agreement. </w:t>
      </w:r>
      <w:r>
        <w:rPr>
          <w:rFonts w:ascii="Arial" w:cs="Arial" w:eastAsia="Arial" w:hAnsi="Arial"/>
          <w:sz w:val="17"/>
          <w:szCs w:val="17"/>
          <w:color w:val="auto"/>
        </w:rPr>
        <w:t>The license was delivered at the beginning of the agreement term</w:t>
      </w:r>
      <w:r>
        <w:rPr>
          <w:rFonts w:ascii="Arial" w:cs="Arial" w:eastAsia="Arial" w:hAnsi="Arial"/>
          <w:sz w:val="17"/>
          <w:szCs w:val="17"/>
          <w:b w:val="1"/>
          <w:bCs w:val="1"/>
          <w:color w:val="auto"/>
        </w:rPr>
        <w:t xml:space="preserve"> </w:t>
      </w:r>
      <w:r>
        <w:rPr>
          <w:rFonts w:ascii="Arial" w:cs="Arial" w:eastAsia="Arial" w:hAnsi="Arial"/>
          <w:sz w:val="17"/>
          <w:szCs w:val="17"/>
          <w:color w:val="auto"/>
        </w:rPr>
        <w:t>as all contingencies had been removed. However, the China Agreement with AstraZeneca has contractual limitations that might affect AstraZeneca’s ability to exploit the license and therefore, potentially, the conclusion as to whether the license provides stand-alone value. In the China Agreement, AstraZeneca does not have the right to manufacture commercial supplies of the drug. In order to determine whether this characteristic of the arrangement should lead to a conclusion that the license did not have stand-alone value, we considered the intent of the parties and the substantive reasons that led to that feature of the agreement.</w:t>
      </w:r>
    </w:p>
    <w:p>
      <w:pPr>
        <w:spacing w:after="0" w:line="69" w:lineRule="exact"/>
        <w:rPr>
          <w:rFonts w:ascii="Arial" w:cs="Arial" w:eastAsia="Arial" w:hAnsi="Arial"/>
          <w:sz w:val="17"/>
          <w:szCs w:val="17"/>
          <w:color w:val="auto"/>
        </w:rPr>
      </w:pPr>
    </w:p>
    <w:p>
      <w:pPr>
        <w:ind w:left="1040" w:right="20"/>
        <w:spacing w:after="0" w:line="270" w:lineRule="auto"/>
        <w:rPr>
          <w:rFonts w:ascii="Arial" w:cs="Arial" w:eastAsia="Arial" w:hAnsi="Arial"/>
          <w:sz w:val="17"/>
          <w:szCs w:val="17"/>
          <w:color w:val="auto"/>
        </w:rPr>
      </w:pPr>
      <w:r>
        <w:rPr>
          <w:rFonts w:ascii="Arial" w:cs="Arial" w:eastAsia="Arial" w:hAnsi="Arial"/>
          <w:sz w:val="17"/>
          <w:szCs w:val="17"/>
          <w:color w:val="auto"/>
        </w:rPr>
        <w:t>For the China Agreement, we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Because the retention of manufacturing rights by us was a significant factor in the collaboration strategy, rather than simply a mechanism to properly compensate us, we concluded that the license and development services do not have stand-alone value apart from the manufacturing rights. Accordingly, all the deliverables identified, including co-development services, under the China Agreement have been treated as a single unit of account and all revenue allocable to this unit of account is deferred until delivery of commercial drug product has begun. Upon commencement of delivery of commercial drug product, revenue would be recognized in a pattern consistent with estimated deliveries of the commercial drug product.</w:t>
      </w:r>
    </w:p>
    <w:p>
      <w:pPr>
        <w:spacing w:after="0" w:line="182"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Under the terms of the China Agreement, AstraZeneca agreed to pay upfront consideration totaling $28.2 million, of which $16.2 million was received as of December 31, 2013 and was determined to be fixed and determinable upon the execution of the collaboration agreement. The remainder of the upfront payments of $12.0 million had extended payment terms and, accordingly, is not considered to be fixed or determinable upon the execution of the agreement. This payment of $12.0 million was received as of March 31, 2014.</w:t>
      </w:r>
    </w:p>
    <w:p>
      <w:pPr>
        <w:spacing w:after="0" w:line="18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Under the China Agreement, we are also eligible to receive from AstraZeneca an aggregate of approximately $328.5 million in potential milestone payments, comprised of (i) up to $15.0 million in substantive milestone payments upon achievement of specified clinical and development milestone events,</w:t>
      </w:r>
    </w:p>
    <w:p>
      <w:pPr>
        <w:ind w:right="200" w:firstLine="8"/>
        <w:spacing w:after="0" w:line="261"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 to $146.0 million in substantive milestone payments upon achievement of specified regulatory milestone events, and (iii) up to approximately $167.5 million in milestone payments upon the achievement of specified commercial sales events.</w:t>
      </w:r>
    </w:p>
    <w:p>
      <w:pPr>
        <w:spacing w:after="0" w:line="184"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 we are accounting for both the U.S./RoW and China Agreements as one arrangement, any consideration received after the initial proceeds on the agreement signing date were also (and will be also) allocated to the various units of accounting above using the relative selling price method under ASC 605-25-30-2 and 30-5.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Revenue Recognized Under the Collaboration Agreements</w:t>
      </w:r>
    </w:p>
    <w:p>
      <w:pPr>
        <w:spacing w:after="0" w:line="11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table below summarizes the accounting treatment for the various deliverables pursuant to each of the Astellas and AstraZeneca agreements. License amounts identified below are included in the “License and milestone revenue” line item in the condensed consolidated statements of operations. All other elements identified below are included in the “Collaboration services and other revenue” line item in the condensed consolidated statements of operations.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recognized as revenue under the Japan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Deliverable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ind w:left="120"/>
              <w:spacing w:after="0"/>
              <w:rPr>
                <w:sz w:val="20"/>
                <w:szCs w:val="20"/>
                <w:color w:val="auto"/>
              </w:rPr>
            </w:pPr>
            <w:r>
              <w:rPr>
                <w:rFonts w:ascii="Arial" w:cs="Arial" w:eastAsia="Arial" w:hAnsi="Arial"/>
                <w:sz w:val="14"/>
                <w:szCs w:val="14"/>
                <w:b w:val="1"/>
                <w:bCs w:val="1"/>
                <w:color w:val="auto"/>
              </w:rPr>
              <w:t>Quarter Ended September 30,</w:t>
            </w:r>
          </w:p>
        </w:tc>
        <w:tc>
          <w:tcPr>
            <w:tcW w:w="14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60" w:type="dxa"/>
            <w:vAlign w:val="bottom"/>
            <w:vMerge w:val="continue"/>
          </w:tcPr>
          <w:p>
            <w:pPr>
              <w:spacing w:after="0"/>
              <w:rPr>
                <w:sz w:val="13"/>
                <w:szCs w:val="13"/>
                <w:color w:val="auto"/>
              </w:rPr>
            </w:pPr>
          </w:p>
        </w:tc>
        <w:tc>
          <w:tcPr>
            <w:tcW w:w="374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00" w:type="dxa"/>
            <w:vAlign w:val="bottom"/>
            <w:tcBorders>
              <w:top w:val="single" w:sz="8" w:color="CFF0FC"/>
            </w:tcBorders>
            <w:shd w:val="clear" w:color="auto" w:fill="CFF0FC"/>
          </w:tcPr>
          <w:p>
            <w:pPr>
              <w:spacing w:after="0"/>
              <w:rPr>
                <w:sz w:val="19"/>
                <w:szCs w:val="19"/>
                <w:color w:val="auto"/>
              </w:rPr>
            </w:pPr>
          </w:p>
        </w:tc>
        <w:tc>
          <w:tcPr>
            <w:tcW w:w="3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Milestones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license and milestone revenue</w:t>
            </w:r>
          </w:p>
        </w:tc>
        <w:tc>
          <w:tcPr>
            <w:tcW w:w="10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Collaboration services revenue*</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Japan Agreement,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Cumulative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Through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Revenue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License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When and if available compounds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Committee services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20" w:right="80" w:hanging="512"/>
        <w:spacing w:after="0" w:line="26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When and if available compounds, manufacturing—clinical supplies and committee services have each been identified as separate units of accounting with standalone value and amounts allocable to these elements have been recognized and classified within the collaboration services revenue line item within the condensed consolidated statements of operations.</w:t>
      </w:r>
    </w:p>
    <w:p>
      <w:pPr>
        <w:spacing w:after="0" w:line="194"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Amounts recognized as revenue under the Europe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100" w:type="dxa"/>
            <w:vAlign w:val="bottom"/>
            <w:vMerge w:val="restart"/>
          </w:tcPr>
          <w:p>
            <w:pPr>
              <w:spacing w:after="0"/>
              <w:rPr>
                <w:sz w:val="14"/>
                <w:szCs w:val="14"/>
                <w:color w:val="auto"/>
              </w:rPr>
            </w:pPr>
          </w:p>
        </w:tc>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Deliverable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ind w:left="120"/>
              <w:spacing w:after="0"/>
              <w:rPr>
                <w:sz w:val="20"/>
                <w:szCs w:val="20"/>
                <w:color w:val="auto"/>
              </w:rPr>
            </w:pPr>
            <w:r>
              <w:rPr>
                <w:rFonts w:ascii="Arial" w:cs="Arial" w:eastAsia="Arial" w:hAnsi="Arial"/>
                <w:sz w:val="14"/>
                <w:szCs w:val="14"/>
                <w:b w:val="1"/>
                <w:bCs w:val="1"/>
                <w:color w:val="auto"/>
              </w:rPr>
              <w:t>Quarter Ended September 30,</w:t>
            </w:r>
          </w:p>
        </w:tc>
        <w:tc>
          <w:tcPr>
            <w:tcW w:w="14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10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4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0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48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License</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13,730</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Milestones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0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4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license and milestone revenue</w:t>
            </w: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4,706</w:t>
            </w:r>
          </w:p>
        </w:tc>
        <w:tc>
          <w:tcPr>
            <w:tcW w:w="2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3,387</w:t>
            </w: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13,730</w:t>
            </w:r>
          </w:p>
        </w:tc>
        <w:tc>
          <w:tcPr>
            <w:tcW w:w="20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9,617</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Collaboration services revenue*</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2,065</w:t>
            </w:r>
          </w:p>
        </w:tc>
        <w:tc>
          <w:tcPr>
            <w:tcW w:w="2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Europe Agreement, along with any associated deferred revenue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Cumulative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Through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Revenue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License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397,369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397,369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When and if available compounds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Development services--in progress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Committee services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439,113</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439,756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20" w:right="160" w:hanging="512"/>
        <w:spacing w:after="0" w:line="259"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and if available compounds, manufacturing—clinical supplies, development services—in progress at the time of signing of the agreement, and committee services have each been identified as a separate unit of accounting with standalone value and amounts allocable to these units have been recognized in revenue as services are performed and classified within the collaboration services revenue line item within the condensed consolidated statements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recognized as revenue under the U.S./RoW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100" w:type="dxa"/>
            <w:vAlign w:val="bottom"/>
            <w:vMerge w:val="restart"/>
          </w:tcPr>
          <w:p>
            <w:pPr>
              <w:spacing w:after="0"/>
              <w:rPr>
                <w:sz w:val="14"/>
                <w:szCs w:val="14"/>
                <w:color w:val="auto"/>
              </w:rPr>
            </w:pPr>
          </w:p>
        </w:tc>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Deliverable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ind w:left="120"/>
              <w:spacing w:after="0"/>
              <w:rPr>
                <w:sz w:val="20"/>
                <w:szCs w:val="20"/>
                <w:color w:val="auto"/>
              </w:rPr>
            </w:pPr>
            <w:r>
              <w:rPr>
                <w:rFonts w:ascii="Arial" w:cs="Arial" w:eastAsia="Arial" w:hAnsi="Arial"/>
                <w:sz w:val="14"/>
                <w:szCs w:val="14"/>
                <w:b w:val="1"/>
                <w:bCs w:val="1"/>
                <w:color w:val="auto"/>
              </w:rPr>
              <w:t>Quarter Ended September 30,</w:t>
            </w:r>
          </w:p>
        </w:tc>
        <w:tc>
          <w:tcPr>
            <w:tcW w:w="14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10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4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060" w:type="dxa"/>
            <w:vAlign w:val="bottom"/>
            <w:shd w:val="clear" w:color="auto" w:fill="CFF0FC"/>
          </w:tcPr>
          <w:p>
            <w:pPr>
              <w:spacing w:after="0"/>
              <w:rPr>
                <w:sz w:val="20"/>
                <w:szCs w:val="20"/>
                <w:color w:val="auto"/>
              </w:rPr>
            </w:pPr>
            <w:r>
              <w:rPr>
                <w:rFonts w:ascii="Arial" w:cs="Arial" w:eastAsia="Arial" w:hAnsi="Arial"/>
                <w:sz w:val="18"/>
                <w:szCs w:val="18"/>
                <w:color w:val="auto"/>
              </w:rPr>
              <w:t>U.S. / RoW</w:t>
            </w:r>
          </w:p>
        </w:tc>
        <w:tc>
          <w:tcPr>
            <w:tcW w:w="48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License</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7,925</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101,758</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Milestones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0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4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license and milestone revenue</w:t>
            </w: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7,925</w:t>
            </w:r>
          </w:p>
        </w:tc>
        <w:tc>
          <w:tcPr>
            <w:tcW w:w="2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5,521</w:t>
            </w: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116,758</w:t>
            </w:r>
          </w:p>
        </w:tc>
        <w:tc>
          <w:tcPr>
            <w:tcW w:w="20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96,209</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Collaboration services revenue*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5,614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22,694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12,769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shd w:val="clear" w:color="auto" w:fill="CFF0FC"/>
          </w:tcPr>
          <w:p>
            <w:pPr>
              <w:spacing w:after="0"/>
              <w:rPr>
                <w:sz w:val="21"/>
                <w:szCs w:val="21"/>
                <w:color w:val="auto"/>
              </w:rPr>
            </w:pPr>
          </w:p>
        </w:tc>
        <w:tc>
          <w:tcPr>
            <w:tcW w:w="48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China single unit of accounting**</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U.S./RoW Agreement,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Cumulative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Through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Revenue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License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Co-development, information sharing</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&amp; committee services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43,160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41,097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84,257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China-single unit of accounting</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418,482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right="100" w:hanging="512"/>
        <w:spacing w:after="0" w:line="25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Co-development, information sharing, and committee services have been combined into a single unit of accounting because the requirements to share information and serve on committees are useful only in combination with the development services, and because all three items are delivered over the same period while manufacturing—clinical supplies has been identified as a separate unit of accounting with standalone value and amounts allocable to this unit of accounting have been recognized and classified within the collaboration services revenue line item within the condensed consolidated statements of operations.</w:t>
      </w:r>
    </w:p>
    <w:p>
      <w:pPr>
        <w:spacing w:after="0" w:line="4" w:lineRule="exact"/>
        <w:rPr>
          <w:sz w:val="20"/>
          <w:szCs w:val="20"/>
          <w:color w:val="auto"/>
        </w:rPr>
      </w:pPr>
    </w:p>
    <w:p>
      <w:pPr>
        <w:ind w:left="520" w:right="140" w:hanging="512"/>
        <w:spacing w:after="0" w:line="26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revenues attributable to the China unit of accounting are deferred until all deliverables are met. The China license and collaboration services elements have been combined into a single unit of accounting and consideration allocable to this unit is being deferred due to FibroGen’s retention of manufacturing rights and lack of standalone value.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revenues consist of royalty payments received, which are recorded on a monthly basis as they are reported to us, and collagen feasibility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were immaterial for all periods presented.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Deferred revenue represents amounts billed to our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deliverables. The long term portion of deferred revenue represents amounts to be recognized after one year through the end of the non-contingent performance period of the underlying deliverables.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fair values of our financial assets that are measured on a recurring basis are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4"/>
                <w:szCs w:val="14"/>
                <w:b w:val="1"/>
                <w:bCs w:val="1"/>
                <w:color w:val="auto"/>
              </w:rPr>
              <w:t>September 30, 2015</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132,439</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132,439</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Equity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104,694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104,694</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Certificate of deposits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16,690</w:t>
            </w:r>
          </w:p>
        </w:tc>
        <w:tc>
          <w:tcPr>
            <w:tcW w:w="12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121,570</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132,439</w:t>
            </w: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254,009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5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53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158,432</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FF0FC"/>
          </w:tcPr>
          <w:p>
            <w:pPr>
              <w:spacing w:after="0"/>
              <w:rPr>
                <w:sz w:val="19"/>
                <w:szCs w:val="19"/>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158,432</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Equity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13,802</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13,802</w:t>
            </w:r>
          </w:p>
        </w:tc>
        <w:tc>
          <w:tcPr>
            <w:tcW w:w="120" w:type="dxa"/>
            <w:vAlign w:val="bottom"/>
            <w:shd w:val="clear" w:color="auto" w:fill="CFF0FC"/>
          </w:tcPr>
          <w:p>
            <w:pPr>
              <w:spacing w:after="0"/>
              <w:rPr>
                <w:sz w:val="19"/>
                <w:szCs w:val="19"/>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14,003</w:t>
            </w:r>
          </w:p>
        </w:tc>
        <w:tc>
          <w:tcPr>
            <w:tcW w:w="1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158,432</w:t>
            </w:r>
          </w:p>
        </w:tc>
        <w:tc>
          <w:tcPr>
            <w:tcW w:w="180" w:type="dxa"/>
            <w:vAlign w:val="bottom"/>
          </w:tcPr>
          <w:p>
            <w:pPr>
              <w:spacing w:after="0"/>
              <w:rPr>
                <w:sz w:val="19"/>
                <w:szCs w:val="19"/>
                <w:color w:val="auto"/>
              </w:rPr>
            </w:pPr>
          </w:p>
        </w:tc>
        <w:tc>
          <w:tcPr>
            <w:tcW w:w="800" w:type="dxa"/>
            <w:vAlign w:val="bottom"/>
          </w:tcPr>
          <w:p>
            <w:pPr>
              <w:jc w:val="right"/>
              <w:ind w:right="646"/>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spacing w:after="0"/>
              <w:rPr>
                <w:sz w:val="19"/>
                <w:szCs w:val="19"/>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172,435</w:t>
            </w:r>
          </w:p>
        </w:tc>
        <w:tc>
          <w:tcPr>
            <w:tcW w:w="12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20" w:firstLine="518"/>
        <w:spacing w:after="0" w:line="259" w:lineRule="auto"/>
        <w:rPr>
          <w:sz w:val="20"/>
          <w:szCs w:val="20"/>
          <w:color w:val="auto"/>
        </w:rPr>
      </w:pPr>
      <w:r>
        <w:rPr>
          <w:rFonts w:ascii="Arial" w:cs="Arial" w:eastAsia="Arial" w:hAnsi="Arial"/>
          <w:sz w:val="18"/>
          <w:szCs w:val="18"/>
          <w:color w:val="auto"/>
        </w:rPr>
        <w:t>Our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values of our financial liabilities that are carried at historical cost are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780" w:type="dxa"/>
            <w:vAlign w:val="bottom"/>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97,393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97,393</w:t>
            </w:r>
          </w:p>
        </w:tc>
        <w:tc>
          <w:tcPr>
            <w:tcW w:w="120" w:type="dxa"/>
            <w:vAlign w:val="bottom"/>
            <w:shd w:val="clear" w:color="auto" w:fill="CFF0FC"/>
          </w:tcPr>
          <w:p>
            <w:pPr>
              <w:spacing w:after="0"/>
              <w:rPr>
                <w:sz w:val="19"/>
                <w:szCs w:val="19"/>
                <w:color w:val="auto"/>
              </w:rPr>
            </w:pPr>
          </w:p>
        </w:tc>
      </w:tr>
      <w:tr>
        <w:trPr>
          <w:trHeight w:val="446"/>
        </w:trPr>
        <w:tc>
          <w:tcPr>
            <w:tcW w:w="53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476"/>
              <w:spacing w:after="0"/>
              <w:rPr>
                <w:sz w:val="20"/>
                <w:szCs w:val="20"/>
                <w:color w:val="auto"/>
              </w:rPr>
            </w:pPr>
            <w:r>
              <w:rPr>
                <w:rFonts w:ascii="Arial" w:cs="Arial" w:eastAsia="Arial" w:hAnsi="Arial"/>
                <w:sz w:val="14"/>
                <w:szCs w:val="14"/>
                <w:b w:val="1"/>
                <w:bCs w:val="1"/>
                <w:color w:val="auto"/>
              </w:rPr>
              <w:t>December 31, 2014</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53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Cease-use liability</w:t>
            </w:r>
          </w:p>
        </w:tc>
        <w:tc>
          <w:tcPr>
            <w:tcW w:w="780" w:type="dxa"/>
            <w:vAlign w:val="bottom"/>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 financing obligations</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97,221</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97,221</w:t>
            </w:r>
          </w:p>
        </w:tc>
        <w:tc>
          <w:tcPr>
            <w:tcW w:w="12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97,405</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The fair values of our financial liabilities were derived by using an income approach, which required Level 3 inputs such as discounted estimated future cash flows.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of assets or liabilities between levels for any of the periods presented.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4.</w:t>
            </w:r>
          </w:p>
        </w:tc>
        <w:tc>
          <w:tcPr>
            <w:tcW w:w="5200" w:type="dxa"/>
            <w:vAlign w:val="bottom"/>
            <w:gridSpan w:val="2"/>
          </w:tcPr>
          <w:p>
            <w:pPr>
              <w:ind w:left="180"/>
              <w:spacing w:after="0"/>
              <w:rPr>
                <w:sz w:val="20"/>
                <w:szCs w:val="20"/>
                <w:color w:val="auto"/>
              </w:rPr>
            </w:pPr>
            <w:r>
              <w:rPr>
                <w:rFonts w:ascii="Arial" w:cs="Arial" w:eastAsia="Arial" w:hAnsi="Arial"/>
                <w:sz w:val="18"/>
                <w:szCs w:val="18"/>
                <w:b w:val="1"/>
                <w:bCs w:val="1"/>
                <w:color w:val="auto"/>
              </w:rPr>
              <w:t>Balance Sheet Components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w w:val="91"/>
              </w:rPr>
              <w:t>Cash and cash equivalents consisted of the following (in thousands):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20" w:type="dxa"/>
            <w:vAlign w:val="bottom"/>
            <w:tcBorders>
              <w:bottom w:val="single" w:sz="8" w:color="CFF0FC"/>
            </w:tcBorders>
          </w:tcPr>
          <w:p>
            <w:pPr>
              <w:spacing w:after="0"/>
              <w:rPr>
                <w:sz w:val="14"/>
                <w:szCs w:val="14"/>
                <w:color w:val="auto"/>
              </w:rPr>
            </w:pPr>
          </w:p>
        </w:tc>
        <w:tc>
          <w:tcPr>
            <w:tcW w:w="17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151,653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Certificates of deposits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104,694</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Total cash and cash equivalents</w:t>
            </w:r>
          </w:p>
        </w:tc>
        <w:tc>
          <w:tcPr>
            <w:tcW w:w="1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208,650</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165,455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40" w:type="dxa"/>
            <w:vAlign w:val="bottom"/>
            <w:vMerge w:val="restart"/>
          </w:tcPr>
          <w:p>
            <w:pPr>
              <w:jc w:val="right"/>
              <w:ind w:right="13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All investments are classified as available-for-sale. The amortized cost, gross unrealized holding gains or losses, and fair value of our available-for-sale investments by major investments type are summarized in the tables below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9"/>
              </w:rPr>
              <w:t>September 30, 2015</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Amortized Cost</w:t>
            </w:r>
          </w:p>
        </w:tc>
        <w:tc>
          <w:tcPr>
            <w:tcW w:w="180" w:type="dxa"/>
            <w:vAlign w:val="bottom"/>
          </w:tcPr>
          <w:p>
            <w:pPr>
              <w:spacing w:after="0"/>
              <w:rPr>
                <w:sz w:val="11"/>
                <w:szCs w:val="11"/>
                <w:color w:val="auto"/>
              </w:rPr>
            </w:pPr>
          </w:p>
        </w:tc>
        <w:tc>
          <w:tcPr>
            <w:tcW w:w="11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180" w:type="dxa"/>
            <w:vAlign w:val="bottom"/>
          </w:tcPr>
          <w:p>
            <w:pPr>
              <w:spacing w:after="0"/>
              <w:rPr>
                <w:sz w:val="11"/>
                <w:szCs w:val="11"/>
                <w:color w:val="auto"/>
              </w:rPr>
            </w:pPr>
          </w:p>
        </w:tc>
        <w:tc>
          <w:tcPr>
            <w:tcW w:w="130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Holding Gains</w:t>
            </w:r>
          </w:p>
        </w:tc>
        <w:tc>
          <w:tcPr>
            <w:tcW w:w="18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Holding Losses</w:t>
            </w:r>
          </w:p>
        </w:tc>
        <w:tc>
          <w:tcPr>
            <w:tcW w:w="1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132,302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132,439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Certificated of deposits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Total investments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140,643</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December 31, 2014</w:t>
            </w: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Amortized Cost</w:t>
            </w:r>
          </w:p>
        </w:tc>
        <w:tc>
          <w:tcPr>
            <w:tcW w:w="180" w:type="dxa"/>
            <w:vAlign w:val="bottom"/>
          </w:tcPr>
          <w:p>
            <w:pPr>
              <w:spacing w:after="0"/>
              <w:rPr>
                <w:sz w:val="11"/>
                <w:szCs w:val="11"/>
                <w:color w:val="auto"/>
              </w:rPr>
            </w:pPr>
          </w:p>
        </w:tc>
        <w:tc>
          <w:tcPr>
            <w:tcW w:w="11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180" w:type="dxa"/>
            <w:vAlign w:val="bottom"/>
          </w:tcPr>
          <w:p>
            <w:pPr>
              <w:spacing w:after="0"/>
              <w:rPr>
                <w:sz w:val="11"/>
                <w:szCs w:val="11"/>
                <w:color w:val="auto"/>
              </w:rPr>
            </w:pPr>
          </w:p>
        </w:tc>
        <w:tc>
          <w:tcPr>
            <w:tcW w:w="130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Holding Gains</w:t>
            </w:r>
          </w:p>
        </w:tc>
        <w:tc>
          <w:tcPr>
            <w:tcW w:w="18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Holding Losses</w:t>
            </w:r>
          </w:p>
        </w:tc>
        <w:tc>
          <w:tcPr>
            <w:tcW w:w="1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158,692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Equity investments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158,816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At September 30, 2015, all of the available-for-sale investments had contractual maturities within four years. We periodically review our available-for-sale investments for other-than-temporary impairment. We consider factors such as the duration, severity and the reason for the decline in value, the potential recovery period and our intent to sell. For debt securities, we also consider whether (i) it is more likely than not that we will be required to sell the debt securities before recovery of their amortized cost basis, and (ii) the amortized cost basis cannot be recovered as a result of credit losses. During the quarters and nine months ended September 30, 2015 and 2014, we did not recognize any other-than-temporary impairment loss.</w:t>
      </w:r>
    </w:p>
    <w:p>
      <w:pPr>
        <w:spacing w:after="0" w:line="15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At September 30, 2015, a total of $29.2 million of our cash and cash equivalents were held outside of the U.S. in our foreign subsidiaries to be used primarily for our China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25,418</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15,608</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41,774</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48,985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Stock-based compensation expense was allocated to research and development and general and administrative expense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40" w:type="dxa"/>
            <w:vAlign w:val="bottom"/>
            <w:gridSpan w:val="5"/>
          </w:tcPr>
          <w:p>
            <w:pPr>
              <w:jc w:val="right"/>
              <w:ind w:right="214"/>
              <w:spacing w:after="0"/>
              <w:rPr>
                <w:sz w:val="20"/>
                <w:szCs w:val="20"/>
                <w:color w:val="auto"/>
              </w:rPr>
            </w:pPr>
            <w:r>
              <w:rPr>
                <w:rFonts w:ascii="Arial" w:cs="Arial" w:eastAsia="Arial" w:hAnsi="Arial"/>
                <w:sz w:val="14"/>
                <w:szCs w:val="14"/>
                <w:b w:val="1"/>
                <w:bCs w:val="1"/>
                <w:color w:val="auto"/>
              </w:rPr>
              <w:t>Quarter Ended 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06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4,105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2,739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6,844</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20,232</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9,734</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0" w:type="dxa"/>
            <w:vAlign w:val="bottom"/>
            <w:gridSpan w:val="2"/>
          </w:tcPr>
          <w:p>
            <w:pPr>
              <w:jc w:val="right"/>
              <w:ind w:right="367"/>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weighted-average assumptions used to estimate the fair value of stock options using the Black-Scholes option valuation model and the resulting weighted average fair value of stock options granted were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8"/>
              </w:rPr>
              <w:t>Quarter Ended 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13.47</w:t>
            </w:r>
          </w:p>
        </w:tc>
        <w:tc>
          <w:tcPr>
            <w:tcW w:w="20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16.21</w:t>
            </w:r>
          </w:p>
        </w:tc>
        <w:tc>
          <w:tcPr>
            <w:tcW w:w="20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Employee Stock Purchase Plans</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9.75</w:t>
            </w:r>
          </w:p>
        </w:tc>
        <w:tc>
          <w:tcPr>
            <w:tcW w:w="20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provision for income taxes for the quarter ended September 30, 2015 is due to foreign withholding taxes. The benefit for income taxes for the nine months ended September 30, 2015 is due to the discrete tax effect arising from other comprehensive income related to available-for-sale securities, partially offset by foreign withholding taxes. We did not record a provision for income taxes for the quarter and nine months ended September 30, 2014 as we generated a net operating loss for the year ended December 31, 2014.</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366"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Astellas is an equity investor of ours and, therefore, considered a related party. We recorded revenue related to collaboration agreements with Astellas of $6.0 million and $4.4 million during the quarter ended September 30, 2015 and 2014 and $16.9 million and $12.5 million during the nine months ended September 30, 2015 and 2014. We recorded expense related to collaboration agreements with Astellas of $3.4 million and $2.6 million during the quarter ended September 30, 2015 and 2014 and $7.8 million and $7.1 million during the nine months ended September 30, 2015 and 2014.</w:t>
      </w:r>
    </w:p>
    <w:p>
      <w:pPr>
        <w:spacing w:after="0" w:line="154"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As of September 30, 2015 and December 31, 2014, accounts receivable from Astellas were $5.5 million and $5.0 million and amounts due to Astellas were $3.4 million and $4.3 million.</w:t>
      </w:r>
    </w:p>
    <w:p>
      <w:pPr>
        <w:spacing w:after="0" w:line="170"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Julian N. Stern, a director of ours since November 1996, is of counsel to the law firm of Goodwin Procter LLP, which he joined in 2008. He has received, and continues to receive, no compensation from Goodwin Procter LLP since joining it as of counsel. We retain Goodwin Procter LLP as legal counsel for various matters, primarily consisting of intellectual property. During the quarters and nine months ended September 30, 2015 and 2014, the payments made by us to Goodwin Procter LLP were not material. As of September 30, 2015 and December 31, 2014, amounts due to Goodwin Proctor LLP were not material.</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 filings, including our Annual Report on Form 10-K for the year ended December 31, 2014 filed with the SEC on March 26,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(the “Exchange Act”), Section 27A of the Securities Act of 1933, as amended (the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were incorporated in 1993 in Delaware and are a research-based, biopharmaceutical company focused on the discovery, development and commercialization of novel therapeutics to treat serious unmet medical needs. We have capitalized on our extensive experience in fibrosis and hypoxia-inducible factor (“HIF”) biology to generate multiple programs targeting various therapeutic areas. Roxadustat, or FG-4592, is an oral small molecule inhibitor of HIF prolyl hydroxylases (“HIF-PHs”) in Phase 3 clinical development for the treatment of anemia in chronic kidney disease (“CKD”). FG-3019 is our monoclonal antibody in Phase 2 clinical development for the treatment of idiopathic pulmonary fibrosis (“IPF”), pancreatic cancer, Duchenne muscular dystrophy (“DMD”) and liver fibrosis. We have taken a global approach with respect to our product candidates, and this includes development and commercialization of product candidates in the People’s Republic of China (“China”).</w:t>
      </w:r>
    </w:p>
    <w:p>
      <w:pPr>
        <w:spacing w:after="0" w:line="178"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On November 10, 2014, we effected a 1-for-2.5 reverse split of our common stock. Upon the effectiveness of the reverse stock split, (i) every 2.5 shares of outstanding common stock were combined into one share of common stock, (ii) the number of shares of common stock for which each outstanding option or warrant to purchase common stock is exercisable was proportionally decreased on a 1-for-2.5 basis, (iii) the exercise price of each outstanding option or warrant to purchase common stock was proportionately increased on a 1-for- 2.5 basis, (iv) the exchange ratio for each share of outstanding FibroGen Europe Oy (“FibroGen Europe”) share of stock which is exchangeable into our common stock was proportionately reduced on a 1-for-2.5 basis, and (v) the conversion ratio for each share of outstanding preferred stock which is convertible into our common stock was proportionately reduced on a 1-for-2.5 basis. All of the outstanding common stock share numbers (including shares of common stock which our outstanding preferred stock shares were convertible into), common stock warrants, share prices, exercise prices and per share amounts have been adjusted in these condensed consolidated financial statements, on a retroactive basis, to reflect this 1-for-2.5 reverse stock split for all periods presented. The par value per share and the authorized number of shares of common stock and preferred stock were not adjusted as a result of the reverse stock split.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On November 19, 2014, we closed the initial public offering (“IPO”) of our common stock. In our IPO, we sold 9,315,000 shares of our common stock at a public offering price of $18.00 per share. Net proceeds from our IPO and concurrent private placement were $171.8 million, after deducting underwriting discounts and commissions of $11.7 million and offering expenses of $4.1 million. Concurrent with the closing of our IPO, AstraZeneca AB (“AstraZeneca”), one of our collaboration partners, purchased shares of our common stock in a private placement at a price per share equal to the IPO price for an aggregate purchase price of $20.0 million. Upon the closing of our IPO, all outstanding shares of our convertible preferred stock automatically converted into 33,919,954 shares of common stock and 958,996 shares of FibroGen Europe convertible preferred stock were converted into shares of our common stock. Our proceeds from the sale of the common stock sold in the concurrent private placement were $20.0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1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During the quarter and nine months ended September 30, 2015, we had a net loss of $45.1 million and $34.4 million, or net loss per basic and diluted share of $0.74 and $0.57. The increase in net loss for the quarter and nine months ended September 30, 2015 compared to the same periods a year ago is primarily due to higher operating expenses, partially offset by an increase in revenue. The decrease in net loss per basic and diluted share for the quarter and nine months ended September 30, 2015 compared to the same periods a year ago is primarily due to an increase in the weighted average number of common shares outstanding as a result of the IPO. The increase in revenue is primarily due to an upfront payment of $120.0 million and a development milestone payment of $15.0 million received in the second quarter of 2015 under the collaboration agreements with AstraZeneca. The increase in operating expenses resulted primarily from the progression of our clinical trials and expenses to support our new requirements as a public company.</w:t>
      </w:r>
    </w:p>
    <w:p>
      <w:pPr>
        <w:spacing w:after="0" w:line="167"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color w:val="auto"/>
        </w:rPr>
        <w:t>Cash, cash equivalents, investments and accounts receivable, excluding restricted cash, totaled $356.9 million at September 30, 2015, an increase of $19.4 million from December 31, 2014, primarily due to payments received from AstraZeneca, partially offset by cash used in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first nine months of 2015, we continued to make progress in the development of our major programs.</w:t>
      </w:r>
    </w:p>
    <w:p>
      <w:pPr>
        <w:spacing w:after="0" w:line="225"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Roxadustat is the first HIF-PH inhibitor to enter Phase 3 clinical development and acts by stimulating the body’s natural pathway of erythropoiesis, or red blood cell production. We, along with our collaboration partners Astellas Pharma Inc. (“Astellas”) and AstraZeneca, continue to advance roxadustat through our global Phase 3 program, conducting seven studies designed to support regulatory approval of roxadustat in both dialysis-dependent CKD (“DD-CKD”) patients and CKD patients who are not dialysis-dependent (“NDD-CKD”) in multiple geographies. For the three FibroGen roxadustat Phase 3 studies, we remain on track to achieve our target enrollment goals as agreed upon with our partners, and we have reached over 80% of our cumulative target enrollment for these three studies. We currently anticipate submitting a New Drug Application (“NDA”) for roxadustat in the United States in 2018 and initiating submission of an NDA for roxadustat in China in 2016. In August 2015, we received Clinical Trial Application approval for our China Phase 3 clinical trials from the China Food and Drug Administration (“CFDA”). We are currently initiating clinical trial sites in China and expect to enroll subjects by year-end 2015.</w:t>
      </w:r>
    </w:p>
    <w:p>
      <w:pPr>
        <w:spacing w:after="0" w:line="19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FG-3019 is our fully-human monoclonal antibody that inhibits the activity of connective tissue growth factor (“CTGF”), a critical common element in the progression of fibrosis and associated serious diseases. We continue to expand the scope of our randomized, double-blind placebo-controlled Phase 2 trial in patients with IPF. This IPF trial initially targeted 90 subjects, but was expanded to analyze FG-3019 as a second line agent for subjects who had failed treatment with an approved therapy, such as Roche’s pirfenidone, which is approved for marketing in Europe, Canada, Japan and the United States, or Boehringer Ingelheim’s nintedanib, which has been approved in the United States and EU. However, the presence of approved therapies has made enrollment in our placebo-controlled Phase 2 IPF trial more challenging. Reaching our target enrollment of 90 subjects for FG-3019 as a first line therapy in the first half of 2016 is dependent upon our enrolling patients at sites in countries outside the United States where approved therapies do not exist or have not fully penetrated the market. We are activating sites in Canada, New Zealand, India, and South Africa, with additional sites pending in Australia, Bulgaria, and Romania. In addition, we are evaluating expanding this IPF trial to include one or more arms with approved therapies.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also continue to enroll an open-label Phase 2 trial in pancreatic cancer to determine whether FG-3019, in combination with gemcitabine and nab-paclitaxel, can convert stage 3 inoperable cancer to resectable, or operable, cancer. The abstract of this study’s early results has been accepted for presentation at the American Society of Clinical Oncology Gastrointestinal meeting, which will be held in January of 2016. We have enrolled 12 of a target enrollment of approximately 40 patients in this study. Of the seven patients who have completed the study to date, the three randomized to gemcitabine and nab-paclitaxel were not converted into operable cancer. Of the four patients randomized to FG-3019 plus standard of care, one discontinued therapy due to a serious adverse event unrelated to study drug and three were converted to operable cancer with two having complete resection (R0) and one having an R1 partial resection (positive microscopic resection margins).</w:t>
      </w:r>
    </w:p>
    <w:p>
      <w:pPr>
        <w:spacing w:after="0" w:line="178"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We have begun activating clinical trial sites to study FG-3019 in DMD in non-ambulatory patients. We have also had a pre-IND meeting with the FDA to discuss possible studies of FG-3019 in subjects with advanced liver fibrosis due to non-alcoholic steatohepatitis (“NASH”) or hepatitis C virus. We expect to submit an IND for a Phase 2 study of FG-3019 in NASH in the first quarter of 2016. To date, we have retained exclusive worldwide rights for FG-3019.</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are also currently pursuing our corneal implant FG-5200 for treatment of corneal blindness resulting from partial thickness corneal damage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780" w:firstLine="518"/>
        <w:spacing w:after="0" w:line="342" w:lineRule="auto"/>
        <w:rPr>
          <w:sz w:val="20"/>
          <w:szCs w:val="20"/>
          <w:color w:val="auto"/>
        </w:rPr>
      </w:pPr>
      <w:r>
        <w:rPr>
          <w:rFonts w:ascii="Arial" w:cs="Arial" w:eastAsia="Arial" w:hAnsi="Arial"/>
          <w:sz w:val="16"/>
          <w:szCs w:val="16"/>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w:t>
      </w:r>
    </w:p>
    <w:p>
      <w:pPr>
        <w:spacing w:after="0" w:line="117" w:lineRule="exact"/>
        <w:rPr>
          <w:sz w:val="20"/>
          <w:szCs w:val="20"/>
          <w:color w:val="auto"/>
        </w:rPr>
      </w:pPr>
    </w:p>
    <w:p>
      <w:pPr>
        <w:ind w:right="960" w:firstLine="518"/>
        <w:spacing w:after="0" w:line="264" w:lineRule="auto"/>
        <w:rPr>
          <w:sz w:val="20"/>
          <w:szCs w:val="20"/>
          <w:color w:val="auto"/>
        </w:rPr>
      </w:pPr>
      <w:r>
        <w:rPr>
          <w:rFonts w:ascii="Arial" w:cs="Arial" w:eastAsia="Arial" w:hAnsi="Arial"/>
          <w:sz w:val="18"/>
          <w:szCs w:val="18"/>
          <w:color w:val="auto"/>
        </w:rPr>
        <w:t>We have two agreements with Astellas for the development and commercialization of roxadustat, one for Japan, and one for Europe, the Commonwealth of Independent States, the Middle East and South Africa. Under these agreements, we provided Astellas the right to develop and commercialize roxadustat for anemia in these territories.</w:t>
      </w:r>
    </w:p>
    <w:p>
      <w:pPr>
        <w:spacing w:after="0" w:line="181"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We share responsibility with Astellas for clinical development activities required for United States and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7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Consideration under these agreements includes a total of $360.1 million in upfront and non-contingent payments, and milestone payments totaling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$557.5 million, of which $542.5 million are development and regulatory milestones, and $15.0 million are commercial-based milestones. Total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excluding development cost reimbursement and product sales-related payments, could reach $917.6 million. The aggregate amount of such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received through September 30, 2015 totals $462.6 million.</w:t>
      </w:r>
    </w:p>
    <w:p>
      <w:pPr>
        <w:spacing w:after="0" w:line="21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Additionally, under these agreements, Astellas pays 100% of the commercialization costs in its territories. Astellas will pay us a transfer price, based on net sales, in the low 20% range for our manufacture and delivery of roxadustat.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as of September 30, 2015 Astellas has separately invested $80.5 million in the equity of FibroGen,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ind w:right="540" w:firstLine="518"/>
        <w:spacing w:after="0" w:line="286" w:lineRule="auto"/>
        <w:rPr>
          <w:sz w:val="20"/>
          <w:szCs w:val="20"/>
          <w:color w:val="auto"/>
        </w:rPr>
      </w:pPr>
      <w:r>
        <w:rPr>
          <w:rFonts w:ascii="Arial" w:cs="Arial" w:eastAsia="Arial" w:hAnsi="Arial"/>
          <w:sz w:val="17"/>
          <w:szCs w:val="17"/>
          <w:color w:val="auto"/>
        </w:rPr>
        <w:t>We also have two agreements with AstraZeneca for the development and commercialization of roxadustat for anemia, one for China (“China Agreement”) and one for the United States and all other countries (“RoW”) not previously licensed to Astellas (“U.S./RoW Agreement”). Under these agreements we provided AstraZeneca the right to develop and commercialize roxadustat for anemia in these territories.</w:t>
      </w:r>
    </w:p>
    <w:p>
      <w:pPr>
        <w:spacing w:after="0" w:line="166"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We will share responsibility with AstraZeneca for clinical development activities required for United States regulatory approval of roxadustat. AstraZeneca will be responsible for all of our development costs incurred under the agreed development plan for roxadustat in the United States and EU, to the extent those costs are not covered by Astellas, after an initial 50% development cost sharing period in which our funding obligations are limited to a total of $116.5 million. Thereafter, AstraZeneca will be solely responsible for additional development costs. In China, FibroGen China Anemia Holdings, Ltd. (“FibroGen China”) will conduct the development work for CKD anemia and its subsidiary, FibroGen (China) Medical Technology Development Co., Ltd. (“FibroGen Beijing”), will hold all of the regulatory licenses issued by China regulatory authorities and FibroGen China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67"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Under the AstraZeneca agreements, we will receive upfront and subsequent non-contingent payments totaling $402.2 million, a portion of which we have received and the remainder of which we expect to receive in various amounts through 2016, including a $62.0 million time based development milestone, which became non-contingent as of July 30, 2014.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September 30, 2015 totals $355.2 million.</w:t>
      </w:r>
    </w:p>
    <w:p>
      <w:pPr>
        <w:spacing w:after="0" w:line="178" w:lineRule="exact"/>
        <w:rPr>
          <w:sz w:val="20"/>
          <w:szCs w:val="20"/>
          <w:color w:val="auto"/>
        </w:rPr>
      </w:pPr>
    </w:p>
    <w:p>
      <w:pPr>
        <w:jc w:val="both"/>
        <w:ind w:right="200" w:firstLine="518"/>
        <w:spacing w:after="0" w:line="342" w:lineRule="auto"/>
        <w:rPr>
          <w:sz w:val="20"/>
          <w:szCs w:val="20"/>
          <w:color w:val="auto"/>
        </w:rPr>
      </w:pPr>
      <w:r>
        <w:rPr>
          <w:rFonts w:ascii="Arial" w:cs="Arial" w:eastAsia="Arial" w:hAnsi="Arial"/>
          <w:sz w:val="16"/>
          <w:szCs w:val="16"/>
          <w:color w:val="auto"/>
        </w:rPr>
        <w:t>During the second quarter of 2015, we received an upfront payment of $120.0 million and a development milestone payment of $15.0 million under the U.S./RoW Agreement. The development milestone payment resulted from the finalization of our two audited pre-clinical carcinogenicity study reports.</w:t>
      </w:r>
    </w:p>
    <w:p>
      <w:pPr>
        <w:spacing w:after="0" w:line="12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Concurrent with our IPO, AstraZeneca purchased 1,111,111 shares of our common stock at the IPO price for an aggregate purchase price of $20.0 million in a private placement.</w:t>
      </w:r>
    </w:p>
    <w:p>
      <w:pPr>
        <w:spacing w:after="0" w:line="170"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Under the U.S./RoW Agreement, AstraZeneca will pay for all commercialization costs in the U.S. and RoW and AstraZeneca will be responsible for the United States commercialization of roxadustat, with FibroGen undertaking specified promotional activities in the end stage renal disease (“ESRD”) segment in the United States.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7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Under the China Agreement, which is conducted through FibroGen China, the commercial collaboration is structured as a 50/50 profit share. AstraZeneca will conduct commercialization activities in China as well as serve as the master distributor for roxadustat and will fund roxadustat launch costs in China until FibroGen Beijing has achieved profitability. At that time, AstraZeneca will recoup 50% of their historical launch costs out of initial roxadustat profits in China.</w:t>
      </w:r>
    </w:p>
    <w:p>
      <w:pPr>
        <w:spacing w:after="0" w:line="18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to pay for a substantial portion of the post-termination development costs under the agreed development plan until regulatory approval.</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to pay for transition costs as well as make a specified payment to FibroGen China.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Our revenue to date has been generated primarily from our collaboration agreements with Astellas and AstraZeneca. The sources of our revenue for the periods presented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6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gridSpan w:val="4"/>
          </w:tcPr>
          <w:p>
            <w:pPr>
              <w:jc w:val="right"/>
              <w:ind w:right="46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60"/>
              <w:spacing w:after="0"/>
              <w:rPr>
                <w:sz w:val="20"/>
                <w:szCs w:val="20"/>
                <w:color w:val="auto"/>
              </w:rPr>
            </w:pPr>
            <w:r>
              <w:rPr>
                <w:rFonts w:ascii="Arial" w:cs="Arial" w:eastAsia="Arial" w:hAnsi="Arial"/>
                <w:sz w:val="18"/>
                <w:szCs w:val="18"/>
                <w:color w:val="auto"/>
              </w:rPr>
              <w:t>License and milestone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13,045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9,027</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w w:val="88"/>
              </w:rPr>
              <w:t>4,018</w:t>
            </w: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$ 131,430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106,175</w:t>
            </w:r>
          </w:p>
        </w:tc>
        <w:tc>
          <w:tcPr>
            <w:tcW w:w="24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25,255</w:t>
            </w: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Collaboration services and</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8"/>
              </w:rPr>
              <w:t>1,858</w:t>
            </w:r>
          </w:p>
        </w:tc>
        <w:tc>
          <w:tcPr>
            <w:tcW w:w="4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24,956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15,321</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9,635</w:t>
            </w:r>
          </w:p>
        </w:tc>
        <w:tc>
          <w:tcPr>
            <w:tcW w:w="4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19,538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13,662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5,876</w:t>
            </w: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$ 156,386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121,496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34,890</w:t>
            </w: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relative selling price method from other consideration received (other than substantive milestone payments) during the periods. This revenue is generally recognized as deliverables are met and services are performed. Milestone revenue includes payments from milestones which are deemed to be substantive in nature and is recognized in its entirety in the period in which the milestone is achieved. License and milestone revenues represented 67% and 66% of total revenue for the quarter ended September 30, 2015 and 2014 and 84% and 87% of total revenue for the nine months ended September 30, 2015 and 2014.</w:t>
      </w:r>
    </w:p>
    <w:p>
      <w:pPr>
        <w:spacing w:after="0" w:line="19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Collaboration services include co-development services, manufacturing of clinical supplies, committee services and information sharing. Collaboration services revenues are recognized over the non-contingent performance period, ranging from 36 to 65 months. Other revenues consist of royalty payments received, which are recorded on a monthly basis as they are reported to us, and have been included with collaboration services and other revenue in the condensed consolidated statements of operations, as they have not been material for any of the periods presented. Collaboration services and other revenues represented 33% and 34% of total revenue for the quarter ended September 30, 2015 and 2014 and 16% and 13% of total revenue for the nine months ended September 30, 2015 and 2014.</w:t>
      </w:r>
    </w:p>
    <w:p>
      <w:pPr>
        <w:spacing w:after="0" w:line="193"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The increase in total revenue for the quarter and nine months ended September 30, 2015 compared to the same periods a year ago is more fully discussed in the sections below.</w:t>
      </w:r>
    </w:p>
    <w:p>
      <w:pPr>
        <w:spacing w:after="0" w:line="170"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Total cash consideration received through September 30, 2015 and potential cash consideration, other than development cost reimbursement, transfer price payments, royalties and profit share, pursuant to our existing collaboration agreements are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Received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5"/>
              </w:rPr>
              <w:t>Through</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4"/>
              </w:rPr>
              <w:t>Potential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Potential</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30,2015</w:t>
            </w: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Cash Payments</w:t>
            </w:r>
          </w:p>
        </w:tc>
        <w:tc>
          <w:tcPr>
            <w:tcW w:w="16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Cash Payments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2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Japan Agreement</w:t>
            </w:r>
          </w:p>
        </w:tc>
        <w:tc>
          <w:tcPr>
            <w:tcW w:w="2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52,593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120,000</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172,593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 Agreement</w:t>
            </w:r>
          </w:p>
        </w:tc>
        <w:tc>
          <w:tcPr>
            <w:tcW w:w="2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410,000</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Pr>
          <w:p>
            <w:pPr>
              <w:ind w:left="480"/>
              <w:spacing w:after="0"/>
              <w:rPr>
                <w:sz w:val="20"/>
                <w:szCs w:val="20"/>
                <w:color w:val="auto"/>
              </w:rPr>
            </w:pPr>
            <w:r>
              <w:rPr>
                <w:rFonts w:ascii="Arial" w:cs="Arial" w:eastAsia="Arial" w:hAnsi="Arial"/>
                <w:sz w:val="18"/>
                <w:szCs w:val="18"/>
                <w:color w:val="auto"/>
              </w:rPr>
              <w:t>Total Astellas</w:t>
            </w:r>
          </w:p>
        </w:tc>
        <w:tc>
          <w:tcPr>
            <w:tcW w:w="2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462,593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917,593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2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U.S. / RoW Agreement</w:t>
            </w:r>
          </w:p>
        </w:tc>
        <w:tc>
          <w:tcPr>
            <w:tcW w:w="2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922,000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1,249,000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China Agreement</w:t>
            </w:r>
          </w:p>
        </w:tc>
        <w:tc>
          <w:tcPr>
            <w:tcW w:w="2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28,200</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348,500</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AstraZeneca</w:t>
            </w:r>
          </w:p>
        </w:tc>
        <w:tc>
          <w:tcPr>
            <w:tcW w:w="2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355,200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1,270,500</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2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817,793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1,725,500</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20" w:type="dxa"/>
            <w:vAlign w:val="bottom"/>
            <w:vMerge w:val="restart"/>
          </w:tcPr>
          <w:p>
            <w:pPr>
              <w:jc w:val="right"/>
              <w:ind w:right="690"/>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Milestone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277"/>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4"/>
                <w:szCs w:val="14"/>
                <w:color w:val="auto"/>
              </w:rPr>
            </w:pPr>
          </w:p>
        </w:tc>
        <w:tc>
          <w:tcPr>
            <w:tcW w:w="10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317"/>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5"/>
          </w:tcPr>
          <w:p>
            <w:pPr>
              <w:ind w:left="220"/>
              <w:spacing w:after="0" w:line="155"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ind w:left="46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License and milestone revenue:</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5,120</w:t>
            </w: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3,506</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w w:val="88"/>
              </w:rPr>
              <w:t>1,614</w:t>
            </w: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14,672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9,966</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4,706</w:t>
            </w: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7,925</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8"/>
              </w:rPr>
              <w:t>2,404</w:t>
            </w: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116,758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96,209</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20,549</w:t>
            </w:r>
          </w:p>
        </w:tc>
        <w:tc>
          <w:tcPr>
            <w:tcW w:w="4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20" w:type="dxa"/>
            <w:vAlign w:val="bottom"/>
          </w:tcPr>
          <w:p>
            <w:pPr>
              <w:ind w:left="500"/>
              <w:spacing w:after="0"/>
              <w:rPr>
                <w:sz w:val="20"/>
                <w:szCs w:val="20"/>
                <w:color w:val="auto"/>
              </w:rPr>
            </w:pPr>
            <w:r>
              <w:rPr>
                <w:rFonts w:ascii="Arial" w:cs="Arial" w:eastAsia="Arial" w:hAnsi="Arial"/>
                <w:sz w:val="18"/>
                <w:szCs w:val="18"/>
                <w:color w:val="auto"/>
              </w:rPr>
              <w:t>Total license and</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640"/>
              <w:spacing w:after="0"/>
              <w:rPr>
                <w:sz w:val="20"/>
                <w:szCs w:val="20"/>
                <w:color w:val="auto"/>
              </w:rPr>
            </w:pPr>
            <w:r>
              <w:rPr>
                <w:rFonts w:ascii="Arial" w:cs="Arial" w:eastAsia="Arial" w:hAnsi="Arial"/>
                <w:sz w:val="18"/>
                <w:szCs w:val="18"/>
                <w:color w:val="auto"/>
              </w:rPr>
              <w:t>milestone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13,045</w:t>
            </w:r>
          </w:p>
        </w:tc>
        <w:tc>
          <w:tcPr>
            <w:tcW w:w="1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9,027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ind w:left="120"/>
              <w:spacing w:after="0"/>
              <w:rPr>
                <w:sz w:val="20"/>
                <w:szCs w:val="20"/>
                <w:color w:val="auto"/>
              </w:rPr>
            </w:pPr>
            <w:r>
              <w:rPr>
                <w:rFonts w:ascii="Arial" w:cs="Arial" w:eastAsia="Arial" w:hAnsi="Arial"/>
                <w:sz w:val="18"/>
                <w:szCs w:val="18"/>
                <w:color w:val="auto"/>
                <w:w w:val="88"/>
              </w:rPr>
              <w:t>4,018</w:t>
            </w:r>
          </w:p>
        </w:tc>
        <w:tc>
          <w:tcPr>
            <w:tcW w:w="4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131,430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106,175</w:t>
            </w:r>
          </w:p>
        </w:tc>
        <w:tc>
          <w:tcPr>
            <w:tcW w:w="24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25,255</w:t>
            </w:r>
          </w:p>
        </w:tc>
        <w:tc>
          <w:tcPr>
            <w:tcW w:w="4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License and milestone revenue recognized under our collaboration agreements with both Astellas and AstraZeneca increased for the quarter and nine months ended September 30, 2015 compared to the same periods a year ago primarily due to an increase in reimbursable co-development costs allocated to license and milestone revenues. In addition, license and milestone revenue recognized under our collaboration agreements with AstraZeneca increased for the nine months ended September 30, 2015 compared to the same period a year ago due to an upfront payment of $120.0 million and a development milestone payment of $15.0 million received during the second quarter of 2015 compared to an upfront payment of $110.0 million received during the second quarter of 2014. A portion of each of the upfront payments received under the collaboration agreements with AstraZeneca were deferred as a result of applying the relative selling price method and assessing the timing of the provision of various deliverables. The milestone payment was recognized in its entirety upon receipt.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Services and Other Revenue</w:t>
      </w:r>
    </w:p>
    <w:p>
      <w:pPr>
        <w:spacing w:after="0" w:line="117" w:lineRule="exact"/>
        <w:rPr>
          <w:sz w:val="20"/>
          <w:szCs w:val="20"/>
          <w:color w:val="auto"/>
        </w:rPr>
      </w:pPr>
    </w:p>
    <w:p>
      <w:pPr>
        <w:ind w:right="440" w:firstLine="518"/>
        <w:spacing w:after="0" w:line="312" w:lineRule="auto"/>
        <w:rPr>
          <w:sz w:val="20"/>
          <w:szCs w:val="20"/>
          <w:color w:val="auto"/>
        </w:rPr>
      </w:pPr>
      <w:r>
        <w:rPr>
          <w:rFonts w:ascii="Arial" w:cs="Arial" w:eastAsia="Arial" w:hAnsi="Arial"/>
          <w:sz w:val="16"/>
          <w:szCs w:val="16"/>
          <w:color w:val="auto"/>
        </w:rPr>
        <w:t>Collaboration services revenue increased for the quarter and nine months ended September 30, 2015 compared to the same periods a year ago primarily due to the allocation of the upfront payment of $120.0 million received during the second quarter of 2015 under the AstraZeneca collaboration agreements and an increase in reimbursable co-development costs under our collaboration agreements with AstraZeneca.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ind w:left="20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6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5"/>
          </w:tcPr>
          <w:p>
            <w:pPr>
              <w:ind w:left="220"/>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6"/>
          </w:tcPr>
          <w:p>
            <w:pPr>
              <w:ind w:left="46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52,071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40,617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11,454</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$ 154,165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99,536</w:t>
            </w:r>
          </w:p>
        </w:tc>
        <w:tc>
          <w:tcPr>
            <w:tcW w:w="24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54,629</w:t>
            </w: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7"/>
              </w:rPr>
              <w:t>11,237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7"/>
              </w:rPr>
              <w:t>10,140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31,399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24,088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7,311</w:t>
            </w:r>
          </w:p>
        </w:tc>
        <w:tc>
          <w:tcPr>
            <w:tcW w:w="4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63,308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50,757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12,551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$ 185,564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123,624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61,940</w:t>
            </w: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(“CROs”),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incurred by program for the periods presented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ind w:left="120"/>
              <w:spacing w:after="0"/>
              <w:rPr>
                <w:sz w:val="20"/>
                <w:szCs w:val="20"/>
                <w:color w:val="auto"/>
              </w:rPr>
            </w:pPr>
            <w:r>
              <w:rPr>
                <w:rFonts w:ascii="Arial" w:cs="Arial" w:eastAsia="Arial" w:hAnsi="Arial"/>
                <w:sz w:val="14"/>
                <w:szCs w:val="14"/>
                <w:b w:val="1"/>
                <w:bCs w:val="1"/>
                <w:color w:val="auto"/>
              </w:rPr>
              <w:t>Quarter Ended September 30,</w:t>
            </w:r>
          </w:p>
        </w:tc>
        <w:tc>
          <w:tcPr>
            <w:tcW w:w="14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Product Candidate</w:t>
            </w:r>
          </w:p>
        </w:tc>
        <w:tc>
          <w:tcPr>
            <w:tcW w:w="18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89"/>
              </w:rPr>
              <w:t>Phase of Development</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Roxadustat</w:t>
            </w:r>
          </w:p>
        </w:tc>
        <w:tc>
          <w:tcPr>
            <w:tcW w:w="10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Phase 3</w:t>
            </w:r>
          </w:p>
        </w:tc>
        <w:tc>
          <w:tcPr>
            <w:tcW w:w="320" w:type="dxa"/>
            <w:vAlign w:val="bottom"/>
            <w:tcBorders>
              <w:top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39,083</w:t>
            </w:r>
          </w:p>
        </w:tc>
        <w:tc>
          <w:tcPr>
            <w:tcW w:w="480" w:type="dxa"/>
            <w:vAlign w:val="bottom"/>
            <w:tcBorders>
              <w:top w:val="single" w:sz="8" w:color="CFF0FC"/>
            </w:tcBorders>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27,282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111,476</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61,750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FG-3019</w:t>
            </w:r>
          </w:p>
        </w:tc>
        <w:tc>
          <w:tcPr>
            <w:tcW w:w="1840" w:type="dxa"/>
            <w:vAlign w:val="bottom"/>
            <w:gridSpan w:val="2"/>
          </w:tcPr>
          <w:p>
            <w:pPr>
              <w:ind w:left="100"/>
              <w:spacing w:after="0"/>
              <w:rPr>
                <w:sz w:val="20"/>
                <w:szCs w:val="20"/>
                <w:color w:val="auto"/>
              </w:rPr>
            </w:pPr>
            <w:r>
              <w:rPr>
                <w:rFonts w:ascii="Arial" w:cs="Arial" w:eastAsia="Arial" w:hAnsi="Arial"/>
                <w:sz w:val="18"/>
                <w:szCs w:val="18"/>
                <w:color w:val="auto"/>
              </w:rPr>
              <w:t>Phase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FG-6874</w:t>
            </w:r>
          </w:p>
        </w:tc>
        <w:tc>
          <w:tcPr>
            <w:tcW w:w="18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Phase 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FG-5200</w:t>
            </w:r>
          </w:p>
        </w:tc>
        <w:tc>
          <w:tcPr>
            <w:tcW w:w="1840" w:type="dxa"/>
            <w:vAlign w:val="bottom"/>
            <w:gridSpan w:val="2"/>
          </w:tcPr>
          <w:p>
            <w:pPr>
              <w:ind w:left="100"/>
              <w:spacing w:after="0"/>
              <w:rPr>
                <w:sz w:val="20"/>
                <w:szCs w:val="20"/>
                <w:color w:val="auto"/>
              </w:rPr>
            </w:pPr>
            <w:r>
              <w:rPr>
                <w:rFonts w:ascii="Arial" w:cs="Arial" w:eastAsia="Arial" w:hAnsi="Arial"/>
                <w:sz w:val="18"/>
                <w:szCs w:val="18"/>
                <w:color w:val="auto"/>
              </w:rPr>
              <w:t>Preclinical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1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40,617</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154,165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p>
    <w:p>
      <w:pPr>
        <w:spacing w:after="0" w:line="18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Research and development expenses increased for the quarter and nine months ended September 30, 2015 compared to the same periods a year ago. The increase for the quarter ended September 30, 2015 was primarily due to an increase in clinical trial, outside services and drug development related costs of $12.1 million, partially offset by a decrease in stock-based compensation expense of $0.8 million. Clinical trial, outside services and drug development related costs increased as a result of the progression of the Phase 3 trials for FG-4592 and the ongoing Phase 2 trials for FG-3019. Stock-based compensation expense decreased primarily due to the expense for options granted during the first half of 2014 commencing in the third quarter of 2014, partially offset by expense related to the Employee Share Purchase Program (“ESPP”), which we implemented in November 2014, and a higher valuation of stock option grants.</w:t>
      </w:r>
    </w:p>
    <w:p>
      <w:pPr>
        <w:spacing w:after="0" w:line="16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increase in research and development expenses for the nine months ended September 30, 2015 was primarily due to an increase in clinical trial, outside services and drug development related costs of $41.8 million, stock-based compensation expense of $7.0 million, employee-related costs of $4.9 million and depreciation expense of $0.6 million. Clinical trial, outside services and drug development related costs increased as a result of the progression of the Phase 3 trials for FG-4592 and the ongoing Phase 2 trials for FG-3019. Stock-based compensation expense increased primarily due to expense related to ESPP, a higher valuation for stock option grants and the delay in the timing of granting annual awards in 2014. Employee-related costs increased as a result of additional headcount to support our clinical trials.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8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General and administrative expenses increased for the quarter and nine months ended September 30, 2015 compared to the same periods a year ago. The increase for the quarter ended September 30, 2015 was primarily due to an increase in outside services of $0.9 million and employee-related costs of $0.9 million, partially offset by a decrease in stock-based compensation expense of $0.6 million. Outside services expenses increased primarily due to incremental maintenance costs associated with our intellectual property portfolio and expenses associated with being a publicly traded company. Employee-related costs increased primarily as a result of additional headcount and other costs to support being a public company. Stock-based compensation expense decreased primarily due to the expense for options granted during the first half of 2014 commencing in the third quarter of 2014, partially offset by expense related to ESPP and a higher valuation of stock option grants.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The increase for the nine months ended September 30, 2015 was primarily due to an increase in stock-based compensation expense of $3.5 million, outside services of $1.9 million and employee-related costs of $1.8 million. Stock-based compensation expense increased primarily due to expense related to ESPP, a higher valuation for stock option grants and the delay in the timing of granting annual awards in 2014. Outside services expenses increased for the nine months ended September 30, 2015 compared to the same period a year ago primarily as a result of incremental maintenance costs associated with our intellectual property portfolio and expenses related to being a publicly traded company. Employee-related costs increased primarily as a result of additional headcount and other costs to support being a public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for Roxadustat Covered Under Collaboration Agreements</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share responsibility with AstraZeneca for clinical development activities required for United States regulatory approval of roxadustat. AstraZeneca is responsible for all of our development costs incurred under the agreed development plan for roxadustat in the United States, Europe, Japan and all other markets outside of China, to the extent those costs are not covered by Astellas, after an initial 50% development cost sharing period in which our funding obligations are limited to a total of $116.5 million, of which $104.7 million has been incurred as of September 30, 2015. We expect to reach this $116.5 million cap before December 2015. After we have reached the $116.5 million cap, AstraZeneca will be solely responsible for all future development costs. In China, our subsidiary FibroGen China will conduct the development work for CKD anemia and its subsidiary, FibroGen Beijing, will hold all of the regulatory licenses issued by China regulatory authorities and FibroGen China will be primarily responsible for regulatory, clinical and manufacturing. All development and commercialization costs for roxadustat in China will be shared equally with AstraZeneca.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Nine Months Ended</w:t>
            </w:r>
          </w:p>
        </w:tc>
        <w:tc>
          <w:tcPr>
            <w:tcW w:w="320" w:type="dxa"/>
            <w:vAlign w:val="bottom"/>
          </w:tcPr>
          <w:p>
            <w:pPr>
              <w:spacing w:after="0"/>
              <w:rPr>
                <w:sz w:val="14"/>
                <w:szCs w:val="14"/>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6"/>
          </w:tcPr>
          <w:p>
            <w:pPr>
              <w:jc w:val="right"/>
              <w:ind w:right="820"/>
              <w:spacing w:after="0" w:line="155"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(expense), net:</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(2,758)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(2,723)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(8,278)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(8,174)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(104)</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net</w:t>
            </w: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3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1,650</w:t>
            </w:r>
          </w:p>
        </w:tc>
        <w:tc>
          <w:tcPr>
            <w:tcW w:w="4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40" w:type="dxa"/>
            <w:vAlign w:val="bottom"/>
          </w:tcPr>
          <w:p>
            <w:pPr>
              <w:ind w:left="500"/>
              <w:spacing w:after="0"/>
              <w:rPr>
                <w:sz w:val="20"/>
                <w:szCs w:val="20"/>
                <w:color w:val="auto"/>
              </w:rPr>
            </w:pPr>
            <w:r>
              <w:rPr>
                <w:rFonts w:ascii="Arial" w:cs="Arial" w:eastAsia="Arial" w:hAnsi="Arial"/>
                <w:sz w:val="18"/>
                <w:szCs w:val="18"/>
                <w:color w:val="auto"/>
              </w:rPr>
              <w:t>Total interest and other</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640"/>
              <w:spacing w:after="0"/>
              <w:rPr>
                <w:sz w:val="20"/>
                <w:szCs w:val="20"/>
                <w:color w:val="auto"/>
              </w:rPr>
            </w:pPr>
            <w:r>
              <w:rPr>
                <w:rFonts w:ascii="Arial" w:cs="Arial" w:eastAsia="Arial" w:hAnsi="Arial"/>
                <w:sz w:val="18"/>
                <w:szCs w:val="18"/>
                <w:color w:val="auto"/>
              </w:rPr>
              <w:t>income (expense),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(2,440)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1,140</w:t>
            </w:r>
          </w:p>
        </w:tc>
        <w:tc>
          <w:tcPr>
            <w:tcW w:w="420" w:type="dxa"/>
            <w:vAlign w:val="bottom"/>
          </w:tcPr>
          <w:p>
            <w:pPr>
              <w:spacing w:after="0"/>
              <w:rPr>
                <w:sz w:val="20"/>
                <w:szCs w:val="20"/>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(47)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(5,270)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(6,816)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1,546</w:t>
            </w: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0" w:firstLine="518"/>
        <w:spacing w:after="0" w:line="308" w:lineRule="auto"/>
        <w:rPr>
          <w:sz w:val="20"/>
          <w:szCs w:val="20"/>
          <w:color w:val="auto"/>
        </w:rPr>
      </w:pPr>
      <w:r>
        <w:rPr>
          <w:rFonts w:ascii="Arial" w:cs="Arial" w:eastAsia="Arial" w:hAnsi="Arial"/>
          <w:sz w:val="17"/>
          <w:szCs w:val="17"/>
          <w:color w:val="auto"/>
        </w:rPr>
        <w:t>Interest expense approximated the same periods a year ago and includes payments made for imputed interest related to the facility lease financing obligations for our leased facilities in San Francisco and China as well as interest related to the TEKES product development obligations.</w:t>
      </w:r>
    </w:p>
    <w:p>
      <w:pPr>
        <w:spacing w:after="0" w:line="14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Interest and other income, net increased primarily due to higher average balances of cash equivalents and investments and foreign currency translation adjustments on our cash and cash equivalent accounts denominated in currencies other than our functional currency.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from Income Taxes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provision for income taxes for the quarter ended September 30, 2015 is due to foreign withholding taxes. The benefit for income taxes for the nine months ended September 30, 2015 is due to the discrete tax effect arising from other comprehensive income related to available-for-sale securities, partially offset by foreign withholding taxes. We did not record a provision for income taxes for the quarter and nine months ended September 30, 2014 as we generated a net operating loss for the year ended December 31, 2014.</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have historically funded our operations principally from the sale of convertible preferred stock and common stock and from the execution of certain collaboration agreements involving license payments, milestones and reimbursement for development services. On November 19, 2014, we closed our IPO and concurrent private placement in which we issued and sold a total of 10,426,111 shares of common stock, resulting in net proceeds of $171.8 million, after deducting underwriting discounts and commissions of $11.7 million and offering expenses of $4.1 million for our IPO. Upon the closing of our IPO, all of our outstanding convertible preferred stock automatically converted into 33,919,954 shares of common stock, based on the shares of convertible preferred stock outstanding as of November 18, 2014.</w:t>
      </w:r>
    </w:p>
    <w:p>
      <w:pPr>
        <w:spacing w:after="0" w:line="193" w:lineRule="exact"/>
        <w:rPr>
          <w:sz w:val="20"/>
          <w:szCs w:val="20"/>
          <w:color w:val="auto"/>
        </w:rPr>
      </w:pPr>
    </w:p>
    <w:p>
      <w:pPr>
        <w:jc w:val="both"/>
        <w:ind w:right="460" w:firstLine="518"/>
        <w:spacing w:after="0" w:line="342" w:lineRule="auto"/>
        <w:rPr>
          <w:sz w:val="20"/>
          <w:szCs w:val="20"/>
          <w:color w:val="auto"/>
        </w:rPr>
      </w:pPr>
      <w:r>
        <w:rPr>
          <w:rFonts w:ascii="Arial" w:cs="Arial" w:eastAsia="Arial" w:hAnsi="Arial"/>
          <w:sz w:val="16"/>
          <w:szCs w:val="16"/>
          <w:color w:val="auto"/>
        </w:rPr>
        <w:t>During the second quarter of 2015, we received a $120.0 million upfront payment and a $15.0 million development milestone payment under the U.S./RoW Agreement. The development milestone payment was related to the finalization of our two audited pre-clinical carcinogenicity study reports.</w:t>
      </w:r>
    </w:p>
    <w:p>
      <w:pPr>
        <w:spacing w:after="0" w:line="124"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As a newly public company, we expect to incur additional costs associated with operating as a public company. We anticipate that we will need substantial additional funding in connection with our continuing operations.</w:t>
      </w:r>
    </w:p>
    <w:p>
      <w:pPr>
        <w:spacing w:after="0" w:line="167"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As of September 30, 2015, we had cash and cash equivalents of $208.7 million. Cash is invested in accordance with our investment policy, primarily to provide liquidity and preserve capital. Investments, consisting principally of corporate debt securities stated at fair value, are also available as a source of liquidity. As of September 30, 2015, we had short- and long-term investments of $12.9 million and $128.0 million. As of September 30, 2015, a total of $29.2 million of our cash and cash equivalents was held outside of the U.S. in our foreign subsidiaries to be used primarily for our China operations.</w:t>
      </w:r>
    </w:p>
    <w:p>
      <w:pPr>
        <w:spacing w:after="0" w:line="154"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We believe our existing cash and cash equivalents, investments and payments due under our license and collaboration agreements will be sufficient to meet our working capital and capital expenditure needs for at least the next 12 months. However, our liquidity assumptions may change over time, and we could utilize our available financial resources sooner than we currently expect. In addition, we may elect to raise additional funds at any time through equity, equity-linked or debt financing arrangements. Our future capital requirements and the adequacy of available funds will depend on many factors, including those set forth under Part I, Item 1A: “Risk Factors”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expenses, which would impair our growth prospects and could otherwise negatively impact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Nine Months Ended September 30,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8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20,732</w:t>
            </w:r>
          </w:p>
        </w:tc>
        <w:tc>
          <w:tcPr>
            <w:tcW w:w="100" w:type="dxa"/>
            <w:vAlign w:val="bottom"/>
          </w:tcPr>
          <w:p>
            <w:pPr>
              <w:spacing w:after="0"/>
              <w:rPr>
                <w:sz w:val="19"/>
                <w:szCs w:val="19"/>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46,179</w:t>
            </w:r>
          </w:p>
        </w:tc>
        <w:tc>
          <w:tcPr>
            <w:tcW w:w="120" w:type="dxa"/>
            <w:vAlign w:val="bottom"/>
          </w:tcPr>
          <w:p>
            <w:pPr>
              <w:spacing w:after="0"/>
              <w:rPr>
                <w:sz w:val="19"/>
                <w:szCs w:val="19"/>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(25,447)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(18,700)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8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(1,571)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9,792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77,557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Net cash provided by operating activities was $20.7 million for the nine months ended September 30, 2015 and consisted primarily of net loss of $34.4 million adjusted for non-cash items of $26.7 million, which includes stock-based compensation expense of $20.2 million, depreciation expense of $4.2 million and amortization of the premium on investments of $2.3 million, and a net increase in operating assets and liabilities of $28.5 million. The significant items in the change in operating assets and liabilities include an increase in deferred revenue of $28.5 million, an increase in accounts receivable of $6.1 million, an increase in prepaid expenses and other current assets of $1.3 million and a decrease in accrued liabilities of $7.6 million. The change in deferred revenue relate to the timing of the receipt of upfront payments and recognition of revenues under our collaboration agreements with Astellas and AstraZeneca. The change in accounts receivable and prepaid expenses and other current assets relates to the timing of payments. The change in accrued liabilities is driven by clinical trial activity primarily related to our Phase 3 trials for roxadustat and the timing of payments.</w:t>
      </w:r>
    </w:p>
    <w:p>
      <w:pPr>
        <w:spacing w:after="0" w:line="17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Net cash provided by operating activities was $46.2 million for the nine months ended September 30, 2014, and consisted primarily of net loss of $8.9 million adjusted for non-cash items of $13.5 million including stock-based compensation expense of $9.7 million and depreciation expense of $3.3 million, and a net increase in operating assets and liabilities of $41.7 million. The significant items in the change in operating assets and liabilities include an increase in deferred revenue of $34.8 million, an increase in accounts payable and accrued expenses of $10.5 million and a decrease in accounts receivable of $3.9 million. The increase in deferred revenue relates to the timing of upfront payments and recognition of revenues under our collaboration agreements with Astellas and AstraZeneca. The increase in accrued expenses is driven by the increase in clinical trial activity related to upcoming Phase 3 trials for roxadustat. The decrease in accounts receivable is driven by the timing of payments.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Investing activities consist primarily of purchases of property and equipment, purchases of investments and proceeds from the maturities of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repayments of our lease liability and payments of deferred offering costs associated with the planned public offering of our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During the quarter and nine months ended September 30, 2015,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There have been no material changes in our contractual obligations compared to those disclosed in our Annual Report on Form 10-K for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There have been no material changes in our critical accounting policies, estimates and judgments during the nine months ended September 30, 2015 compared with the disclosures in Part II, Item 7 of our Annual Report on Form 10-K for the year ended December 31, 2014. We believe that the accounting policies discussed below are critical to understanding our historical and future performance, as these policies relate to the more significant areas involving management’s judgments and estimates.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Substantially all of our revenues to date have been generated from our collaboration agreements.</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collaboration agreements include multiple deliverables, and we follow the guidance in Accounting Standards Codification (“ASC”) Topic 605-25, “Revenue Recognition—Multiple-Element Arrangements,” (“ASC 605-25”). ASC 605-25:</w:t>
      </w:r>
    </w:p>
    <w:p>
      <w:pPr>
        <w:spacing w:after="0" w:line="62" w:lineRule="exact"/>
        <w:rPr>
          <w:sz w:val="20"/>
          <w:szCs w:val="20"/>
          <w:color w:val="auto"/>
        </w:rPr>
      </w:pPr>
    </w:p>
    <w:p>
      <w:pPr>
        <w:ind w:left="1040" w:right="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provides guidance on how revenue arrangements with multiple deliverables should be separated and how the arrangement consideration should be allocated among the separate units of accounting;</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requires an entity to determine the selling price of a separate deliverable using a hierarchy of (i) vendor-specific objective evidence (“VSOE”), (ii) third-party evidence (“TPE”), or (iii) best estimate of selling price (“BESP”); and</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requires the allocation of the arrangement consideration, at the inception of the arrangement, to the separate units of accounting based on relative selling price.</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evaluate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Significant judgment may be required in determining whether a deliverable provides stand-alone value, determining the amount of arrangement consideration that is fixed or determinable, and estimating the stand-alone selling price of each unit of accounting.</w:t>
      </w:r>
    </w:p>
    <w:p>
      <w:pPr>
        <w:spacing w:after="0" w:line="188"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To date, we have determined that the selling price for the deliverables within our collaboration agreements should be determined using BESP, as neither VSOE nor TPE is available. The process for determining BESP involves significant judgment on our part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5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For each unit of accounting identified within an arrangement, we determine the period over which the deliverables are provided and the performance obligation is satisfied. Service revenue is recognized using a proportional performance method. Direct labor hours or full time equivalents are used as the measurement of performance. Revenue may be recognized using a straight line method when performance is expected to occur consistently over a period of time.</w:t>
      </w:r>
    </w:p>
    <w:p>
      <w:pPr>
        <w:spacing w:after="0" w:line="18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Payments or reimbursements resulting from our research and development efforts for those arrangements where such efforts are considered as deliverables are recognized as the services are performed and are presented on a gross basis. To the extent payments are required to be made to our collaboration partners pursuant to research and development efforts, those costs are charged to research and development using the guidance pursuant to ASC Topic 605-250, “Customer Payments and Incentives”, which states that cash consideration given by a vendor to a customer is presumed to be a reduction of the selling prices unless the vendor receives an identifiable benefit in exchange for the consideration that is sufficiently separable from the recipient’s purchase of the vendor’s products, and the vendor can reasonably estimate the fair value of the benefit.</w:t>
      </w:r>
    </w:p>
    <w:p>
      <w:pPr>
        <w:spacing w:after="0" w:line="178"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Each of our collaboration agreements includes milestones for which we follow ASC Topic 605-28, “Revenue Recognition—Milestone Method” (“ASC 605-28”). ASC 605-28 establishes the milestone method as an acceptable method of revenue recognition for certain contingent event-based payments under research and development arrangements. Under the milestone method, a payment that is contingent upon the achievement of a substantive milestone is recognized in its entirety in the period in which the milestone is achieved. A milestone is an event (i) that can only be achieved based in whole or in part on either our performance or on the occurrence of a specific outcome resulting from our performance, (ii) for which there is substantive uncertainty at the date the arrangement is entered into that the event will be achieved and (iii) that would result in additional payments being due to us. Determining whether a milestone is substantive is a matter of judgment and that assessment must be made at the inception of the arrangement. Milestones are considered substantive when the consideration earned from the achievement of the milestone (i) is commensurate with either our performance to achieve the milestone or the enhancement of the value of the item delivered as a result of a specific outcome resulting from our performance to achieve the milestone, (ii) relates solely to past performance and (iii) is reasonable relative to all deliverables and payment terms in the arrangement. Payments for achieving milestones which are not considered substantive are treated as additional arrangement consideration and are allocated following the relative selling price method previously described.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(Topic 606), which supersedes the revenue recognition requirements in ASC 605,</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ASU 2014-09 is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for ASU 2014-09 was initially for fiscal years beginning after December 15, 2016. In July 2015, the FASB approved a one year deferral of this standard with a new effective date for fiscal years beginning after December 15, 2017. The new guidelines can be implemented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We are currently evaluating the impact of this guidance on our consolidated financial statements.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We believe there has been no material change in our exposure to market risks as disclosed in our Annual Report on Form 10-K for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as of the end of the period covered by this Quarterly Report on Form 10-Q.</w:t>
      </w:r>
    </w:p>
    <w:p>
      <w:pPr>
        <w:spacing w:after="0" w:line="18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September 30, 2015,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2015 that have materially affected, or are reasonably likely to materially affect, our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have marked with an asterisk (*) those risks described below that reflect substantive changes from the risks described under Part I, Item 1A “Risk Factors” included in our Annual Report on Form 10-K for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We are a clinical-stage biopharmaceutical company with two lead product candidates in clinical development, roxadustat, or FG-4592 in anemia in chronic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kidney disease (“CKD”), and FG-3019 in idiopathic pulmonary fibrosis (“IPF”), pancreatic cancer, Duchenne muscular dystrophy (“DMD”), and liver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fibrosis. Pharmaceutical product development is a highly risky undertaking. To date, we have focused our efforts and most of our resources on hypoxia-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inducible factor, or HIF, and fibrosis biology research, as well as developing our lead product candidates. We are not profitable and, other than in 2006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due to income received from our Astellas collaboration, have incurred losses in each year since our inception. We have not generated any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based on product sales to date. We continue to incur significant research and development and other expenses related to our ongoing operations.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loss for the years ended December 31, 2013 and 2014 was $14.9 million and $59.5 million. As of September 30, 2015, we had an accumulated deficit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$356.7 million. As of September 30, 2015, we had capital resources consisting of cash, cash equivalents and short-term investments of $221.5 million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$128.0 million of long-term investments classified as available for sale securities. Despite contractual development and cost coverage commitments from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collaboration partners, AstraZeneca AB (“AstraZeneca”) and Astellas Pharma Inc. (“Astellas”), and the potential to receive milestone and other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these partners, we anticipate we will continue to incur losses for the foreseeable future, and we anticipate these losses will increase as we continue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and seek regulatory approval for our product candidates. If we do not successfully develop and obtain regulatory approval for our existing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future product candidates and effectively manufacture, market and sell any product candidates that are approved, we may never generate product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even if we do generate product sales, we may never achieve or sustain profitability on a quarterly or annual basis. Our prior losses, combined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expected future losses, have had and will continue to have an adverse effect on our stockholders’ equity and working capital. Our failure to become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remain profitable would depress the market price of our common stock and could impair our ability to raise capital, expand our business, diversify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product offerings or continue our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China, expand our clinical development efforts on FG-3019,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approximately 7,000 to 8,000 patients worldwide.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initial public offering (“IPO”), our existing cash, cash equivalents and short-term investments and expected third party collaboration revenues will allow us to fund our operating plans through at least the next 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progress in the development of our product candidates;</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development efforts for our product candidates, such as FG-3019, that are not subject to reimbursement from our collaboration partners;</w:t>
      </w:r>
    </w:p>
    <w:p>
      <w:pPr>
        <w:spacing w:after="0" w:line="62" w:lineRule="exact"/>
        <w:rPr>
          <w:rFonts w:ascii="Arial" w:cs="Arial" w:eastAsia="Arial" w:hAnsi="Arial"/>
          <w:sz w:val="18"/>
          <w:szCs w:val="18"/>
          <w:color w:val="auto"/>
        </w:rPr>
      </w:pPr>
    </w:p>
    <w:p>
      <w:pPr>
        <w:ind w:left="1040" w:right="60" w:hanging="519"/>
        <w:spacing w:after="0" w:line="30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costs necessary to obtain regulatory approvals, if any, for our product candidates in the United States, China and other jurisdictions, and the costs of post-marketing studies that could be required by regulatory authorities in jurisdictions where approval is obtained;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continuation of our existing collaborations and entry into new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time and unreimbursed costs necessary to commercialize products in territories in which our product candidates are approved for sale;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revenues from any future sales of our products as well as revenue earned from profit share, royalties and milestones;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reimbursement or third party payor pricing available to our products;</w:t>
      </w:r>
    </w:p>
    <w:p>
      <w:pPr>
        <w:spacing w:after="0" w:line="117"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establishing and maintaining manufacturing operations and obtaining third party commercial supplies of our products, if any, manufactured in accordance with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we incur in maintaining domestic and foreign operations, including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we incur in the filing, prosecution, maintenance and defense of our extensive patent portfolio and other intellectual property rights.</w:t>
      </w:r>
    </w:p>
    <w:p>
      <w:pPr>
        <w:spacing w:after="0" w:line="2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of our recent revenue has been earned from collaboration partners for our product candidates under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2014, 2013 and 2012, 100%, 100% and 99% of our revenues recognized were from our collaboration partners.</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either or both of these collaborations were to be terminated, we could require significant additional capital in order to proceed with development and commercialization of our product candidates,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on the success of our lead product candidate, roxadustat, and our second compound in development, FG-3019.</w:t>
      </w:r>
    </w:p>
    <w:p>
      <w:pPr>
        <w:spacing w:after="0" w:line="14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we have invested a substantial portion of our efforts and financial resources in the research and development of roxadustat, which is currently our lead product candidate. Roxadustat is our only product candidate that has advanced into a potentially pivotal trial, and it may be years before the studies required for its approval are completed, if ever. Our other product candidates are less advanced in development and may never enter into pivotal studies. We have completed 26 Phase 1 and 2 clinical studies with roxadustat in North America, Europe and Asia, in which over 1,400 subjects have participated and for which we reported favorable primary and secondary safety and efficacy endpoint results. Based on our discussions with the United States Food and Drug Administration (“FDA”) we believe that we have an acceptable plan for the conduct of our Phase 3 clinical trial program. We have also had discussions with China regulatory authorities regarding the conduct of Phase 3 clinical trials in China, which are part of our global Phase 3 clinical trial program for safety data. We have also discussed our Phase 3 clinical development program with three national health authorities in the EU and obtained scientific advice from the European Medicines Agency. Our near-term prospects, including maintaining our existing collaborations with Astellas and AstraZeneca, will depend heavily on successful Phase 3 development and commercialization of roxadustat.</w:t>
      </w:r>
    </w:p>
    <w:p>
      <w:pPr>
        <w:spacing w:after="0" w:line="1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other lead product candidate, FG-3019, is currently in clinical development for IPF, pancreatic cancer, DMD and liver fibrosis. FG-3019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liver fibrosis, we are still exploring indications for which further development of, and investment for, FG-3019 may be appropriate. Accordingly, the costs and time to complete development and related risks are currently unknown. Moreover, FG-3019 is a monoclonal antibody, which may require experience and expertise that we may not currently possess as well as financial resources that are potentially greater than those required for our small molecule lead compound, roxadustat.</w:t>
      </w:r>
    </w:p>
    <w:p>
      <w:pPr>
        <w:spacing w:after="0" w:line="3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clinical and commercial success of roxadustat and FG-3019 will depend on a number of factors, many of which are beyond our control, and we may be unable to complete the development or commercialization of roxadustat or FG-3019.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FG-3019 will depend on a number of factors, including the following:</w:t>
      </w:r>
    </w:p>
    <w:p>
      <w:pPr>
        <w:spacing w:after="0" w:line="117" w:lineRule="exact"/>
        <w:rPr>
          <w:sz w:val="20"/>
          <w:szCs w:val="20"/>
          <w:color w:val="auto"/>
        </w:rPr>
      </w:pPr>
    </w:p>
    <w:p>
      <w:pPr>
        <w:ind w:left="1040" w:right="4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timely initiation, continuation and completion of our Phase 3 clinical trials for roxadustat, which will depend substantially upon requirements for such trials imposed by the FDA and other regulatory agencies and bodies and the continued commitment and coordinated and timely performance by our third party collaboration partners, AstraZeneca and Astellas;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timely initiation and completion of our Phase 2 clinical trials for FG-3019, including in IPF, pancreatic cancer, DMD and liver fibrosis;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demonstrate the safety and efficacy of our product candidates to the satisfaction of the relevant regulatory authorities;</w:t>
      </w:r>
    </w:p>
    <w:p>
      <w:pPr>
        <w:spacing w:after="0" w:line="12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right="38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foreign regulatory authorities, including pricing and reimbursement determinations;</w:t>
      </w:r>
    </w:p>
    <w:p>
      <w:pPr>
        <w:spacing w:after="0" w:line="62"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successfully commercialize our product candidates, if approved, for marketing and sale by the FDA or foreign regulatory authorities, whether alone or in collaboration with others;</w:t>
      </w:r>
    </w:p>
    <w:p>
      <w:pPr>
        <w:spacing w:after="0" w:line="62"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15" w:lineRule="exact"/>
        <w:rPr>
          <w:rFonts w:ascii="Arial" w:cs="Arial" w:eastAsia="Arial" w:hAnsi="Arial"/>
          <w:sz w:val="16"/>
          <w:szCs w:val="16"/>
          <w:color w:val="auto"/>
        </w:rPr>
      </w:pPr>
    </w:p>
    <w:p>
      <w:pPr>
        <w:ind w:left="1040" w:right="6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success in educating health care providers and patients about the benefits, risks, administration and use of our product candidates,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success of efforts to enter into relationships with large dialysis organizations involving the administration of roxadustat to dialysis patients;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maintenance of an acceptable safety profile of our products following any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pricing or reimbursement for our products by third party payors;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enforce successfully our intellectual property rights for our product candidates and against the products of potential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avoid or succeed in third party patent interference or patent infringement claims.</w:t>
      </w:r>
    </w:p>
    <w:p>
      <w:pPr>
        <w:spacing w:after="0" w:line="22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or such approval may be delayed or limited, due to a number of factors, many of which are beyond our control.*</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United States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FG-3019 or any of our other product candidates.</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not obtained regulatory approval for any of our product candidates and it is possible that roxadustat and FG-3019 will never receive regulatory approval in any country. Regulatory authorities may take actions or impose requirements that delay, limit or deny approval of roxadustat or FG-3019 for many reasons, including, among others:</w:t>
      </w:r>
    </w:p>
    <w:p>
      <w:pPr>
        <w:spacing w:after="0" w:line="73" w:lineRule="exact"/>
        <w:rPr>
          <w:sz w:val="20"/>
          <w:szCs w:val="20"/>
          <w:color w:val="auto"/>
        </w:rPr>
      </w:pPr>
    </w:p>
    <w:p>
      <w:pPr>
        <w:ind w:left="1040" w:right="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FG-3019 is safe and effective in treating IPF, pancreatic cancer, DMD, or liver fibrosis;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FG-3019, or that ongoing clinical trials need to be modified in design, size, conduct or implementation;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product candidates may exhibit an unacceptable safety signal as they advance through clinical trials, in particular controlled Phase 3 trials;</w:t>
      </w:r>
    </w:p>
    <w:p>
      <w:pPr>
        <w:spacing w:after="0" w:line="140" w:lineRule="exact"/>
        <w:rPr>
          <w:rFonts w:ascii="Arial" w:cs="Arial" w:eastAsia="Arial" w:hAnsi="Arial"/>
          <w:sz w:val="16"/>
          <w:szCs w:val="16"/>
          <w:color w:val="auto"/>
        </w:rPr>
      </w:pPr>
    </w:p>
    <w:p>
      <w:pPr>
        <w:ind w:left="1040" w:right="2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contract research organizations (“CROs”) that conduct clinical trials on our behalf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 or</w:t>
      </w:r>
    </w:p>
    <w:p>
      <w:pPr>
        <w:spacing w:after="0" w:line="117" w:lineRule="exact"/>
        <w:rPr>
          <w:rFonts w:ascii="Arial" w:cs="Arial" w:eastAsia="Arial" w:hAnsi="Arial"/>
          <w:sz w:val="18"/>
          <w:szCs w:val="18"/>
          <w:color w:val="auto"/>
        </w:rPr>
      </w:pPr>
    </w:p>
    <w:p>
      <w:pPr>
        <w:ind w:left="1040" w:right="320" w:hanging="519"/>
        <w:spacing w:after="0" w:line="308"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in both the United States and China,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Phase 2 clinical trial results to date for roxadustat may not be indicative of the results that may be obtained in larger, controlled Phase 3 clinical trials required for approval.</w:t>
      </w: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Clinical development is expensive and can take many years to complete, and its outcome is inherently uncertain. Failure can occur at any time during the clinical trial process. Success in preclinical and early clinical trials may not be predictive of similar results in larger, controlled clinical trials, and successful results from early or small clinical trials may not be replicated or show as favorable an outcome, even if successful. For example, 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data to the FDA. While we have not seen similar safety concerns involving roxadustat to date, our Phase 2 clinical trials have involved a relatively small number of patients exposed to roxadustat for a relatively short period of time compared to the Phase 3 clinical trials that we will be conducting, and only a fraction of the patients in the Phase 2 clinical trials were randomized to placebo. Accordingly, the Phase 2 clinical trials that we have conducted may not have uncovered safety issues, even if they exist. In addition, some of the safety concerns associated with the treatment of patients with anemia in CKD using Erythropoiesis Stimulating Agents (“ESAs”) did not emerge for many years until placebo-controlled studies had been conducted in large numbers of patients.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FDA has informed us that our Phase 3 trials must include, as a safety endpoint, a major adverse cardiac events (“MACE”)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and planned Phase 3 clinical trials may identify unanticipated safety concerns in the patient population under study. The FDA has also informed us that the MACE endpoint will need to be evaluated separately for our Phase 3 trials in non-dialysis dependent-CKD patients and our Phase 3 trials in dialysis dependent-CKD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addition, we cannot be sure that the potential advantages that we believe roxadustat may have for treatment of patients with anemia in CKD as compared to the use of ESAs will be substantiated by our Phase 3 clinical trials or that we will be able to include a discussion of such advantages in our labeling should we obtain approval. We believe that roxadustat may have certain benefits as compared to ESAs based on the data from our Phase 2 clinical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Phase 2 clinical trials and our understanding of the likely mechanisms of action for roxadustat. Some of these benefits, such as those associated with the apparent effects on blood pressure and cholesterol, are not fully understood and, even if roxadustat receives marketing approval,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LDL, or low-density lipoprotein, and reduce the ratio of LDL to HDL, or high-density lipoprotein, the data show it may also reduce HDL, which may be a risk to patients. In addition, causes of the safety concerns associated with the use of ESAs to achieve specified target Hb levels have not been fully elucidated. While we believe that the issues giving rise to these concerns with ESAs are likely due to factors other than the Hb levels achieved, we cannot be certain that roxadustat will not be associated with similar, or more severe, safety concerns.</w:t>
      </w:r>
    </w:p>
    <w:p>
      <w:pPr>
        <w:spacing w:after="0" w:line="16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 stage development, and we may face similar setbacks. In addition, the CKD patient population has many afflictions that may cause severe illness or death, which may be attributed to roxadustat in a manner that negatively impacts the safety profile of our product candidate. If the results of our ongoing or future clinical trials for roxadustat are inconclusive with respect to efficacy, if we do not meet our clinical endpoints with statistical significance, or if there are unanticipated safety concerns or adverse events that emerge during clinical trials, we may be prevented from or delayed in obtaining marketing approval for roxadustat, and even if we obtain marketing approval, any sales of roxadustat may suffer.</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Phase 2 results to date for FG-3019 may not be indicative of the results that may be obtained in larger, controlled Phase 2 clinical trials or Phase 3 clinical trials required for approval.</w:t>
      </w:r>
    </w:p>
    <w:p>
      <w:pPr>
        <w:spacing w:after="0" w:line="6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have conducted only a limited number of Phase 2 clinical trials with FG-3019. We have conducted an open-label Phase 2 dose escalation study of FG-3019 for IPF in 89 patients and a Phase 2 dose finding trial of FG-3019 combined with gemcitabine plus erlotinib in 75 patients with pancreatic cancer. We cannot be sure that the results of these trials will be substantiated in double-blinded trials with larger numbers of patients, that larger trials will demonstrate the efficacy of FG-3019 for these or other indications or that safety issues will not be uncovered in further trials. In the Phase 2 clinical trial for IPF, we used quantitative high resolution computed tomography, or HRCT, to measure the extent of lung fibrosis. While we believe that quantitative HRCT is an accurate measure of lung fibrosis, it is a novel technology that has not yet been accepted by the FDA as a primary endpoint in pivotal clinical trials. In addition, while we believe that the animal studies that we have conducted to date demonstrate that FG-3019 has the potential to arrest or reverse fibrosis and reduce tumor mass, we cannot be sure that these results will be indicative of the effects of FG-3019 in human trials. In addition, the IPF and pancreatic cancer patient populations are extremely ill and routinely experience SAEs, including death, which may be attributed to FG-3019 in a manner that negatively impacts the safety profile of our product candidate. If the additional Phase 2 clinical trials that we are planning for FG-3019 in IPF and pancreatic cancer do not show favorable efficacy results or result in safety concerns, or if we do not meet our clinical endpoints with statistical significance, or demonstrate an acceptable risk-benefit profile, we may be prevented from or delayed in obtaining marketing approval for FG-3019 in one or both of these indications.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Phase 3 clinical trials in roxadustat or Phase 2 clinical trials in FG-3019 will need to be redesigned based on interim results, be able to achieve sufficient enrollment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(“IRB”) approval or guidance;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2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50"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occurrence of any or all of these events may cause the development of our product candidates to be delayed or terminated, which could materially and adversely affect our business and prospects. Refer to “Business—Our Development Program for Roxadustat” and “Business—FG-3019 for the Treatment of Fibrosis and Cancer” in our Annual Report on Form 10-K for the year ended December 31, 2014 for a discussion of the adverse events and serious adverse events that have emerged in clinical trials of roxadustat and FG-3019.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There have been other products, including ESAs, that have been approved by the regulatory authorities but for which safety concerns have been uncovered following approval. Such safety concerns have led to labelling changes or withdrawal of ESAs products from the market, and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73"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physicians’ and patients’ perceptions as to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our CRO’s, and our trial sites’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or third party manufacturers on which we rely cannot manufacture our product candidates and/or products at sufficient yields, we may experience delays in development, regulatory approval and commercialization.</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are expected to be necessary to support large-scale clinical trials and sales. Our efforts to establish these capabilities may not meet our requirements as to scale-up, yield, cost, potency or quality in compliance with cGMP. Our clinical trials must be conducted with product produced under applicable cGMP regulations. Failure to comply with these regulations may require us to repeat clinical trials, which would delay the regulatory approval process. Even an experienced third party manufacturer may encounter difficulties in production, which difficulties may include:</w:t>
      </w:r>
    </w:p>
    <w:p>
      <w:pPr>
        <w:spacing w:after="0" w:line="57" w:lineRule="exact"/>
        <w:rPr>
          <w:sz w:val="20"/>
          <w:szCs w:val="20"/>
          <w:color w:val="auto"/>
        </w:rPr>
      </w:pPr>
    </w:p>
    <w:p>
      <w:pPr>
        <w:ind w:left="10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FG-3019, which is a monoclonal antibody;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supply chain issues, including the timely availability and shelf life requirements of raw materials and supplies;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capacity limitations and scheduling availability in contracted facilities;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disasters that affect facilities and possibly limit production.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example, we have a limited amount of FG-3019 in storage and there are long lead times required to manufacture and scale-up the manufacture of additional supply. If we are unable to manufacture sufficient quantities of FG-3019 on a timely basis, it may limit our ability to replenish inventory or delay our development of FG-3019 in some or all indications. Any delay or interruption in the supply of our product candidates or products could have a material adverse effect on our business and operations.</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“Business—Roxadustat For the Treatment of Anemia in Chronic Kidney Disease—Limitations of the Current Standard of Care for Anemia in CKD” in our Annual Report on Form 10-K for the year ended December 31, 2014. In addition, in the 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Hb targets and other warnings that derive from the lack of clarity regarding the basis for the safety issues associated with ESAs, even if our Phase 3 clinical trials do not themselves raise safety concerns.</w:t>
      </w:r>
    </w:p>
    <w:p>
      <w:pPr>
        <w:spacing w:after="0" w:line="2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As an organization, we have never completed a Phase 3 clinical trial or submitted a New Drug Application (“NDA”) before, and may be unable to do so efficiently or at all for roxadustat or any product candidate we are developing.*</w:t>
      </w:r>
    </w:p>
    <w:p>
      <w:pPr>
        <w:spacing w:after="0" w:line="6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are currently conducting Phase 2 clinical trials for FG-3019 and we may need to conduct additional Phase 2 clinical trials before initiating our Phase 3 clinical trials for FG-3019. We have initiated Phase 3 clinical trials of roxadustat, and if our Phase 2 clinical trials are successful for FG-3019, we intend to conduct Phase 3 clinical trials for FG-3019. The conduct of Phase 3 clinical trials and the submission of a successful NDA is a complicated process. As an organization, we have not completed a Phase 3 clinical trial before, have limited experience in preparing, submitting and prosecuting regulatory filings, and have not submitted an NDA before.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We cannot assure you that upon inspection by a regulatory authority, such regulatory authority will determine that any of our clinical trials comply with GCP requirements or that our results may be used in support of our regulatory submissions.</w:t>
      </w:r>
    </w:p>
    <w:p>
      <w:pPr>
        <w:spacing w:after="0" w:line="277"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62"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roxadustat is approved and launched commercially, competing drugs are expected to include ESAs such as EPOGEN</w:t>
      </w:r>
      <w:r>
        <w:rPr>
          <w:rFonts w:ascii="Arial" w:cs="Arial" w:eastAsia="Arial" w:hAnsi="Arial"/>
          <w:sz w:val="13"/>
          <w:szCs w:val="13"/>
          <w:color w:val="auto"/>
        </w:rPr>
        <w:t>®</w:t>
      </w:r>
      <w:r>
        <w:rPr>
          <w:rFonts w:ascii="Arial" w:cs="Arial" w:eastAsia="Arial" w:hAnsi="Arial"/>
          <w:sz w:val="16"/>
          <w:szCs w:val="16"/>
          <w:color w:val="auto"/>
        </w:rPr>
        <w:t xml:space="preserve"> and Aranesp</w:t>
      </w:r>
      <w:r>
        <w:rPr>
          <w:rFonts w:ascii="Arial" w:cs="Arial" w:eastAsia="Arial" w:hAnsi="Arial"/>
          <w:sz w:val="13"/>
          <w:szCs w:val="13"/>
          <w:color w:val="auto"/>
        </w:rPr>
        <w:t>®</w:t>
      </w:r>
      <w:r>
        <w:rPr>
          <w:rFonts w:ascii="Arial" w:cs="Arial" w:eastAsia="Arial" w:hAnsi="Arial"/>
          <w:sz w:val="16"/>
          <w:szCs w:val="16"/>
          <w:color w:val="auto"/>
        </w:rPr>
        <w:t>, commercialized by Amgen Inc., Procrit</w:t>
      </w:r>
      <w:r>
        <w:rPr>
          <w:rFonts w:ascii="Arial" w:cs="Arial" w:eastAsia="Arial" w:hAnsi="Arial"/>
          <w:sz w:val="13"/>
          <w:szCs w:val="13"/>
          <w:color w:val="auto"/>
        </w:rPr>
        <w:t>®</w:t>
      </w:r>
      <w:r>
        <w:rPr>
          <w:rFonts w:ascii="Arial" w:cs="Arial" w:eastAsia="Arial" w:hAnsi="Arial"/>
          <w:sz w:val="16"/>
          <w:szCs w:val="16"/>
          <w:color w:val="auto"/>
        </w:rPr>
        <w:t xml:space="preserve"> and Eprex</w:t>
      </w:r>
      <w:r>
        <w:rPr>
          <w:rFonts w:ascii="Arial" w:cs="Arial" w:eastAsia="Arial" w:hAnsi="Arial"/>
          <w:sz w:val="13"/>
          <w:szCs w:val="13"/>
          <w:color w:val="auto"/>
        </w:rPr>
        <w:t>®</w:t>
      </w:r>
      <w:r>
        <w:rPr>
          <w:rFonts w:ascii="Arial" w:cs="Arial" w:eastAsia="Arial" w:hAnsi="Arial"/>
          <w:sz w:val="16"/>
          <w:szCs w:val="16"/>
          <w:color w:val="auto"/>
        </w:rPr>
        <w:t>, commercialized by Johnson &amp; Johnson Inc., and Mircera</w:t>
      </w:r>
      <w:r>
        <w:rPr>
          <w:rFonts w:ascii="Arial" w:cs="Arial" w:eastAsia="Arial" w:hAnsi="Arial"/>
          <w:sz w:val="13"/>
          <w:szCs w:val="13"/>
          <w:color w:val="auto"/>
        </w:rPr>
        <w:t>®</w:t>
      </w:r>
      <w:r>
        <w:rPr>
          <w:rFonts w:ascii="Arial" w:cs="Arial" w:eastAsia="Arial" w:hAnsi="Arial"/>
          <w:sz w:val="16"/>
          <w:szCs w:val="16"/>
          <w:color w:val="auto"/>
        </w:rPr>
        <w:t>, commercialized by Hoffmann-La Roche (“Roche”) outside of the United States, and by Galenica, a Roche licensee in the United States and Puerto Rico. ESAs have been used in the treatment of anemia in CKD for over 20 years, serving a significant majority of dialysis-dependent CKD (“DD-CKD”) patients on Medicare. It may be difficult to encourage treatment providers and patients to switch from products with which they have become familiar to roxadustat. In addition, the introduction of safer or more effective complement therapies to ESAs, such as safer iron supplementation therapies, may enhance the competitiveness of ESA therapy.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may also face competition from potential new anemia therapies currently in clinical development. For example, there are several other HIF product candidates in various stages of active development for anemia indications that may be in competition with roxadustat for patient recruitment and enrollment for clinical trials and may be in direct competition with roxadustat if and when it is approved and launched commercially. These candidates are being developed by such companies as Akebia Pharmaceuticals, Inc. (“Akebia”), Bayer Corporation, GlaxoSmithKline plc (“GSK”) and Japan Tobacco Inc. Akebia and GSK recently announced that they expect to start a phase 3 study by end of 2015 and in 2016, respectively. Some of these product candidates may enter the market prior to roxadustat. There may be new therapies for renal-related diseases that could limit the market or level of reimbursement available for roxadustat if and when it is commercialized. In addition, there are other companies developing biologic therapies for treatment of other anemia indications that we may also seek to pursue in the future.</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introduction of biosimilar ESAs into the market in the United States may occur by the time roxadustat enters the market and may increase the competition for roxadustat and alter the competitive and pricing landscape. A biosimilar product is a follow-on version of an existing, branded biologic product. Under current laws, an application for a biosimilar product should not be approved by the FDA until 12 years after the existing, patent-protected product was approved under a Biologics License Application (“BLA”). The patents for the existing, branded product must expire in a given market before biosimilars may enter that market with limited or no risk of being sued for patent infringement. The patents for epoetin alfa, a version of EPOGEN, expired in 2004 in the European Union, and the final material patents expired in May 2015 in the United States. Several biosimilar versions of currently marketed ESAs are available for sale in the EU, China and other territories. In the United States, a few ESA biosimilars are currently under development or regulatory review, including Retacrit™, an EPOGEN and Procrit biosimilar, which has been marketed by Hospira (now part of Pfizer) in Europe and is currently under review by the U.S. FDA. A Retacrit™ BLA filed in February 2015 received an FDA Complete Response Letter in October 2015; Pfizer expects to submit a response to the FDA in the first half of 2016 followed by a 6 month review.</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Furthermore, in the case of roxadustat, many of our existing and potential competitors have distribution relationships with leading dialysis providers and customers as well as brand recognition and reimbursement. Two of the largest operators of dialysis clinics in the United States, DaVita Healthcare Partners Inc. (“DaVita”) and Fresenius SE &amp; Co. KGaA (“Fresenius”) represent more than 60% of the dialysis market in the United States and have entered into long-term sales agreements with Amgen that began in January 2012, which in the case of Fresenius, includes an exclusive relationship. Fresenius also entered into an agreement with Galenica regarding supply of Mircera for use in Fresenius dialysis centers. As a result, successful penetration of this market would require AstraZeneca to reach a significant agreement with Fresenius or DaVita, the two largest dialysis clinics in the United States, on favorable terms and on a timely basis.</w:t>
      </w:r>
    </w:p>
    <w:p>
      <w:pPr>
        <w:spacing w:after="0" w:line="189"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If FG-3019 is approved and launched commercially to treat IPF, competing drugs are expected to include Roche’s pirfenidone, which is approved for marketing in Europe, Canada, Japan and the United States, and Boehringer Ingelheim’s nintedanib which has been approved in the United States and EU. Nintedanib is also in development for non-small cell lung cancer and ovarian cancer. Other potential competitive product candidates in various stages of Phase 2 development for IPF include Gilead Sciences, Inc.’s simtuzumab, Bristol-Myers Squibb’s BMS-986020, and Biogen Idec’s STX-100.</w:t>
      </w:r>
    </w:p>
    <w:p>
      <w:pPr>
        <w:spacing w:after="0" w:line="15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FG-3019 is approved and launched commercially to treat pancreatic cancer, we expect it to be used in combination instead of as monotherapy, and, likely competition for FG-3019 would be from other agents also seeking approval in combination with gemcitibine and nab-paclitaxel from companies such as NewLink Genetics Corporation, Merrimack Pharmaceuticals, Inc., Oncomed Pharmaceuticals, Inc, Momenta Pharmaceuticals Inc., Gilead Sciences Inc., Threshold Pharmaceuticals, Inc., and Halozyme Therapeutics, Inc. Gemcitabine and/or nab-paclitaxel are the current standard of care in the first-line treatment of metastatic pancreatic cancer. Celgene Corporation’s Abraxane</w:t>
      </w:r>
      <w:r>
        <w:rPr>
          <w:rFonts w:ascii="Arial" w:cs="Arial" w:eastAsia="Arial" w:hAnsi="Arial"/>
          <w:sz w:val="14"/>
          <w:szCs w:val="14"/>
          <w:color w:val="auto"/>
        </w:rPr>
        <w:t>®</w:t>
      </w:r>
      <w:r>
        <w:rPr>
          <w:rFonts w:ascii="Arial" w:cs="Arial" w:eastAsia="Arial" w:hAnsi="Arial"/>
          <w:sz w:val="17"/>
          <w:szCs w:val="17"/>
          <w:color w:val="auto"/>
        </w:rPr>
        <w:t xml:space="preserve"> (nab-paclitaxel) was launched in the U.S. and Europe in 2013 and 2014, and was the first drug approved in this disease in nearly a decade. On October 22, 2015, Merrimack Pharmaceuticals Inc., announced that it had received FDA approval for the use of ONIVYDE (irinotecan liposome injection) for the treatment of patients with metastatic adenocarcinoma of the pancreas after disease progression following gemcitabine-based therapy.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If FG-3019 is approved and launched commercially to treat DMD, FG-3019 may face competition for some patients from Sarepta Therapeutics, Inc, as well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BioMarin, and PTC Therapeutics, Santhera Pharmaceuticals, Pfizer, Summit plc and Tivorsan Pharmaceuticals. BioMarin recently completed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Prosensa Holding, N.V. Prosensa, along with Sarepta, have entered clinical development with therapeutics based on exon-skipping technology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seeks to help patients produce functioning forms of the dystrophin protein. PTC Therapeutics’ product ataluren (Translarna</w:t>
      </w:r>
      <w:r>
        <w:rPr>
          <w:rFonts w:ascii="Arial" w:cs="Arial" w:eastAsia="Arial" w:hAnsi="Arial"/>
          <w:sz w:val="13"/>
          <w:szCs w:val="13"/>
          <w:color w:val="auto"/>
        </w:rPr>
        <w:t>TM</w:t>
      </w:r>
      <w:r>
        <w:rPr>
          <w:rFonts w:ascii="Arial" w:cs="Arial" w:eastAsia="Arial" w:hAnsi="Arial"/>
          <w:sz w:val="16"/>
          <w:szCs w:val="16"/>
          <w:color w:val="auto"/>
        </w:rPr>
        <w:t>) received conditional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approval in Europe in 2014. Translarna targets a different set of DMD patients from those being targeted by Prosensa’s and Sarepta’s existing exon-skipping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therapeutics (which skip exon-51); however it is also limited to a subset of patients who carry a specific mutation. Conversely, FG-3019 is intended to treat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DMD patients without limitation to type of mutation. Santhera Pharmaceuticals recently reported positive Phase 3 data with its drug idebenone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(Raxone</w:t>
      </w:r>
      <w:r>
        <w:rPr>
          <w:rFonts w:ascii="Arial" w:cs="Arial" w:eastAsia="Arial" w:hAnsi="Arial"/>
          <w:sz w:val="13"/>
          <w:szCs w:val="13"/>
          <w:color w:val="auto"/>
        </w:rPr>
        <w:t>®</w:t>
      </w:r>
      <w:r>
        <w:rPr>
          <w:rFonts w:ascii="Arial" w:cs="Arial" w:eastAsia="Arial" w:hAnsi="Arial"/>
          <w:sz w:val="16"/>
          <w:szCs w:val="16"/>
          <w:color w:val="auto"/>
        </w:rPr>
        <w:t>/Catena</w:t>
      </w:r>
      <w:r>
        <w:rPr>
          <w:rFonts w:ascii="Arial" w:cs="Arial" w:eastAsia="Arial" w:hAnsi="Arial"/>
          <w:sz w:val="13"/>
          <w:szCs w:val="13"/>
          <w:color w:val="auto"/>
        </w:rPr>
        <w:t>®</w:t>
      </w:r>
      <w:r>
        <w:rPr>
          <w:rFonts w:ascii="Arial" w:cs="Arial" w:eastAsia="Arial" w:hAnsi="Arial"/>
          <w:sz w:val="16"/>
          <w:szCs w:val="16"/>
          <w:color w:val="auto"/>
        </w:rPr>
        <w:t>) in a trial measuring changes in lung function for DMD patients. Idebenone is a synthetic short-chain benzoquinone and a cofactor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enzyme NAD(P)H:quinone oxidoreductase (NQO1). Pfizer’s product candidate, which is in Phase 2 development, is an antibody targeting myostatin which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protein that regulates muscle growth. The goal of the program is to increase muscle growth and muscle strength in patients with DMD. Summit plc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Tivorsan Pharmaceuticals are both working on drugs involving the utrophin pathway. Utrophin is a protein similar to dystrophin. Summit is conducting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Phase 1b trial and Tivorsan is conducting preclinical work.</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FG-5200 is approved and launched to treat corneal blindness resulting from partial thickness corneal damage in China,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FG-3019. In addition, any competitive products that are on the market or in development may compete with FG-3019 for patient recruitment and enrollment for clinical trials or may force us to change our clinical trial comparators, whether placebo or active, in order to compare FG-3019 against another drug, which may be the new standard of care.</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these companies have greater experience and expertise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into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Even if we obtain marketing approval for roxadustat, FG-3019 or any other product candidates that we may develop or acquire in the future, these product candidates may not gain market acceptance among physicians, third party payors, patients and others in the health care community. Market acceptance of any approved product depends on a number of other factors, including:</w:t>
      </w:r>
    </w:p>
    <w:p>
      <w:pPr>
        <w:spacing w:after="0" w:line="73" w:lineRule="exact"/>
        <w:rPr>
          <w:sz w:val="20"/>
          <w:szCs w:val="20"/>
          <w:color w:val="auto"/>
        </w:rPr>
      </w:pPr>
    </w:p>
    <w:p>
      <w:pPr>
        <w:ind w:left="1040" w:right="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safety, efficacy and convenience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 party payors and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ability of treatment providers, such as dialysis clinics, to enter into relationships with us without violating their existing agreement;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example, in the case of roxadustat, two of the largest operators of dialysis clinics in the United States, DaVita and Fresenius, represent more than 60% of the dialysis market in the United States and have entered into long-term sales agreements with Amgen that began in January 2012, which in the case of Fresenius, includes an exclusive relationship.</w:t>
      </w: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Limited reimbursement or insurance coverage of our approved products, if any, by third party payors may render our products less attractive to patients and healthcare providers.</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Market acceptance and sales of any approved products will depend significantly on reimbursement or coverage of our products by third party payors and may be affected by existing and future healthcare reform measures or the prices of related products for which third party reimbursement applies. Coverage and reimbursement by a third party payor may depend upon a number of factors, including the third party payor’s determination that use of a product is:</w:t>
      </w:r>
    </w:p>
    <w:p>
      <w:pPr>
        <w:spacing w:after="0" w:line="39"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Price controls may limit the price at which products such as roxadustat, if approved, are sold. For example, reference pricing is used by various European Union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73"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Conflicts with our collaboration partners could jeopardize our collaboration agreements and our ability to commercialize product candidates.</w:t>
      </w:r>
    </w:p>
    <w:p>
      <w:pPr>
        <w:spacing w:after="0" w:line="1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7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requirements or perform additional clinical trials before approving our marketing applications. We cannot assure you that upon inspection by a regulatory authority, such regulatory authority will determine that any of our clinical trials comply with GCP requirements or that our results may be used in support of our regulatory submissions.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CROs and other third parties do not successfully carry out their duties under their agreements with us, if the quality or accuracy of the data they obtain is be compromised due to their failure to adhere to trial protocols or to regulatory requirements, or if they otherwise fail to comply with regulations and trial protocols or meet expected standards or deadlines, the trials of our product candidates may not meet regulatory requirements. If trials do not meet regulatory requirements or if these third parties need to be replaced, the development of our product candidates may be delayed, suspended or terminated, or the results may not be acceptable. If any of these events occur, we may not be able to obtain regulatory approval of our product candidates on a timely basis, at a reasonable cost, or at all.</w:t>
      </w:r>
    </w:p>
    <w:p>
      <w:pPr>
        <w:spacing w:after="0" w:line="3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do not have any operating manufacturing facilities at this time, and our current manufacturing facility plans in China are not expected to satisfy the requirements necessary to support roxadustat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63" w:lineRule="exact"/>
        <w:rPr>
          <w:sz w:val="20"/>
          <w:szCs w:val="20"/>
          <w:color w:val="auto"/>
        </w:rPr>
      </w:pPr>
    </w:p>
    <w:p>
      <w:pPr>
        <w:ind w:left="1040" w:right="30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negatively impact our planned development and commercialization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1040" w:right="9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disruptions to the operations of our third party manufacturers or suppliers unrelated to our product, including the bankruptcy of the manufacturer or supplier or a catastrophic event affecting our manufacturers or suppliers.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Any of our third party manufacturers may terminate their engagement with us at any time and we have not yet entered into any commercial supply agreements for the manufacture of active pharmaceutical ingredients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On March 4, 2015, Patheon, a business unit of DPx Holdings B.V. announced that it had entered into a definitive agreement to acquire IRIX within sixty days of the announcement.</w:t>
      </w:r>
    </w:p>
    <w:p>
      <w:pPr>
        <w:spacing w:after="0" w:line="18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our Phase 3 clinical trials or, if roxadustat is approved and marketed, a failure to satisfy patient demand.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5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active pharmaceutical ingredient (“API”), and drug product to meet our and our collaboration partners’ needs for roxadustat to date, the lead time and regulatory approvals required to source from and into countries outside of the United States increase the risk of delay and potential shortages of supply.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and which have been, are or could be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Composition-of-matter patents relating to the active pharmaceutical ingredient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United States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United States patent applications filed prior to March 16, 2013, the first to invent the claimed invention is entitled to receive patent protection for that invention while, outside the United States, the first to file a patent application encompassing the invention is entitled to patent protection for the invention. The United States moved to a “first to file” system under the Leahy-Smith America Invents Act (“AIA”) effective March 16, 2013. The effects of this change and other elements of the AIA are currently unclear, as the United States Patent and Trademark Office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disputes with third parties and competitors may be costly and time consuming, and may negatively affect our competitive position.</w:t>
      </w:r>
    </w:p>
    <w:p>
      <w:pPr>
        <w:spacing w:after="0" w:line="152"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a party to, or be threatened with, future litigation or other proceedings regarding intellectual property rights with respect to our product candidates and competing products.</w:t>
      </w:r>
    </w:p>
    <w:p>
      <w:pPr>
        <w:spacing w:after="0" w:line="154"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FG-3019. Any litigation involving defense against claims of infringement, regardless of the merit of such claims, would involve substantial litigation expense and would be a substantial diversion of management time.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intend, if necessary, to vigorously enforce our intellectual property in order to protect the proprietary position of our product candidates, including roxadustat and FG-3019.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We may consider administrative proceedings and other means for challenging third party patents and patent applications. Third parties may also challenge our patents and patent applications, through interference,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post-grant review proceedings before the USPTO or through other comparable proceedings, such as oppositions or invalidation proceedings, before foreign patent offices.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 Even if we are successful, participation in administrative proceedings before the USPTO or a foreign patent office may result in substantial costs and time on the part of our management and other employees. For example, on December 5, 2013, Akebia filed an opposition to our European Patent No. 1463823, or the ‘823 patent, with the European Patent Office, and Akebia and other third parties may initiate or pursue similar proceedings with the European Patent Office or other corresponding foreign jurisdictions. The granted claims of the ‘823 patent encompass the use of roxadustat for the treatment of anemia. While we believe the ‘823 patent will be upheld in its entirety, the ultimate outcome of the opposition remains uncertain, and ultimate resolution of the proceeding may take a number of years and result in substantial costs to us.</w:t>
      </w:r>
    </w:p>
    <w:p>
      <w:pPr>
        <w:spacing w:after="0" w:line="1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7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United States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28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The laws of some foreign countries do not protect proprietary rights to the same extent as do the laws of the United States, and we may encounter significant problems in securing and defending our intellectual property rights outside the United States.</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1040" w:right="1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40" w:right="120" w:hanging="519"/>
        <w:spacing w:after="0" w:line="312" w:lineRule="auto"/>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under the same or very similar brand names and/or having a similar appearance to genuine products, but which are sold without proper licenses or approvals.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under our brand name result in adverse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approval process is highly uncertain and we may not obtain regulatory approval for the commercialization of our product candidates.</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roxadustat nor FG-3019, nor any future product candidates we may discover, in-license or acquire and seek to develop in the future, will ever obtain regulatory approval.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from the FDA or other regulatory authorities for many reasons, including:</w:t>
      </w:r>
    </w:p>
    <w:p>
      <w:pPr>
        <w:spacing w:after="0" w:line="117"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United States where the standard of care is potentially different from that in the United States;</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3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we obtain approval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United States include:</w:t>
      </w:r>
    </w:p>
    <w:p>
      <w:pPr>
        <w:spacing w:after="0" w:line="39" w:lineRule="exact"/>
        <w:rPr>
          <w:sz w:val="20"/>
          <w:szCs w:val="20"/>
          <w:color w:val="auto"/>
        </w:rPr>
      </w:pPr>
    </w:p>
    <w:p>
      <w:pPr>
        <w:ind w:left="1040" w:right="20" w:hanging="519"/>
        <w:spacing w:after="0" w:line="26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3" w:lineRule="exact"/>
        <w:rPr>
          <w:rFonts w:ascii="Arial" w:cs="Arial" w:eastAsia="Arial" w:hAnsi="Arial"/>
          <w:sz w:val="18"/>
          <w:szCs w:val="18"/>
          <w:color w:val="auto"/>
        </w:rPr>
      </w:pPr>
    </w:p>
    <w:p>
      <w:pPr>
        <w:jc w:val="both"/>
        <w:ind w:left="1040" w:right="280" w:hanging="519"/>
        <w:spacing w:after="0" w:line="26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73" w:lineRule="exact"/>
        <w:rPr>
          <w:rFonts w:ascii="Arial" w:cs="Arial" w:eastAsia="Arial" w:hAnsi="Arial"/>
          <w:sz w:val="18"/>
          <w:szCs w:val="18"/>
          <w:color w:val="auto"/>
        </w:rPr>
      </w:pPr>
    </w:p>
    <w:p>
      <w:pPr>
        <w:ind w:left="1040" w:right="220" w:hanging="519"/>
        <w:spacing w:after="0" w:line="308"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40" w:right="380" w:hanging="519"/>
        <w:spacing w:after="0" w:line="308"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(“HITECH”), and its implementing regulations, which imposes certain requirements relating to the privacy, security, and transmission of individually identifiable health information;</w:t>
      </w:r>
    </w:p>
    <w:p>
      <w:pPr>
        <w:spacing w:after="0" w:line="38" w:lineRule="exact"/>
        <w:rPr>
          <w:rFonts w:ascii="Arial" w:cs="Arial" w:eastAsia="Arial" w:hAnsi="Arial"/>
          <w:sz w:val="17"/>
          <w:szCs w:val="17"/>
          <w:color w:val="auto"/>
        </w:rPr>
      </w:pPr>
    </w:p>
    <w:p>
      <w:pPr>
        <w:ind w:left="1040" w:right="140" w:hanging="519"/>
        <w:spacing w:after="0" w:line="25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(collectively “PPACA”), which requires manufacturers of drugs, devices, biologics, and medical supplies to report annually to the Centers for Medicare and Medicaid Services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80" w:lineRule="exact"/>
        <w:rPr>
          <w:rFonts w:ascii="Arial" w:cs="Arial" w:eastAsia="Arial" w:hAnsi="Arial"/>
          <w:sz w:val="18"/>
          <w:szCs w:val="18"/>
          <w:color w:val="auto"/>
        </w:rPr>
      </w:pPr>
    </w:p>
    <w:p>
      <w:pPr>
        <w:ind w:left="1040" w:hanging="519"/>
        <w:spacing w:after="0" w:line="291" w:lineRule="auto"/>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scope of these laws and our lack of experience in establishing the compliance programs necessary to comply with this complex and evolving regulatory environment increases the risks that we may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impact of recent United States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the United States, the Medicare Prescription Drug, Improvement, and Modernization Act of 2003 (the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CMS based on the average cost per treatment, including the cost of ESAs and IV iron doses, typically without adjustment for usage. It is unknown whether roxadustat, if approved, will be included in the payment bundle. Under MIPPA, agents that have no IV equivalent in the bundle are currently expected to be excluded from the bundle until 2025. If roxadustat were included in the bundle, it may reduce the price that could be charged,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8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It is likely that federal and state legislatures within the United States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9"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demand for any products that may be approved for sale;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and profitability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pricing, coverage and reimbursement applicable to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successfully position and market any approved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taxes applicable to our pharmaceutical product revenues.</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conduct, or contract others to conduct, animal testing in the future, which could harm our research and development activities.</w:t>
      </w:r>
    </w:p>
    <w:p>
      <w:pPr>
        <w:spacing w:after="0" w:line="15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(“Code of Business Conduct and Ethics”),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United States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United States, in particular in China, and a number of risks associated with international operations could materially and adversely affect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different United States and foreign drug import and export rules;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pharmaceutical industry in China is subject to comprehensive government regulation and supervision, encompassing the approval, registration, manufacturing, packaging, licensing and marketing of new drugs. Refer to “Business—Government Regulation—Regulation in China” in our Annual Report on Form 10-K for the year ended December 31, 2014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286"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Patients’ use of traditional Chinese medicine in violation of study protocols in our China studies may lead the CFDA and regulators in other jurisdictions in which we are seeking approval to suspend our studies, reject our study data and withhold approval for roxadustat.</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common issue encountered in conducting clinical studies in China is patients’ use of traditional Chinese medicine in violation of study protocols. We believe that many patients with anemia in CKD are currently being treated with traditional Chinese medicine, and it is possible that such patients may continue their use of traditional Chinese medicine after enrollment in our studies and in violation of study protocols. If the patients participating in our China clinical studies do not comply with study protocols and continue to use traditional Chinese medicine, adverse events may emerge in our studies that are due to such traditional Chinese medicine or the interaction between such traditional Chinese medicine and roxadustat. In addition, the use of traditional Chinese medicine by patients in our studies may confound our study results. The occurrence of such adverse events or the confounding of our study results may lead the CFDA and regulators in other jurisdictions in which we are seeking approval to, among other things, suspend our studies, reject our study data and withhold approval for roxadustat.</w:t>
      </w:r>
    </w:p>
    <w:p>
      <w:pPr>
        <w:spacing w:after="0" w:line="30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are building our own manufacturing facility in China to produce roxadustat and clinical trial material for our corneal implant program. As an organization, we have limited experience in the construction or operation of a manufacturing plant, and, accordingly we cannot assure you we will be able to meet regulatory requirements to operate our plant and to sell our products.*</w:t>
      </w:r>
    </w:p>
    <w:p>
      <w:pPr>
        <w:spacing w:after="0" w:line="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2014, we received a Pharmaceutical Production Permit for our facility in China in which we intend to manufacture roxadustat. The Pharmaceutical Production Permit allowed us to produce the NDA registration campaign of roxadustat according to cGMP. However, we have not yet received a license for commercial manufacture of roxadustat. As an organization, we have limited experience building a manufacturing facility in the past and our facility must be constructed, licensed and operated in conformity with applicable cGMP requirements. 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facility meet applicable specifications and other requirements for product safety, efficacy and quality and there can be no assurance that our efforts will succeed for licensure or continue to be successful in meeting these requirements.</w:t>
      </w:r>
    </w:p>
    <w:p>
      <w:pPr>
        <w:spacing w:after="0" w:line="19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would require separate approval for the manufacture of FG-5200. In addition, we may convert our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either or both of roxadustat or FG-5200, either of which would be expected to delay or preclude our ability to develop and commercialize those product candidates in China and may materially adversely affect our business and operations and prospects in China.</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Manufacturing facilities in China are subject to periodic unannounced inspections by the CFDA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facility, and wars, could significantly impair our ability to operate our manufacturing facility.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decision to seek approval in China for roxadustat prior to approval in the United States or Europe is largely unprecedented and could be subject to significant risk, delay and expense.*</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Chinese subsidiary, FibroGen (China) Medical Technology Development Co., Ltd. (“FibroGen Beijing”), plans to seek approval for roxadustat in China as a Domestic Class 1.1 Drug which we believe, if approved, would be the first CFDA approval of a first in class drug candidate while Phase 3 trials are ongoing in the United States and Europe. Because of this largely novel regulatory pathway, the CFDA approval process may take longer than we currently expect, or the CFDA may require us to submit additional data including data from the U.S. or European Phase 3 trials. In addition, negative data from the U.S. or European Phase 3 trials could impact the CFDA approval process. Any such development delays would result in significant delay in our commercialization plans for roxadustat in China. Elements of our plan for approval of roxadustat and other product candidates in China are based on communications with the CFDA, some of which are not reflected in formal written communications, regulations, findings or determinations. Accordingly, while we believe we have understandings with the CFDA regarding the domestic drug approval process and the clinical data currently required for approval, the regulatory authorities may later determine that changes are required in the drug approval process, or that additional or different clinical data must be generated, any of which could significantly delay approval of roxadustat or any of our other product candidates, and materially and adversely affect our plans and operations in China. It is possible that other unforeseen delays in the China regulatory process could have a material adverse effect on our development and commercialization of roxadustat in China. For example, our clinical trial sites may now be required to obtain permission from the Ministry of Science and Technology to obtain routine blood and urine samples, either prior to or in parallel with the start of our Phase 3 clinical trials. Such applications are reviewed only on a quarterly basis. We need additional information to understand the application and full impact of these requirements, however any such delay or failure in obtaining such permission, which is to be done on a site-by-site basis, could potentially delay regulatory approval of roxadustat in China.</w:t>
      </w:r>
    </w:p>
    <w:p>
      <w:pPr>
        <w:spacing w:after="0" w:line="6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addition, there are evolving environmental and manufacturing regulations in China. Final regulations and the application thereof, and any further changes to these regulations may impact our API manufacturing location or strategy. The exact impact of these regulations are yet to be determined, however, it is possible that they could adversely affect the cost or, potentially, the timeline of our commercial manufacturing plan.</w:t>
      </w:r>
    </w:p>
    <w:p>
      <w:pPr>
        <w:spacing w:after="0" w:line="2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if roxadustat is approved in China, we and our collaboration partner in China, AstraZeneca, may experience difficulties in successfully generating sales of roxadustat in China.</w:t>
      </w:r>
    </w:p>
    <w:p>
      <w:pPr>
        <w:spacing w:after="0" w:line="6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and AstraZeneca have a profit sharing arrangement with respect to roxadustat in China. Even if roxadustat is approved for sale in China, we and AstraZeneca may experience difficulties in our marketing, commercialization and sales efforts in China, and our business and operations could be adversely affected. In particular, sales of roxadustat in China may be limited due to the complex nature of the healthcare system, low average personal income, lack of patient cost reimbursement, pricing controls, poorly developed infrastructure and potentially rapid competition from other products.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treatments of anemia in CKD in China is highly competitive.</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Even if roxadustat is approved in China, it will face intense competition in the market for treatments of anemia in CKD. Roxadustat would compete with ESAs, which are offered by established multinational pharmaceutical companies such as Kyowa Hakko Kirin Co. Ltd. and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than we do.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roxadustat will be included in the Medical Insurance Catalogs.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“Business—Government Regulation—Regulation in China” in our Annual Report on Form 10-K for the year ended December 31, 2014. We believe that the inclusion of a drug in the Medical Insurance Catalogs can substantially improve the sales of a drug. The Ministry of Labor and Social Security in China (the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the tender processes for the purchase of medicines by state-owned and state-controlled hospitals.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hospitals in China participate in collective tender processes for the purchase of medicines listed in the Medical Insurance Catalogs and medicines that are consumed in large volumes and commonly prescribed for clinical uses. During a collective tender process, the hospitals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29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plan to seek approval for FG-5200 as a medical device, with respect to which we have no development and manufacturing experience. Even if FG-5200 can be manufactured successfully and achieve regulatory approval, we may not achieve commercial success.</w:t>
      </w:r>
    </w:p>
    <w:p>
      <w:pPr>
        <w:spacing w:after="0" w:line="3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plan to seek regulatory approval for FG-5200 as a medical device, with which we have no development and manufacturing experience. There can be no assurance that we will achieve medical device designation or receive approval for FG-5200. In addition, we have not yet used the material planned for our clinical trials of FG-5200 in any previous clinical trials and because we have not yet received a license to manufacture FG-5200 in our China manufacturing facility or at scale, we will have to show that FG-5200 from our China manufacturing facility meets the applicable regulatory requirements. There can be no assurance that we can meet these requirements or that FG-5200 can be approved for development, manufacture and sale in China.</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which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structure.</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variable interest entity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Securities and Exchange Commission (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7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plan to conduct all of our business in China through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September 30, 2015, approximately $3.5 million of our cash and cash equivalents is held in China.</w:t>
      </w:r>
    </w:p>
    <w:p>
      <w:pPr>
        <w:spacing w:after="0" w:line="2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The tax regulations of the United States and other jurisdictions in which we operate are extremely complex and subject to change. New laws, new interpretations of existing laws, such as the Base Erosion Profit Shifting project (“BEPS”)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enactment of legislation implementing changes in the U.S. taxation of international business activities or the adoption of other tax reform policies could materially impact our financial position and results of operations.*</w:t>
      </w:r>
    </w:p>
    <w:p>
      <w:pPr>
        <w:spacing w:after="0" w:line="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current Administration has proposed, and Congress has introduced, legislation to reform the U.S. taxation of international business activities. The current Administration has made public statements indicating that it has made the issue a priority, and key members of the U.S. Congress have conducted hearings and proposed legislation. Accordingly, depending on the final form of legislation enacted, if any, the consequences of changes to the U.S. taxation of international business activities may be significant for our China business and other offshore activities. If any of these proposals are enacted into legislation, they could have material adverse consequences on our effective tax rate, the amount of tax we pay, our financial position and results of operations.</w:t>
      </w:r>
    </w:p>
    <w:p>
      <w:pPr>
        <w:spacing w:after="0" w:line="266"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have implemented a corporate structure taking into consideration our international operations and potentially applicable tax impact on our worldwide operations, and any changes in applicable tax laws and regulations may negatively impact our financial condition and operating results.</w:t>
      </w:r>
    </w:p>
    <w:p>
      <w:pPr>
        <w:spacing w:after="0" w:line="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developed our corporate structure to be closely aligned with the international nature of our business. There can be no assurance that the applicable tax laws and regulations will continue in effect or that the taxing authorities in any or all of the applicable jurisdictions will not challenge one or more aspects or characterizations of our corporate structure and the treatment of transactions or agreements within our corporate structure, or determine that the manner in which we operate our business is not consistent with our corporate structure. Any unfavorable changes in laws and regulations or positions by tax authorities could harm our financial position and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seek to protect the products and technology that we consider important to our business by filing patent applications in China and other countries, relying on trade secrets or pharmaceutical regulatory protection or employing a combination of these methods. We currently have 3 granted patents and 15 pending patent applications relating to roxadustat in China. Refer to “Business—Intellectual Property” in our Annual Report on Form 10-K for the year ended December 31, 2014. However,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patents that may be granted from our currently pending patent applications have, absent any patent term adjustment or extension, a twenty-year protection period starting from the date of application.</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United States or other countries for many reasons, including lack of procedural rules for discovery and evidence, low damage awards, and lack of judicial independence. Implementation and enforcement of Chinese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Chinese courts in handling intellectual property litigation varies and outcomes are unpredictable. An adverse determination in any such litigation could materially impair our intellectual property rights and may harm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laws and regulations governing corruption, which will require us to develop and implement costly compliance programs.</w:t>
      </w:r>
    </w:p>
    <w:p>
      <w:pPr>
        <w:spacing w:after="0" w:line="1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6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(“DOJ”). The SEC is involved with enforcement of the books and records provisions of the FCPA.</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United States and China.</w:t>
      </w:r>
    </w:p>
    <w:p>
      <w:pPr>
        <w:spacing w:after="0" w:line="18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company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have a material adverse effect on our business and operations.</w:t>
      </w:r>
    </w:p>
    <w:p>
      <w:pPr>
        <w:spacing w:after="0" w:line="1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Chinese economy and Chinese society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Beijing’s liquidity,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are subject to various Chinese labor laws, such as the Labor Contract Law, which, among others, limits the circumstances under which we may terminate labor contracts or hire contingent workers, and requires severance pay upon the termination of an employment contract. In addition, companies operating in China are generally required to contribute to labor union funds,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2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62"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4"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If such an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29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7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such as our data storage facilities, enterprise financial systems or manufacturing resource planning and enterprise quality systems, or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4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FG-3019;</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publication of research reports by securities analysts about us or our competitors or our industry or negative recommendations or withdrawal of research coverage by securities analysts;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ineffectiveness of our internal controls;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announced strategic decisions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fluctuations in the valuation of the biotechnology industry and particular companies perceived by investors to be comparable to us;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performance of other United States publicly traded companies with significant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natural disasters such as earthquakes and other calamities;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2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October 31, 2015, our executive officers, directors and principal stockholders, together with their respective affiliates, owned approximately 25.2% of our common stock, including shares subject to outstanding options that are exercisable within 60 days after such date and shares issuable upon settlement of restricted stock units that will vest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as defined in the Jumpstart Our Business Startups Act of 2012, and we cannot be certain if the reduced disclosure requirements applicable to emerging growth companies will make our common stock less attractive to investors. We will lose our status as an “emerging growth company” at the end of 2015.*</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for so long as we continue to be an emerging growth company, we may take advantage of exemptions from various reporting requirements that are applicable to other public companies that are not emerging growth companies. Specifically, the JOBS Act:</w:t>
      </w:r>
    </w:p>
    <w:p>
      <w:pPr>
        <w:spacing w:after="0" w:line="73" w:lineRule="exact"/>
        <w:rPr>
          <w:sz w:val="20"/>
          <w:szCs w:val="20"/>
          <w:color w:val="auto"/>
        </w:rPr>
      </w:pPr>
    </w:p>
    <w:p>
      <w:pPr>
        <w:ind w:left="1040" w:hanging="519"/>
        <w:spacing w:after="0"/>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eliminates the requirement to comply with the auditor attestation requirements in the assessment of our internal control over financial reporting;</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reduces disclosure obligations regarding executive compensation; and</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exempts us from the requirements of holding a non-binding stockholder advisory vote on executive compensation and stockholder approval of any golden parachute payments not previously approved.</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Based on the market value of our common stock held by non-affiliates as of September 30, 2015, we will cease to be an “emerging growth company” at the end of our 2015 fiscal year. We cannot predict if investors will find our common stock less attractive given that we have chosen to rely on the exemptions available to “emerging growth companies,” and may continue to do so until we cease to be an “emerging growth company” at the end of 2015, or through a permitted transition period thereafter with regard to certain disclosures. If any investors find our common stock less attractive as a result, there may be a less active market for our common stock and our stock price may be more volatile.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an extended transition period for complying with new or revised accounting standards. However, we chose to “opt out” of such extended transition period, and as a result, we will comply with new or revised accounting standards on the relevant dates that adoption of such standards is required for non-emerging growth companies. Our decision to opt out of the extended transition period for complying with new or revised accounting standards is irrevocable.</w:t>
      </w:r>
    </w:p>
    <w:p>
      <w:pPr>
        <w:spacing w:after="0" w:line="28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7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9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are incurring significant compliance costs as a result of operating as a public company and our management is required to devote substantial resources to public company compliance programs.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a newly public company, we are incurring significant legal, insurance, accounting and other expenses that we did not incur as a private company. The Sarbanes-Oxley Act of 2002, the Dodd-Frank Wall Street Reform and Consumer Protection Act of 2010,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are currently and intend to continue to invest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Specifically,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ordinary shares could decline. In addition, if we are unable to continue to meet these requirements, we may not be able to remain listed on The NASDAQ Stock Market.</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not currently required to comply with the SEC’s rules that implement Section 404 of the Sarbanes-Oxley Act, or Section 404, and are therefore not yet required to make a formal assessment of the effectiveness of our internal control over financial reporting for that purpose. We will be required to comply with certain of these rules, including the requirement of an annual management report on the effectiveness of our internal control over financial reporting, commencing with our annual report on Form 10-K for the fiscal year ending December 31, 2015. This assessment will need to include the disclosure of any material weaknesses in our internal control over financial reporting identified by our management or our independent registered public accounting firm. In addition, we will be required to have our independent registered public accounting firm attest to the effectiveness of our internal control over financial reporting beginning with our first annual report on Form 10-K following the date on which we are no longer an emerging growth company. To achieve compliance with Section 404 within the prescribed period, we will need to continue to dedicate internal resources, outside consultants and continue to execute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 and we cannot assure you that there will not be material weaknesses or significant deficiencies in our internal controls in the future.</w:t>
      </w:r>
    </w:p>
    <w:p>
      <w:pPr>
        <w:spacing w:after="0" w:line="2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73" w:lineRule="exact"/>
        <w:rPr>
          <w:sz w:val="20"/>
          <w:szCs w:val="20"/>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3"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4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1040" w:right="6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general, under Section 382 of the Internal Revenue Code of 1986, as amended (the “Code”) a corporation that undergoes an “ownership change” is subject to limitations on its ability to utilize its pre-change net operating losses (“NOLs”) or tax credits (“credits”), to offset future taxable income. Our existing NOLs or credits may be subject to substantial limitations arising from previous ownership changes, and if we undergo an ownership change our ability to utilize NOLs or credits could be further limited by Section 382 of the Code. In addition, future changes in our stock ownership, many of which are outside of our control, could result in an ownership change under Section 382 of the Code. Our NOLs or credits may also be impaired under state law. Accordingly, we may not be able to utilize a material portion of our NOLs or credits. Furthermore, our ability to utilize our NOLs or credits is conditioned upon our attaining profitability and generating United States federal and state taxable income. As described above under “—Risks Related to our Financial Position and History of Operating Losses,” we have incurred significant net losses since our inception and anticipate that we will continue to incur significant losses for the foreseeable future; thus, we do not know whether or when we will generate the United States federal or state taxable income necessary to utilize our NOLs or credits. A full valuation allowance has been provided for the entire amount of our NOLs and credits.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 multinational corporation, we are subject to income taxes in the United States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are also subject to non-income taxes, such as payroll, sales, use, value-added, net worth, property and goods and services taxes in the United States and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27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for Public Offering of Common Stock</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November 13, 2014, our Registration Statement on Form S-1, as amended (Reg. Nos. 333-199069 and 333-200189 was declared effective by the SEC for our initial public offering (“IPO”) of common stock, pursuant to which we sold an aggregate of 9,315,000 shares of our common stock at a public offering price of $18.00 per share. Concurrent with the closing of our IPO, AstraZeneca, one of our collaboration partners, purchased 1,111,111 shares of our common stock in a private placement at a price per share equal to the IPO price for an aggregate purchase price of $20.0 million. Net proceeds from our IPO and concurrent private placement were $171.8 million, after deducting underwriting discounts of $11.7 million and offering expenses of $4.1 million.</w:t>
      </w:r>
    </w:p>
    <w:p>
      <w:pPr>
        <w:spacing w:after="0" w:line="15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As of September 30, 2015, the net proceeds are held in our investment accounts. There has been no material change in the planned use of proceeds from our IPO as described in our final prospectus filed with the SEC pursuant to Rule 424(b) under the Securities Act on November 14, 2014.</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September 10, 2015, we issued 83,890 shares of common stock to HCP Estates USA Inc., pursuant to their cashless exercise of warrants to purchase 121,842 shares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issuance of the securities described in the paragraph above was exempt from the registration requirements of the Securities Act afforded by Section 3(a)</w:t>
      </w:r>
    </w:p>
    <w:p>
      <w:pPr>
        <w:spacing w:after="0" w:line="46" w:lineRule="exact"/>
        <w:rPr>
          <w:sz w:val="20"/>
          <w:szCs w:val="20"/>
          <w:color w:val="auto"/>
        </w:rPr>
      </w:pPr>
    </w:p>
    <w:p>
      <w:pPr>
        <w:ind w:right="620" w:firstLine="8"/>
        <w:spacing w:after="0" w:line="323" w:lineRule="auto"/>
        <w:tabs>
          <w:tab w:leader="none" w:pos="2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thereof and Section 4(a)(2) thereof and Regulation D promulgated thereunder, which exception is available because the securities were not offered pursuant to a public offering and such issuances were otherwise made in compliance with the requirements of Regulation D and Rule 506.</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on the accompanying Exhibit Index are filed or incorporated by reference (as stated therein) as part of this Quarterly Report on From 10-Q.</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FibroGen, Inc.</w:t>
            </w:r>
          </w:p>
        </w:tc>
        <w:tc>
          <w:tcPr>
            <w:tcW w:w="20" w:type="dxa"/>
            <w:vAlign w:val="bottom"/>
          </w:tcPr>
          <w:p>
            <w:pPr>
              <w:spacing w:after="0"/>
              <w:rPr>
                <w:sz w:val="17"/>
                <w:szCs w:val="17"/>
                <w:color w:val="auto"/>
              </w:rPr>
            </w:pPr>
          </w:p>
        </w:tc>
      </w:tr>
      <w:tr>
        <w:trPr>
          <w:trHeight w:val="20"/>
        </w:trPr>
        <w:tc>
          <w:tcPr>
            <w:tcW w:w="3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3820" w:type="dxa"/>
            <w:vAlign w:val="bottom"/>
          </w:tcPr>
          <w:p>
            <w:pPr>
              <w:spacing w:after="0"/>
              <w:rPr>
                <w:sz w:val="20"/>
                <w:szCs w:val="20"/>
                <w:color w:val="auto"/>
              </w:rPr>
            </w:pPr>
            <w:r>
              <w:rPr>
                <w:rFonts w:ascii="Arial" w:cs="Arial" w:eastAsia="Arial" w:hAnsi="Arial"/>
                <w:sz w:val="18"/>
                <w:szCs w:val="18"/>
                <w:color w:val="auto"/>
              </w:rPr>
              <w:t>Dated: November 12, 2015</w:t>
            </w:r>
          </w:p>
        </w:tc>
        <w:tc>
          <w:tcPr>
            <w:tcW w:w="2740" w:type="dxa"/>
            <w:vAlign w:val="bottom"/>
          </w:tcPr>
          <w:p>
            <w:pPr>
              <w:spacing w:after="0"/>
              <w:rPr>
                <w:sz w:val="24"/>
                <w:szCs w:val="24"/>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By: /s/ Thomas B. Neff</w:t>
            </w:r>
          </w:p>
        </w:tc>
        <w:tc>
          <w:tcPr>
            <w:tcW w:w="20" w:type="dxa"/>
            <w:vAlign w:val="bottom"/>
          </w:tcPr>
          <w:p>
            <w:pPr>
              <w:spacing w:after="0"/>
              <w:rPr>
                <w:sz w:val="24"/>
                <w:szCs w:val="24"/>
                <w:color w:val="auto"/>
              </w:rPr>
            </w:pPr>
          </w:p>
        </w:tc>
      </w:tr>
      <w:tr>
        <w:trPr>
          <w:trHeight w:val="195"/>
        </w:trPr>
        <w:tc>
          <w:tcPr>
            <w:tcW w:w="38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5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Thomas B. Neff</w:t>
            </w:r>
          </w:p>
        </w:tc>
        <w:tc>
          <w:tcPr>
            <w:tcW w:w="2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c>
          <w:tcPr>
            <w:tcW w:w="2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20" w:type="dxa"/>
            <w:vAlign w:val="bottom"/>
          </w:tcPr>
          <w:p>
            <w:pPr>
              <w:spacing w:after="0"/>
              <w:rPr>
                <w:sz w:val="20"/>
                <w:szCs w:val="20"/>
                <w:color w:val="auto"/>
              </w:rPr>
            </w:pPr>
          </w:p>
        </w:tc>
      </w:tr>
      <w:tr>
        <w:trPr>
          <w:trHeight w:val="459"/>
        </w:trPr>
        <w:tc>
          <w:tcPr>
            <w:tcW w:w="3820" w:type="dxa"/>
            <w:vAlign w:val="bottom"/>
          </w:tcPr>
          <w:p>
            <w:pPr>
              <w:spacing w:after="0"/>
              <w:rPr>
                <w:sz w:val="20"/>
                <w:szCs w:val="20"/>
                <w:color w:val="auto"/>
              </w:rPr>
            </w:pPr>
            <w:r>
              <w:rPr>
                <w:rFonts w:ascii="Arial" w:cs="Arial" w:eastAsia="Arial" w:hAnsi="Arial"/>
                <w:sz w:val="18"/>
                <w:szCs w:val="18"/>
                <w:color w:val="auto"/>
              </w:rPr>
              <w:t>Dated: November 12, 2015</w:t>
            </w:r>
          </w:p>
        </w:tc>
        <w:tc>
          <w:tcPr>
            <w:tcW w:w="2740" w:type="dxa"/>
            <w:vAlign w:val="bottom"/>
          </w:tcPr>
          <w:p>
            <w:pPr>
              <w:spacing w:after="0"/>
              <w:rPr>
                <w:sz w:val="24"/>
                <w:szCs w:val="24"/>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By: /s/ Pat Cotroneo</w:t>
            </w:r>
          </w:p>
        </w:tc>
        <w:tc>
          <w:tcPr>
            <w:tcW w:w="20" w:type="dxa"/>
            <w:vAlign w:val="bottom"/>
          </w:tcPr>
          <w:p>
            <w:pPr>
              <w:spacing w:after="0"/>
              <w:rPr>
                <w:sz w:val="24"/>
                <w:szCs w:val="24"/>
                <w:color w:val="auto"/>
              </w:rPr>
            </w:pPr>
          </w:p>
        </w:tc>
      </w:tr>
      <w:tr>
        <w:trPr>
          <w:trHeight w:val="195"/>
        </w:trPr>
        <w:tc>
          <w:tcPr>
            <w:tcW w:w="38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5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Pat Cotroneo</w:t>
            </w:r>
          </w:p>
        </w:tc>
        <w:tc>
          <w:tcPr>
            <w:tcW w:w="2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Vice President, Finance and Chief Financial Officer</w:t>
            </w:r>
          </w:p>
        </w:tc>
        <w:tc>
          <w:tcPr>
            <w:tcW w:w="2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0" w:type="dxa"/>
            <w:vAlign w:val="bottom"/>
          </w:tcPr>
          <w:p>
            <w:pPr>
              <w:spacing w:after="0"/>
              <w:rPr>
                <w:sz w:val="20"/>
                <w:szCs w:val="20"/>
                <w:color w:val="auto"/>
              </w:rPr>
            </w:pPr>
          </w:p>
        </w:tc>
      </w:tr>
      <w:tr>
        <w:trPr>
          <w:trHeight w:val="864"/>
        </w:trPr>
        <w:tc>
          <w:tcPr>
            <w:tcW w:w="3820" w:type="dxa"/>
            <w:vAlign w:val="bottom"/>
          </w:tcPr>
          <w:p>
            <w:pPr>
              <w:spacing w:after="0"/>
              <w:rPr>
                <w:sz w:val="24"/>
                <w:szCs w:val="24"/>
                <w:color w:val="auto"/>
              </w:rPr>
            </w:pPr>
          </w:p>
        </w:tc>
        <w:tc>
          <w:tcPr>
            <w:tcW w:w="2740" w:type="dxa"/>
            <w:vAlign w:val="bottom"/>
          </w:tcPr>
          <w:p>
            <w:pPr>
              <w:jc w:val="right"/>
              <w:ind w:right="67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Incorporation By Reference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0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780" w:type="dxa"/>
            <w:vAlign w:val="bottom"/>
            <w:vMerge w:val="restart"/>
          </w:tcPr>
          <w:p>
            <w:pPr>
              <w:jc w:val="right"/>
              <w:ind w:right="2708"/>
              <w:spacing w:after="0"/>
              <w:rPr>
                <w:sz w:val="20"/>
                <w:szCs w:val="20"/>
                <w:color w:val="auto"/>
              </w:rPr>
            </w:pPr>
            <w:r>
              <w:rPr>
                <w:rFonts w:ascii="Arial" w:cs="Arial" w:eastAsia="Arial" w:hAnsi="Arial"/>
                <w:sz w:val="14"/>
                <w:szCs w:val="14"/>
                <w:b w:val="1"/>
                <w:bCs w:val="1"/>
                <w:color w:val="auto"/>
              </w:rPr>
              <w:t>Exhibit Description</w:t>
            </w:r>
          </w:p>
        </w:tc>
        <w:tc>
          <w:tcPr>
            <w:tcW w:w="60" w:type="dxa"/>
            <w:vAlign w:val="bottom"/>
            <w:vMerge w:val="restart"/>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60" w:type="dxa"/>
            <w:vAlign w:val="bottom"/>
            <w:vMerge w:val="restart"/>
          </w:tcPr>
          <w:p>
            <w:pPr>
              <w:spacing w:after="0"/>
              <w:rPr>
                <w:sz w:val="9"/>
                <w:szCs w:val="9"/>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SEC File No.</w:t>
            </w:r>
          </w:p>
        </w:tc>
        <w:tc>
          <w:tcPr>
            <w:tcW w:w="40" w:type="dxa"/>
            <w:vAlign w:val="bottom"/>
            <w:vMerge w:val="restart"/>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60" w:type="dxa"/>
            <w:vAlign w:val="bottom"/>
            <w:vMerge w:val="restart"/>
          </w:tcPr>
          <w:p>
            <w:pPr>
              <w:spacing w:after="0"/>
              <w:rPr>
                <w:sz w:val="9"/>
                <w:szCs w:val="9"/>
                <w:color w:val="auto"/>
              </w:rPr>
            </w:pPr>
          </w:p>
        </w:tc>
        <w:tc>
          <w:tcPr>
            <w:tcW w:w="10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67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Amended and Restated Certificate of Incorporation of FibroGen, Inc.</w:t>
            </w:r>
          </w:p>
        </w:tc>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11/21/2014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Amended and Restated Bylaws of FibroGen, Inc.</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10/23/2014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Form of Common Stock Certificate.</w:t>
            </w:r>
          </w:p>
        </w:tc>
        <w:tc>
          <w:tcPr>
            <w:tcW w:w="5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11/21/2014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7"/>
              </w:rPr>
              <w:t>Investor Rights Agreement by and among FibroGen, Inc. and certain of its stockholders,</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dated as of December 1995.</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7"/>
              </w:rPr>
              <w:t>Investor Rights Agreement by and among FibroGen, Inc. and certain of its stockholders,</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dated as of February 20, 1998.</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4"/>
              </w:rPr>
              <w:t>Investor Rights Agreement by and among FibroGen, Inc. and certain of its warrant holders,</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dated as of June 3, 1999.</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4"/>
              </w:rPr>
              <w:t>Investor Rights Agreement by and among FibroGen, Inc. and certain of its warrant holders,</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dated as of February 8, 2000.</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4.6</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0"/>
              </w:rPr>
              <w:t>Warrant to Purchase 67,200 Shares of Common Stock issued to Lease Management Services,</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4"/>
              </w:rPr>
              <w:t>Inc., dated as of June 6, 1995; as amended by Amendment to Warrant to Purchase 67,200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1"/>
              </w:rPr>
              <w:t>Shares of Common Stock by and between FibroGen, Inc. and Phoenixcor, Inc. (as successor</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in interest to Lease Management Services, Inc.), dated as of June 5, 2001.</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4.7</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0"/>
              </w:rPr>
              <w:t>Warrant to Purchase 43,140 Shares of Common Stock issued to Lease Management Services,</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4.9</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5"/>
              </w:rPr>
              <w:t>Inc., dated as of December 11, 1997; as amended by Amendment to Warrant to Purchase</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1"/>
              </w:rPr>
              <w:t>43,140 Shares of Common Stock by and between FibroGen, Inc. and General Electric Capital</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8"/>
              </w:rPr>
              <w:t>Corporation (as successor in interest to Lease Management Services, Inc.), dated as of</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December 9, 2003.</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4.8</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5"/>
              </w:rPr>
              <w:t>Warrant to Purchase 4,000 Shares of Common Stock issued to Laurence S. Shushan and</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1"/>
              </w:rPr>
              <w:t>Magdalena Shushan, Trustees of The Laurence and Magdalena Shushan Family Trust, dated</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as of June 3, 1999.</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4.9</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2"/>
              </w:rPr>
              <w:t>Warrant to Purchase 180,000 Shares of Common Stock issued to Slough Estates USA, Inc.,</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dated as of June 3, 1999.</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4.10</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4"/>
              </w:rPr>
              <w:t>Warrant to Purchase 11,076 Shares of Common Stock issued to Bristow Investments, L.P,</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dated as of February 8, 2000.</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4.11</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5"/>
              </w:rPr>
              <w:t>Warrant to Purchase 2,769 Shares of Common Stock issued to Laurence S. Shushan and</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1"/>
              </w:rPr>
              <w:t>Magdalena Shushan, Trustees of The Laurence and Magdalena Shushan Family Trust, dated</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as of February 8, 2000.</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4.12</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2"/>
              </w:rPr>
              <w:t>Warrant to Purchase 124,605 Shares of Common Stock issued to Slough Estates USA, Inc.,</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dated as of February 8, 2000.</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4.13</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3"/>
              </w:rPr>
              <w:t>Shareholders’ Agreement by and among FibroGen China Anemia Holdings, Ltd. and certain</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of its shareholders, dated as of July 11, 2012.</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4.14</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4"/>
              </w:rPr>
              <w:t>Share Purchase Agreement by and among FibroGen China Anemia Holdings, Ltd. and the</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10/01/2014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purchasers party thereto, dated as of July 11, 2012.</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4.15</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4"/>
              </w:rPr>
              <w:t>Common Stock Purchase Agreement by and between FibroGen, Inc. and AstraZeneca AB,</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10/24/2014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dated as of October 20, 2014.</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10.28(xvii)</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1"/>
              </w:rPr>
              <w:t>Amendment No. 15 to Process Development and Clinical Supply Agreement, by and between</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6"/>
              </w:rPr>
              <w:t>the Company and Boehringer Ingelheim Biopharmaceuticals GmbH (“BI”), effective as of</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October 20, 2014 (the “BI Amendment No. 15”)</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020" w:type="dxa"/>
            <w:vAlign w:val="bottom"/>
          </w:tcPr>
          <w:p>
            <w:pPr>
              <w:spacing w:after="0"/>
              <w:rPr>
                <w:sz w:val="24"/>
                <w:szCs w:val="24"/>
                <w:color w:val="auto"/>
              </w:rPr>
            </w:pPr>
          </w:p>
        </w:tc>
        <w:tc>
          <w:tcPr>
            <w:tcW w:w="6840" w:type="dxa"/>
            <w:vAlign w:val="bottom"/>
            <w:gridSpan w:val="2"/>
          </w:tcPr>
          <w:p>
            <w:pPr>
              <w:jc w:val="right"/>
              <w:ind w:right="1988"/>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2"/>
              </w:rPr>
              <w:t>Incorporation By Reference</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0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780" w:type="dxa"/>
            <w:vAlign w:val="bottom"/>
            <w:vMerge w:val="restart"/>
          </w:tcPr>
          <w:p>
            <w:pPr>
              <w:ind w:left="2800"/>
              <w:spacing w:after="0"/>
              <w:rPr>
                <w:sz w:val="20"/>
                <w:szCs w:val="20"/>
                <w:color w:val="auto"/>
              </w:rPr>
            </w:pPr>
            <w:r>
              <w:rPr>
                <w:rFonts w:ascii="Arial" w:cs="Arial" w:eastAsia="Arial" w:hAnsi="Arial"/>
                <w:sz w:val="14"/>
                <w:szCs w:val="14"/>
                <w:b w:val="1"/>
                <w:bCs w:val="1"/>
                <w:color w:val="auto"/>
              </w:rPr>
              <w:t>Exhibit Description</w:t>
            </w:r>
          </w:p>
        </w:tc>
        <w:tc>
          <w:tcPr>
            <w:tcW w:w="60" w:type="dxa"/>
            <w:vAlign w:val="bottom"/>
            <w:vMerge w:val="restart"/>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60" w:type="dxa"/>
            <w:vAlign w:val="bottom"/>
            <w:vMerge w:val="restart"/>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SEC File No.</w:t>
            </w:r>
          </w:p>
        </w:tc>
        <w:tc>
          <w:tcPr>
            <w:tcW w:w="40" w:type="dxa"/>
            <w:vAlign w:val="bottom"/>
            <w:vMerge w:val="restart"/>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6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88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67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020" w:type="dxa"/>
            <w:vAlign w:val="bottom"/>
          </w:tcPr>
          <w:p>
            <w:pPr>
              <w:spacing w:after="0"/>
              <w:rPr>
                <w:sz w:val="20"/>
                <w:szCs w:val="20"/>
                <w:color w:val="auto"/>
              </w:rPr>
            </w:pPr>
            <w:r>
              <w:rPr>
                <w:rFonts w:ascii="Arial" w:cs="Arial" w:eastAsia="Arial" w:hAnsi="Arial"/>
                <w:sz w:val="18"/>
                <w:szCs w:val="18"/>
                <w:color w:val="auto"/>
              </w:rPr>
              <w:t>10.28(xviii)</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1"/>
              </w:rPr>
              <w:t>Amendment No. 16 to Process Development and Clinical Supply Agreement, by and between</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ind w:right="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the Company and BI, effective as of December 8, 2014 (the “BI Amendment No. 16”)</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10.28(xix)</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1"/>
              </w:rPr>
              <w:t>Amendment No. 17 to Process Development and Clinical Supply Agreement, by and between</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ind w:right="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the Company and BI, effective as of December 8, 2014 (the “BI Amendment No. 17”)</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10.28(xx)</w:t>
            </w:r>
          </w:p>
        </w:tc>
        <w:tc>
          <w:tcPr>
            <w:tcW w:w="6900" w:type="dxa"/>
            <w:vAlign w:val="bottom"/>
            <w:gridSpan w:val="3"/>
          </w:tcPr>
          <w:p>
            <w:pPr>
              <w:ind w:left="60"/>
              <w:spacing w:after="0"/>
              <w:rPr>
                <w:sz w:val="20"/>
                <w:szCs w:val="20"/>
                <w:color w:val="auto"/>
              </w:rPr>
            </w:pPr>
            <w:r>
              <w:rPr>
                <w:rFonts w:ascii="Arial" w:cs="Arial" w:eastAsia="Arial" w:hAnsi="Arial"/>
                <w:sz w:val="18"/>
                <w:szCs w:val="18"/>
                <w:color w:val="auto"/>
                <w:w w:val="91"/>
              </w:rPr>
              <w:t>Amendment No. 18 to Process Development and Clinical Supply Agreement, by and between</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ind w:right="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color w:val="auto"/>
              </w:rPr>
              <w:t>the Company and BI, effective as of February 15, 2015 (the “BI Amendment No. 18”)</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tabs>
          <w:tab w:leader="none" w:pos="1060" w:val="left"/>
        </w:tabs>
        <w:rPr>
          <w:sz w:val="20"/>
          <w:szCs w:val="20"/>
          <w:color w:val="auto"/>
        </w:rPr>
      </w:pPr>
      <w:r>
        <w:rPr>
          <w:rFonts w:ascii="Arial" w:cs="Arial" w:eastAsia="Arial" w:hAnsi="Arial"/>
          <w:sz w:val="18"/>
          <w:szCs w:val="18"/>
          <w:color w:val="auto"/>
        </w:rPr>
        <w:t>10.28(xxi)</w:t>
      </w:r>
      <w:r>
        <w:rPr>
          <w:sz w:val="20"/>
          <w:szCs w:val="20"/>
          <w:color w:val="auto"/>
        </w:rPr>
        <w:tab/>
      </w:r>
      <w:r>
        <w:rPr>
          <w:rFonts w:ascii="Arial" w:cs="Arial" w:eastAsia="Arial" w:hAnsi="Arial"/>
          <w:sz w:val="16"/>
          <w:szCs w:val="16"/>
          <w:color w:val="auto"/>
        </w:rPr>
        <w:t>Amendment No. 19 to Process Development and Clinical Supply Agreement, by and between</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 and BI, effective as of March 01, 2015 (the “BI Amendment No. 19”)</w:t>
      </w:r>
    </w:p>
    <w:p>
      <w:pPr>
        <w:spacing w:after="0" w:line="1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10.28(xxii)</w:t>
      </w:r>
      <w:r>
        <w:rPr>
          <w:sz w:val="20"/>
          <w:szCs w:val="20"/>
          <w:color w:val="auto"/>
        </w:rPr>
        <w:tab/>
      </w:r>
      <w:r>
        <w:rPr>
          <w:rFonts w:ascii="Arial" w:cs="Arial" w:eastAsia="Arial" w:hAnsi="Arial"/>
          <w:sz w:val="16"/>
          <w:szCs w:val="16"/>
          <w:color w:val="auto"/>
        </w:rPr>
        <w:t>Amendment No. 20 to Process Development and Clinical Supply Agreement, by and between</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 and BI, effective as of June 1, 2015 (the “BI Amendment No. 20”)</w:t>
      </w:r>
    </w:p>
    <w:p>
      <w:pPr>
        <w:spacing w:after="0" w:line="20" w:lineRule="exact"/>
        <w:rPr>
          <w:sz w:val="20"/>
          <w:szCs w:val="20"/>
          <w:color w:val="auto"/>
        </w:rPr>
      </w:pPr>
      <w:r>
        <w:rPr>
          <w:sz w:val="20"/>
          <w:szCs w:val="20"/>
          <w:color w:val="auto"/>
        </w:rPr>
        <w:br w:type="column"/>
      </w:r>
    </w:p>
    <w:p>
      <w:pPr>
        <w:spacing w:after="0"/>
        <w:tabs>
          <w:tab w:leader="none" w:pos="860" w:val="left"/>
          <w:tab w:leader="none" w:pos="1800" w:val="left"/>
          <w:tab w:leader="none" w:pos="2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47" w:lineRule="exact"/>
        <w:rPr>
          <w:sz w:val="20"/>
          <w:szCs w:val="20"/>
          <w:color w:val="auto"/>
        </w:rPr>
      </w:pPr>
    </w:p>
    <w:p>
      <w:pPr>
        <w:spacing w:after="0"/>
        <w:tabs>
          <w:tab w:leader="none" w:pos="860" w:val="left"/>
          <w:tab w:leader="none" w:pos="1800" w:val="left"/>
          <w:tab w:leader="none" w:pos="2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46" w:lineRule="exact"/>
        <w:rPr>
          <w:sz w:val="20"/>
          <w:szCs w:val="20"/>
          <w:color w:val="auto"/>
        </w:rPr>
      </w:pPr>
    </w:p>
    <w:p>
      <w:pPr>
        <w:sectPr>
          <w:pgSz w:w="11900" w:h="16838" w:orient="portrait"/>
          <w:cols w:equalWidth="0" w:num="2">
            <w:col w:w="7840" w:space="240"/>
            <w:col w:w="3340"/>
          </w:cols>
          <w:pgMar w:left="240" w:top="125" w:right="239" w:bottom="1440" w:gutter="0" w:footer="0" w:header="0"/>
          <w:type w:val="continuous"/>
        </w:sectPr>
      </w:pPr>
    </w:p>
    <w:p>
      <w:pPr>
        <w:spacing w:after="0"/>
        <w:tabs>
          <w:tab w:leader="none" w:pos="1060" w:val="left"/>
          <w:tab w:leader="none" w:pos="8060" w:val="left"/>
          <w:tab w:leader="none" w:pos="8940" w:val="left"/>
          <w:tab w:leader="none" w:pos="9880" w:val="left"/>
          <w:tab w:leader="none" w:pos="10780" w:val="left"/>
        </w:tabs>
        <w:rPr>
          <w:sz w:val="20"/>
          <w:szCs w:val="20"/>
          <w:color w:val="auto"/>
        </w:rPr>
      </w:pPr>
      <w:r>
        <w:rPr>
          <w:rFonts w:ascii="Arial" w:cs="Arial" w:eastAsia="Arial" w:hAnsi="Arial"/>
          <w:sz w:val="18"/>
          <w:szCs w:val="18"/>
          <w:color w:val="auto"/>
        </w:rPr>
        <w:t>10.28(xxiii)</w:t>
      </w:r>
      <w:r>
        <w:rPr>
          <w:sz w:val="20"/>
          <w:szCs w:val="20"/>
          <w:color w:val="auto"/>
        </w:rPr>
        <w:tab/>
      </w:r>
      <w:r>
        <w:rPr>
          <w:rFonts w:ascii="Arial" w:cs="Arial" w:eastAsia="Arial" w:hAnsi="Arial"/>
          <w:sz w:val="17"/>
          <w:szCs w:val="17"/>
          <w:color w:val="auto"/>
        </w:rPr>
        <w:t>Amendment No. 21 to Process Development and Clinical Supply Agreement, by and between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 and BI, effective as of May 29, 2015 (the “BI Amendment No. 21”)</w:t>
      </w:r>
    </w:p>
    <w:p>
      <w:pPr>
        <w:sectPr>
          <w:pgSz w:w="11900" w:h="16838" w:orient="portrait"/>
          <w:cols w:equalWidth="0" w:num="1">
            <w:col w:w="11420"/>
          </w:cols>
          <w:pgMar w:left="240" w:top="125" w:right="239" w:bottom="1440" w:gutter="0" w:footer="0" w:header="0"/>
          <w:type w:val="continuous"/>
        </w:sectPr>
      </w:pP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10.28(xxiv)</w:t>
            </w:r>
          </w:p>
        </w:tc>
        <w:tc>
          <w:tcPr>
            <w:tcW w:w="6860" w:type="dxa"/>
            <w:vAlign w:val="bottom"/>
          </w:tcPr>
          <w:p>
            <w:pPr>
              <w:ind w:left="100"/>
              <w:spacing w:after="0"/>
              <w:rPr>
                <w:sz w:val="20"/>
                <w:szCs w:val="20"/>
                <w:color w:val="auto"/>
              </w:rPr>
            </w:pPr>
            <w:r>
              <w:rPr>
                <w:rFonts w:ascii="Arial" w:cs="Arial" w:eastAsia="Arial" w:hAnsi="Arial"/>
                <w:sz w:val="18"/>
                <w:szCs w:val="18"/>
                <w:color w:val="auto"/>
                <w:w w:val="90"/>
              </w:rPr>
              <w:t>Amendment No. 23 to Process Development and Clinical Supply Agreement, by and between</w:t>
            </w:r>
          </w:p>
        </w:tc>
      </w:tr>
      <w:tr>
        <w:trPr>
          <w:trHeight w:val="230"/>
        </w:trPr>
        <w:tc>
          <w:tcPr>
            <w:tcW w:w="980" w:type="dxa"/>
            <w:vAlign w:val="bottom"/>
          </w:tcPr>
          <w:p>
            <w:pPr>
              <w:spacing w:after="0"/>
              <w:rPr>
                <w:sz w:val="20"/>
                <w:szCs w:val="20"/>
                <w:color w:val="auto"/>
              </w:rPr>
            </w:pPr>
          </w:p>
        </w:tc>
        <w:tc>
          <w:tcPr>
            <w:tcW w:w="6860" w:type="dxa"/>
            <w:vAlign w:val="bottom"/>
          </w:tcPr>
          <w:p>
            <w:pPr>
              <w:ind w:left="100"/>
              <w:spacing w:after="0"/>
              <w:rPr>
                <w:sz w:val="20"/>
                <w:szCs w:val="20"/>
                <w:color w:val="auto"/>
              </w:rPr>
            </w:pPr>
            <w:r>
              <w:rPr>
                <w:rFonts w:ascii="Arial" w:cs="Arial" w:eastAsia="Arial" w:hAnsi="Arial"/>
                <w:sz w:val="18"/>
                <w:szCs w:val="18"/>
                <w:color w:val="auto"/>
                <w:w w:val="99"/>
              </w:rPr>
              <w:t>the Company and BI, effective as of September 1, 2015 (the “BI Amendment No. 23”)</w:t>
            </w: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6860" w:type="dxa"/>
            <w:vAlign w:val="bottom"/>
          </w:tcPr>
          <w:p>
            <w:pPr>
              <w:ind w:left="100"/>
              <w:spacing w:after="0"/>
              <w:rPr>
                <w:sz w:val="20"/>
                <w:szCs w:val="20"/>
                <w:color w:val="auto"/>
              </w:rPr>
            </w:pPr>
            <w:r>
              <w:rPr>
                <w:rFonts w:ascii="Arial" w:cs="Arial" w:eastAsia="Arial" w:hAnsi="Arial"/>
                <w:sz w:val="18"/>
                <w:szCs w:val="18"/>
                <w:color w:val="auto"/>
                <w:w w:val="95"/>
              </w:rPr>
              <w:t>Certification of Chief Executive Officer, as required by Rule 13a-14(a) or Rule 15d-14(a).</w:t>
            </w: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6860" w:type="dxa"/>
            <w:vAlign w:val="bottom"/>
          </w:tcPr>
          <w:p>
            <w:pPr>
              <w:ind w:left="100"/>
              <w:spacing w:after="0"/>
              <w:rPr>
                <w:sz w:val="20"/>
                <w:szCs w:val="20"/>
                <w:color w:val="auto"/>
              </w:rPr>
            </w:pPr>
            <w:r>
              <w:rPr>
                <w:rFonts w:ascii="Arial" w:cs="Arial" w:eastAsia="Arial" w:hAnsi="Arial"/>
                <w:sz w:val="18"/>
                <w:szCs w:val="18"/>
                <w:color w:val="auto"/>
                <w:w w:val="96"/>
              </w:rPr>
              <w:t>Certification of Chief Financial Officer, as required by Rule 13a-14(a) or Rule 15d-14(a).</w:t>
            </w:r>
          </w:p>
        </w:tc>
      </w:tr>
      <w:tr>
        <w:trPr>
          <w:trHeight w:val="323"/>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6860" w:type="dxa"/>
            <w:vAlign w:val="bottom"/>
          </w:tcPr>
          <w:p>
            <w:pPr>
              <w:ind w:left="100"/>
              <w:spacing w:after="0"/>
              <w:rPr>
                <w:sz w:val="20"/>
                <w:szCs w:val="20"/>
                <w:color w:val="auto"/>
              </w:rPr>
            </w:pPr>
            <w:r>
              <w:rPr>
                <w:rFonts w:ascii="Arial" w:cs="Arial" w:eastAsia="Arial" w:hAnsi="Arial"/>
                <w:sz w:val="18"/>
                <w:szCs w:val="18"/>
                <w:color w:val="auto"/>
                <w:w w:val="96"/>
              </w:rPr>
              <w:t>Certification of Principal Executive Officer and Principal Financial Officer, as required by</w:t>
            </w:r>
          </w:p>
        </w:tc>
      </w:tr>
      <w:tr>
        <w:trPr>
          <w:trHeight w:val="216"/>
        </w:trPr>
        <w:tc>
          <w:tcPr>
            <w:tcW w:w="980" w:type="dxa"/>
            <w:vAlign w:val="bottom"/>
          </w:tcPr>
          <w:p>
            <w:pPr>
              <w:spacing w:after="0"/>
              <w:rPr>
                <w:sz w:val="18"/>
                <w:szCs w:val="18"/>
                <w:color w:val="auto"/>
              </w:rPr>
            </w:pPr>
          </w:p>
        </w:tc>
        <w:tc>
          <w:tcPr>
            <w:tcW w:w="6860" w:type="dxa"/>
            <w:vAlign w:val="bottom"/>
          </w:tcPr>
          <w:p>
            <w:pPr>
              <w:ind w:left="100"/>
              <w:spacing w:after="0"/>
              <w:rPr>
                <w:sz w:val="20"/>
                <w:szCs w:val="20"/>
                <w:color w:val="auto"/>
              </w:rPr>
            </w:pPr>
            <w:r>
              <w:rPr>
                <w:rFonts w:ascii="Arial" w:cs="Arial" w:eastAsia="Arial" w:hAnsi="Arial"/>
                <w:sz w:val="18"/>
                <w:szCs w:val="18"/>
                <w:color w:val="auto"/>
                <w:w w:val="94"/>
              </w:rPr>
              <w:t>Rule 13a-14(b) or Rule 15d-14(b) and Section 1350 of Chapter 63 of Title 18 of the United</w:t>
            </w:r>
          </w:p>
        </w:tc>
      </w:tr>
      <w:tr>
        <w:trPr>
          <w:trHeight w:val="230"/>
        </w:trPr>
        <w:tc>
          <w:tcPr>
            <w:tcW w:w="980" w:type="dxa"/>
            <w:vAlign w:val="bottom"/>
          </w:tcPr>
          <w:p>
            <w:pPr>
              <w:spacing w:after="0"/>
              <w:rPr>
                <w:sz w:val="20"/>
                <w:szCs w:val="20"/>
                <w:color w:val="auto"/>
              </w:rPr>
            </w:pPr>
          </w:p>
        </w:tc>
        <w:tc>
          <w:tcPr>
            <w:tcW w:w="6860" w:type="dxa"/>
            <w:vAlign w:val="bottom"/>
          </w:tcPr>
          <w:p>
            <w:pPr>
              <w:ind w:left="100"/>
              <w:spacing w:after="0"/>
              <w:rPr>
                <w:sz w:val="20"/>
                <w:szCs w:val="20"/>
                <w:color w:val="auto"/>
              </w:rPr>
            </w:pPr>
            <w:r>
              <w:rPr>
                <w:rFonts w:ascii="Arial" w:cs="Arial" w:eastAsia="Arial" w:hAnsi="Arial"/>
                <w:sz w:val="18"/>
                <w:szCs w:val="18"/>
                <w:color w:val="auto"/>
              </w:rPr>
              <w:t>States Code (18 U.S.C. §1350)(1).</w:t>
            </w:r>
          </w:p>
        </w:tc>
      </w:tr>
    </w:tbl>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r>
      <w:tr>
        <w:trPr>
          <w:trHeight w:val="554"/>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r>
      <w:tr>
        <w:trPr>
          <w:trHeight w:val="338"/>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r>
      <w:tr>
        <w:trPr>
          <w:trHeight w:val="338"/>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r>
    </w:tbl>
    <w:p>
      <w:pPr>
        <w:spacing w:after="0" w:line="539" w:lineRule="exact"/>
        <w:rPr>
          <w:sz w:val="20"/>
          <w:szCs w:val="20"/>
          <w:color w:val="auto"/>
        </w:rPr>
      </w:pPr>
    </w:p>
    <w:p>
      <w:pPr>
        <w:sectPr>
          <w:pgSz w:w="11900" w:h="16838" w:orient="portrait"/>
          <w:cols w:equalWidth="0" w:num="2">
            <w:col w:w="7840" w:space="240"/>
            <w:col w:w="3340"/>
          </w:cols>
          <w:pgMar w:left="240" w:top="125" w:right="239" w:bottom="1440" w:gutter="0" w:footer="0" w:header="0"/>
          <w:type w:val="continuous"/>
        </w:sectPr>
      </w:pPr>
    </w:p>
    <w:p>
      <w:pPr>
        <w:spacing w:after="0"/>
        <w:tabs>
          <w:tab w:leader="none" w:pos="1060" w:val="left"/>
          <w:tab w:leader="none" w:pos="8060" w:val="left"/>
          <w:tab w:leader="none" w:pos="8940" w:val="left"/>
          <w:tab w:leader="none" w:pos="9880" w:val="left"/>
          <w:tab w:leader="none" w:pos="107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Financial statements from the quarterly report on Form 10-Q of the Company for the quarter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080" w:right="3580"/>
        <w:spacing w:after="0" w:line="295" w:lineRule="auto"/>
        <w:rPr>
          <w:sz w:val="20"/>
          <w:szCs w:val="20"/>
          <w:color w:val="auto"/>
        </w:rPr>
      </w:pPr>
      <w:r>
        <w:rPr>
          <w:rFonts w:ascii="Arial" w:cs="Arial" w:eastAsia="Arial" w:hAnsi="Arial"/>
          <w:sz w:val="16"/>
          <w:szCs w:val="16"/>
          <w:color w:val="auto"/>
        </w:rPr>
        <w:t>ended September 30, 2015, formatted in XBRL: (i) the Condensed Consolidated Balance Sheets, (ii) the Condensed Consolidated Statements of Operations (iii) the Condensed Consolidated Statement of Comprehensive Loss, (iv) the Condensed Consolidated Statements of Cash Flows and (v) the Notes to the Condensed Consolidated Financial Statements.</w:t>
      </w:r>
    </w:p>
    <w:p>
      <w:pPr>
        <w:spacing w:after="0" w:line="94"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858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type w:val="continuous"/>
        </w:sectPr>
      </w:pPr>
    </w:p>
    <w:bookmarkStart w:id="76" w:name="page77"/>
    <w:bookmarkEnd w:id="76"/>
    <w:p>
      <w:pPr>
        <w:ind w:firstLine="8"/>
        <w:spacing w:after="0" w:line="282" w:lineRule="auto"/>
        <w:tabs>
          <w:tab w:leader="none" w:pos="25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10.28(xvii)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15 TO THE PROCESS DEVELOPMENT AND CLINICAL SUPPLY AGREEMENT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THIS AMENDMENT No. 15 (the “Fifteenth Amendment “), effective as of October 20, 2014 (the “Fifteenth Amendment Effective Date”) by and between </w:t>
      </w:r>
      <w:r>
        <w:rPr>
          <w:rFonts w:ascii="Arial" w:cs="Arial" w:eastAsia="Arial" w:hAnsi="Arial"/>
          <w:sz w:val="16"/>
          <w:szCs w:val="16"/>
          <w:b w:val="1"/>
          <w:bCs w:val="1"/>
          <w:color w:val="auto"/>
        </w:rPr>
        <w:t>Boehringer lngelheim Biopharmaceuticals GmbH</w:t>
      </w:r>
      <w:r>
        <w:rPr>
          <w:rFonts w:ascii="Arial" w:cs="Arial" w:eastAsia="Arial" w:hAnsi="Arial"/>
          <w:sz w:val="16"/>
          <w:szCs w:val="16"/>
          <w:color w:val="auto"/>
        </w:rPr>
        <w:t>, Binger Str. 173, 55216 lngelheim, Germany (“BI'') and</w:t>
      </w:r>
      <w:r>
        <w:rPr>
          <w:rFonts w:ascii="Arial" w:cs="Arial" w:eastAsia="Arial" w:hAnsi="Arial"/>
          <w:sz w:val="16"/>
          <w:szCs w:val="16"/>
          <w:b w:val="1"/>
          <w:bCs w:val="1"/>
          <w:color w:val="auto"/>
        </w:rPr>
        <w:t xml:space="preserve"> FibroGen, Inc</w:t>
      </w:r>
      <w:r>
        <w:rPr>
          <w:rFonts w:ascii="Arial" w:cs="Arial" w:eastAsia="Arial" w:hAnsi="Arial"/>
          <w:sz w:val="16"/>
          <w:szCs w:val="16"/>
          <w:color w:val="auto"/>
        </w:rPr>
        <w:t>., 409 Illinois Street, San</w:t>
      </w:r>
      <w:r>
        <w:rPr>
          <w:rFonts w:ascii="Arial" w:cs="Arial" w:eastAsia="Arial" w:hAnsi="Arial"/>
          <w:sz w:val="16"/>
          <w:szCs w:val="16"/>
          <w:b w:val="1"/>
          <w:bCs w:val="1"/>
          <w:color w:val="auto"/>
        </w:rPr>
        <w:t xml:space="preserve"> </w:t>
      </w:r>
      <w:r>
        <w:rPr>
          <w:rFonts w:ascii="Arial" w:cs="Arial" w:eastAsia="Arial" w:hAnsi="Arial"/>
          <w:sz w:val="16"/>
          <w:szCs w:val="16"/>
          <w:color w:val="auto"/>
        </w:rPr>
        <w:t>Francisco, CA 94158, USA (“FibroGen”), amends the Process Development and Clinical Supply Agreement entered into by and between Boehringer lngelheim Pharma GmbH &amp; Co. KG, Birkendorfer Str. 65, 88397 Biberach an der Riss, Germany (“BI Pharma”) and FibroGen on November 29, 2007, as amended pursuant to the letter agreements entered into as of June 26, 2008 and August 18, 2008, Amendment No. 1, effective as of May 28, 2009, Amendment No. 3, effective as of November 5, 2010, Amendment No. 4, effective as of January 24, 2011, Amendment No. 5, effective as of April 15,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Amendment No. 6, effective as of May 26, 2011, Amendment No. 7, effective as of January 01, 2012,</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Amendment No. 8, effective as of July 10, 2012, Amendment No. 9, effective as of November 26, 2012, Amendment No. 10, effective as of June 21, 201 3, Amendment No. 11, effective as of June 26, 2013, Amendment No. 12, effective as of August 01, 2013 and subsequently assigned by BI Pharma to Bi, Amendment No. 13, effective as of March 06, 2014 and Amendment No. 14, effective as of February 05, 2014 (hereinafter together the “Supply Agreement”). BI and FibroGen shall be referred to individually herein as a “Party”, and collectively as the “Parties”.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FibroGen wishes to engage BI to conduct [*] in compliance with the terms of the Supply Agreement as set forth in and as amended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Fifteenth Amendment. The activities hereunder will be performed by BI Pharma on behalf of BI.</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w:t>
      </w:r>
      <w:r>
        <w:rPr>
          <w:rFonts w:ascii="Arial" w:cs="Arial" w:eastAsia="Arial" w:hAnsi="Arial"/>
          <w:sz w:val="17"/>
          <w:szCs w:val="17"/>
          <w:color w:val="auto"/>
        </w:rPr>
        <w:t>,</w:t>
      </w:r>
      <w:r>
        <w:rPr>
          <w:rFonts w:ascii="Arial" w:cs="Arial" w:eastAsia="Arial" w:hAnsi="Arial"/>
          <w:sz w:val="17"/>
          <w:szCs w:val="17"/>
          <w:b w:val="1"/>
          <w:bCs w:val="1"/>
          <w:color w:val="auto"/>
        </w:rPr>
        <w:t xml:space="preserve"> THEREFORE</w:t>
      </w:r>
      <w:r>
        <w:rPr>
          <w:rFonts w:ascii="Arial" w:cs="Arial" w:eastAsia="Arial" w:hAnsi="Arial"/>
          <w:sz w:val="17"/>
          <w:szCs w:val="17"/>
          <w:color w:val="auto"/>
        </w:rPr>
        <w:t>, for good and valuable consideration, the receipt and sufficiency of which is hereby acknowledged, the Parties agree as follows:</w:t>
      </w:r>
    </w:p>
    <w:p>
      <w:pPr>
        <w:spacing w:after="0" w:line="133" w:lineRule="exact"/>
        <w:rPr>
          <w:sz w:val="20"/>
          <w:szCs w:val="20"/>
          <w:color w:val="auto"/>
        </w:rPr>
      </w:pPr>
    </w:p>
    <w:p>
      <w:pPr>
        <w:ind w:left="104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Fifteenth Amendment shall have the meaning ascribed to them in the Supply Agreement.</w:t>
      </w:r>
    </w:p>
    <w:p>
      <w:pPr>
        <w:spacing w:after="0" w:line="62"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Parties agree that pursuant to Section 2.2 of the Supply Agreement, the work plan entitled “[*], Version of October 20, 2014'', attached hereto as Exhibit A, is hereby added as an amendment to Append ix 2 to the Supply Agreement . Pursuant thereto BI shall, on behalf of FibroGen, [*] in accordance with the Supply Agreement [*] (as defined in the Amended and Restated Quality Agreement) [*], and (ii) [*] (as defined in the Supply Agreement).</w:t>
      </w:r>
    </w:p>
    <w:p>
      <w:pPr>
        <w:spacing w:after="0" w:line="78"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Specifications for the [*] pursuant to Section 2 hereof have been agreed to by the Parties and are set forth in the Amended and Restated Quality Agreement by and between the Parties. Such Specifications for the [*], as applicable, shall apply to the activities contemplated by Section (2) above as part of the Acceptance Criteria for the [*], respectively.</w:t>
      </w:r>
    </w:p>
    <w:p>
      <w:pPr>
        <w:spacing w:after="0" w:line="73"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the avoidance of doubt, all provisions of the Supply Agreement relating to the [*] which are reasonably applicable to the [*] shall apply accordingly to such [*] as set forth in Exhibit A hereto, including but not limited the provisions regarding delivery of Product set forth in Section 4 of the Supply Agreement, Parties ' warranties set forth in Section 7 of the Supply Agreement (including, for the avoidance of doubt, the disclaimer set forth in Section 7.5 of the Supply Agreement) and the limitations of BI Pharma's liability and indemnification obligations set forth in Section 8 of the Supply Agreement.</w:t>
      </w:r>
    </w:p>
    <w:p>
      <w:pPr>
        <w:spacing w:after="0" w:line="80" w:lineRule="exact"/>
        <w:rPr>
          <w:rFonts w:ascii="Arial" w:cs="Arial" w:eastAsia="Arial" w:hAnsi="Arial"/>
          <w:sz w:val="18"/>
          <w:szCs w:val="18"/>
          <w:color w:val="auto"/>
        </w:rPr>
      </w:pPr>
    </w:p>
    <w:p>
      <w:pPr>
        <w:jc w:val="both"/>
        <w:ind w:left="1040" w:hanging="519"/>
        <w:spacing w:after="0" w:line="279" w:lineRule="auto"/>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This Fifteenth Amendment, together with the Supply Agreement ,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Fifteenth Amendment, either oral or written, heretofore made with respect to subject matter herein are expressly superseded by this Fifteenth Amendment.</w:t>
      </w:r>
    </w:p>
    <w:p>
      <w:pPr>
        <w:spacing w:after="0" w:line="63"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Fifteenth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IN WITNESS WHEREOF, the Parties have executed this Fifteenth Amendment to the Supply Agreement as of Fifteenth Amendment Effective 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Biberach , October 20,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 NGELH EI M BIOPHAR MACEUTICALS GM BH</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ppa.</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ppa.</w:t>
            </w:r>
          </w:p>
        </w:tc>
        <w:tc>
          <w:tcPr>
            <w:tcW w:w="2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w:t>
            </w:r>
          </w:p>
        </w:tc>
        <w:tc>
          <w:tcPr>
            <w:tcW w:w="6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VP Business &amp; Contracts</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Head of Team Biberach - Dep. Legal Germany</w:t>
            </w:r>
          </w:p>
        </w:tc>
        <w:tc>
          <w:tcPr>
            <w:tcW w:w="2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San Francisco, 18 November 2014</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FIBROGEN, INC.</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/s/ Jim Polarek</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Jim Polarek</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260" w:type="dxa"/>
            <w:vAlign w:val="bottom"/>
            <w:gridSpan w:val="2"/>
          </w:tcPr>
          <w:p>
            <w:pPr>
              <w:ind w:left="240"/>
              <w:spacing w:after="0"/>
              <w:rPr>
                <w:sz w:val="20"/>
                <w:szCs w:val="20"/>
                <w:color w:val="auto"/>
              </w:rPr>
            </w:pPr>
            <w:r>
              <w:rPr>
                <w:rFonts w:ascii="Arial" w:cs="Arial" w:eastAsia="Arial" w:hAnsi="Arial"/>
                <w:sz w:val="18"/>
                <w:szCs w:val="18"/>
                <w:color w:val="auto"/>
              </w:rPr>
              <w:t>Page 2/3</w:t>
            </w: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Work Scope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(Version of October 20, 2014)</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9019"/>
          </w:cols>
          <w:pgMar w:left="1440" w:top="337" w:right="1440" w:bottom="1440" w:gutter="0" w:footer="0" w:header="0"/>
        </w:sectPr>
      </w:pPr>
    </w:p>
    <w:bookmarkStart w:id="79" w:name="page80"/>
    <w:bookmarkEnd w:id="79"/>
    <w:p>
      <w:pPr>
        <w:ind w:firstLine="8"/>
        <w:spacing w:after="0" w:line="282" w:lineRule="auto"/>
        <w:tabs>
          <w:tab w:leader="none" w:pos="255"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10.28(xviii)</w:t>
      </w:r>
    </w:p>
    <w:p>
      <w:pPr>
        <w:spacing w:after="0" w:line="33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AMENDMENT NO. 16 TO THE PROCESS DEVELOPMENT AND CLINICAL SUPPLY AGREEMENT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THIS AMENDMENT No. 16 (the “Sixteenth Amendment”), effective as of December 08, 2014 (the “Sixteenth Amendment Effective Date”) by and between </w:t>
      </w:r>
      <w:r>
        <w:rPr>
          <w:rFonts w:ascii="Arial" w:cs="Arial" w:eastAsia="Arial" w:hAnsi="Arial"/>
          <w:sz w:val="16"/>
          <w:szCs w:val="16"/>
          <w:b w:val="1"/>
          <w:bCs w:val="1"/>
          <w:color w:val="auto"/>
        </w:rPr>
        <w:t>BOEHRINGER INGELHEIM BIOPHARMACEUTICALS GMBH</w:t>
      </w:r>
      <w:r>
        <w:rPr>
          <w:rFonts w:ascii="Arial" w:cs="Arial" w:eastAsia="Arial" w:hAnsi="Arial"/>
          <w:sz w:val="16"/>
          <w:szCs w:val="16"/>
          <w:color w:val="auto"/>
        </w:rPr>
        <w:t>, Binger Str. 173, 55216 Ingelheim, German y (“BI”) and</w:t>
      </w:r>
      <w:r>
        <w:rPr>
          <w:rFonts w:ascii="Arial" w:cs="Arial" w:eastAsia="Arial" w:hAnsi="Arial"/>
          <w:sz w:val="16"/>
          <w:szCs w:val="16"/>
          <w:b w:val="1"/>
          <w:bCs w:val="1"/>
          <w:color w:val="auto"/>
        </w:rPr>
        <w:t xml:space="preserve"> FIBROGEN</w:t>
      </w:r>
      <w:r>
        <w:rPr>
          <w:rFonts w:ascii="Arial" w:cs="Arial" w:eastAsia="Arial" w:hAnsi="Arial"/>
          <w:sz w:val="16"/>
          <w:szCs w:val="16"/>
          <w:color w:val="auto"/>
        </w:rPr>
        <w:t>, INC., 409</w:t>
      </w:r>
      <w:r>
        <w:rPr>
          <w:rFonts w:ascii="Arial" w:cs="Arial" w:eastAsia="Arial" w:hAnsi="Arial"/>
          <w:sz w:val="16"/>
          <w:szCs w:val="16"/>
          <w:b w:val="1"/>
          <w:bCs w:val="1"/>
          <w:color w:val="auto"/>
        </w:rPr>
        <w:t xml:space="preserve"> </w:t>
      </w:r>
      <w:r>
        <w:rPr>
          <w:rFonts w:ascii="Arial" w:cs="Arial" w:eastAsia="Arial" w:hAnsi="Arial"/>
          <w:sz w:val="16"/>
          <w:szCs w:val="16"/>
          <w:color w:val="auto"/>
        </w:rPr>
        <w:t>Illinois Street, San Francisco, CA 94158, USA (“FibroGen”), amends the Process Development and Clinical Supply Agreement originally entered into by and between BOEHRINGER INGELHEIM PHARMA GMBH &amp; Co. KG , Birkendorfer Str. 65, 88397 Biberach an der Riss, Germany (“BI Pharma”) and FibroGen on November 29, 2007, as amended pursuant to the letter agreements entered into as of June 26, 2008 and August 18, 2008, Amendment No. 1 , effective as of May 28, 2009, Amendment No. 3, effective as of November 5, 2010, Amendment No . 4, effective as of January 24, 2011 , Amendment No. 5, effective as of Apri1 15, 2011, Amendment No. 6, effective as of May 26, 2011, Amendment No. 7, effective as of January I , 2012, Amendment No. 8, effective as of July I 0, 2012, Amendment No. 9, effective as of November 26, 2012, Amendment No. 10, effective as of June 21, 2013, Amendment No. 11, effective as of July 9, 2013, Amendment No. 12, effective as of August 1, 2013 and subsequently assigned by BI Pharma to BI , Amendment No. 13, effective as of March 6, 2014, Amendment No. 14, effective as of February 5, 2014 and Amendment No. 15, effective as of October 20, 2014, hereinafter together the “Supply Agreement”). BI and FibroGen shall be referred to individually herein as a “Party “, and collectively as the “Parties”.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FibroGen wishes BI to perform [*] in compliance with the terms of the Supply Agreement as set forth in and as amended by this Sixteenth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The activities hereunder will be performed by BI Pharma on behalf of BI.</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w:t>
      </w:r>
      <w:r>
        <w:rPr>
          <w:rFonts w:ascii="Arial" w:cs="Arial" w:eastAsia="Arial" w:hAnsi="Arial"/>
          <w:sz w:val="17"/>
          <w:szCs w:val="17"/>
          <w:color w:val="auto"/>
        </w:rPr>
        <w:t>,</w:t>
      </w:r>
      <w:r>
        <w:rPr>
          <w:rFonts w:ascii="Arial" w:cs="Arial" w:eastAsia="Arial" w:hAnsi="Arial"/>
          <w:sz w:val="17"/>
          <w:szCs w:val="17"/>
          <w:b w:val="1"/>
          <w:bCs w:val="1"/>
          <w:color w:val="auto"/>
        </w:rPr>
        <w:t xml:space="preserve"> THEREFORE</w:t>
      </w:r>
      <w:r>
        <w:rPr>
          <w:rFonts w:ascii="Arial" w:cs="Arial" w:eastAsia="Arial" w:hAnsi="Arial"/>
          <w:sz w:val="17"/>
          <w:szCs w:val="17"/>
          <w:color w:val="auto"/>
        </w:rPr>
        <w:t>, for good and valuable consideration, the receipt and sufficiency of which is hereby acknowledged, the Parties agree as follows:</w:t>
      </w:r>
    </w:p>
    <w:p>
      <w:pPr>
        <w:spacing w:after="0" w:line="133" w:lineRule="exact"/>
        <w:rPr>
          <w:sz w:val="20"/>
          <w:szCs w:val="20"/>
          <w:color w:val="auto"/>
        </w:rPr>
      </w:pPr>
    </w:p>
    <w:p>
      <w:pPr>
        <w:ind w:left="104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Sixteenth Amendment shall have the meaning ascribed to them in the Supply Agreement.</w:t>
      </w:r>
    </w:p>
    <w:p>
      <w:pPr>
        <w:spacing w:after="0" w:line="62" w:lineRule="exact"/>
        <w:rPr>
          <w:rFonts w:ascii="Arial" w:cs="Arial" w:eastAsia="Arial" w:hAnsi="Arial"/>
          <w:sz w:val="18"/>
          <w:szCs w:val="18"/>
          <w:color w:val="auto"/>
        </w:rPr>
      </w:pPr>
    </w:p>
    <w:p>
      <w:pPr>
        <w:jc w:val="both"/>
        <w:ind w:left="1040" w:hanging="519"/>
        <w:spacing w:after="0" w:line="297" w:lineRule="auto"/>
        <w:tabs>
          <w:tab w:leader="none" w:pos="10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Parties agree that pursuant to Section 2.2 of the Supply Agreement, the work plan entitled [*], Version of December 08, 2014”, attached hereto as Exhibit A, is hereby added as an amendment to Append ix 2 to the Supply Agreement. Pursuant thereto BI shall on behalf of FibroGen, perform [*] i n accordance with the Supply Agreement. The Parties agree that the Deliverables to be delivered to FibroGen will include [*]. In the event that the Parties agree to [*] in the further development of the Product, the terms and conditions for [*] in the course of the Project and any license thereto shall be subject to separate discussion and pursuant to a separate agreement between the Parties.</w:t>
      </w:r>
    </w:p>
    <w:p>
      <w:pPr>
        <w:spacing w:after="0" w:line="50" w:lineRule="exact"/>
        <w:rPr>
          <w:rFonts w:ascii="Arial" w:cs="Arial" w:eastAsia="Arial" w:hAnsi="Arial"/>
          <w:sz w:val="16"/>
          <w:szCs w:val="16"/>
          <w:color w:val="auto"/>
        </w:rPr>
      </w:pPr>
    </w:p>
    <w:p>
      <w:pPr>
        <w:jc w:val="both"/>
        <w:ind w:left="1040" w:hanging="519"/>
        <w:spacing w:after="0" w:line="279" w:lineRule="auto"/>
        <w:tabs>
          <w:tab w:leader="none" w:pos="10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This Sixteenth Amendment, together with the Supply Agreement, contains the entire understanding between the Parties with respect to the subject matter hereof. Except as otherwise provided herein, the Supply Agreement has not been modified or amended and remains in full force and effect. All express or implied agreements and understandings that conflict with the terms of this Sixteenth Amendment, either oral or written, heretofore made with respect to subject matter herein are expressly superseded by this Sixteenth Amendment.</w:t>
      </w:r>
    </w:p>
    <w:p>
      <w:pPr>
        <w:spacing w:after="0" w:line="63"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Sixteenth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IN WITNESS WHEREOF, the Parties have executed this Sixteenth Amendment to the Supply Agreement as of Sixteenth Amendment Effective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Biberach, December 8, 2014</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BOEHRINGER INGELHEIM BIOPHARMACEUTICALS GMBH</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ppa.</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w:t>
            </w:r>
          </w:p>
        </w:tc>
        <w:tc>
          <w:tcPr>
            <w:tcW w:w="6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VP Business &amp; Contracts</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Head of Team Biberach - Dep. Legal Germany</w:t>
            </w:r>
          </w:p>
        </w:tc>
        <w:tc>
          <w:tcPr>
            <w:tcW w:w="2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 xml:space="preserve">San Francisco, </w:t>
            </w:r>
            <w:r>
              <w:rPr>
                <w:rFonts w:ascii="Arial" w:cs="Arial" w:eastAsia="Arial" w:hAnsi="Arial"/>
                <w:sz w:val="18"/>
                <w:szCs w:val="18"/>
                <w:color w:val="1A1A1F"/>
              </w:rPr>
              <w:t>29 December 2014</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FIBROGEN, INC.</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/s/ Jim Polarek</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Jim Polarek</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Page 2 / 3</w:t>
            </w: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Work Scope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(Version of December 08, 2014)</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 / 3</w:t>
      </w:r>
    </w:p>
    <w:p>
      <w:pPr>
        <w:sectPr>
          <w:pgSz w:w="11900" w:h="16838" w:orient="portrait"/>
          <w:cols w:equalWidth="0" w:num="1">
            <w:col w:w="9019"/>
          </w:cols>
          <w:pgMar w:left="1440" w:top="337" w:right="1440" w:bottom="1440" w:gutter="0" w:footer="0" w:header="0"/>
        </w:sectPr>
      </w:pPr>
    </w:p>
    <w:bookmarkStart w:id="82" w:name="page83"/>
    <w:bookmarkEnd w:id="82"/>
    <w:p>
      <w:pPr>
        <w:ind w:firstLine="8"/>
        <w:spacing w:after="0" w:line="282" w:lineRule="auto"/>
        <w:tabs>
          <w:tab w:leader="none" w:pos="25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10.28(xix)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NO.17 TOTHE PROCESS DEVELOPMENT AND CLINICAL SUPPLY AGREEMENT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THIS AMENDMENT No. 17 (the “Seventeenth Amendment”), effective as of December 08, 2014 (the “Seventeenth Amendment Effective Date”) by and between </w:t>
      </w:r>
      <w:r>
        <w:rPr>
          <w:rFonts w:ascii="Arial" w:cs="Arial" w:eastAsia="Arial" w:hAnsi="Arial"/>
          <w:sz w:val="17"/>
          <w:szCs w:val="17"/>
          <w:b w:val="1"/>
          <w:bCs w:val="1"/>
          <w:color w:val="auto"/>
        </w:rPr>
        <w:t>BOEHRINGER INGELHEIM BIOPHARMACEUTICALS GMBH</w:t>
      </w:r>
      <w:r>
        <w:rPr>
          <w:rFonts w:ascii="Arial" w:cs="Arial" w:eastAsia="Arial" w:hAnsi="Arial"/>
          <w:sz w:val="17"/>
          <w:szCs w:val="17"/>
          <w:color w:val="auto"/>
        </w:rPr>
        <w:t xml:space="preserve">, Binger Str. 173, 55216 lngelheim, Germany (“'BI”) and </w:t>
      </w:r>
      <w:r>
        <w:rPr>
          <w:rFonts w:ascii="Arial" w:cs="Arial" w:eastAsia="Arial" w:hAnsi="Arial"/>
          <w:sz w:val="17"/>
          <w:szCs w:val="17"/>
          <w:b w:val="1"/>
          <w:bCs w:val="1"/>
          <w:color w:val="auto"/>
        </w:rPr>
        <w:t>FIBROGEN,</w:t>
      </w:r>
      <w:r>
        <w:rPr>
          <w:rFonts w:ascii="Arial" w:cs="Arial" w:eastAsia="Arial" w:hAnsi="Arial"/>
          <w:sz w:val="17"/>
          <w:szCs w:val="17"/>
          <w:color w:val="auto"/>
        </w:rPr>
        <w:t xml:space="preserve"> </w:t>
      </w:r>
      <w:r>
        <w:rPr>
          <w:rFonts w:ascii="Arial" w:cs="Arial" w:eastAsia="Arial" w:hAnsi="Arial"/>
          <w:sz w:val="17"/>
          <w:szCs w:val="17"/>
          <w:b w:val="1"/>
          <w:bCs w:val="1"/>
          <w:color w:val="auto"/>
        </w:rPr>
        <w:t>INC</w:t>
      </w:r>
      <w:r>
        <w:rPr>
          <w:rFonts w:ascii="Arial" w:cs="Arial" w:eastAsia="Arial" w:hAnsi="Arial"/>
          <w:sz w:val="17"/>
          <w:szCs w:val="17"/>
          <w:color w:val="auto"/>
        </w:rPr>
        <w:t>. 409 Illinois Street, San Francisco, CA 94158, USA (“FibroGen”), amends the Process Development and Clinical Supply Agreement entered into by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between BOEHRINGER INGELHEIM PHARMA GMBH &amp; Co. KG, Birkendorfer Str.65, 88397 Biberach an der Riss, Germany (“BI Pharma”) and FIBROGEN on November 29, 2007, as amended pursuant to the letter agreements entered into as of June 26, 2008 and August 18, 2008, Amendment No. 1, effective as of May 28, 2009, Amendment No. 3, effective as of November </w:t>
      </w:r>
      <w:r>
        <w:rPr>
          <w:rFonts w:ascii="Arial" w:cs="Arial" w:eastAsia="Arial" w:hAnsi="Arial"/>
          <w:sz w:val="17"/>
          <w:szCs w:val="17"/>
          <w:i w:val="1"/>
          <w:iCs w:val="1"/>
          <w:color w:val="auto"/>
        </w:rPr>
        <w:t>5</w:t>
      </w:r>
      <w:r>
        <w:rPr>
          <w:rFonts w:ascii="Arial" w:cs="Arial" w:eastAsia="Arial" w:hAnsi="Arial"/>
          <w:sz w:val="17"/>
          <w:szCs w:val="17"/>
          <w:color w:val="auto"/>
        </w:rPr>
        <w:t xml:space="preserve">, 2010, Amendment No.4, effective as of January 24, 2011, Amendment No. </w:t>
      </w:r>
      <w:r>
        <w:rPr>
          <w:rFonts w:ascii="Arial" w:cs="Arial" w:eastAsia="Arial" w:hAnsi="Arial"/>
          <w:sz w:val="17"/>
          <w:szCs w:val="17"/>
          <w:i w:val="1"/>
          <w:iCs w:val="1"/>
          <w:color w:val="auto"/>
        </w:rPr>
        <w:t>5</w:t>
      </w:r>
      <w:r>
        <w:rPr>
          <w:rFonts w:ascii="Arial" w:cs="Arial" w:eastAsia="Arial" w:hAnsi="Arial"/>
          <w:sz w:val="17"/>
          <w:szCs w:val="17"/>
          <w:color w:val="auto"/>
        </w:rPr>
        <w:t>, effective as of April 15, 2011, Amendment No. 6, effective as of May 26, 2011, Amendment No. 7, effective as of January 1, 2012, Amendment No. 8, effective as of July 10, 2012, Amendment No. 9, effective as of November 26, 2012, Amendment No. 10, effective as of June 21, 2013, Amendment No. 11, effective as of July 9, 2013, Amendment No. 12, effective as of August 1, 2013 and subsequently assigned by BI Pharma to BI, Amendment No. 13, effective as of March 6, 2014, Amendment No. 14, effective as of February 5, 2014, Amendment No. 15, effective as of October 20, 2014, and Amendment No. 16, effective as of December 8, 2014 (hereinafter together the “Supply Agreement”). BI and FibroGen shall be referred to individually herein as a “Party”, and collectively as the “Parties”.</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FibroGen wishes BI Pharma to conduct [*] in compliance with the terms of the Supply Agreement as set forth in and as amended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Seventeenth Amendment. The activities hereunder will be performed by BI Pharma on behalf of BI.</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w:t>
      </w:r>
      <w:r>
        <w:rPr>
          <w:rFonts w:ascii="Arial" w:cs="Arial" w:eastAsia="Arial" w:hAnsi="Arial"/>
          <w:sz w:val="17"/>
          <w:szCs w:val="17"/>
          <w:color w:val="auto"/>
        </w:rPr>
        <w:t>,</w:t>
      </w:r>
      <w:r>
        <w:rPr>
          <w:rFonts w:ascii="Arial" w:cs="Arial" w:eastAsia="Arial" w:hAnsi="Arial"/>
          <w:sz w:val="17"/>
          <w:szCs w:val="17"/>
          <w:b w:val="1"/>
          <w:bCs w:val="1"/>
          <w:color w:val="auto"/>
        </w:rPr>
        <w:t xml:space="preserve"> THEREFORE</w:t>
      </w:r>
      <w:r>
        <w:rPr>
          <w:rFonts w:ascii="Arial" w:cs="Arial" w:eastAsia="Arial" w:hAnsi="Arial"/>
          <w:sz w:val="17"/>
          <w:szCs w:val="17"/>
          <w:color w:val="auto"/>
        </w:rPr>
        <w:t>, for good and valuable consideration, the receipt and sufficiency of which is hereby acknowledged, the Parties agree as follows:</w:t>
      </w:r>
    </w:p>
    <w:p>
      <w:pPr>
        <w:spacing w:after="0" w:line="133" w:lineRule="exact"/>
        <w:rPr>
          <w:sz w:val="20"/>
          <w:szCs w:val="20"/>
          <w:color w:val="auto"/>
        </w:rPr>
      </w:pPr>
    </w:p>
    <w:p>
      <w:pPr>
        <w:ind w:firstLine="8"/>
        <w:spacing w:after="0" w:line="277" w:lineRule="auto"/>
        <w:tabs>
          <w:tab w:leader="none" w:pos="2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Seventeenth Amendment shall have the meaning ascribed to them in the Supply Agreement.</w:t>
      </w:r>
    </w:p>
    <w:p>
      <w:pPr>
        <w:spacing w:after="0" w:line="62" w:lineRule="exact"/>
        <w:rPr>
          <w:rFonts w:ascii="Arial" w:cs="Arial" w:eastAsia="Arial" w:hAnsi="Arial"/>
          <w:sz w:val="18"/>
          <w:szCs w:val="18"/>
          <w:color w:val="auto"/>
        </w:rPr>
      </w:pPr>
    </w:p>
    <w:p>
      <w:pPr>
        <w:jc w:val="both"/>
        <w:ind w:firstLine="8"/>
        <w:spacing w:after="0" w:line="259" w:lineRule="auto"/>
        <w:tabs>
          <w:tab w:leader="none" w:pos="2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Parties agree that pursuant to Section 2.2 of the Supply Agreement, the work plan entitled [*], Version of December 08, 2014”, attached hereto as Exhibit A, is hereby added as an amendment to Appendix 2 to the Supply Agreement. Pursuant thereto BI shall on behalf of FibroGen and in accordance with the Supply Agreement, [*] (as defined in the Amended and Restated Quality Agreement) and [*] (as defined in the Amended and Restated Quality Agreement) from [*] by BI Pharma on behalf of BI.</w:t>
      </w:r>
    </w:p>
    <w:p>
      <w:pPr>
        <w:spacing w:after="0" w:line="78" w:lineRule="exact"/>
        <w:rPr>
          <w:rFonts w:ascii="Arial" w:cs="Arial" w:eastAsia="Arial" w:hAnsi="Arial"/>
          <w:sz w:val="18"/>
          <w:szCs w:val="18"/>
          <w:color w:val="auto"/>
        </w:rPr>
      </w:pPr>
    </w:p>
    <w:p>
      <w:pPr>
        <w:jc w:val="both"/>
        <w:ind w:firstLine="8"/>
        <w:spacing w:after="0" w:line="264" w:lineRule="auto"/>
        <w:tabs>
          <w:tab w:leader="none" w:pos="28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Specifications for [*] pursuant to Section 2 hereof have been agreed to by the Parties and are set forth in the Amended and Restated Quality Agreement by and between the Parties. Such Specifications for [*], as applicable, shall apply to the activities contemplated by Section (2) above as part of the [*], respectively.</w:t>
      </w:r>
    </w:p>
    <w:p>
      <w:pPr>
        <w:spacing w:after="0" w:line="73" w:lineRule="exact"/>
        <w:rPr>
          <w:rFonts w:ascii="Arial" w:cs="Arial" w:eastAsia="Arial" w:hAnsi="Arial"/>
          <w:sz w:val="18"/>
          <w:szCs w:val="18"/>
          <w:color w:val="auto"/>
        </w:rPr>
      </w:pPr>
    </w:p>
    <w:p>
      <w:pPr>
        <w:jc w:val="both"/>
        <w:ind w:firstLine="8"/>
        <w:spacing w:after="0" w:line="302" w:lineRule="auto"/>
        <w:tabs>
          <w:tab w:leader="none" w:pos="281"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the avoidance of doubt, [*] of the Supply Agreement relating to the manufacture of Product which are reasonably applicable to [*] shall apply accordingly to [*] as set forth in Exhibit A hereto, including but not limited to the provisions regarding delivery of Product set forth in Section 4 of the Supply Agreement, Parties' warranties set forth in Section 7 of the Supply Agreement (including, for the avoidance of doubt, the disclaimer set forth in Section 7.5 of the Supply Agreement) and the limitations of BI Pharma's liability and indemnification obligations set forth in Section 8 of the Supply Agreement.</w:t>
      </w:r>
    </w:p>
    <w:p>
      <w:pPr>
        <w:spacing w:after="0" w:line="46" w:lineRule="exact"/>
        <w:rPr>
          <w:rFonts w:ascii="Arial" w:cs="Arial" w:eastAsia="Arial" w:hAnsi="Arial"/>
          <w:sz w:val="16"/>
          <w:szCs w:val="16"/>
          <w:color w:val="auto"/>
        </w:rPr>
      </w:pPr>
    </w:p>
    <w:p>
      <w:pPr>
        <w:jc w:val="both"/>
        <w:ind w:firstLine="8"/>
        <w:spacing w:after="0" w:line="259" w:lineRule="auto"/>
        <w:tabs>
          <w:tab w:leader="none" w:pos="2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Seventeenth Amendment, together with the Supply Agreement,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Seventeenth Amendment, either oral or written, heretofore made with respect to subject mailer herein are expressly superseded by this Seventeenth Amendment.</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Seventeenth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IN WITNESS WHEREOF, the Parties have executed this Seventeenth Amendment to the Supply Agreement as of Seventeenth Amendment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Biberach, December 8, 2014</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BOEHRINGER INGELHEIM BIOPHARMACEUTICALS GMBH</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ppa.</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ppa.</w:t>
            </w: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w:t>
            </w:r>
          </w:p>
        </w:tc>
        <w:tc>
          <w:tcPr>
            <w:tcW w:w="6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VP Business &amp; Contracts</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Head of Team Biberach - Dep. Legal Germany</w:t>
            </w:r>
          </w:p>
        </w:tc>
        <w:tc>
          <w:tcPr>
            <w:tcW w:w="2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San Francisco January 9, 2014</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FIBROGEN, INC.</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/s/ Jim Polarek</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Jim Polarek</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260" w:type="dxa"/>
            <w:vAlign w:val="bottom"/>
            <w:gridSpan w:val="2"/>
          </w:tcPr>
          <w:p>
            <w:pPr>
              <w:ind w:left="240"/>
              <w:spacing w:after="0"/>
              <w:rPr>
                <w:sz w:val="20"/>
                <w:szCs w:val="20"/>
                <w:color w:val="auto"/>
              </w:rPr>
            </w:pPr>
            <w:r>
              <w:rPr>
                <w:rFonts w:ascii="Arial" w:cs="Arial" w:eastAsia="Arial" w:hAnsi="Arial"/>
                <w:sz w:val="18"/>
                <w:szCs w:val="18"/>
                <w:color w:val="auto"/>
              </w:rPr>
              <w:t>Page 2/3</w:t>
            </w: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Work Scope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 Boehringer Ingelheim Biopharmaceuticals GmbH</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Birkendorfer SraBe 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88397 Birberach an der RiB</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FibroGen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(Version or December 08,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9019"/>
          </w:cols>
          <w:pgMar w:left="1440" w:top="341" w:right="1440" w:bottom="1440" w:gutter="0" w:footer="0" w:header="0"/>
        </w:sectPr>
      </w:pPr>
    </w:p>
    <w:bookmarkStart w:id="85" w:name="page86"/>
    <w:bookmarkEnd w:id="85"/>
    <w:p>
      <w:pPr>
        <w:ind w:firstLine="8"/>
        <w:spacing w:after="0" w:line="282" w:lineRule="auto"/>
        <w:tabs>
          <w:tab w:leader="none" w:pos="25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10.28(xx)</w:t>
      </w:r>
    </w:p>
    <w:p>
      <w:pPr>
        <w:spacing w:after="0" w:line="33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AMENDMENT NO. 18 TO THE PROCESS DEVELOPMENT AND CLINICAL SUPPLY AGREEMENT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THIS AMENDMENT No. 18 (the “Eighteenth Amendment”), effective as of February 15, 2015 (the “Eighteenth Amendment Effective Date”) by and between </w:t>
      </w:r>
      <w:r>
        <w:rPr>
          <w:rFonts w:ascii="Arial" w:cs="Arial" w:eastAsia="Arial" w:hAnsi="Arial"/>
          <w:sz w:val="17"/>
          <w:szCs w:val="17"/>
          <w:b w:val="1"/>
          <w:bCs w:val="1"/>
          <w:color w:val="auto"/>
        </w:rPr>
        <w:t>Boehringer lngelheim Biopharmaceuticals GmbH</w:t>
      </w:r>
      <w:r>
        <w:rPr>
          <w:rFonts w:ascii="Arial" w:cs="Arial" w:eastAsia="Arial" w:hAnsi="Arial"/>
          <w:sz w:val="17"/>
          <w:szCs w:val="17"/>
          <w:color w:val="auto"/>
        </w:rPr>
        <w:t xml:space="preserve">, Binger Str. 173, 55216 Ingelheim, Germany (“BI”) and </w:t>
      </w:r>
      <w:r>
        <w:rPr>
          <w:rFonts w:ascii="Arial" w:cs="Arial" w:eastAsia="Arial" w:hAnsi="Arial"/>
          <w:sz w:val="17"/>
          <w:szCs w:val="17"/>
          <w:b w:val="1"/>
          <w:bCs w:val="1"/>
          <w:color w:val="auto"/>
        </w:rPr>
        <w:t>FibroGen, Inc</w:t>
      </w:r>
      <w:r>
        <w:rPr>
          <w:rFonts w:ascii="Arial" w:cs="Arial" w:eastAsia="Arial" w:hAnsi="Arial"/>
          <w:sz w:val="17"/>
          <w:szCs w:val="17"/>
          <w:color w:val="auto"/>
        </w:rPr>
        <w:t>., 409 Illinois Street, San Francisco, CA 94158, USA (“FibroGen”), amends the Process Development and Clinical Supply Agreement entered into by and between Boehringer Ingelheim Pharma GmbH &amp; Co. KG, Birkendorfer Str. 65, 88397 Biberach an der Riss, Germany (“BI Pharma”) and FibroGen on November 29, 2007, as amended pursuant to the letter agreements entered into as of June 26, 2008 and August 18, 2008, Amendment No. 1, effective as of May 28, 2009, Amendment No. 3, effective as of November 05, 2010, Amendment No. 4, effective as of January 24, 2011, Amendment No. 5, effective as of April 15, 2011, Amendment No. 6, effective as of May 26, 2011, Amendment No. 7, effective as of January 01, 2012, Amendment No. 8, effective as of July 10, 2012, Amendment No. 9, effective as of November 26, 2012, Amendment No. 10, effective as of June 21, 2013, Amendment No. 11, effective as of July 09,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 and Amendment No. 17, effective as of December 08, 2014 (hereinafter together the “Supply Agreement”). BI and FibroGen shall be referred to individually herein as a “Party”, and collectively as the “Parties”.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FibroGen wishes BI to conduct [*] in compliance with the terms of the Supply Agreement as set forth in and as amended by this Eighteenth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The activities hereunder will be performed by BI Pharma on behalf of BI.</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good and valuable consideration, the receipt and sufficiency of which is hereby acknowledged, the Parties agree as follows:</w:t>
      </w:r>
    </w:p>
    <w:p>
      <w:pPr>
        <w:spacing w:after="0" w:line="133" w:lineRule="exact"/>
        <w:rPr>
          <w:sz w:val="20"/>
          <w:szCs w:val="20"/>
          <w:color w:val="auto"/>
        </w:rPr>
      </w:pPr>
    </w:p>
    <w:p>
      <w:pPr>
        <w:ind w:left="104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Eighteenth Amendment shall have the meaning ascribed to them in the Supply Agreement.</w:t>
      </w:r>
    </w:p>
    <w:p>
      <w:pPr>
        <w:spacing w:after="0" w:line="62" w:lineRule="exact"/>
        <w:rPr>
          <w:rFonts w:ascii="Arial" w:cs="Arial" w:eastAsia="Arial" w:hAnsi="Arial"/>
          <w:sz w:val="18"/>
          <w:szCs w:val="18"/>
          <w:color w:val="auto"/>
        </w:rPr>
      </w:pPr>
    </w:p>
    <w:p>
      <w:pPr>
        <w:jc w:val="both"/>
        <w:ind w:left="1040" w:hanging="519"/>
        <w:spacing w:after="0" w:line="286" w:lineRule="auto"/>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Parties agree that pursuant to Section 2..2 of the Supply Agreement, the work plan entitled [*], Version of January 30, 2015”, attached hereto as Exhibit A, is hereby added as an amendment to Appendix 2 to the Supply Agreement. Pursuant thereto BI shall on behalf of FibroGen and in accordance with the Supply Agreement, [*] (as defined in the Amended and Restated Quality Agreement) from [*].</w:t>
      </w:r>
    </w:p>
    <w:p>
      <w:pPr>
        <w:spacing w:after="0" w:line="57" w:lineRule="exact"/>
        <w:rPr>
          <w:rFonts w:ascii="Arial" w:cs="Arial" w:eastAsia="Arial" w:hAnsi="Arial"/>
          <w:sz w:val="17"/>
          <w:szCs w:val="17"/>
          <w:color w:val="auto"/>
        </w:rPr>
      </w:pPr>
    </w:p>
    <w:p>
      <w:pPr>
        <w:jc w:val="both"/>
        <w:ind w:left="1040" w:hanging="519"/>
        <w:spacing w:after="0" w:line="291" w:lineRule="auto"/>
        <w:tabs>
          <w:tab w:leader="none" w:pos="10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Specifications for the [*] pursuant to Section 2 hereof have been agreed to by the Parties and are set forth in the Amended and Restated Quality Agreement by and between the Parties. Such Specifications for [*], as applicable, shall apply to the activities contemplated by Section</w:t>
      </w:r>
    </w:p>
    <w:p>
      <w:pPr>
        <w:ind w:left="1040"/>
        <w:spacing w:after="0"/>
        <w:rPr>
          <w:rFonts w:ascii="Arial" w:cs="Arial" w:eastAsia="Arial" w:hAnsi="Arial"/>
          <w:sz w:val="16"/>
          <w:szCs w:val="16"/>
          <w:color w:val="auto"/>
        </w:rPr>
      </w:pPr>
      <w:r>
        <w:rPr>
          <w:rFonts w:ascii="Arial" w:cs="Arial" w:eastAsia="Arial" w:hAnsi="Arial"/>
          <w:sz w:val="18"/>
          <w:szCs w:val="18"/>
          <w:color w:val="auto"/>
        </w:rPr>
        <w:t>(2) above as part of the Acceptance Criteria for [*], respectively.</w:t>
      </w:r>
    </w:p>
    <w:p>
      <w:pPr>
        <w:spacing w:after="0" w:line="102" w:lineRule="exact"/>
        <w:rPr>
          <w:rFonts w:ascii="Arial" w:cs="Arial" w:eastAsia="Arial" w:hAnsi="Arial"/>
          <w:sz w:val="16"/>
          <w:szCs w:val="16"/>
          <w:color w:val="auto"/>
        </w:rPr>
      </w:pPr>
    </w:p>
    <w:p>
      <w:pPr>
        <w:jc w:val="both"/>
        <w:ind w:left="1040" w:hanging="519"/>
        <w:spacing w:after="0" w:line="25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the avoidance of doubt, all provisions of the Supply Agreement relating to the manufacture of Product which are reasonably applicable to [*] shall apply accordingly to [*] as set forth in Exhibit A hereto, including but not limited the provisions regarding delivery of Product set forth in Section 4 of the Supply Agreement , Parties' warranties set forth in Section 7 of the Supply Agreement (including, for the avoidance of doubt, the disclaimer set forth in Section 7.5 of the Supply Agreement) and the limitations of BI Pharma's liability and indemnification obligations set forth in Section 8 of the Supply Agreement.</w:t>
      </w:r>
    </w:p>
    <w:p>
      <w:pPr>
        <w:spacing w:after="0" w:line="80" w:lineRule="exact"/>
        <w:rPr>
          <w:rFonts w:ascii="Arial" w:cs="Arial" w:eastAsia="Arial" w:hAnsi="Arial"/>
          <w:sz w:val="18"/>
          <w:szCs w:val="18"/>
          <w:color w:val="auto"/>
        </w:rPr>
      </w:pPr>
    </w:p>
    <w:p>
      <w:pPr>
        <w:jc w:val="both"/>
        <w:ind w:left="1040" w:hanging="519"/>
        <w:spacing w:after="0" w:line="279" w:lineRule="auto"/>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This Eighteenth Amendment, together with the Supply Agreement,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Eighteenth Amendment, either oral or written, heretofore made with respect to subject matter herein are expressly superseded by this Eighteenth Amendment.</w:t>
      </w:r>
    </w:p>
    <w:p>
      <w:pPr>
        <w:spacing w:after="0" w:line="63"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Eighteenth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t>IN WITNESS WHEREOF, the Parties have executed this Eighteenth Amendment to the Supply Agreement as of the Eighteenth Amendment Effective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Biberach, March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BOEHRINGER INGELHEIM BIOPHARMACEUTICALS GMBH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rPr>
              <w:t>ppa.</w:t>
            </w:r>
          </w:p>
        </w:tc>
        <w:tc>
          <w:tcPr>
            <w:tcW w:w="3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ppa.</w:t>
            </w:r>
          </w:p>
        </w:tc>
        <w:tc>
          <w:tcPr>
            <w:tcW w:w="20" w:type="dxa"/>
            <w:vAlign w:val="bottom"/>
          </w:tcPr>
          <w:p>
            <w:pPr>
              <w:spacing w:after="0"/>
              <w:rPr>
                <w:sz w:val="20"/>
                <w:szCs w:val="20"/>
                <w:color w:val="auto"/>
              </w:rPr>
            </w:pPr>
          </w:p>
        </w:tc>
      </w:tr>
      <w:tr>
        <w:trPr>
          <w:trHeight w:val="432"/>
        </w:trPr>
        <w:tc>
          <w:tcPr>
            <w:tcW w:w="1900" w:type="dxa"/>
            <w:vAlign w:val="bottom"/>
            <w:gridSpan w:val="2"/>
          </w:tcPr>
          <w:p>
            <w:pPr>
              <w:spacing w:after="0"/>
              <w:rPr>
                <w:sz w:val="20"/>
                <w:szCs w:val="20"/>
                <w:color w:val="auto"/>
              </w:rPr>
            </w:pPr>
            <w:r>
              <w:rPr>
                <w:rFonts w:ascii="Arial" w:cs="Arial" w:eastAsia="Arial" w:hAnsi="Arial"/>
                <w:sz w:val="18"/>
                <w:szCs w:val="18"/>
                <w:color w:val="auto"/>
              </w:rPr>
              <w:t>[*]</w:t>
            </w:r>
          </w:p>
        </w:tc>
        <w:tc>
          <w:tcPr>
            <w:tcW w:w="9520" w:type="dxa"/>
            <w:vAlign w:val="bottom"/>
            <w:gridSpan w:val="3"/>
          </w:tcPr>
          <w:p>
            <w:pPr>
              <w:ind w:left="4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326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w w:val="93"/>
              </w:rPr>
              <w:t>VP Business &amp; Contracts</w:t>
            </w:r>
          </w:p>
        </w:tc>
        <w:tc>
          <w:tcPr>
            <w:tcW w:w="3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Head of Team Biberach - Dep. Legal Germany</w:t>
            </w:r>
          </w:p>
        </w:tc>
        <w:tc>
          <w:tcPr>
            <w:tcW w:w="20" w:type="dxa"/>
            <w:vAlign w:val="bottom"/>
          </w:tcPr>
          <w:p>
            <w:pPr>
              <w:spacing w:after="0"/>
              <w:rPr>
                <w:sz w:val="20"/>
                <w:szCs w:val="20"/>
                <w:color w:val="auto"/>
              </w:rPr>
            </w:pPr>
          </w:p>
        </w:tc>
      </w:tr>
      <w:tr>
        <w:trPr>
          <w:trHeight w:val="432"/>
        </w:trPr>
        <w:tc>
          <w:tcPr>
            <w:tcW w:w="1900" w:type="dxa"/>
            <w:vAlign w:val="bottom"/>
            <w:gridSpan w:val="2"/>
          </w:tcPr>
          <w:p>
            <w:pPr>
              <w:spacing w:after="0"/>
              <w:rPr>
                <w:sz w:val="20"/>
                <w:szCs w:val="20"/>
                <w:color w:val="auto"/>
              </w:rPr>
            </w:pPr>
            <w:r>
              <w:rPr>
                <w:rFonts w:ascii="Arial" w:cs="Arial" w:eastAsia="Arial" w:hAnsi="Arial"/>
                <w:sz w:val="18"/>
                <w:szCs w:val="18"/>
                <w:color w:val="auto"/>
              </w:rPr>
              <w:t>San Francisco,</w:t>
            </w:r>
          </w:p>
        </w:tc>
        <w:tc>
          <w:tcPr>
            <w:tcW w:w="3260" w:type="dxa"/>
            <w:vAlign w:val="bottom"/>
          </w:tcPr>
          <w:p>
            <w:pPr>
              <w:jc w:val="right"/>
              <w:ind w:right="2750"/>
              <w:spacing w:after="0"/>
              <w:rPr>
                <w:sz w:val="20"/>
                <w:szCs w:val="20"/>
                <w:color w:val="auto"/>
              </w:rPr>
            </w:pPr>
            <w:r>
              <w:rPr>
                <w:rFonts w:ascii="Arial" w:cs="Arial" w:eastAsia="Arial" w:hAnsi="Arial"/>
                <w:sz w:val="18"/>
                <w:szCs w:val="18"/>
                <w:color w:val="auto"/>
                <w:w w:val="99"/>
              </w:rPr>
              <w:t>2015</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900" w:type="dxa"/>
            <w:vAlign w:val="bottom"/>
            <w:gridSpan w:val="2"/>
          </w:tcPr>
          <w:p>
            <w:pPr>
              <w:spacing w:after="0"/>
              <w:rPr>
                <w:sz w:val="20"/>
                <w:szCs w:val="20"/>
                <w:color w:val="auto"/>
              </w:rPr>
            </w:pPr>
            <w:r>
              <w:rPr>
                <w:rFonts w:ascii="Arial" w:cs="Arial" w:eastAsia="Arial" w:hAnsi="Arial"/>
                <w:sz w:val="18"/>
                <w:szCs w:val="18"/>
                <w:color w:val="auto"/>
              </w:rPr>
              <w:t>FIBROGEN, INC</w:t>
            </w:r>
          </w:p>
        </w:tc>
        <w:tc>
          <w:tcPr>
            <w:tcW w:w="3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900" w:type="dxa"/>
            <w:vAlign w:val="bottom"/>
            <w:gridSpan w:val="2"/>
          </w:tcPr>
          <w:p>
            <w:pPr>
              <w:spacing w:after="0"/>
              <w:rPr>
                <w:sz w:val="20"/>
                <w:szCs w:val="20"/>
                <w:color w:val="auto"/>
              </w:rPr>
            </w:pPr>
            <w:r>
              <w:rPr>
                <w:rFonts w:ascii="Arial" w:cs="Arial" w:eastAsia="Arial" w:hAnsi="Arial"/>
                <w:sz w:val="18"/>
                <w:szCs w:val="18"/>
                <w:color w:val="auto"/>
              </w:rPr>
              <w:t>/s/ Jim Polarek</w:t>
            </w:r>
          </w:p>
        </w:tc>
        <w:tc>
          <w:tcPr>
            <w:tcW w:w="3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Jim Polarek</w:t>
            </w:r>
          </w:p>
        </w:tc>
        <w:tc>
          <w:tcPr>
            <w:tcW w:w="326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rPr>
              <w:t>Title Vice President</w:t>
            </w:r>
          </w:p>
        </w:tc>
        <w:tc>
          <w:tcPr>
            <w:tcW w:w="3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Page 2 / 3</w:t>
            </w: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 Scope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(Version of January 30, 2015)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 3</w:t>
      </w:r>
    </w:p>
    <w:p>
      <w:pPr>
        <w:sectPr>
          <w:pgSz w:w="11900" w:h="16838" w:orient="portrait"/>
          <w:cols w:equalWidth="0" w:num="1">
            <w:col w:w="9019"/>
          </w:cols>
          <w:pgMar w:left="1440" w:top="337" w:right="1440" w:bottom="1440" w:gutter="0" w:footer="0" w:header="0"/>
        </w:sectPr>
      </w:pPr>
    </w:p>
    <w:bookmarkStart w:id="88" w:name="page89"/>
    <w:bookmarkEnd w:id="88"/>
    <w:p>
      <w:pPr>
        <w:ind w:firstLine="8"/>
        <w:spacing w:after="0" w:line="282" w:lineRule="auto"/>
        <w:tabs>
          <w:tab w:leader="none" w:pos="25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10.28(xxi)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NO.19 TO THE PROCESS DEVELOPMENT AND CLINICAL SUPPLY AGREEMENT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THIS AMENDMENT No. 19 (the “Nineteenth Amendment”), effective as of March 01, 2015 (the “Nineteenth Amendment Effective Date”) by and between </w:t>
      </w:r>
      <w:r>
        <w:rPr>
          <w:rFonts w:ascii="Arial" w:cs="Arial" w:eastAsia="Arial" w:hAnsi="Arial"/>
          <w:sz w:val="17"/>
          <w:szCs w:val="17"/>
          <w:b w:val="1"/>
          <w:bCs w:val="1"/>
          <w:color w:val="auto"/>
        </w:rPr>
        <w:t>Boehringer Ingelheim Biopharmaceuticals GmbH</w:t>
      </w:r>
      <w:r>
        <w:rPr>
          <w:rFonts w:ascii="Arial" w:cs="Arial" w:eastAsia="Arial" w:hAnsi="Arial"/>
          <w:sz w:val="17"/>
          <w:szCs w:val="17"/>
          <w:color w:val="auto"/>
        </w:rPr>
        <w:t>, Binger Str. 173, 55216 Ingelheim, Germany (“BI”) and</w:t>
      </w:r>
      <w:r>
        <w:rPr>
          <w:rFonts w:ascii="Arial" w:cs="Arial" w:eastAsia="Arial" w:hAnsi="Arial"/>
          <w:sz w:val="17"/>
          <w:szCs w:val="17"/>
          <w:b w:val="1"/>
          <w:bCs w:val="1"/>
          <w:color w:val="auto"/>
        </w:rPr>
        <w:t xml:space="preserve"> FibroGen, Inc</w:t>
      </w:r>
      <w:r>
        <w:rPr>
          <w:rFonts w:ascii="Arial" w:cs="Arial" w:eastAsia="Arial" w:hAnsi="Arial"/>
          <w:sz w:val="17"/>
          <w:szCs w:val="17"/>
          <w:color w:val="auto"/>
        </w:rPr>
        <w:t>., 409 Illinois Street, San</w:t>
      </w:r>
      <w:r>
        <w:rPr>
          <w:rFonts w:ascii="Arial" w:cs="Arial" w:eastAsia="Arial" w:hAnsi="Arial"/>
          <w:sz w:val="17"/>
          <w:szCs w:val="17"/>
          <w:b w:val="1"/>
          <w:bCs w:val="1"/>
          <w:color w:val="auto"/>
        </w:rPr>
        <w:t xml:space="preserve"> </w:t>
      </w:r>
      <w:r>
        <w:rPr>
          <w:rFonts w:ascii="Arial" w:cs="Arial" w:eastAsia="Arial" w:hAnsi="Arial"/>
          <w:sz w:val="17"/>
          <w:szCs w:val="17"/>
          <w:color w:val="auto"/>
        </w:rPr>
        <w:t>Francisco, CA 94158, USA (“FibroGen”), amends the Process Development and Clinical Supply Agreement entered into by and between Boehringer Ingelheim Pharma GmbH &amp; Co. KG, Birkendorfer Str. 65, 88397 Biberach an der Riss, Germany (“BI Pharma”) and FibroGen on November 29, 2007, as amended pursuant to the letter agreements entered into as of June 26, 2008 and August 18, 2008, Amendment No. 1, effective as of May 28, 2009, Amendment No. 3, effective as of November 05, 2010, Amendment No. 4, effective as of January 24, 2011, Amendment No. 5, effective as of April 15, 2011, Amendment No. 6, effective as of May 26, 2011, Amendment No. 7, effective as of January 01, 2012, Amendment No. 8, effective as of July 10, 2012, Amendment No. 9, effective as of November 26, 2012, Amendment No. 10, effective as of June 21, 2013, Amendment No. 11, effective as of July 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 Amendment No. 17, effective as of December 08, 2014, and Amendment No. 18, effective as of February 15, 2015 (hereinafter together the “Supply Agreement”). BI and FibroGen shall be referred to individually herein as a “Party”, and collectively as the “Parties”.</w:t>
      </w:r>
    </w:p>
    <w:p>
      <w:pPr>
        <w:spacing w:after="0" w:line="176"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FibroGen wishes to engage BI Pharma to [*], which will be provided by FibroGen, in compliance with the terms of the Supply Agreement as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and as amended by this Nineteenth Amendment. The activities hereunder will be performed by BI Pharma on behalf of BI.</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w:t>
      </w:r>
      <w:r>
        <w:rPr>
          <w:rFonts w:ascii="Arial" w:cs="Arial" w:eastAsia="Arial" w:hAnsi="Arial"/>
          <w:sz w:val="17"/>
          <w:szCs w:val="17"/>
          <w:color w:val="auto"/>
        </w:rPr>
        <w:t>,</w:t>
      </w:r>
      <w:r>
        <w:rPr>
          <w:rFonts w:ascii="Arial" w:cs="Arial" w:eastAsia="Arial" w:hAnsi="Arial"/>
          <w:sz w:val="17"/>
          <w:szCs w:val="17"/>
          <w:b w:val="1"/>
          <w:bCs w:val="1"/>
          <w:color w:val="auto"/>
        </w:rPr>
        <w:t xml:space="preserve"> THEREFORE</w:t>
      </w:r>
      <w:r>
        <w:rPr>
          <w:rFonts w:ascii="Arial" w:cs="Arial" w:eastAsia="Arial" w:hAnsi="Arial"/>
          <w:sz w:val="17"/>
          <w:szCs w:val="17"/>
          <w:color w:val="auto"/>
        </w:rPr>
        <w:t>, for good and valuable consideration, the receipt and sufficiency of which is hereby acknowledged, the Parties agree as follows:</w:t>
      </w:r>
    </w:p>
    <w:p>
      <w:pPr>
        <w:spacing w:after="0" w:line="133" w:lineRule="exact"/>
        <w:rPr>
          <w:sz w:val="20"/>
          <w:szCs w:val="20"/>
          <w:color w:val="auto"/>
        </w:rPr>
      </w:pPr>
    </w:p>
    <w:p>
      <w:pPr>
        <w:ind w:left="1040" w:right="80" w:hanging="519"/>
        <w:spacing w:after="0" w:line="277"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Nineteenth Amendment shall have the meaning ascribed to them in the Supply Agreement.</w:t>
      </w:r>
    </w:p>
    <w:p>
      <w:pPr>
        <w:spacing w:after="0" w:line="62" w:lineRule="exact"/>
        <w:rPr>
          <w:rFonts w:ascii="Arial" w:cs="Arial" w:eastAsia="Arial" w:hAnsi="Arial"/>
          <w:sz w:val="18"/>
          <w:szCs w:val="18"/>
          <w:color w:val="auto"/>
        </w:rPr>
      </w:pPr>
    </w:p>
    <w:p>
      <w:pPr>
        <w:ind w:left="1040" w:right="400" w:hanging="519"/>
        <w:spacing w:after="0" w:line="264"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Pursuant to Section 2.2 of the Supply Agreement, the work plan entitled [*] (Work Scope, Version of March 16, 2015)”, attached hereto as Exhibit A, is hereby added as an amendment to Appendix 2 to the Supply Agreement. Pursuant thereto BI Pharma shall [*] provided by FibroGen on behalf of FibroGen in accordance with the Supply Agreement.</w:t>
      </w:r>
    </w:p>
    <w:p>
      <w:pPr>
        <w:spacing w:after="0" w:line="73"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Deliverables related to the Work Scope as indicated in the attached Exhibit A hereto is for BI Pharma to [*] under Exhibit A hereto, provided by FibroGen, and, during the term of the Supply Agreement, to [*], as further described in the Work Scope (Exhibit A) [*], as needed and requested by FibroGen in the course of [*].</w:t>
      </w:r>
    </w:p>
    <w:p>
      <w:pPr>
        <w:spacing w:after="0" w:line="73" w:lineRule="exact"/>
        <w:rPr>
          <w:rFonts w:ascii="Arial" w:cs="Arial" w:eastAsia="Arial" w:hAnsi="Arial"/>
          <w:sz w:val="18"/>
          <w:szCs w:val="18"/>
          <w:color w:val="auto"/>
        </w:rPr>
      </w:pPr>
    </w:p>
    <w:p>
      <w:pPr>
        <w:jc w:val="both"/>
        <w:ind w:left="1040"/>
        <w:spacing w:after="0" w:line="264" w:lineRule="auto"/>
        <w:rPr>
          <w:rFonts w:ascii="Arial" w:cs="Arial" w:eastAsia="Arial" w:hAnsi="Arial"/>
          <w:sz w:val="18"/>
          <w:szCs w:val="18"/>
          <w:color w:val="auto"/>
        </w:rPr>
      </w:pPr>
      <w:r>
        <w:rPr>
          <w:rFonts w:ascii="Arial" w:cs="Arial" w:eastAsia="Arial" w:hAnsi="Arial"/>
          <w:sz w:val="18"/>
          <w:szCs w:val="18"/>
          <w:color w:val="auto"/>
        </w:rPr>
        <w:t>The total aggregate payment of [*] (as listed under Exhibit A hereto) will be paid by FibroGen to BI Pharma upon the [*]. Any questions regarding the [*] listed under Exhibit A hereto, which may arise from [*] will be answered by BI Pharma, as needed and requested by FibroGen in the course of [*] and the continuation of the project.</w:t>
      </w:r>
    </w:p>
    <w:p>
      <w:pPr>
        <w:spacing w:after="0" w:line="73" w:lineRule="exact"/>
        <w:rPr>
          <w:rFonts w:ascii="Arial" w:cs="Arial" w:eastAsia="Arial" w:hAnsi="Arial"/>
          <w:sz w:val="18"/>
          <w:szCs w:val="18"/>
          <w:color w:val="auto"/>
        </w:rPr>
      </w:pPr>
    </w:p>
    <w:p>
      <w:pPr>
        <w:ind w:left="1040" w:right="100" w:hanging="519"/>
        <w:spacing w:after="0" w:line="279" w:lineRule="auto"/>
        <w:tabs>
          <w:tab w:leader="none" w:pos="10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This Nineteenth Amendment, together with the Supply Agreement,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Nineteenth Amendment, either oral or written, heretofore made with respect to subject matter herein are expressly superseded by this Nineteenth Amendment.</w:t>
      </w:r>
    </w:p>
    <w:p>
      <w:pPr>
        <w:spacing w:after="0" w:line="63" w:lineRule="exact"/>
        <w:rPr>
          <w:rFonts w:ascii="Arial" w:cs="Arial" w:eastAsia="Arial" w:hAnsi="Arial"/>
          <w:sz w:val="17"/>
          <w:szCs w:val="17"/>
          <w:color w:val="auto"/>
        </w:rPr>
      </w:pPr>
    </w:p>
    <w:p>
      <w:pPr>
        <w:ind w:left="1040" w:right="180" w:hanging="519"/>
        <w:spacing w:after="0" w:line="264"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Nineteenth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IN WITNESS WHEREOF, the Parties have executed this Nineteenth Amendment to the Supply Agreement as of Nineteenth Amendment Effective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Biberach, May 11, 2015</w:t>
            </w: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color w:val="auto"/>
              </w:rPr>
              <w:t>BOEHRINGER INGELHEIM BIOPHARMACEUTICALS GMBH</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color w:val="auto"/>
              </w:rPr>
              <w:t>ppa.</w:t>
            </w:r>
          </w:p>
        </w:tc>
        <w:tc>
          <w:tcPr>
            <w:tcW w:w="5140" w:type="dxa"/>
            <w:vAlign w:val="bottom"/>
          </w:tcPr>
          <w:p>
            <w:pPr>
              <w:spacing w:after="0"/>
              <w:rPr>
                <w:sz w:val="20"/>
                <w:szCs w:val="20"/>
                <w:color w:val="auto"/>
              </w:rPr>
            </w:pPr>
            <w:r>
              <w:rPr>
                <w:rFonts w:ascii="Arial" w:cs="Arial" w:eastAsia="Arial" w:hAnsi="Arial"/>
                <w:sz w:val="18"/>
                <w:szCs w:val="18"/>
                <w:color w:val="auto"/>
              </w:rPr>
              <w:t>ppa.</w:t>
            </w: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VP Business &amp; Contracts</w:t>
            </w:r>
          </w:p>
        </w:tc>
        <w:tc>
          <w:tcPr>
            <w:tcW w:w="5140" w:type="dxa"/>
            <w:vAlign w:val="bottom"/>
          </w:tcPr>
          <w:p>
            <w:pPr>
              <w:spacing w:after="0"/>
              <w:rPr>
                <w:sz w:val="20"/>
                <w:szCs w:val="20"/>
                <w:color w:val="auto"/>
              </w:rPr>
            </w:pPr>
            <w:r>
              <w:rPr>
                <w:rFonts w:ascii="Arial" w:cs="Arial" w:eastAsia="Arial" w:hAnsi="Arial"/>
                <w:sz w:val="18"/>
                <w:szCs w:val="18"/>
                <w:color w:val="auto"/>
              </w:rPr>
              <w:t>Head of Legal Germany, Team Biberach</w:t>
            </w:r>
          </w:p>
        </w:tc>
        <w:tc>
          <w:tcPr>
            <w:tcW w:w="20" w:type="dxa"/>
            <w:vAlign w:val="bottom"/>
          </w:tcPr>
          <w:p>
            <w:pPr>
              <w:spacing w:after="0"/>
              <w:rPr>
                <w:sz w:val="20"/>
                <w:szCs w:val="20"/>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color w:val="auto"/>
              </w:rPr>
              <w:t>San Francisco, June 1, 2015</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color w:val="auto"/>
              </w:rPr>
              <w:t>FIBROGEN, INC.</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color w:val="auto"/>
              </w:rPr>
              <w:t>/s/ Jim Polarek</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Jim Polarek</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Vice President</w:t>
            </w:r>
          </w:p>
        </w:tc>
        <w:tc>
          <w:tcPr>
            <w:tcW w:w="514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Work Scope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(Version of March 16, 2015)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121" w:right="1440" w:bottom="1440" w:gutter="0" w:footer="0" w:header="0"/>
        </w:sectPr>
      </w:pPr>
    </w:p>
    <w:bookmarkStart w:id="91" w:name="page92"/>
    <w:bookmarkEnd w:id="91"/>
    <w:p>
      <w:pPr>
        <w:ind w:firstLine="8"/>
        <w:spacing w:after="0" w:line="282" w:lineRule="auto"/>
        <w:tabs>
          <w:tab w:leader="none" w:pos="25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10.28(xxii)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20 TO THE PROCESS DEVELOPMENT AND CLINICAL SUPPLY AGREEMENT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AMENDMENT No. 20 (the “Twentieth Amendment”), effective as of June 01, 2015 (the “Twentieth Amendment Effective Date”) by and between </w:t>
      </w:r>
      <w:r>
        <w:rPr>
          <w:rFonts w:ascii="Arial" w:cs="Arial" w:eastAsia="Arial" w:hAnsi="Arial"/>
          <w:sz w:val="17"/>
          <w:szCs w:val="17"/>
          <w:b w:val="1"/>
          <w:bCs w:val="1"/>
          <w:color w:val="auto"/>
        </w:rPr>
        <w:t>Boehringer lngelheim Biopharmaceuticals GmbH</w:t>
      </w:r>
      <w:r>
        <w:rPr>
          <w:rFonts w:ascii="Arial" w:cs="Arial" w:eastAsia="Arial" w:hAnsi="Arial"/>
          <w:sz w:val="17"/>
          <w:szCs w:val="17"/>
          <w:color w:val="auto"/>
        </w:rPr>
        <w:t>, Binger Str. 173, 55216 Ingelheim, Germany (“BI”) and</w:t>
      </w:r>
      <w:r>
        <w:rPr>
          <w:rFonts w:ascii="Arial" w:cs="Arial" w:eastAsia="Arial" w:hAnsi="Arial"/>
          <w:sz w:val="17"/>
          <w:szCs w:val="17"/>
          <w:b w:val="1"/>
          <w:bCs w:val="1"/>
          <w:color w:val="auto"/>
        </w:rPr>
        <w:t xml:space="preserve"> FibroGen, Inc</w:t>
      </w:r>
      <w:r>
        <w:rPr>
          <w:rFonts w:ascii="Arial" w:cs="Arial" w:eastAsia="Arial" w:hAnsi="Arial"/>
          <w:sz w:val="17"/>
          <w:szCs w:val="17"/>
          <w:color w:val="auto"/>
        </w:rPr>
        <w:t>., 409 Illinois Street, San</w:t>
      </w:r>
      <w:r>
        <w:rPr>
          <w:rFonts w:ascii="Arial" w:cs="Arial" w:eastAsia="Arial" w:hAnsi="Arial"/>
          <w:sz w:val="17"/>
          <w:szCs w:val="17"/>
          <w:b w:val="1"/>
          <w:bCs w:val="1"/>
          <w:color w:val="auto"/>
        </w:rPr>
        <w:t xml:space="preserve"> </w:t>
      </w:r>
      <w:r>
        <w:rPr>
          <w:rFonts w:ascii="Arial" w:cs="Arial" w:eastAsia="Arial" w:hAnsi="Arial"/>
          <w:sz w:val="17"/>
          <w:szCs w:val="17"/>
          <w:color w:val="auto"/>
        </w:rPr>
        <w:t>Francisco, CA 94158, USA (''FibroGen”), amends the Process Development and Clinical Supply Agreement entered into by and between Boehringer Ingelheim Pharma GmbH &amp; Co. KG, Birkendorfer Str. 65, 88397 Biberach an der Riss, Germany (“BI Pharma”) and FibroGen on November 29, 2007, as amended pursuant to the letter agreements entered into as of June 26, 2008 and August 18, 2008, Amendment No. 1 , effective as of May 28, 2009, Amendment No. 3, effective as of November 5, 2010, Amendment No. 4, effective as of January 24, 2011 , Amendment No. 5, effective as of April 15, 2011, Amendment No. 6, effective as of May 26, 201 I , Amendment No. 7, effective as of January 01, 2012, Amendment No. 8, effective as of July 10, 2012, Amendment No. 9, effective as of November 26, 2012, Amendment No. 10, effective as of June 21, 2013, Amendment No. 11, effective as of July 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 Amendment No. 17, effective as of December 08, 2014, Amendment No. 18, effective as of February 15, 2015, and Amendment 19, effective as of March 01, 2015 (hereinafter together the “Supply Agreement”). BI and FibroGen shall be referred to individually herein as a “Party'', and collectively as the “Parties”.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FibroGen wishes BI to [*] in compliance with the terms of the Supply Agreement as set forth in and as amended by this Twentieth Amendment.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activities hereunder will be performed by BI Pharma on behalf of BI.</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w:t>
      </w:r>
      <w:r>
        <w:rPr>
          <w:rFonts w:ascii="Arial" w:cs="Arial" w:eastAsia="Arial" w:hAnsi="Arial"/>
          <w:sz w:val="17"/>
          <w:szCs w:val="17"/>
          <w:color w:val="auto"/>
        </w:rPr>
        <w:t>,</w:t>
      </w:r>
      <w:r>
        <w:rPr>
          <w:rFonts w:ascii="Arial" w:cs="Arial" w:eastAsia="Arial" w:hAnsi="Arial"/>
          <w:sz w:val="17"/>
          <w:szCs w:val="17"/>
          <w:b w:val="1"/>
          <w:bCs w:val="1"/>
          <w:color w:val="auto"/>
        </w:rPr>
        <w:t xml:space="preserve"> THEREFORE</w:t>
      </w:r>
      <w:r>
        <w:rPr>
          <w:rFonts w:ascii="Arial" w:cs="Arial" w:eastAsia="Arial" w:hAnsi="Arial"/>
          <w:sz w:val="17"/>
          <w:szCs w:val="17"/>
          <w:color w:val="auto"/>
        </w:rPr>
        <w:t>, for good and valuable consideration, the receipt and sufficiency of which is hereby acknowledged, the Parties agree as follows:</w:t>
      </w:r>
    </w:p>
    <w:p>
      <w:pPr>
        <w:spacing w:after="0" w:line="133" w:lineRule="exact"/>
        <w:rPr>
          <w:sz w:val="20"/>
          <w:szCs w:val="20"/>
          <w:color w:val="auto"/>
        </w:rPr>
      </w:pPr>
    </w:p>
    <w:p>
      <w:pPr>
        <w:ind w:left="1040" w:right="20" w:hanging="519"/>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Twentieth Amendment shall have the meaning ascribed to them in the Supply Agreement.</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Parties agree that pursuant to Section 2.2 of the Supply Agreement, the work plan entitled [*], Version of March 16, 2015”,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is hereby added as an amendment to Appendix 2 to the Supply Agreement. Pursuant thereto BI shall on behalf of FibroGen and in accordance with the Supply Agreement, [*].</w:t>
      </w:r>
    </w:p>
    <w:p>
      <w:pPr>
        <w:spacing w:after="0" w:line="73" w:lineRule="exact"/>
        <w:rPr>
          <w:rFonts w:ascii="Arial" w:cs="Arial" w:eastAsia="Arial" w:hAnsi="Arial"/>
          <w:sz w:val="18"/>
          <w:szCs w:val="18"/>
          <w:color w:val="auto"/>
        </w:rPr>
      </w:pPr>
    </w:p>
    <w:p>
      <w:pPr>
        <w:jc w:val="both"/>
        <w:ind w:left="1040" w:hanging="519"/>
        <w:spacing w:after="0" w:line="279" w:lineRule="auto"/>
        <w:tabs>
          <w:tab w:leader="none" w:pos="10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This Twentieth Amendment, together with the Supply Agreement,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Twentieth Amendment, either oral or written, heretofore made with respect to subject matter herein are expressly superseded by this Twentieth Amendment.</w:t>
      </w:r>
    </w:p>
    <w:p>
      <w:pPr>
        <w:spacing w:after="0" w:line="63"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Twentieth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IN WITNESS WHEREOF, the Parties have executed this Twentieth Amendment to the Supply Agreement as of Twentieth Amendment Effective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Biberach, May 11, 2015</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BOEHRINGER INGELHEIM BIOPHARMACEUTICALS GMBH</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ppa.</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ppa.</w:t>
            </w: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w:t>
            </w:r>
          </w:p>
        </w:tc>
        <w:tc>
          <w:tcPr>
            <w:tcW w:w="6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VP Business &amp; Contracts</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Head of Legal Germany, Team Biberach</w:t>
            </w:r>
          </w:p>
        </w:tc>
        <w:tc>
          <w:tcPr>
            <w:tcW w:w="2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San Francisco, 29 May 2015</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FibroGen, Inc.,</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Neff</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5160" w:type="dxa"/>
            <w:vAlign w:val="bottom"/>
            <w:gridSpan w:val="2"/>
          </w:tcPr>
          <w:p>
            <w:pPr>
              <w:spacing w:after="0" w:line="195" w:lineRule="exact"/>
              <w:rPr>
                <w:sz w:val="20"/>
                <w:szCs w:val="20"/>
                <w:color w:val="auto"/>
              </w:rPr>
            </w:pPr>
            <w:r>
              <w:rPr>
                <w:rFonts w:ascii="Arial" w:cs="Arial" w:eastAsia="Arial" w:hAnsi="Arial"/>
                <w:sz w:val="18"/>
                <w:szCs w:val="18"/>
                <w:color w:val="auto"/>
              </w:rPr>
              <w:t>Thomas Neff</w:t>
            </w:r>
          </w:p>
        </w:tc>
        <w:tc>
          <w:tcPr>
            <w:tcW w:w="11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CEO</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 Scope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(Version of March 16, 2015)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121" w:right="1440" w:bottom="1440" w:gutter="0" w:footer="0" w:header="0"/>
        </w:sectPr>
      </w:pPr>
    </w:p>
    <w:bookmarkStart w:id="94" w:name="page95"/>
    <w:bookmarkEnd w:id="94"/>
    <w:p>
      <w:pPr>
        <w:ind w:firstLine="8"/>
        <w:spacing w:after="0" w:line="282" w:lineRule="auto"/>
        <w:tabs>
          <w:tab w:leader="none" w:pos="25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10.28(xxiii)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21 TO THE PROCESS DEVELOPMENT AND CLINICAL SUPPLY AGREEMENT</w:t>
      </w:r>
    </w:p>
    <w:p>
      <w:pPr>
        <w:spacing w:after="0" w:line="22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This AMENDMENT No. 21 (the “Twenty-first Amendment”), effective as of May 29, 2015 (the “Twenty first Amendment Effective Date”) by and between </w:t>
      </w:r>
      <w:r>
        <w:rPr>
          <w:rFonts w:ascii="Arial" w:cs="Arial" w:eastAsia="Arial" w:hAnsi="Arial"/>
          <w:sz w:val="17"/>
          <w:szCs w:val="17"/>
          <w:b w:val="1"/>
          <w:bCs w:val="1"/>
          <w:color w:val="auto"/>
        </w:rPr>
        <w:t>Boehringer lngelheim Biopharmaceuticals GmbH</w:t>
      </w:r>
      <w:r>
        <w:rPr>
          <w:rFonts w:ascii="Arial" w:cs="Arial" w:eastAsia="Arial" w:hAnsi="Arial"/>
          <w:sz w:val="17"/>
          <w:szCs w:val="17"/>
          <w:color w:val="auto"/>
        </w:rPr>
        <w:t>, Binger Str. 173, 55216 lngelheim, Germany (“BI”) and</w:t>
      </w:r>
      <w:r>
        <w:rPr>
          <w:rFonts w:ascii="Arial" w:cs="Arial" w:eastAsia="Arial" w:hAnsi="Arial"/>
          <w:sz w:val="17"/>
          <w:szCs w:val="17"/>
          <w:b w:val="1"/>
          <w:bCs w:val="1"/>
          <w:color w:val="auto"/>
        </w:rPr>
        <w:t xml:space="preserve"> FibroGen, Inc</w:t>
      </w:r>
      <w:r>
        <w:rPr>
          <w:rFonts w:ascii="Arial" w:cs="Arial" w:eastAsia="Arial" w:hAnsi="Arial"/>
          <w:sz w:val="17"/>
          <w:szCs w:val="17"/>
          <w:color w:val="auto"/>
        </w:rPr>
        <w:t>., 409 Illinois Street, San</w:t>
      </w:r>
      <w:r>
        <w:rPr>
          <w:rFonts w:ascii="Arial" w:cs="Arial" w:eastAsia="Arial" w:hAnsi="Arial"/>
          <w:sz w:val="17"/>
          <w:szCs w:val="17"/>
          <w:b w:val="1"/>
          <w:bCs w:val="1"/>
          <w:color w:val="auto"/>
        </w:rPr>
        <w:t xml:space="preserve"> </w:t>
      </w:r>
      <w:r>
        <w:rPr>
          <w:rFonts w:ascii="Arial" w:cs="Arial" w:eastAsia="Arial" w:hAnsi="Arial"/>
          <w:sz w:val="17"/>
          <w:szCs w:val="17"/>
          <w:color w:val="auto"/>
        </w:rPr>
        <w:t>Francisco, CA 94158, USA (“FibroGen”), amends the Process Development and Clinical Supply Agreement entered into by and between Boehringer lngelheim Pharma GmbH &amp; Co. KG, Birkendorfer Str. 65, 88397 Biberach an der Riss, Germany (“BI Pharma”) and FibroGen on November 29, 2007, as amended pursuant to the letter agreements entered into as of June 26, 2008 and August 18, 2008, Amendment No. 1, effective as of May 28, 2009, Amendment No. 3, effective as of November 5, 2010, Amendment No. 4, effective as of January 24, 2011, Amendment No. 5, effective as of April 15, 2011, Amendment No. 6, effective as of May 26, 201 l, Amendment No. 7, effective as of January 01 , 2012, Amendment No. 8, effective as of July 10, 2012, Amendment No. 9, effective as of November 26, 2012, Amendment No. 10, effective as of June 21, 2013, Amendment No. 11, effective as of July 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 Amendment No. 17, effective as of December 08, 2014, Amendment No. 18, effective as of February 15, 2015, Amendment No. 19, effective as of March 01, 2015, and Amendment No. 20, effective as of June 01, 2015 (hereinafter together the “Supply Agreement”). BI and FibroGen shall be referred to individually herein as a “Party”, and collectively as the “Parties”.</w:t>
      </w:r>
    </w:p>
    <w:p>
      <w:pPr>
        <w:spacing w:after="0" w:line="184"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FibroGen wishes BI to [*] in compliance with the terms of the Supply Agreement as set forth in and as amended by this Twenty-first</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The activities hereunder will be performed by BI Pharma on behalf of Bl.</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w:t>
      </w:r>
      <w:r>
        <w:rPr>
          <w:rFonts w:ascii="Arial" w:cs="Arial" w:eastAsia="Arial" w:hAnsi="Arial"/>
          <w:sz w:val="17"/>
          <w:szCs w:val="17"/>
          <w:color w:val="auto"/>
        </w:rPr>
        <w:t>,</w:t>
      </w:r>
      <w:r>
        <w:rPr>
          <w:rFonts w:ascii="Arial" w:cs="Arial" w:eastAsia="Arial" w:hAnsi="Arial"/>
          <w:sz w:val="17"/>
          <w:szCs w:val="17"/>
          <w:b w:val="1"/>
          <w:bCs w:val="1"/>
          <w:color w:val="auto"/>
        </w:rPr>
        <w:t xml:space="preserve"> THEREFORE</w:t>
      </w:r>
      <w:r>
        <w:rPr>
          <w:rFonts w:ascii="Arial" w:cs="Arial" w:eastAsia="Arial" w:hAnsi="Arial"/>
          <w:sz w:val="17"/>
          <w:szCs w:val="17"/>
          <w:color w:val="auto"/>
        </w:rPr>
        <w:t>, for good and valuable consideration, the receipt and sufficiency of which is hereby acknowledged, the Parties agree as follows:</w:t>
      </w:r>
    </w:p>
    <w:p>
      <w:pPr>
        <w:spacing w:after="0" w:line="133" w:lineRule="exact"/>
        <w:rPr>
          <w:sz w:val="20"/>
          <w:szCs w:val="20"/>
          <w:color w:val="auto"/>
        </w:rPr>
      </w:pPr>
    </w:p>
    <w:p>
      <w:pPr>
        <w:ind w:right="300" w:firstLine="8"/>
        <w:spacing w:after="0" w:line="277"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Twenty-first Amendment shall have the meaning ascribed to them in the Supply Agreement.</w:t>
      </w:r>
    </w:p>
    <w:p>
      <w:pPr>
        <w:spacing w:after="0" w:line="62" w:lineRule="exact"/>
        <w:rPr>
          <w:rFonts w:ascii="Arial" w:cs="Arial" w:eastAsia="Arial" w:hAnsi="Arial"/>
          <w:sz w:val="18"/>
          <w:szCs w:val="18"/>
          <w:color w:val="auto"/>
        </w:rPr>
      </w:pPr>
    </w:p>
    <w:p>
      <w:pPr>
        <w:ind w:right="140" w:firstLine="8"/>
        <w:spacing w:after="0" w:line="264"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Parties agree that pursuant to Section 2.2 of the Supply Agreement, the work plan entitled [*], Version of April 30, 2015”, attached hereto as Exhibit A, is hereby added as an amendment to Appendix 2 to the Supply Agreement. Pursuant thereto BI shall on behalf of FibroGen and in accordance with the Supply Agreement, [*] (as defined in the Amended and Restated Quality Agreement).</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Specifications for the Product to be produced pursuant to Section 2 hereof have been agreed to by the Parties and are set forth in the Amended and</w:t>
      </w:r>
    </w:p>
    <w:p>
      <w:pPr>
        <w:spacing w:after="0" w:line="46"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Restated Quality Agreement by and between the Parties. Such Specifications for the Product shall apply to the activities contemplated by Section (2) above as part of the Acceptance Criteria for the Product, respectively.</w:t>
      </w:r>
    </w:p>
    <w:p>
      <w:pPr>
        <w:spacing w:after="0" w:line="75" w:lineRule="exact"/>
        <w:rPr>
          <w:rFonts w:ascii="Arial" w:cs="Arial" w:eastAsia="Arial" w:hAnsi="Arial"/>
          <w:sz w:val="16"/>
          <w:szCs w:val="16"/>
          <w:color w:val="auto"/>
        </w:rPr>
      </w:pPr>
    </w:p>
    <w:p>
      <w:pPr>
        <w:jc w:val="both"/>
        <w:ind w:right="260" w:firstLine="8"/>
        <w:spacing w:after="0" w:line="259"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Twenty-first Amendment, together with the Supply Agreement,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Twenty-first Amendment, either oral or written, heretofore made with respect to subject matter herein are expressly superseded by this Twenty-first Amendment.</w:t>
      </w:r>
    </w:p>
    <w:p>
      <w:pPr>
        <w:spacing w:after="0" w:line="78" w:lineRule="exact"/>
        <w:rPr>
          <w:rFonts w:ascii="Arial" w:cs="Arial" w:eastAsia="Arial" w:hAnsi="Arial"/>
          <w:sz w:val="18"/>
          <w:szCs w:val="18"/>
          <w:color w:val="auto"/>
        </w:rPr>
      </w:pPr>
    </w:p>
    <w:p>
      <w:pPr>
        <w:ind w:right="40" w:firstLine="8"/>
        <w:spacing w:after="0" w:line="264"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Twenty-first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t>IN WITNESS WHEREOF, the Parties have executed this Twenty-first Amendment to the Supply Agreement as of Twenty-first Amendment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Biberach, May 11, 2015</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BOEHRINGER INGELHEIM BIOPHARMCEUTICALS GMBH</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ppa.</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ppa.</w:t>
            </w: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w:t>
            </w:r>
          </w:p>
        </w:tc>
        <w:tc>
          <w:tcPr>
            <w:tcW w:w="6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VP Business &amp; Contracts</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Head of Legal Germany, Team Biberach</w:t>
            </w:r>
          </w:p>
        </w:tc>
        <w:tc>
          <w:tcPr>
            <w:tcW w:w="2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San Francisco, 29 May 2015</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FIBROGEN, INC</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Thomas Neff</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5160" w:type="dxa"/>
            <w:vAlign w:val="bottom"/>
            <w:gridSpan w:val="2"/>
          </w:tcPr>
          <w:p>
            <w:pPr>
              <w:spacing w:after="0"/>
              <w:rPr>
                <w:sz w:val="20"/>
                <w:szCs w:val="20"/>
                <w:color w:val="auto"/>
              </w:rPr>
            </w:pPr>
            <w:r>
              <w:rPr>
                <w:rFonts w:ascii="Arial" w:cs="Arial" w:eastAsia="Arial" w:hAnsi="Arial"/>
                <w:sz w:val="16"/>
                <w:szCs w:val="16"/>
                <w:color w:val="auto"/>
              </w:rPr>
              <w:t>Thomas Neff</w:t>
            </w:r>
          </w:p>
        </w:tc>
        <w:tc>
          <w:tcPr>
            <w:tcW w:w="11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6"/>
                <w:szCs w:val="16"/>
                <w:color w:val="auto"/>
              </w:rPr>
              <w:t>CEO</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Page 2 / 3</w:t>
            </w: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8"/>
          <w:szCs w:val="18"/>
          <w:b w:val="1"/>
          <w:bCs w:val="1"/>
          <w:u w:val="single" w:color="auto"/>
          <w:color w:val="auto"/>
        </w:rPr>
        <w:t>Exhibit A</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Work Scope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(Version of April 30, 2015)</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 / 3</w:t>
      </w:r>
    </w:p>
    <w:p>
      <w:pPr>
        <w:sectPr>
          <w:pgSz w:w="11900" w:h="16838" w:orient="portrait"/>
          <w:cols w:equalWidth="0" w:num="1">
            <w:col w:w="9019"/>
          </w:cols>
          <w:pgMar w:left="1440" w:top="337" w:right="1440" w:bottom="1440" w:gutter="0" w:footer="0" w:header="0"/>
        </w:sectPr>
      </w:pPr>
    </w:p>
    <w:bookmarkStart w:id="97" w:name="page98"/>
    <w:bookmarkEnd w:id="97"/>
    <w:p>
      <w:pPr>
        <w:ind w:firstLine="8"/>
        <w:spacing w:after="0" w:line="282" w:lineRule="auto"/>
        <w:tabs>
          <w:tab w:leader="none" w:pos="25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10.28(xxiv)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23 TO THE PROCESS DEVELOPMENT AND CLINICAL SUPPLY AGREEMENT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This AMENDMENT No. 23 (the “Twenty-third Amendment”), effective as of September 01, 2015 (the “Twenty-Third Amendment Effective Date”) by and between </w:t>
      </w:r>
      <w:r>
        <w:rPr>
          <w:rFonts w:ascii="Arial" w:cs="Arial" w:eastAsia="Arial" w:hAnsi="Arial"/>
          <w:sz w:val="16"/>
          <w:szCs w:val="16"/>
          <w:b w:val="1"/>
          <w:bCs w:val="1"/>
          <w:color w:val="auto"/>
        </w:rPr>
        <w:t>Boehringer Ingelheim Biopharmaceuticals GmbH</w:t>
      </w:r>
      <w:r>
        <w:rPr>
          <w:rFonts w:ascii="Arial" w:cs="Arial" w:eastAsia="Arial" w:hAnsi="Arial"/>
          <w:sz w:val="16"/>
          <w:szCs w:val="16"/>
          <w:color w:val="auto"/>
        </w:rPr>
        <w:t xml:space="preserve">, Binger Str. 173, 55216 Ingelheim, Germany (“BI”) and </w:t>
      </w:r>
      <w:r>
        <w:rPr>
          <w:rFonts w:ascii="Arial" w:cs="Arial" w:eastAsia="Arial" w:hAnsi="Arial"/>
          <w:sz w:val="16"/>
          <w:szCs w:val="16"/>
          <w:b w:val="1"/>
          <w:bCs w:val="1"/>
          <w:color w:val="auto"/>
        </w:rPr>
        <w:t>FibroGen, Inc</w:t>
      </w:r>
      <w:r>
        <w:rPr>
          <w:rFonts w:ascii="Arial" w:cs="Arial" w:eastAsia="Arial" w:hAnsi="Arial"/>
          <w:sz w:val="16"/>
          <w:szCs w:val="16"/>
          <w:color w:val="auto"/>
        </w:rPr>
        <w:t>., 409 Illinois Street, San Francisco, CA 94158, USA (“FibroGen”), amends the Process Development and Clinical Supply Agreement entered into by and between Boehringer lngelheim Pharma GmbH &amp; Co. KG, Birkendorfer Str. 65, 88397 Biberach an der Riss, Germany (“BI Pharma”) and on November 29, 2007, as amended pursuant to the letter agreements entered into as of June 26, 2008 and August 18, 2008, Amendment No. 1, effective as of May 28, 2009, Amendment No. 3, effective as of November 5, 2010, Amendment No. 4, effective as of January 24, 2011, Amendment No. 5, effective as of April 15, 2011, Amendment No. 6, effective as of May 26, 2011, Amendment No. 7, effective as of January 01, 2012, Amendment No. 8, effective as of July 10, 2012, Amendment No. 9, effective as of November 26, 2012, Amendment No. 10, effective as of June 21, 2013, Amendment No. 11, effective as of July 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Amendment No. 17, effective as of December 08, 2014, Amendment No. 18, effective as of February 15, 2015, Amendment No. 19, effective as of March 01, 2015, Amendment No. 20, effective as of June 01, 2015, Amendment No. 21, effective as of May 29, 2015 and Amendment No. 22, effective as of September 01, 2015 (hereinafter together the “Supply Agreement”). BI and FIBROGEN shall be referenced to individually herein as a “Party”, and collectively as the “Parties”.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Whereas, hereby the Parties wish to agree on modified and additional services referring to the Work Scopes as amended by the Amendments stated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activities hereunder will be performed by BI Pharma on behalf of BI.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for good and valuable consideration, the receipt and sufficiency of which is hereby acknowledged, the Parties agree as follows:</w:t>
      </w:r>
    </w:p>
    <w:p>
      <w:pPr>
        <w:spacing w:after="0" w:line="117" w:lineRule="exact"/>
        <w:rPr>
          <w:sz w:val="20"/>
          <w:szCs w:val="20"/>
          <w:color w:val="auto"/>
        </w:rPr>
      </w:pPr>
    </w:p>
    <w:p>
      <w:pPr>
        <w:ind w:firstLine="8"/>
        <w:spacing w:after="0" w:line="277" w:lineRule="auto"/>
        <w:tabs>
          <w:tab w:leader="none" w:pos="2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Twenty-third Amendment shall have the meaning ascribed to them in the Supply Agreement.</w:t>
      </w:r>
    </w:p>
    <w:p>
      <w:pPr>
        <w:spacing w:after="0" w:line="62" w:lineRule="exact"/>
        <w:rPr>
          <w:rFonts w:ascii="Arial" w:cs="Arial" w:eastAsia="Arial" w:hAnsi="Arial"/>
          <w:sz w:val="18"/>
          <w:szCs w:val="18"/>
          <w:color w:val="auto"/>
        </w:rPr>
      </w:pPr>
    </w:p>
    <w:p>
      <w:pPr>
        <w:ind w:firstLine="8"/>
        <w:spacing w:after="0" w:line="277"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Parties agree that pursuant to Section 2.2 of the Supply Agreement, the work plan entitled [*], Version of July 03, 2015”, attached hereto as Exhibit A, is hereby added as an amendment to Appendix 2 to the Supply Agreement.</w:t>
      </w:r>
    </w:p>
    <w:p>
      <w:pPr>
        <w:spacing w:after="0" w:line="62" w:lineRule="exact"/>
        <w:rPr>
          <w:rFonts w:ascii="Arial" w:cs="Arial" w:eastAsia="Arial" w:hAnsi="Arial"/>
          <w:sz w:val="18"/>
          <w:szCs w:val="18"/>
          <w:color w:val="auto"/>
        </w:rPr>
      </w:pPr>
    </w:p>
    <w:p>
      <w:pPr>
        <w:ind w:firstLine="8"/>
        <w:spacing w:after="0" w:line="277" w:lineRule="auto"/>
        <w:tabs>
          <w:tab w:leader="none" w:pos="2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Twenty-third Amendment shall have the meaning ascribed to them in the Supply Agreement.</w:t>
      </w:r>
    </w:p>
    <w:p>
      <w:pPr>
        <w:spacing w:after="0" w:line="62" w:lineRule="exact"/>
        <w:rPr>
          <w:rFonts w:ascii="Arial" w:cs="Arial" w:eastAsia="Arial" w:hAnsi="Arial"/>
          <w:sz w:val="18"/>
          <w:szCs w:val="18"/>
          <w:color w:val="auto"/>
        </w:rPr>
      </w:pPr>
    </w:p>
    <w:p>
      <w:pPr>
        <w:jc w:val="both"/>
        <w:ind w:firstLine="8"/>
        <w:spacing w:after="0" w:line="259" w:lineRule="auto"/>
        <w:tabs>
          <w:tab w:leader="none" w:pos="2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Twenty-third Amendment, together with the Supply Agreement,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Twenty-third Amendment, either oral or written, heretofore made with respect to subject matter herein are expressly superseded by this Twenty-third Amendment.</w:t>
      </w:r>
    </w:p>
    <w:p>
      <w:pPr>
        <w:spacing w:after="0" w:line="78" w:lineRule="exact"/>
        <w:rPr>
          <w:rFonts w:ascii="Arial" w:cs="Arial" w:eastAsia="Arial" w:hAnsi="Arial"/>
          <w:sz w:val="18"/>
          <w:szCs w:val="18"/>
          <w:color w:val="auto"/>
        </w:rPr>
      </w:pPr>
    </w:p>
    <w:p>
      <w:pPr>
        <w:jc w:val="both"/>
        <w:ind w:firstLine="8"/>
        <w:spacing w:after="0" w:line="264" w:lineRule="auto"/>
        <w:tabs>
          <w:tab w:leader="none" w:pos="2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Twenty-third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IN WITNESS WHEREOF, the Parties have executed this Twenty-third Amendment to the Supply Agreement as of Twenty-third Amendment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Biberach, 26 August 2015</w:t>
            </w: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BOEHRINGER INGELHEIM BIOPHARMACEUTICALS GMBH</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color w:val="auto"/>
              </w:rPr>
              <w:t>ppa.</w:t>
            </w:r>
          </w:p>
        </w:tc>
        <w:tc>
          <w:tcPr>
            <w:tcW w:w="5140" w:type="dxa"/>
            <w:vAlign w:val="bottom"/>
          </w:tcPr>
          <w:p>
            <w:pPr>
              <w:spacing w:after="0"/>
              <w:rPr>
                <w:sz w:val="20"/>
                <w:szCs w:val="20"/>
                <w:color w:val="auto"/>
              </w:rPr>
            </w:pPr>
            <w:r>
              <w:rPr>
                <w:rFonts w:ascii="Arial" w:cs="Arial" w:eastAsia="Arial" w:hAnsi="Arial"/>
                <w:sz w:val="18"/>
                <w:szCs w:val="18"/>
                <w:color w:val="auto"/>
              </w:rPr>
              <w:t>ppa.</w:t>
            </w:r>
          </w:p>
        </w:tc>
        <w:tc>
          <w:tcPr>
            <w:tcW w:w="2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VP Business &amp; Contracts</w:t>
            </w:r>
          </w:p>
        </w:tc>
        <w:tc>
          <w:tcPr>
            <w:tcW w:w="5140" w:type="dxa"/>
            <w:vAlign w:val="bottom"/>
          </w:tcPr>
          <w:p>
            <w:pPr>
              <w:spacing w:after="0"/>
              <w:rPr>
                <w:sz w:val="20"/>
                <w:szCs w:val="20"/>
                <w:color w:val="auto"/>
              </w:rPr>
            </w:pPr>
            <w:r>
              <w:rPr>
                <w:rFonts w:ascii="Arial" w:cs="Arial" w:eastAsia="Arial" w:hAnsi="Arial"/>
                <w:sz w:val="18"/>
                <w:szCs w:val="18"/>
                <w:color w:val="auto"/>
              </w:rPr>
              <w:t>Head of Corporate Legal Biopharmaceuticals</w:t>
            </w:r>
          </w:p>
        </w:tc>
        <w:tc>
          <w:tcPr>
            <w:tcW w:w="20" w:type="dxa"/>
            <w:vAlign w:val="bottom"/>
          </w:tcPr>
          <w:p>
            <w:pPr>
              <w:spacing w:after="0"/>
              <w:rPr>
                <w:sz w:val="20"/>
                <w:szCs w:val="20"/>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color w:val="auto"/>
              </w:rPr>
              <w:t xml:space="preserve">San Francisco, </w:t>
            </w:r>
            <w:r>
              <w:rPr>
                <w:rFonts w:ascii="Arial" w:cs="Arial" w:eastAsia="Arial" w:hAnsi="Arial"/>
                <w:sz w:val="18"/>
                <w:szCs w:val="18"/>
                <w:color w:val="2F2F31"/>
              </w:rPr>
              <w:t>28 September</w:t>
            </w:r>
            <w:r>
              <w:rPr>
                <w:rFonts w:ascii="Arial" w:cs="Arial" w:eastAsia="Arial" w:hAnsi="Arial"/>
                <w:sz w:val="18"/>
                <w:szCs w:val="18"/>
                <w:color w:val="auto"/>
              </w:rPr>
              <w:t xml:space="preserve"> </w:t>
            </w:r>
            <w:r>
              <w:rPr>
                <w:rFonts w:ascii="Arial" w:cs="Arial" w:eastAsia="Arial" w:hAnsi="Arial"/>
                <w:sz w:val="18"/>
                <w:szCs w:val="18"/>
                <w:color w:val="1D1D21"/>
              </w:rPr>
              <w:t>201 5</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FIBROGEN, INC</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color w:val="auto"/>
              </w:rPr>
              <w:t>/s/ Jim Polarek</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Jim Polarek</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Vice President</w:t>
            </w:r>
          </w:p>
        </w:tc>
        <w:tc>
          <w:tcPr>
            <w:tcW w:w="514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Work Scope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(Version of July 03, 2015)</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125"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B. Neff, certify that;</w:t>
      </w:r>
    </w:p>
    <w:p>
      <w:pPr>
        <w:spacing w:after="0" w:line="117"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FibroGen,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960" w:firstLine="526"/>
        <w:spacing w:after="0" w:line="342" w:lineRule="auto"/>
        <w:tabs>
          <w:tab w:leader="none" w:pos="773"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40" w:firstLine="526"/>
        <w:spacing w:after="0" w:line="264" w:lineRule="auto"/>
        <w:tabs>
          <w:tab w:leader="none" w:pos="763"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26"/>
        <w:spacing w:after="0" w:line="277" w:lineRule="auto"/>
        <w:tabs>
          <w:tab w:leader="none" w:pos="773"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12, 2015</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Neff</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Thomas B. Neff</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117"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FibroGen,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960" w:firstLine="526"/>
        <w:spacing w:after="0" w:line="342" w:lineRule="auto"/>
        <w:tabs>
          <w:tab w:leader="none" w:pos="773"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40" w:firstLine="526"/>
        <w:spacing w:after="0" w:line="264" w:lineRule="auto"/>
        <w:tabs>
          <w:tab w:leader="none" w:pos="763"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26"/>
        <w:spacing w:after="0" w:line="277" w:lineRule="auto"/>
        <w:tabs>
          <w:tab w:leader="none" w:pos="773"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12, 2015</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jc w:val="both"/>
        <w:ind w:right="100"/>
        <w:spacing w:after="0" w:line="289" w:lineRule="auto"/>
        <w:rPr>
          <w:sz w:val="20"/>
          <w:szCs w:val="20"/>
          <w:color w:val="auto"/>
        </w:rPr>
      </w:pPr>
      <w:r>
        <w:rPr>
          <w:rFonts w:ascii="Arial" w:cs="Arial" w:eastAsia="Arial" w:hAnsi="Arial"/>
          <w:sz w:val="17"/>
          <w:szCs w:val="17"/>
          <w:b w:val="1"/>
          <w:bCs w:val="1"/>
          <w:color w:val="auto"/>
        </w:rPr>
        <w:t xml:space="preserve">Pursuant to the requirement set forth in Rule 13a-14(b) of the Securities Exchange Act of 1934, as amended (the “Exchange Act”), and Section 1350 of Chapter 63 of Title 18 of the United States Code (18 U.S.C. §1350), </w:t>
      </w:r>
      <w:r>
        <w:rPr>
          <w:rFonts w:ascii="Arial" w:cs="Arial" w:eastAsia="Arial" w:hAnsi="Arial"/>
          <w:sz w:val="17"/>
          <w:szCs w:val="17"/>
          <w:color w:val="auto"/>
        </w:rPr>
        <w:t>Thomas B. Neff, Chief Executive Officer of FibroGen, Inc.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Pat Cotroneo, Chief Financial Officer of the Company, each hereby certifies that, to the best of his knowledge:</w:t>
      </w:r>
    </w:p>
    <w:p>
      <w:pPr>
        <w:spacing w:after="0" w:line="54" w:lineRule="exact"/>
        <w:rPr>
          <w:sz w:val="20"/>
          <w:szCs w:val="20"/>
          <w:color w:val="auto"/>
        </w:rPr>
      </w:pPr>
    </w:p>
    <w:p>
      <w:pPr>
        <w:ind w:left="520" w:right="180" w:hanging="512"/>
        <w:spacing w:after="0" w:line="277"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2015, to which this Certification is attached as Exhibit 32.1 (the “Quarterly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20" w:right="500" w:hanging="512"/>
        <w:spacing w:after="0" w:line="277"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12</w:t>
      </w:r>
      <w:r>
        <w:rPr>
          <w:rFonts w:ascii="Arial" w:cs="Arial" w:eastAsia="Arial" w:hAnsi="Arial"/>
          <w:sz w:val="15"/>
          <w:szCs w:val="15"/>
          <w:color w:val="auto"/>
        </w:rPr>
        <w:t>th</w:t>
      </w:r>
      <w:r>
        <w:rPr>
          <w:rFonts w:ascii="Arial" w:cs="Arial" w:eastAsia="Arial" w:hAnsi="Arial"/>
          <w:sz w:val="18"/>
          <w:szCs w:val="18"/>
          <w:color w:val="auto"/>
        </w:rPr>
        <w:t xml:space="preserve"> day of November,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/s/ Thomas B. Neff</w:t>
            </w:r>
          </w:p>
        </w:tc>
        <w:tc>
          <w:tcPr>
            <w:tcW w:w="514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Neff</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Chairman of the Board and Chief Executive Officer</w:t>
            </w:r>
          </w:p>
        </w:tc>
        <w:tc>
          <w:tcPr>
            <w:tcW w:w="514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o"/>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decimal"/>
      <w:start w:val="2"/>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1)"/>
      <w:numFmt w:val="lowerRoman"/>
      <w:start w:val="2"/>
    </w:lvl>
  </w:abstractNum>
  <w:abstractNum w:abstractNumId="8">
    <w:nsid w:val="2D517796"/>
    <w:multiLevelType w:val="hybridMultilevel"/>
    <w:lvl w:ilvl="0">
      <w:lvlJc w:val="left"/>
      <w:lvlText w:val="(%1)"/>
      <w:numFmt w:val="lowerRoman"/>
      <w:start w:val="2"/>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1)"/>
      <w:numFmt w:val="lowerRoman"/>
      <w:start w:val="2"/>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1)"/>
      <w:numFmt w:val="lowerRoman"/>
      <w:start w:val="2"/>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decimal"/>
      <w:start w:val="3"/>
    </w:lvl>
  </w:abstractNum>
  <w:abstractNum w:abstractNumId="18">
    <w:nsid w:val="57E4CCAF"/>
    <w:multiLevelType w:val="hybridMultilevel"/>
    <w:lvl w:ilvl="0">
      <w:lvlJc w:val="left"/>
      <w:lvlText w:val="%1."/>
      <w:numFmt w:val="decimal"/>
      <w:start w:val="5"/>
    </w:lvl>
  </w:abstractNum>
  <w:abstractNum w:abstractNumId="19">
    <w:nsid w:val="7A6D8D3C"/>
    <w:multiLevelType w:val="hybridMultilevel"/>
    <w:lvl w:ilvl="0">
      <w:lvlJc w:val="left"/>
      <w:lvlText w:val="%1."/>
      <w:numFmt w:val="decimal"/>
      <w:start w:val="6"/>
    </w:lvl>
  </w:abstractNum>
  <w:abstractNum w:abstractNumId="20">
    <w:nsid w:val="4B588F54"/>
    <w:multiLevelType w:val="hybridMultilevel"/>
    <w:lvl w:ilvl="0">
      <w:lvlJc w:val="left"/>
      <w:lvlText w:val="%1."/>
      <w:numFmt w:val="decimal"/>
      <w:start w:val="7"/>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1)"/>
      <w:numFmt w:val="decimal"/>
      <w:start w:val="9"/>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2019-12-29T15:28:54Z</dcterms:created>
  <dcterms:modified xsi:type="dcterms:W3CDTF">2019-12-29T15:28:54Z</dcterms:modified>
</cp:coreProperties>
</file>