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right="280" w:hanging="512"/>
        <w:spacing w:after="0" w:line="245"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40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71"/>
        </w:trPr>
        <w:tc>
          <w:tcPr>
            <w:tcW w:w="316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Commission file number: 001-36740</w:t>
            </w: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FIBROGEN, INC.</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90"/>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0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44"/>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350 Bay Street, Suite 100 #6009</w:t>
            </w:r>
          </w:p>
        </w:tc>
        <w:tc>
          <w:tcPr>
            <w:tcW w:w="3600" w:type="dxa"/>
            <w:vAlign w:val="bottom"/>
          </w:tcPr>
          <w:p>
            <w:pPr>
              <w:spacing w:after="0"/>
              <w:rPr>
                <w:sz w:val="21"/>
                <w:szCs w:val="21"/>
                <w:color w:val="auto"/>
              </w:rPr>
            </w:pPr>
          </w:p>
        </w:tc>
      </w:tr>
      <w:tr>
        <w:trPr>
          <w:trHeight w:val="214"/>
        </w:trPr>
        <w:tc>
          <w:tcPr>
            <w:tcW w:w="510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360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94133</w:t>
            </w:r>
          </w:p>
        </w:tc>
      </w:tr>
      <w:tr>
        <w:trPr>
          <w:trHeight w:val="190"/>
        </w:trPr>
        <w:tc>
          <w:tcPr>
            <w:tcW w:w="5100" w:type="dxa"/>
            <w:vAlign w:val="bottom"/>
          </w:tcPr>
          <w:p>
            <w:pPr>
              <w:jc w:val="center"/>
              <w:ind w:right="12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0" w:type="dxa"/>
            <w:vAlign w:val="bottom"/>
          </w:tcPr>
          <w:p>
            <w:pPr>
              <w:jc w:val="center"/>
              <w:ind w:left="13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(415) 978-1200</w:t>
      </w:r>
    </w:p>
    <w:p>
      <w:pPr>
        <w:spacing w:after="0" w:line="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2" w:lineRule="exact"/>
        <w:rPr>
          <w:sz w:val="24"/>
          <w:szCs w:val="24"/>
          <w:color w:val="auto"/>
        </w:rPr>
      </w:pPr>
    </w:p>
    <w:tbl>
      <w:tblPr>
        <w:tblLayout w:type="fixed"/>
        <w:tblInd w:w="520" w:type="dxa"/>
        <w:tblCellMar>
          <w:top w:w="0" w:type="dxa"/>
          <w:left w:w="0" w:type="dxa"/>
          <w:bottom w:w="0" w:type="dxa"/>
          <w:right w:w="0" w:type="dxa"/>
        </w:tblCellMar>
      </w:tblPr>
      <w:tr>
        <w:trPr>
          <w:trHeight w:val="250"/>
        </w:trPr>
        <w:tc>
          <w:tcPr>
            <w:tcW w:w="80" w:type="dxa"/>
            <w:vAlign w:val="bottom"/>
            <w:tcBorders>
              <w:right w:val="single" w:sz="8" w:color="auto"/>
            </w:tcBorders>
          </w:tcPr>
          <w:p>
            <w:pPr>
              <w:spacing w:after="0"/>
              <w:rPr>
                <w:sz w:val="21"/>
                <w:szCs w:val="21"/>
                <w:color w:val="auto"/>
              </w:rPr>
            </w:pPr>
          </w:p>
        </w:tc>
        <w:tc>
          <w:tcPr>
            <w:tcW w:w="26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20" w:type="dxa"/>
            <w:vAlign w:val="bottom"/>
            <w:tcBorders>
              <w:top w:val="single" w:sz="8" w:color="auto"/>
              <w:bottom w:val="single" w:sz="8" w:color="auto"/>
              <w:right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right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gridSpan w:val="2"/>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80" w:type="dxa"/>
            <w:vAlign w:val="bottom"/>
            <w:tcBorders>
              <w:right w:val="single" w:sz="8" w:color="auto"/>
            </w:tcBorders>
          </w:tcPr>
          <w:p>
            <w:pPr>
              <w:spacing w:after="0"/>
              <w:rPr>
                <w:sz w:val="16"/>
                <w:szCs w:val="16"/>
                <w:color w:val="auto"/>
              </w:rPr>
            </w:pPr>
          </w:p>
        </w:tc>
        <w:tc>
          <w:tcPr>
            <w:tcW w:w="2640" w:type="dxa"/>
            <w:vAlign w:val="bottom"/>
            <w:tcBorders>
              <w:bottom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Common Stock, $0.01 par value</w:t>
            </w:r>
          </w:p>
        </w:tc>
        <w:tc>
          <w:tcPr>
            <w:tcW w:w="72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80" w:type="dxa"/>
            <w:vAlign w:val="bottom"/>
            <w:tcBorders>
              <w:bottom w:val="single" w:sz="8" w:color="auto"/>
              <w:right w:val="single" w:sz="8" w:color="auto"/>
            </w:tcBorders>
            <w:gridSpan w:val="2"/>
          </w:tcPr>
          <w:p>
            <w:pPr>
              <w:ind w:left="920"/>
              <w:spacing w:after="0" w:line="193" w:lineRule="exact"/>
              <w:rPr>
                <w:sz w:val="20"/>
                <w:szCs w:val="20"/>
                <w:color w:val="auto"/>
              </w:rPr>
            </w:pPr>
            <w:r>
              <w:rPr>
                <w:rFonts w:ascii="Times New Roman" w:cs="Times New Roman" w:eastAsia="Times New Roman" w:hAnsi="Times New Roman"/>
                <w:sz w:val="18"/>
                <w:szCs w:val="18"/>
                <w:color w:val="auto"/>
              </w:rPr>
              <w:t>FGEN</w:t>
            </w: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180" w:type="dxa"/>
            <w:vAlign w:val="bottom"/>
            <w:tcBorders>
              <w:bottom w:val="single" w:sz="8" w:color="auto"/>
              <w:right w:val="single" w:sz="8" w:color="auto"/>
            </w:tcBorders>
          </w:tcPr>
          <w:p>
            <w:pPr>
              <w:jc w:val="center"/>
              <w:ind w:right="562"/>
              <w:spacing w:after="0" w:line="193" w:lineRule="exact"/>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7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Securities </w:t>
            </w:r>
            <w:r>
              <w:rPr>
                <w:rFonts w:ascii="Times New Roman" w:cs="Times New Roman" w:eastAsia="Times New Roman" w:hAnsi="Times New Roman"/>
                <w:sz w:val="17"/>
                <w:szCs w:val="17"/>
                <w:b w:val="1"/>
                <w:bCs w:val="1"/>
                <w:color w:val="auto"/>
              </w:rPr>
              <w:t>registered pursuant to Section 12(g) of the Act:</w:t>
            </w: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None</w:t>
            </w: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980" w:type="dxa"/>
            <w:vAlign w:val="bottom"/>
            <w:gridSpan w:val="4"/>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680" w:type="dxa"/>
            <w:vAlign w:val="bottom"/>
            <w:gridSpan w:val="2"/>
          </w:tcPr>
          <w:p>
            <w:pPr>
              <w:spacing w:after="0"/>
              <w:rPr>
                <w:sz w:val="7"/>
                <w:szCs w:val="7"/>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18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6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3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18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60" w:lineRule="exact"/>
        <w:rPr>
          <w:sz w:val="24"/>
          <w:szCs w:val="24"/>
          <w:color w:val="auto"/>
        </w:rPr>
      </w:pPr>
    </w:p>
    <w:p>
      <w:pPr>
        <w:ind w:right="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8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2024, was approximately $88.4 million. Shares of common stock held by each executive officer and director have been excluded since such persons may be deemed affiliates. This determination of affiliate status is not necessarily a conclusive determination for other purposes.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shares of common stock outstanding as of February 28, 2025 was 100,916,956.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Items 10, 11, 12, 13 and 14 of Part III of this Annual Report on Form 10-K for the year ended December 31, 2024 (the “Annual Report”) incorporate information by reference from the definitive proxy statement for the registrant’s 2025 Annual Meeting of Stockholders to be filed with the Securities and Exchange Commission pursuant to Regulation 14A not later than after 120 days after the end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4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140" w:type="dxa"/>
            <w:vAlign w:val="bottom"/>
            <w:gridSpan w:val="24"/>
            <w:vMerge w:val="continue"/>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Risk Factor Summary</w:t>
            </w:r>
          </w:p>
        </w:tc>
        <w:tc>
          <w:tcPr>
            <w:tcW w:w="520" w:type="dxa"/>
            <w:vAlign w:val="bottom"/>
            <w:tcBorders>
              <w:top w:val="single" w:sz="8" w:color="0000EE"/>
            </w:tcBorders>
            <w:gridSpan w:val="4"/>
          </w:tcPr>
          <w:p>
            <w:pPr>
              <w:spacing w:after="0"/>
              <w:rPr>
                <w:sz w:val="17"/>
                <w:szCs w:val="17"/>
                <w:color w:val="auto"/>
              </w:rPr>
            </w:pPr>
          </w:p>
        </w:tc>
        <w:tc>
          <w:tcPr>
            <w:tcW w:w="704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China Operations and Related Risks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00" w:type="dxa"/>
            <w:vAlign w:val="bottom"/>
            <w:gridSpan w:val="2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0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140" w:type="dxa"/>
            <w:vAlign w:val="bottom"/>
            <w:gridSpan w:val="1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64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 About Market Risks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Financial Statements and Supplementary Data</w:t>
            </w:r>
          </w:p>
        </w:tc>
        <w:tc>
          <w:tcPr>
            <w:tcW w:w="20" w:type="dxa"/>
            <w:vAlign w:val="bottom"/>
            <w:tcBorders>
              <w:top w:val="single" w:sz="8" w:color="0000EE"/>
            </w:tcBorders>
          </w:tcPr>
          <w:p>
            <w:pPr>
              <w:spacing w:after="0"/>
              <w:rPr>
                <w:sz w:val="17"/>
                <w:szCs w:val="17"/>
                <w:color w:val="auto"/>
              </w:rPr>
            </w:pPr>
          </w:p>
        </w:tc>
        <w:tc>
          <w:tcPr>
            <w:tcW w:w="480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EE"/>
            </w:tcBorders>
            <w:gridSpan w:val="12"/>
          </w:tcPr>
          <w:p>
            <w:pPr>
              <w:spacing w:after="0"/>
              <w:rPr>
                <w:sz w:val="17"/>
                <w:szCs w:val="17"/>
                <w:color w:val="auto"/>
              </w:rPr>
            </w:pPr>
          </w:p>
        </w:tc>
        <w:tc>
          <w:tcPr>
            <w:tcW w:w="268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EE"/>
            </w:tcBorders>
            <w:gridSpan w:val="6"/>
          </w:tcPr>
          <w:p>
            <w:pPr>
              <w:spacing w:after="0"/>
              <w:rPr>
                <w:sz w:val="17"/>
                <w:szCs w:val="17"/>
                <w:color w:val="auto"/>
              </w:rPr>
            </w:pPr>
          </w:p>
        </w:tc>
        <w:tc>
          <w:tcPr>
            <w:tcW w:w="506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6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0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9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00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760" w:type="dxa"/>
            <w:vAlign w:val="bottom"/>
            <w:tcBorders>
              <w:top w:val="single" w:sz="8" w:color="0000EE"/>
            </w:tcBorders>
            <w:gridSpan w:val="4"/>
          </w:tcPr>
          <w:p>
            <w:pPr>
              <w:spacing w:after="0"/>
              <w:rPr>
                <w:sz w:val="17"/>
                <w:szCs w:val="17"/>
                <w:color w:val="auto"/>
              </w:rPr>
            </w:pPr>
          </w:p>
        </w:tc>
        <w:tc>
          <w:tcPr>
            <w:tcW w:w="76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8"/>
          </w:tcPr>
          <w:p>
            <w:pPr>
              <w:ind w:left="4240"/>
              <w:spacing w:after="0"/>
              <w:rPr>
                <w:sz w:val="20"/>
                <w:szCs w:val="20"/>
                <w:color w:val="auto"/>
              </w:rPr>
            </w:pPr>
            <w:r>
              <w:rPr>
                <w:rFonts w:ascii="Times New Roman" w:cs="Times New Roman" w:eastAsia="Times New Roman" w:hAnsi="Times New Roman"/>
                <w:sz w:val="18"/>
                <w:szCs w:val="18"/>
                <w:color w:val="auto"/>
                <w:w w:val="88"/>
              </w:rPr>
              <w:t>1</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for the year ended December 31, 2024 (“Annual Report”)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our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the People’s Republic of China (“China”), the closing of the sale of our roxadustat business in China, the potential for cash, cash equivalents and accounts receivable to fund FibroGen’s operating plans, expectations regarding clinical trial data, our results of operations, cash needs, spending of the proceeds from our initial public offering,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a number of risks, uncertainties and assumptions described in the section of this Annual Report captioned “Risk Factors” and elsewhere in this Annual Report. A summary of these risk factors can be found in the following section, however, please refer to the full risk factors in Item 1A “Risk Factors.” 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3"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success of FibroGen will depend on a number of factors, many of which are beyond our control and involve risks, including but not limited to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products roxadustat and FG-3246 (in conjunction with our positron emission tomography (“PET”) imaging agent FG-3180).</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obtainment of marketing authorization are very difficult endeavors, and we may ultimately be unable to obtain regulatory approval for our various product candidates in one or more jurisdictions and one or more indications.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Phase 1, and Phase 2 clinical trial results may not be indicative of the results that may be obtained in larger clinical trials.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53"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or we cannot properly manufacture the appropriate volume of product, we may experience delays in development, regulatory approval, launch, or successful commercialization.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discovery, development and commercialization of product candidates.</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necessary for commercial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520" w:right="22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were terminated or if our partners were unwilling or unable to contribute or participate in these collaborations, our ability to successfully develop and commercialize the relevant product candidate would suffer.</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preclinical and clinical trial contractors do not properly perform their agreed-upon obligations, we may not be able to obtain or may be delayed in receiving regulatory approvals for our product candidates.</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shortfalls, delays, or excesses in manufacturing.</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520" w:right="28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our proprietary and exclusively licensed technologies are not adequate,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highly uncertain and we may not obtain regulatory approval for our product candidates.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520" w:right="10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United States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21" w:lineRule="exact"/>
        <w:rPr>
          <w:sz w:val="20"/>
          <w:szCs w:val="20"/>
          <w:color w:val="auto"/>
        </w:rPr>
      </w:pPr>
    </w:p>
    <w:p>
      <w:pPr>
        <w:ind w:left="520" w:right="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consummate the sale of FibroGen International to AstraZeneca Treasury Limited, the trading price of our common stock and our business may be harmed.</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operations in China and there are a number of risks associated with international operations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in China is highly regulated and such regulations are subject to change.</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our own manufacturing facility in China to produce roxadustat drug product for the market in China. There are risks inherent to operating commercial manufacturing facilities and we may not be able to continually meet market demand.</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manufacturing disruption due to geopolitical tensions in China and related to United States legislation impacting WuXi AppTec and Wuxi Biologics.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successfully growing and sustaining sales of roxadustat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prices of any product candidates that we develop will be subject to pricing control in China and elsewhere.</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Beijing would be subject to restrictions on paying dividends or making other payments to us, which may restrict our ability to satisfy our liquidity requirements.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particularly those in China, are subject to significant risks involving the protection of intellectual property.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China legal system and regulations could have a material adverse effect on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governmental, or social conditions could have a material adverse effect on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OPERATIONS AND RELATED RISKS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incorporated in the state of Delaware. Pending the sale of FibroGen International (Hong Kong) Ltd. (“FibroGen International”) to AstraZeneca Treasury Limited, we operate within the Chinese market through FibroGen (China) Medical Technology Development Co., Ltd. (“FibroGen Beijing”), a wholly-owned subsidiary established in Beijing. FibroGen Beijing consists of development and commercialization operations, as well as, a drug product manufacturing facility. FibroGen Beijing holds the regulatory licenses issued by the Chinese regulatory authorities in respect of roxadustat. FibroGen Beijing has a branch office located in Shanghai, China. We have decommissioned our API manufacturing facility in Cangzhou, China, and intend to source roxadustat API for China from Shanghai SynTheAll Pharmaceutical Co., Ltd. (“WuXi STA”). FibroGen Beijing also owns 51.1% of Beijing Falikang Pharmaceutical Co. Ltd. (“Falikang”), a joint venture established by FibroGen and operated in conjunction with AstraZeneca Investment (China) Co., Ltd. for the purpose of distributing our sole drug product approved for sale in China, roxadustat. Falikang conducts distribution activities for roxadustat within China while AstraZeneca Investment (China) Co., Ltd., AstraZeneca AB (“AstraZeneca”) and AstraZeneca (Wuxi) Trading Co., Ltd. provide sales and marketing services in support of roxadustat. Thus, stockholders of FibroGen, Inc. have an ownership interest in the joint venture, Falikang, through the FibroGen, Inc. equity ownership in our subsidiaries, including FibroGen Beijing.</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6" w:name="page7"/>
    <w:bookmarkEnd w:id="6"/>
    <w:p>
      <w:pPr>
        <w:ind w:right="220"/>
        <w:spacing w:after="0" w:line="261" w:lineRule="auto"/>
        <w:rPr>
          <w:sz w:val="20"/>
          <w:szCs w:val="20"/>
          <w:color w:val="auto"/>
        </w:rPr>
      </w:pPr>
      <w:r>
        <w:rPr>
          <w:rFonts w:ascii="Times New Roman" w:cs="Times New Roman" w:eastAsia="Times New Roman" w:hAnsi="Times New Roman"/>
          <w:sz w:val="18"/>
          <w:szCs w:val="18"/>
          <w:color w:val="auto"/>
        </w:rPr>
        <w:t>For a full discussion of our business in China, please see the section below titled “China - Roxadustat Commercial Program” as well as the section titled “ROXADUSTAT IN ANEMIA ASSOCIATED WITH MYELODYSPLASTIC SYNDROMES”. We summarize certain risks associated with our operations in China in this section, however, please refer also to the section of this Annual Report captioned “Item 1A. Risk Factors” for additional risks related to our international operations.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operate our business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 Due to China’s regulatory framework in general and for the pharmaceutical industry specifically, we are required to apply for and maintain many approvals or permits specific to many of our business activities, including but not limited to manufacturing, distribution, environmental protection, workplace safety and cybersecurity, from both national and local government agencies. For certain of our clinical trials conducted in China, we need to obtain, through the clinical sites, permits from the Human Genetic Resource Administrative Commission to collect samples that include human genetic resources, such as blood samples. We may also be required to obtain certain approvals from Chinese authorities before transferring certain scientific data abroad or to foreign parties or entities established or actually controlled by them. If we are unable to obtain the necessary approvals or permissions in order to operate our business in China, or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19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Due to our operations in China and the United States, any unfavorable government policies on cross-border relations and/or international trade (including increased scrutiny on companies with significant China-based operations, capital controls or tariffs) may affect the competitive position of our drug products, the hiring of personnel, the demand for our drug products, the import or export of products and product components, our ability to raise capital, the market price of our common stock, or prevent us from selling our drug products in certain countries. 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unable to close the sale of FibroGen International, our long-term plans for distributing cash flows from FibroGen Beijing may involve any number of scenarios including keeping the money onshore to fund future expansion of our China operations or paying down additional debt obligations. Our capital contributions to FibroGen Beijing and the liquidity position of FibroGen Beijing depend on many factors, including those set forth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is headquartered in the U.S. and was not identified in the Public Company Accounting Oversight Board (“PCAOB”) report dated December 16, 2021 as a firm that the PCAOB was unable to inspect. Therefore, the Holding Foreign Companies Accountable Act does not apply to us.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consummation of the sale of FibroGen International is subject to the satisfaction or waiver of various customary closing conditions, including the receipt of regulatory approval from the China State Administration for Market Regulation. We cannot guarantee that the closing conditions set forth in the share purchase agreement will be satisfied and if we are unable to satisfy the closing conditions, AstraZeneca Treasury Limited will not be obligated to purchase FibroGen International. In the event that the sale is not completed, the announcement of the termination of the share purchase agreement may adversely affect the trading price of our common stock and our business. In addition, if the sale of FibroGen International to AstraZeneca Treasury Limited is not completed, our Board of Directors and management, may evaluate other strategic alternatives with respect to FibroGen International, if any are available, which alternatives may not be as favorable to our stockholders as the proposed sale to AstraZeneca Treasury Limited, and may not result in any definitive transaction or enhanced stockholder value.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FibroGen, Inc. (“FibroGen”) is a biopharmaceutical company focused on development of novel therapies at the frontiers of cancer biology and anemia.</w:t>
      </w:r>
    </w:p>
    <w:p>
      <w:pPr>
        <w:spacing w:after="0" w:line="22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We are developing FG-3246, a potential first-in-class antibody-drug conjugate (“ADC”) targeting CD46, for the treatment of metastatic castration-resistant prostate cancer (“mCRPC”) and potentially other cancers. This program also includes the development of FG-3180, an associated CD46-targeted positron emission tomography (“PET”) biomarker and imaging agent. We anticipate initiation of a Phase 2 monotherapy dose optimization study of FG-3246 for the treatment of mCRPC in mid-2025.</w:t>
      </w:r>
    </w:p>
    <w:p>
      <w:pPr>
        <w:spacing w:after="0" w:line="187" w:lineRule="exact"/>
        <w:rPr>
          <w:sz w:val="20"/>
          <w:szCs w:val="20"/>
          <w:color w:val="auto"/>
        </w:rPr>
      </w:pPr>
    </w:p>
    <w:p>
      <w:pPr>
        <w:ind w:right="260"/>
        <w:spacing w:after="0" w:line="235" w:lineRule="exact"/>
        <w:rPr>
          <w:sz w:val="20"/>
          <w:szCs w:val="20"/>
          <w:color w:val="auto"/>
        </w:rPr>
      </w:pPr>
      <w:r>
        <w:rPr>
          <w:rFonts w:ascii="Times New Roman" w:cs="Times New Roman" w:eastAsia="Times New Roman" w:hAnsi="Times New Roman"/>
          <w:sz w:val="17"/>
          <w:szCs w:val="17"/>
          <w:color w:val="auto"/>
        </w:rPr>
        <w:t>We and our collaboration partners have developed roxadustat (</w:t>
      </w:r>
      <w:r>
        <w:rPr>
          <w:rFonts w:ascii="SimSun" w:cs="SimSun" w:eastAsia="SimSun" w:hAnsi="SimSun"/>
          <w:sz w:val="17"/>
          <w:szCs w:val="17"/>
          <w:color w:val="auto"/>
        </w:rPr>
        <w:t>爱瑞卓</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EVRENZO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which is currently approved in the People’s Republic of China (“China”), Europe, Japan, and numerous other countries for the treatment of anemia in chronic kidney disease patients on dialysis and not on dialysis.</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20, 2025, we entered into a share purchase agreement (the “Share Purchase Agreement”) with AstraZeneca Treasury Limited pursuant to which we and our subsidiary FibroGen China Anemia Holdings, Ltd. agreed to sell all of the issued and outstanding equity interests of FibroGen International (Hong Kong) Ltd. (“FibroGen International”) to AstraZeneca Treasury Limited. AstraZeneca is our long-time commercialization partner for roxadustat in greater China and South Korea. This sale includes all of our roxadustat assets in China, including FibroGen International’s subsidiary FibroGen (China) Medical Technology Development Co., Ltd and its 51.1% interest in Beijing Falikang Pharmaceutical Co. Ltd. (“Falikang”). The transaction is expected to close by mid-2025, and is subject to customary closing conditions and closing deliverables, including receipt of regulatory approval from the China State Administration for Market Regulation. The operating results related to FibroGen International are classified as discontinued operations, and have been reflected as discontinued operations in the consolidated statements of operations, while the related assets and liabilities were classified within the consolidated balance sheets as held for sale for all periods presented. Unless otherwise noted, discussion within this Annual Report on Form 10-K relates to solely to our continuing operations.</w:t>
      </w:r>
    </w:p>
    <w:p>
      <w:pPr>
        <w:spacing w:after="0" w:line="1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FibroGen has retained the rights to roxadustat in the United States of America (U.S.), Canada, Mexico, and in all markets not held by AstraZeneca or licensed to Astellas Pharma Inc. (“Astellas”). Roxadustat is not approved for commercialization in any indication in the United States, Canada, or Mexico.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continue to evaluate a development plan for roxadustat in anemia associated with lower-risk myelodysplastic syndrome, a high-value indication with significant unmet medical need. We intend to meet with the U.S. Food and Drug Administration (“FDA”) in the second quarter of 2025 to discuss the potential path forward for roxadustat in myelodysplastic syndromes (“MDS”).</w:t>
      </w:r>
    </w:p>
    <w:p>
      <w:pPr>
        <w:spacing w:after="0" w:line="280" w:lineRule="exact"/>
        <w:rPr>
          <w:sz w:val="20"/>
          <w:szCs w:val="20"/>
          <w:color w:val="auto"/>
        </w:rPr>
      </w:pPr>
    </w:p>
    <w:p>
      <w:pPr>
        <w:ind w:right="3680"/>
        <w:spacing w:after="0" w:line="378" w:lineRule="auto"/>
        <w:rPr>
          <w:sz w:val="20"/>
          <w:szCs w:val="20"/>
          <w:color w:val="auto"/>
        </w:rPr>
      </w:pPr>
      <w:r>
        <w:rPr>
          <w:rFonts w:ascii="Times New Roman" w:cs="Times New Roman" w:eastAsia="Times New Roman" w:hAnsi="Times New Roman"/>
          <w:sz w:val="18"/>
          <w:szCs w:val="18"/>
          <w:b w:val="1"/>
          <w:bCs w:val="1"/>
          <w:color w:val="auto"/>
        </w:rPr>
        <w:t>FG-3246 AND FG-3180 IN METASTATIC CASTRATION-RESISTANT PROSTATE CANCER Disease Overview</w:t>
      </w:r>
    </w:p>
    <w:p>
      <w:pPr>
        <w:ind w:right="260"/>
        <w:spacing w:after="0" w:line="266" w:lineRule="auto"/>
        <w:rPr>
          <w:sz w:val="20"/>
          <w:szCs w:val="20"/>
          <w:color w:val="auto"/>
        </w:rPr>
      </w:pPr>
      <w:r>
        <w:rPr>
          <w:rFonts w:ascii="Times New Roman" w:cs="Times New Roman" w:eastAsia="Times New Roman" w:hAnsi="Times New Roman"/>
          <w:sz w:val="18"/>
          <w:szCs w:val="18"/>
          <w:color w:val="auto"/>
        </w:rPr>
        <w:t>Prostate cancer is the second most common malignancy in men, contributing significantly to male mortality rates. Approximately 13% of men will be diagnosed with prostate cancer at some point during their lifetime. There are about 65,000 drug treatable mCRPC cases in the U.S. annually and 5-year survival in mCRPC is approximately 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Standard of Care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Treatment choice in first and second line mCRPC significantly depends on patients’ prior treatments. Androgen receptor signaling inhibitors (“ARSIs”) and chemotherapy are the preferred treatments in patients who have not been exposed to either in earlier lines of therapy. Most patients previously treated with an ARSI for metastatic hormone-sensitive prostate cancer (“mHSPC”) receive chemotherapy in first-line mCRPC. Rechallenge with an alternative ARSI is associated with limited benefit in this setting.</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For the 25-30% of patients with homologous recombination repair mutation (“HRRm”), PARP inhibitors are the standard of care for mCRPC patients.</w:t>
      </w:r>
    </w:p>
    <w:p>
      <w:pPr>
        <w:spacing w:after="0" w:line="200" w:lineRule="exact"/>
        <w:rPr>
          <w:sz w:val="20"/>
          <w:szCs w:val="20"/>
          <w:color w:val="auto"/>
        </w:rPr>
      </w:pPr>
    </w:p>
    <w:p>
      <w:pPr>
        <w:spacing w:after="0" w:line="24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Recent approvals of prostate-specific membrane antigen (“PSMA”)-targeted radiopharmaceuticals in the post-ARSI and post-chemotherapy setting have diversified treatment options in advanced mCRPC. Furthermore, PSMA-PET has been validated as standard of care diagnostic in prostate cancer, while LOCAMETZ or an approved PSMA-11 imaging agent are approved to select patients for treatment with Pluvicto (lutetium Lu 177 vipivotide tetraxetan).</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FibroGen is developing FG-3246 in the post-ARSI, pre-chemotherapy mCRPC setting. This is an area of high unmet need, where radiographic progression free survival is approximately 5.6-6 months after switching to a different ARSI, and approximately 8 months with chemotherapy. Novel mechanisms of action that extend survival are critical in this setting as well as biomarker driven treatment approaches. FG-3246 and the potential patient selection biomarker FG-3180 are being developed to address these unmet medical needs.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FG-3246 for the Treatment of Metastatic Castration-Resistant Prostate Cancer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developing FG-3246 in mCRPC and exploring other potential cancer indications. FG-3246 is a potential first-in-class ADC targeting a novel epitope on CD46. In addition to CD46 being expressed at high levels in certain tumor types with limited expression in most normal tissues, CD46 is a cell receptor that induces internalization upon antibody binding, which makes it an ideal target for an ADC . The cytotoxic payload of FG-3246 is monomethyl auristatin E (“MMAE”), an anti-mitotic agent that has been utilized in four commercially approved antibody-drug conjugate drugs.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met with the FDA to discuss the development pathway of FG-3246, and we anticipate initiation of a Phase 2 monotherapy dose optimization study of FG-3246 for the treatment of mCRPC in the mid-2025.</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conjunction with this Phase 2 study, we also plan to commence an exploratory study of FG-3180, our PET imaging agent. FG-3180 is a diagnostic radiopharmaceutical utilizing a radiolabeled version of our CD46 targeting antibody in FG-3246 to assess the correlation between CD46 expression and the response to FG-3246.</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FG-3246 demonstrated monotherapy efficacy in a Phase 1 clinical study in heavily pre-treated, biomarker unselected patients with mCRPC. Results included a median radiographic progression-free survival (“rPFS”) of 8.7 months and a PSA50 response in 36% of evaluable patients. For RECIST evaluable patients, 20% met the criteria of a partial response, or measurable reduction in tumor size of ≥ 30%, with a median duration of response of 7.5 months. FG-3246 demonstrated an acceptable safety profile, with adverse events consistent with those observed in other ADC therapies with an MMAE payload, and included infusion related reactions, fatigue, weight loss, neutropenia, and peripheral neuropathy.</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2024, the University of California, San Francisco (“UCSF”) presented positive interim results from the investigator-sponsored Phase 1b/2 study of FG-3246 in combination with enzalutamide in patients with mCRPC at the 2024 American Society of Clinical Oncology Annual Meeting. The presentation includes data from 17 biomarker unselected patients in the dose escalation portion of the trial. Over 70% of the patients in the study received at least two prior androgen receptor signaling inhibitors, which included prior enzalutamide treatment. Dose escalation was explored with and without prophylactic granulocyte colony-stimulating factor (“G-CSF”) support. The primary endpoint was determination of the maximally tolerated dose of FG-3246 in combination with enzalutamide. The combination treatment demonstrated an encouraging preliminary estimate of median rPFS of 10.2 months. The maximally tolerated dose was established at 2.1 mg/kg adjusted body weight, with primary G-CSF prophylaxis, in combination with enzalutamide 160 mg/day. The most frequent adverse events were consistent with other monomethyl auristatin E-based ADCs and included fatigue, weight loss, elevated transaminases, neutropenia, and peripheral neuropathy. We expect topline results from the Phase 2 portion of this study, including data on the CD46-targeted PET imaging agent FG-3180, in the second half of 2025.</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ROXADUSTAT IN ANEMIA ASSOCIATED WITH MYELODYSPLASTIC SYNDROMES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MDS are a diverse group of bone marrow disorders characterized by ineffective production of healthy blood cells and premature destruction of blood cells in the bone marrow, leading to anemia. In most MDS patients, the cause of the disease is unknown.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diagnosed prevalence of MDS in the U.S. is estimated to be between 60,000 and 170,000, and continues to rise as more therapies become available and patients are living longer with MDS. Annual incidence rates are estimated to be 4.9/100,000 adults in the U.S., and 1.51/100,000 adults in China.</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Anemia is the most common clinical presentation in MDS, seen in approximately 80% of MDS patients, and produces symptoms of fatigue, weakness, exercise intolerance, shortness of breath, dizziness, and cognitive impairment.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Current Standard of Care for Anemia in Myelodysplastic Syndromes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Transfusion-dependent MDS patients suffer higher rates of cardiac events, infections, and transformation to acute leukemia,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w:t>
      </w:r>
    </w:p>
    <w:p>
      <w:pPr>
        <w:spacing w:after="0" w:line="18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Lower-risk MDS patients represent approximately 77% of the total diagnosed MDS population. National Comprehensive Cancer Network (“NCCN”) guidelines recommend the use of erythropoiesis-stimulating agents (“ESAs”), luspatercept and imetelstat in lower risk MDS patients, depending on patients’ treatment history, serum EPO levels and </w:t>
      </w:r>
      <w:r>
        <w:rPr>
          <w:rFonts w:ascii="Times New Roman" w:cs="Times New Roman" w:eastAsia="Times New Roman" w:hAnsi="Times New Roman"/>
          <w:sz w:val="18"/>
          <w:szCs w:val="18"/>
          <w:i w:val="1"/>
          <w:iCs w:val="1"/>
          <w:color w:val="auto"/>
        </w:rPr>
        <w:t>ring sideroblast status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Currently available treatment options are effective in only ~50% patients and they are challenging to dose-calibrate and can only be administered via subcutaneous injection or through IV infusion. New strategies that provide durable response and the convenience of oral administration are highly desired in managing patients with MDS.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 for Roxadustat in Myelodysplastic Syndromes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there is a significant need for a safe, effective, and convenient option to address anemia in patients with lower-risk MDS. Roxadustat, our orally administered small molecule hypoxia-inducible prolyl hydroxylase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chronic kidney disease (“CKD”), roxadustat has demonstrated the ability in clinical trials to increase and maintain hemoglobin levels in the presence of inflammation as measured by C-reactive protein (“CRP”), where ESAs have shown limited effect. We believe that roxadustat has the potential to replicate this result in MDS anemia patients, where it is not uncommon for patients to present with autoimmune and inflammatory conditions.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3 Clinical Trial in Myelodysplastic Syndromes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Topline 28-week data from MATTERHORN, our Phase 2/3 placebo-controlled, double-blind clinical trial of roxadustat for the treatment of anemia in MDS, was presented in the fourth quarter of 2023 at the American Society of Hematology annual conference.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More patients in the roxadustat arm (47.5% of 80 patients) achieved transfusion independence for 56 consecutive days (within the first 28 weeks) than the placebo arm (33.3% of 57 patients); however, the p-value was not significant.</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However, in a post-hoc analysis of patients with higher transfusion burden (2 or more units of packed red blood cells every 4 weeks), 36.1% of the 36 roxadustat patients achieved transfusion independence, versus 11.5% of the 26 patients in the placebo arm (p=0.047).</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FibroGen intends to meet with the FDA in the second quarter 2025 to discuss the potential path forward for roxadustat in MDS.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IN ANEMIA OF CHRONIC KIDNEY DISEASE</w:t>
      </w:r>
    </w:p>
    <w:p>
      <w:pPr>
        <w:spacing w:after="0" w:line="128"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In collaboration with our partners Astellas and AstraZeneca,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to treat anemia in CKD in China, Europe, Japan, and numerous other countries.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 Roxadustat Commercial Program</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20, 2025, we and our subsidiary FibroGen China Anemia Holdings, Ltd. entered into a Share Purchase Agreement with AstraZeneca Treasury Limited, a subsidiary of AstraZeneca plc, pursuant to which we agreed to sell all of the issued and outstanding equity interests of FibroGen International (Hong Kong) Ltd. (“FibroGen International”) for an aggregate purchase price of approximately $160 million, comprised of $85 million in cash for the enterprise value of FibroGen International, plus an additional cash amount equal to the net cash held in China by FibroGen International and its subsidiaries, currently anticipated to be approximately $75 million, as of the closing. This sale includes all of our roxadustat assets in China, including FibroGen International’s subsidiary FibroGen (China) Medical Technology Development Co., Ltd and its 51.1% interest in Falikang. The transaction is expected to close by mid-2025, and is subject to customary closing conditions and closing deliverables, including receipt of regulatory approval from the China State Administration for Market Regulation.</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AstraZeneca is our long-time commercialization partner for roxadustat in greater China and South Korea. Upon the closing, we will assign to them all rights to roxadustat in China, Hong Kong, and Macao, including rights to manufacture, develop, distribute, and commercialize roxadustat.</w:t>
      </w:r>
    </w:p>
    <w:p>
      <w:pPr>
        <w:spacing w:after="0" w:line="16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FibroGen has retained the rights to roxadustat in the U.S., Canada, Mexico, and in all markets not held by AstraZeneca or licensed to Astellas. Roxadustat is not approved for commercialization in any indication in the U.S., Canada, or Mexico.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2024, roxadustat sales in China continued to see significant volume growth in the treatment of anemia caused by CKD in non-dialysis and dialysis patients. In 2024, roxadustat was the top CKD anemia brand in China with approximately 46% value share within the segment of ESAs and HIF-PH inhibitors. Roxadustat has seen broad adoption across the three patient populations of hemodialysis, peritoneal dialysis, and non-dialysis.</w:t>
      </w:r>
    </w:p>
    <w:p>
      <w:pPr>
        <w:spacing w:after="0" w:line="17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However, the China Health Authority has since accepted abbreviated new drug applications (“NDAs”) for over 20 generics roxadustat applicants and approved eight for marketing in China. Now that the requisite number (four or more) of generics are approved in China, there is a substantial risk of roxadustat being subject to the country’s volume-based purchasing (“VBP”) program whereby a national tender could be called. We expect this could happen for roxadustat in the first half of 2025. If a tender is called for roxadustat, our access to the China market as the originator drug would be significantly impacted and our price would be further reduced, resulting in significant reductions in the topline revenue for roxadustat.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 Roxadustat Commercial Program</w:t>
      </w:r>
    </w:p>
    <w:p>
      <w:pPr>
        <w:spacing w:after="0" w:line="128"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8"/>
          <w:szCs w:val="18"/>
          <w:color w:val="auto"/>
        </w:rPr>
        <w:t>In Europe, our partner Astellas continues the commercialization of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(roxadustat), which is approved for the treatment of anemia associated with CKD in both non-dialysis and dialysis patients.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Japan - Roxadustat Commercial Program</w:t>
      </w:r>
    </w:p>
    <w:p>
      <w:pPr>
        <w:spacing w:after="0" w:line="128"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8"/>
          <w:szCs w:val="18"/>
          <w:color w:val="auto"/>
        </w:rPr>
        <w:t>In Japan, our partner Astellas continues the commercialization of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(roxadustat), which is approved for the treatment of anemia associated with CKD in both non-dialysis and dialysis patients.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revenue to date has been generated primarily from our collaboration agreements with Astellas and AstraZeneca for the development and commercialization of roxadustat. For the years ended December 31, 2024 and 2023, our revenue for continuing operations was substantially related to our collaboration agreements.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U.S. and Europe regulatory approval of roxadustat, and equally share those development costs under the agreed development plan for such activities. Astellas will be responsible for clinical development activities and all associated costs required for regulatory approval in all other countries in the Astellas territories. Astellas will hold and have responsibility for regulatory filings in its territories. We are responsible, either directly or through our contract manufacturers, for the manufacture and supply of all quantities of roxadustat to be used in development and commercialization under the agreements, other than roxadustat drug product for Japan. Astellas is responsible for roxadustat commercialization activities in the Astellas territories.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20, 2025, we and our subsidiary FibroGen China Anemia Holdings, Ltd. entered into a Share Purchase Agreement with AstraZeneca Treasury Limited, a subsidiary of AstraZeneca plc, pursuant to which we agreed to sell all of the issued and outstanding equity interests of FibroGen International (Hong Kong) Ltd. (“FibroGen International”) to AstraZeneca Treasury Limited for an aggregate purchase price of approximately $160 million, comprised of $85 million in cash for the enterprise value of FibroGen International, plus an additional cash amount equal to the net cash held in China by FibroGen International and its subsidiaries, currently projected to be approximately $75 million, as of the anticipated closing. This sale includes all of our roxadustat assets in China, including FibroGen International’s subsidiary FibroGen (China) Medical Technology Development Co., Ltd and its 51.1% interest in Falikang. The transaction is expected to close by mid-2025, and is subject to customary closing conditions and closing deliverables, including receipt of regulatory approval from the China State Administration for Market Regulation.</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AstraZeneca is our long-time commercialization partner for roxadustat in greater China and South Korea. Upon the closing, we will assign to AstraZeneca Treasury Limited all rights to roxadustat in China, Hong Kong, and Macao, including rights to manufacture, develop, distribute, and commercialize roxadustat.</w:t>
      </w:r>
    </w:p>
    <w:p>
      <w:pPr>
        <w:spacing w:after="0" w:line="17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FibroGen has retained the rights to roxadustat in the U.S., Canada, Mexico, and in all markets not held by AstraZeneca or licensed to Astellas. Roxadustat is not approved for commercialization in any indication in the U.S., Canada, or Mexico.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jc w:val="both"/>
        <w:ind w:right="700"/>
        <w:spacing w:after="0" w:line="282" w:lineRule="auto"/>
        <w:rPr>
          <w:sz w:val="20"/>
          <w:szCs w:val="20"/>
          <w:color w:val="auto"/>
        </w:rPr>
      </w:pPr>
      <w:r>
        <w:rPr>
          <w:rFonts w:ascii="Times New Roman" w:cs="Times New Roman" w:eastAsia="Times New Roman" w:hAnsi="Times New Roman"/>
          <w:sz w:val="18"/>
          <w:szCs w:val="18"/>
          <w:color w:val="auto"/>
        </w:rPr>
        <w:t>Our collaboration agreement with AstraZeneca for roxadustat for the treatment of anemia in the U.S. and all territories except for China and those territories previously licensed to Astellas (the “AstraZeneca U.S./RoW Agreement”) was terminated (except South Korea) on February 23, 2024.</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Under the AstraZeneca collaboration agreement for the development and commercialization of roxadustat for the treatment of anemia in China (the “AstraZeneca China Agreement”), which is conducted through FibroGen China Anemia Holdings, Ltd., FibroGen Beijing, and FibroGen International (Hong Kong) Limited (collectively, “FibroGen China”), the commercial collaboration was structured as a 50/50 profit share, which was amended by the AstraZeneca China Amendment in the third quarter of 2020, as discussed and defined below.</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In 2020, we entered into a Master Supply Agreement under the AstraZeneca U.S./RoW Agreement to define general forecast, order, supply, and payment terms for AstraZeneca to purchase roxadustat bulk drug product from FibroGen in support of commercial supplies.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July 2020, FibroGen China and AstraZeneca entered into an amendment, effective July 1, 2020, to the AstraZeneca China Agreement, relating to the development and commercialization of roxadustat in China (the “AstraZeneca China Amendment”).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AstraZeneca China Amendment, in September 2020, FibroGen Beijing and AstraZeneca completed the establishment of a jointly owned entity, Falikang, which performs roxadustat distribution, as well as conduct sales and marketing through AstraZeneca.</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FibroGen Beijing manufactures and supplies commercial product to Falikang based on a gross transaction price, adjusted for the estimated profit share. Revenue is recognized upon the transfer of control of commercial products to Falikang in an amount that reflects the allocation of transaction price of the China manufacturing and supply obligation to the performance obligation satisfied during the reporting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Related to Collaboration Agreements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related to our collaboration agreements is set forth in Item 7 of this Annual Report, and Note 4,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and Revenues, </w:t>
      </w:r>
      <w:r>
        <w:rPr>
          <w:rFonts w:ascii="Times New Roman" w:cs="Times New Roman" w:eastAsia="Times New Roman" w:hAnsi="Times New Roman"/>
          <w:sz w:val="18"/>
          <w:szCs w:val="18"/>
          <w:color w:val="auto"/>
        </w:rPr>
        <w:t>to our consolidated financial statements under Item 8 of this Annual Report. Information about collaboration partners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accounted for more than 10% of our total revenue for the last two fiscal years is set forth in Note 16,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to our consolidated financial statements under Item 8 of this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HiFiBiO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2021, we entered into an exclusive license and option agreement with HiFiBiO (HK) Ltd. (d.b.a. HiFiBiO Therapeutics) (“HiFiBiO”), pursuant to which we exclusively licensed from HiFiBiO all product candidates in HiFiBiO’s Galectin-9 program and subsequently exclusively licensed all product candidates in HiFiBiO’s CCR8 program. We are currently negotiating a termination of the license from HiFiBiO, and an exclusive license of our advancements to HiFiBiO. We will provide further updates upon completion.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and Option to Acquire Fortis Therapeutics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May 2023, we entered into an exclusive option agreement to acquire Fortis with its novel Phase 1 antibody-drug conjugate, FG-3246 (previously FOR46), that targets a novel epitope on CD46 preferentially expressed on certain cancer cells. FG-3246 is in development for the treatment of metastatic castration-resistant prostate cancer with potential applicability in other solid tumors and hematologic malignancies.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FibroGen has exclusively licensed FG-3246 and will control and fund future research and development, including a Phase 2 clinical study sponsored by FibroGen, and manufacturing of FG-3246 during the option period (which ends on the earlier of 120 days after Fortis or FibroGen submits data from any Phase 2 clinical trial of a product to the FDA for the purpose of progressing to a Phase 3 clinical trial or May 2027 absent extension). As part of the clinical development strategy, we will continue the work to develop a PET-based biomarker utilizing a radiolabeled version of the targeting antibody for patient selection.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FibroGen is obligated to make four quarterly payments totaling $5.0 million to Fortis in support of its continued development obligations.</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Exclusive License with Eluminex</w:t>
      </w:r>
    </w:p>
    <w:p>
      <w:pPr>
        <w:spacing w:after="0" w:line="12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July 2021, we exclusively licensed to Eluminex Biosciences (Suzhou) Limited (“Eluminex”) global rights to our investigational biosynthetic cornea derived from recombinant human collagen type III. FibroGen may receive up to a total of $64.0 million in future manufacturing, clinical, regulatory, and commercial milestone payments for the biosynthetic cornea program, as well as $36.0 million in commercial milestones for the first recombinant collagen</w:t>
      </w:r>
    </w:p>
    <w:p>
      <w:pPr>
        <w:spacing w:after="0" w:line="1" w:lineRule="exact"/>
        <w:rPr>
          <w:sz w:val="20"/>
          <w:szCs w:val="20"/>
          <w:color w:val="auto"/>
        </w:rPr>
      </w:pPr>
    </w:p>
    <w:p>
      <w:pPr>
        <w:ind w:right="100" w:firstLine="8"/>
        <w:spacing w:after="0" w:line="255"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is not the biosynthetic cornea. FibroGen will be eligible to receive mid-single-digit to low double-digit royalties based upon worldwide net sales of cornea products, and low single-digit to mid-single-digit royalties based on worldwide net sales of other recombinant human collagen type III products that are not cornea products.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received an $8.0 million upfront payment from Eluminex in 2022 and thereafter recognized a $3.0 million milestone payment based on Eluminex implanting a biosynthetic cornea in the first patient of its clinical trial in China, a $3.0 million manufacturing related milestone payment and a $1.0 million upfront payment in 2023. Additional information related to the Eluminex license revenue is set forth in Note 4,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Revenues</w:t>
      </w:r>
      <w:r>
        <w:rPr>
          <w:rFonts w:ascii="Times New Roman" w:cs="Times New Roman" w:eastAsia="Times New Roman" w:hAnsi="Times New Roman"/>
          <w:sz w:val="18"/>
          <w:szCs w:val="18"/>
          <w:color w:val="auto"/>
        </w:rPr>
        <w:t>, to our consolidated financial statements under Item 8 of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FINANCING AGREEMENTS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a revenue interest financing agreement (“RIFA”) with an affiliate of NovaQuest Capital Management (“NovaQuest”) with respect to our revenues from Astellas’ sales of roxadustat in Europe, Japan and the other Astellas territories.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RIFA, we received $49.8 million from NovaQuest, representing the gross proceeds of $50.0 million net of initial issuance costs, in consideration for a portion of future revenues we will receive from Astellas. For additional details about this financing transaction, see Note 10, </w:t>
      </w:r>
      <w:r>
        <w:rPr>
          <w:rFonts w:ascii="Times New Roman" w:cs="Times New Roman" w:eastAsia="Times New Roman" w:hAnsi="Times New Roman"/>
          <w:sz w:val="18"/>
          <w:szCs w:val="18"/>
          <w:i w:val="1"/>
          <w:iCs w:val="1"/>
          <w:color w:val="auto"/>
        </w:rPr>
        <w:t>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Sale of Future Revenues</w:t>
      </w:r>
      <w:r>
        <w:rPr>
          <w:rFonts w:ascii="Times New Roman" w:cs="Times New Roman" w:eastAsia="Times New Roman" w:hAnsi="Times New Roman"/>
          <w:sz w:val="18"/>
          <w:szCs w:val="18"/>
          <w:color w:val="auto"/>
        </w:rPr>
        <w:t>, to the consolidated financial statements.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April 2023, we entered into a financing agreement (the “Financing Agreement”) with a $75.0 million senior secured term loan with investment funds managed by Morgan Stanley Tactical Value, as lenders, and Wilmington Trust, National Association, as the administrative agent. For additional details about this financing transaction, see Note 9,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consolidated financial statements. Upon the closing of the sale of FibroGen International and its subsidiaries to AstraZeneca, we intend to repay our term loan facility with Morgan Stanley Tactical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are highly competitive, particularly in some of the indications of our developing drug candidates.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pancreatic cancer, where we do not currently have a development or commercialization partner.</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any products that we develop and commercialize to compete based on, among other things, efficacy, safety, convenience of administration and delivery, price, the level of generic competition, and the availability of reimbursement from government and other third-party payors.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as well as product candidates that may be approved in the future, from companies that have large, established commercial organizations. In addition, we will likely face competition in patient recruitment and enrollment for clinical trials from other companies developing or seeking to pursue products or treatments in the same diseases or indications as us.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face competition from generics that could enter the market after expiry of our composition of matter patent. The China Health Authority has since accepted abbreviated NDAs for over 20 generics roxadustat applicants and approved eight for marketing in China. Given that the requisite number (four or more) of generics have been approved in China, there is a substantial risk of being subject to the country’s VBP program whereby a national tender could be called for roxadustat. We expect this to occur in the first half of 2025. If a tender is called for roxadustat, our access to the China market as the originator drug would be significantly impacted and our price would be further reduced, resulting in significant reductions in the topline revenue for roxadustat. As these generic manufacturers would offer unpatented version of roxadustat at a significantly reduced price, this competition could materially and adversely affect our business results and financial conditions.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MANUFACTURE AND SUPPLY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continue to enter into contractual arrangements with qualified third-party manufacturers to manufacture and package our products and product candidates. We believe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As our product candidates proceed through development, we explore or enter into longer-term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Roxadustat is a small-molecule drug manufactured from generally available commercial starting materials and chemical technologies and multi-purpose equipment available from many third-party contract manufacturers. We have entered into commercial supply arrangements with Shanghai SynTheAll Pharmaceutical Co., Ltd. (“WuXi STA”) and Catalent Pharma Solutions, LLC (“Catalent”) as our primary manufacturers of roxadustat drug substance (also known as active pharmaceutical ingredient (“API”) and roxadustat drug product, respectively. WuXi STA is located in China and currently supplies our API globally except for China, for which it manufactures an intermediate to be further manufactured by FibroGen Beijing.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and China, where they are manufactured by FibroGen Beijing. Catalent has passed several regulatory inspections, including by the FDA, and manufactures commercial products for other clients.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China, our Beijing facility received the Good Manufacturing Practice license for API and drug product. We are manufacturing drug product at our FibroGen Beijing manufacturing facility for commercial supply, but we are not currently manufacturing API at this facility. We have decommissioned our API manufacturing facility in Cangzhou, China, and intend to source roxadustat API for China from WuXi STA. We may also qualify a third-party manufacturer to produce commercial API under the Marketing Authorization Holder System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activities and operations, including the clinical testing, manufacturing, labeling, storage, distribution, record keeping, advertising, promotion, import, export and marketing of our product candidates, among other things, are subject to extensive regulation by governmental authorities in the U.S., China, and other countries. The process of obtaining regulatory approvals and the subsequent compliance with appropriate federal, state, local and foreign statutes and regulations, including in Europe and China, requires the expenditure of substantial time and financial resources. Compliance with environmental laws, rules, and regulations has not had, and is not expected to have, a material effect on our capital expenditures, results of operations, or competitive position, and we do not currently anticipate material capital expenditures for environmental control facilities.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Product Approval Process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results of the preclinical studies, together with manufacturing information and analytical data, are submitted to the FDA as part of the Investigational New Drug Application (“IND”), which includes a protocol detailing, among other things, the objectives of the clinical trial.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While we have an Exclusive Option Agreement and Evaluation Agreement with Fortis, Fortis currently holds the IND for FG-3246/FOR46.</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Further, the protocol for each clinical trial must be reviewed and approved by an independent institutional review board, either centrally or individually at each institution at which the clinical trial will be conducted.</w:t>
      </w:r>
    </w:p>
    <w:p>
      <w:pPr>
        <w:spacing w:after="0" w:line="16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results of preclinical studies and clinical trials, together with detailed information on the manufacture, composition and quality of the product candidate, are submitted to the FDA in the form of an NDA (for a drug) or Biologics License Application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Application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Once the NDA or BLA submission is accepted for filing, which occurs, if at all, 60 days after submission, the FDA informs the applicant of the specific date by which the FDA intends to complete its review. During the approval process, the FDA reviews NDAs and BLAs to determine, among other things, whether the proposed product is safe and effective for its intended use, and whether the product is manufactured in accordance with cGMPs to assure and preserve the product’s identity, strength, quality and purity. The FDA may require Risk Evaluation and Mitigation Strategy to assure safe use of the product, and inspections of manufacturing facilities (for cGMP compliance) and clinical trial sites (for integrity of data supporting safety and efficacy). The FDA may also convene an advisory committee of external experts to review issues relating to risk, benefit and interpretation of clinical trial data. The FDA may require post-marketing testing and surveillance to monitor safety or efficacy of a product. FDA will issue either an approval of the NDA or BLA or a CRL detailing the deficiencies and information required in order for reconsideration of the application.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The FDA requires prior approval before implementing any changes to the manufacturing process, investigations and corrections of any deviations from cGMP, and impose reporting and documentation requirements on the sponsor and any third-party manufacturer the sponsor may use. Accordingly, manufacturers must expend time, money, and effort in the area of production and quality control to maintain cGMP compliance.</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in violation may be subject to significant liability.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and Healthcare and Transparency Laws and Regulations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Although there are a number of statutory exemptions and regulatory safe harbors protecting certain common activities from prosecution, the exemptions and safe harbors are drawn narrowly.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false claims laws and federal civil monetary penalties statute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federal and state healthcare privacy and security laws. For example, HIPAA, as amended by the Health Information Technology for Economic and Clinical Health Act, and its implementing regulations, imposes certain requirements on covered entities, business associates and their covered subcontractors relating to the privacy, security and transmission of individually identifiable health information. In addition, state laws complicate compliance efforts by the way they govern the privacy and security of health information in certain circumstances, many of which differ from each other in significant ways and with varying effects.</w:t>
      </w:r>
    </w:p>
    <w:p>
      <w:pPr>
        <w:spacing w:after="0" w:line="18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other healthcare professionals, and teaching hospitals, or to entities or individuals at the request of, or designated on behalf of, such healthcare professionals and teaching hospitals and to report annually certain ownership and investment interests held by physicians and their immediate family members.</w:t>
      </w:r>
    </w:p>
    <w:p>
      <w:pPr>
        <w:spacing w:after="0" w:line="18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Also, many states have similar healthcare statutes or regulations that apply to items and services reimbursed under Medicaid and other state programs, or, in several states, apply regardless of the payor.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process confidential, proprietary, and sensitive information, including personal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China’s Personal Information Protection Law, the ePrivacy Directive, and the Payment Card Industry Data Security Standard. Several states within the U.S. have enacted or proposed data privacy and security laws. For example, Virginia passed the Consumer Data Protection Act, and Colorado passed the Colorado Privacy Act. Additionally, we are, or may become, subject to various U.S. federal and state consumer protection laws that require us to publish statements that accurately and fairly describe how we handle personal data and choices individuals may have about the way we handle their personal data.</w:t>
      </w:r>
    </w:p>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collection, use, and disclosure of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California Privacy Rights Act of 2020 (“CPRA”), effective January 1, 2023, expanded the CCPA by, among other things,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for additional information about the laws and regulations to which we may become subject and about the risks to our business associated with such laws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and China, the pricing of prescription drugs is subject to government control. In some non-U.S. jurisdictions, the proposed pricing for a drug must be approved before it may be lawfully marketed. The requirements governing drug pricing vary widely from country to country. We may face competition for our product candidates from lower-priced products in foreign countries that have placed price controls on pharmaceutical products. In addition, there may be importation of foreign products that compete with our own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the U.S. and foreign jurisdictions, we expect there will continue to be a number of legislative and regulatory changes to the healthcare system that could affect the future results of our operations as we directly commercialize our products. In particular, there continues to be a number of initiatives at the U.S. federal and state level that seek to reduce healthcare costs.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example, as a cost containment measure,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There have been executive, judicial and Congressional challenges to certain aspects of the PPACA. In addition, on August 16, 2022, President Biden signed the Inflation Reduction Act of 2022 (“IRA”) into law, which among other things, extends enhanced subsidies for individuals purchasing health insurance coverage in PPACA marketplaces through plan year 2025. The IRA also eliminates the “donut hole” under the Medicare Part D program beginning in 2025 by significantly lowering the beneficiary maximum out-of-pocket cost and creating a new manufacturer discount program. It is possible that the PPACA will be subject to future judicial or Congressional challenges, other litigation, and healthcare reform measures that may impact the PPACA and our business.</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Further, in the U.S. there was heightened governmental scrutiny over the manner in which manufacturers set prices for their marketed products, which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The IRA also, among other things, (1) directs the U.S. Department of Health and Human Services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these or similar policy initiatives will be implemented in the future.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140"/>
        <w:spacing w:after="0" w:line="261" w:lineRule="auto"/>
        <w:rPr>
          <w:sz w:val="20"/>
          <w:szCs w:val="20"/>
          <w:color w:val="auto"/>
        </w:rPr>
      </w:pPr>
      <w:r>
        <w:rPr>
          <w:rFonts w:ascii="Times New Roman" w:cs="Times New Roman" w:eastAsia="Times New Roman" w:hAnsi="Times New Roman"/>
          <w:sz w:val="18"/>
          <w:szCs w:val="18"/>
          <w:color w:val="auto"/>
        </w:rPr>
        <w:t>Some states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impact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 Outside of China</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and in China, a sponsor must submit a clinical trial application, much like an IND prior to the commencement of human clinical trials. A clinical trial application must be submitted to each national health authority and an independent ethics committee.</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China and the countries in Eastern Europe, Latin America or Asia, the requirements governing the conduct of clinical trials, product licensing, pricing, and reimbursement vary from country to country.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Exclusivity for Approved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to the extent such period occurs after grant of the patent.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 exclusivity provisions under the U.S. federal Food, Drug &amp; Cosmetic Act can also delay the submission or the approval of certain applications of companies seeking to reference another company’s NDA or BLA. The Hatch-Waxman Act provides a 5-year period of exclusivity to any approved NDA for a product containing a New Chemical Entity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Price Competition and Innovation Act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with respect to the patents listed with the FDA by the innovator BLA holder.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Act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drugs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Products receiving orphan designation in Europe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Europe for pediatric studies. No extension to any supplementary protection certificate can be granted on the basis of pediatric studies for orphan indications.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Country Data Exclusivity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Europe also provides opportunities for additional market exclusivity. For example, in Europe, upon receiving marketing authorization, a NCE or new biologic generally receives eight years of data exclusivity and an additional two years of market exclusivity. If granted, data exclusivity prevents regulatory authorities in Europe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if an approved drug manufactured in China qualified as an innovative drug or an improved new drug before December 1, 2019, such drugs were eligible for a monitoring surveillance period for up to five years for the purpose of protecting public health. Under the regulations, during this post-marketing surveillance period, the NMPA would not accept marketing authorization applications filed by another company for the same product, nor approve marketing authorization applications filed by another company to produce, change dosage form of, or import the drug. The approved manufacturer was required to provide an annual report to the regulatory department of the province, autonomous region or municipality directly under the central government where it is located during the surveillance period. Although this procedure was reportedly still active for drugs that had qualified prior to changes in the law ending the monitoring surveillance provisions, the CDE started accepting marketing authorization applications for generic forms of roxadustat, starting in May 2023, and have now approved eight generic forms of roxadustat for marketing in China.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own or license numerous patents in the U.S. and foreign countries primarily covering our products. We have also developed and are developing brand names and trademarks for our products. We consider the overall protection of our patents, trademarks, licenses, and other intellectual property rights to be of material value and act to protect these rights from infringement. 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Refer to </w:t>
      </w:r>
      <w:r>
        <w:rPr>
          <w:rFonts w:ascii="Times New Roman" w:cs="Times New Roman" w:eastAsia="Times New Roman" w:hAnsi="Times New Roman"/>
          <w:sz w:val="18"/>
          <w:szCs w:val="18"/>
          <w:i w:val="1"/>
          <w:iCs w:val="1"/>
          <w:color w:val="auto"/>
        </w:rPr>
        <w:t>“Government Regulation — Regulatory Exclusivity for Approved Products.”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legal proceedings with respect to our patents and patent applications and may be involved in such proceedings in the future. Additionally, we may claim that a third party infringes our intellectual property, or a third party may claim that we infringe its intellectual property. Such legal proceedings may be associated with significant expenses, damages, attorneys’ fees, costs of proceedings, and experts’ fees, and management and employees may be required to spend significant time in connection with these actions.</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positions for our most advanced programs are summarized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Roxadustat Patent Portfolio</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the composition-of-matter patents covering roxadustat expired in 2024 (except in the U.S., where they expire in 2025), the roxadustat patent portfolio includes additional patents providing protection for roxadustat, including protection for the commercial crystalline form, pharmaceutical compositions, and key intermediates in roxadustat synthesis. Subject to the additional details outlined below for particular territories, and exclusive of any patent term extension, U.S. and foreign patents relating to crystalline forms of roxadustat and key intermediates in roxadustat synthesis are due to expire in 2033, and U.S. and foreign patents relating to photostable formulations of roxadustat are due to expire in 2034.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right="160"/>
        <w:spacing w:after="0" w:line="258" w:lineRule="auto"/>
        <w:rPr>
          <w:sz w:val="20"/>
          <w:szCs w:val="20"/>
          <w:color w:val="auto"/>
        </w:rPr>
      </w:pPr>
      <w:r>
        <w:rPr>
          <w:rFonts w:ascii="Times New Roman" w:cs="Times New Roman" w:eastAsia="Times New Roman" w:hAnsi="Times New Roman"/>
          <w:sz w:val="18"/>
          <w:szCs w:val="18"/>
          <w:color w:val="auto"/>
        </w:rPr>
        <w:t>Supplemental Protection Certificates (SPCs) are pending or have been granted in European Union member states, where roxadustat has been granted marketing approval, on our European Patent No. 3470397 (the “`397 Patent”), which claims formulations comprising the commercial crystalline form of roxadustat, thereby extending patent protection to 2036. Patent term extensions (PTEs) have also been granted for several roxadustat-related patents in Japan, where roxadustat has been granted marketing approval, including on composition-of-matter and crystal form patents extending patent protection to 2029 and 2035, respectively.</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China, no photostable formulation patent has yet been granted (applications are pending under reexamination). Our roxadustat China patent portfolio additionally includes a granted patent and pending patent applications directed to roxadustat particle size distribution (PSD) in commercial formulations and use of roxadustat to treat select chemotherapy-induced anemia patient populations. These patents and patent applications, upon grant, could extend the exclusivity of the roxadustat franchise with respect to the claimed subject matter to 2043.</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Several patents in our roxadustat patent portfolio have been challenged in Europe and China. In particular, patent challenges have been filed against our crystal form patents in Europe and China, and against our photostable formulations patent in Europe. While European Patent No. 2872488 (the “`488 Patent”), which claims the commercial crystalline form of roxadustat, was originally revoked in opposition, the decision is currently under appeal. The `397 Patent was upheld in opposition, and the opponents have appealed the decision. Finally, our European Patent No. 3003284 (the “284 Patent”), which claims photostable formulations of roxadustat, was recently revoked on appeal by the opponents, with no further right to appeal available to us.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FG-3246 Patent Portfolio</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FG-3246 patent portfolio includes U.S. and foreign patents and pending patent applications providing, upon grant, composition-of-mater protection for FG-3246 that are due to expire in 2035 exclusive of any patent term extension. In addition, U.S. patents, and US and foreign pending patent applications directed to pharmaceutical compositions and dosing of FG-3246 provide protection through an expiry date of 2041 exclusive of any patent term adjustment or extension that may be available in a particular country.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Secrets and Know-How</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Fortis Therapeutics / University of California, San Francisco (UCSF)</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Effective May 5, 2023, we entered into an Evaluation Agreement with Fortis Therapeutics, Inc., under which FibroGen was granted an exclusive license to certain Fortis intellectual property (IP) and additional IP in-licensed by Fortis from UCSF for the purpose of performing evaluation activities associated with use of FG-3246/FOR46 particularly for treatment of mCRPC. The IP includes know-how, patents, and patent applications related to FG-3246 composition-of-matter and variants thereof, anti-CD46 antibodies and immunoconjugates made therefrom, and formulations, dosing regimens, and uses thereof. Composition-of-matter patents for FG-3246 are due to expire in 2035, and formulation and dosing regimen patents are due to expire in 2041, in each case exclusive of any patent term extension or adjustment that may be available.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Under the agreement, we have first right to prepare, file, prosecute, and maintain patents and patent applications in the Fortis IP at our own expense and using mutually agreed-upon counsel. We are also obligated to reimburse Fortis for all payments made by Fortis to UCSF for expenses incurred by UCSF in prosecution and maintenance of the in-licensed patent portfolio, and other payments made by Fortis to UCSF under their license agreement during the term of the Evaluation Agreement.</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Unless terminated according to terms in the Evaluation Agreement, the term of the license is subject to an Option Agreement and Plan of Merger by and between FibroGen, Fortis Therapeutics, and Shareholder Representative Services LLC dated May 5, 2023. If we exercise our merger option on or before the option exercise deadline, we will acquire Fortis Therapeutics and all benefits and obligations associated with the Fortis IP and license with UCSF, subject to contingent payments of up to $200 million based on certain milestones. If we do not exercise our merger option, the license will terminate at the option exercise deadline which is the earlier of 120 days after Fortis or FibroGen submits data from any Phase 2 clinical trial of a product to the FDA for the purpose of progressing to a Phase 3 clinical trial or May 2027 absent extension.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HiFiBiO Therapeutics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June 16, 2021, we entered into an Exclusive License and Option Agreement with HiFiBiO (HK) Ltd. (d.b.a. HiFiBiO Therapeutics), under which FibroGen was granted an exclusive, worldwide license to HiFiBiO know-how and patent rights to all galectin-9 (Gal-9)-directed products for all uses, and a sublicense from HiFiBiO to in-licensed anti-Gal-9 antibodies from Société d’Accélération du Transfert de Technologie (“SATT-NORD”). The patent rights include U.S. and foreign patents and patent applications directed to specific anti-Gal-9 antibodies, fragments, and uses, and are due to expire in 2041 exclusive of any patent term extension or adjustment that may be available. The licensed patents relate to FG-3165 and related products.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were also granted an option under the agreement to license a second program from HiFiBiO which we exercised on December 10, 2021, with respect to HiFiBiO know-how and patent rights to all CCR8-directed products for all uses. The patent rights include U.S. and foreign patents and patent applications directed to specific anti-CCR8 antibodies, fragments, and uses, and are due to expire in 2042 exclusive of any patent term extension or adjustment that may be available. The licensed patents relate to FG-3175 and related products.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agreement, we have first right to prepare, file, prosecute, and maintain patents and patent applications in the HiFiBiO patent rights at our own expense and using mutually agreed-upon counsel. We are also obligated to pay an upfront licensing and option fee totaling $35 million and a subsequent option exercise payment of $35 million for the CCR8 program, all of which have been paid, and R&amp;D and regulatory milestone payments of up to $175 million, as well as sales milestones of up to $170 million, and an escalating royalty based on calendar year aggregate net sales of licensed product capped at 10%, subject to certain reductions.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currently negotiating a termination of the license from HiFiBiO, and an exclusive license of our advancements to HiFiBiO. We will provide further updates upon completion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52 employees in the U.S. and 173 employees in China as of December 31, 2024. None of our U.S. employees are represented by a labor union.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have entered into a collective agreement with us.</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highly committed to building a diverse, dedicated, and impassioned team to deliver innovative therapies to patients facing serious unmet medical needs. Our core values of excellence, respect for people, integrity, and empowerment are fundamental to how we attract, grow, engage, and retain our people.</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September 2024, we conducted a modified company-wide engagement survey to assess employee sentiment following our reduction in force. Overall, we had a 95% participation rate. Further, in 2022, an independent firm established a diversity, equity, and inclusion index based upon 10 employee questions within the survey to measure the effectiveness of, and employee sentiment about, our progress in nurturing a culture of diversity, equity, belonging and inclusion; our diversity index score was 86% in 2024 a slight reduction from previous years reporting compared to 89% (China 90%, U.S. 88%) in 2023 and 88% in 2022.</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300"/>
        <w:spacing w:after="0" w:line="261" w:lineRule="auto"/>
        <w:rPr>
          <w:sz w:val="20"/>
          <w:szCs w:val="20"/>
          <w:color w:val="auto"/>
        </w:rPr>
      </w:pPr>
      <w:r>
        <w:rPr>
          <w:rFonts w:ascii="Times New Roman" w:cs="Times New Roman" w:eastAsia="Times New Roman" w:hAnsi="Times New Roman"/>
          <w:sz w:val="18"/>
          <w:szCs w:val="18"/>
          <w:color w:val="auto"/>
        </w:rPr>
        <w:t>The biotechnology industry is an extremely competitive labor market and recruiting and retaining employees is critical to the continued success of our business. We focus on recruiting, retaining, and developing employees from a diverse range of backgrounds to conduct our research, development, commercialization, and administrative activities. In August 2024, FibroGen initiated a restructuring plan to lower our operating expenses in light of the negative pamrevlumab clinical trial data. The restructuring plan included a reduction of our U.S. workforce of approximately 75%.</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consistently review and evaluate our people practices to ensure that we attract, develop and retain a diverse, engaged and talented workforce. Our offerings include competitive, innovative and equitable pay practices, comprehensive health and wellness benefits, retirement and life insurance offerings, and flexible work arrangements. In addition to annual compliance training on harassment prevention, our Code of Conduct, Anti-Bribery and data privacy, our employees are offered tuition reimbursement eligibility.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Ensuring diversity in our workforce begins with role modeling and striving for diversity in senior management. On our Board of Directors, 2 of 5 members (40%) are female. Further, 1 of 5 members (20%) identifies as Asian ethnicity. Notably, our U.S. workforce is 54% female. Our U.S. employees that self-report ethnicity are 62% Asian, Hispanic or Black.</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2023, we performed an environmental, social, and governance (“ESG”) assessment of our operations, finding that we accomplished most of our ESG goals, including adopting a policy to increase patient diversity in clinical trials. In 2024, we adopted a cybersecurity incidence response policy and committee charter, and approved a 2024 Equity Incentive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internet website address is www.fibrogen.com. In addition to the information about us and our subsidiaries contained in this Annual Report, information about us can be found on our website. The information contained on, or that can be accessed through, our website is not part of, and is not incorporated into, this Annual Report.</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Additionally the Securities and Exchange Commission maintains an internet site that contains reports, proxy and information statements and other information. The address of the SEC’s website is www.sec.gov.</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mailing address is at 350 Bay Street, Suite 100, #6009, San Francisco, California 94133 and our telephone number is (415) 978-1200. Our website address is www.FibroGen.com. The information contained on our website is not incorporated by reference herein.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Annual Report on Form 10-K for the year ended December 31, 2024 (“Annual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products roxadustat and FG-3246 (in conjunction with our positron emission tomography (“PET”) imaging agent FG-3180).</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future value drivers for FibroGen, Inc. (“FibroGen” or the “Company”) depend in large part on the continued commercial success of roxadustat in Europe, Japan, and the People’s Republic of China (“China”), the potential of roxadustat anemia associated with lower-risk myelodysplastic syndrome, and the development of FG-3246 (in conjunction with our PET imaging agent FG-3180), which is in clinical development for metastatic castration-resistant prostate cancer.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in these programs are unsuccessful, it may materially and adversely affect our business and financial condition.</w:t>
      </w:r>
    </w:p>
    <w:p>
      <w:pPr>
        <w:spacing w:after="0" w:line="3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development, manufacturing, marketing, and selling of our products and product candidates are and will continue to be subject to extensive and rigorous review and regulation by numerous government authorities in the United States of America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for any clinical trial to support a new drug application / 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Regulatory authorities may take actions or impose requirements that delay, limit or deny approval of our product candidates for many reasons, including, among others:</w:t>
      </w:r>
    </w:p>
    <w:p>
      <w:pPr>
        <w:spacing w:after="0" w:line="54" w:lineRule="exact"/>
        <w:rPr>
          <w:sz w:val="20"/>
          <w:szCs w:val="20"/>
          <w:color w:val="auto"/>
        </w:rPr>
      </w:pPr>
    </w:p>
    <w:p>
      <w:pPr>
        <w:ind w:left="520" w:right="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of clinical trials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information (including additional preclinical or clinical data or trials) is necessary to demonstrate the safety and efficacy of a product candidate;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exhibiting an unacceptable safety signal at any stage of development;</w:t>
      </w:r>
    </w:p>
    <w:p>
      <w:pPr>
        <w:spacing w:after="0" w:line="117"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the clinical research organizations (“CROs”) or investigators that conduct clinical trials on our behalf, to comply with regulations or GCPs, clinical trial protocols, or contractual agreements, which may adversely impact our clinical trials, as well as, investigator-sponsored trials;</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results from clinical trial sites in a country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third-party contractors manufacturing our product candidates to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exclude the use of patient data from unreliable clinical trials, or disagreement with our interpretation of the data from our preclinical trials and clinical trials;</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collaboration partners or other third parties such as clinical investigators to perform or complete their clinical programs in a timely manner, or at all;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data from investigator-sponsored clinical trials, which are used as supportive evidence for our initial IND studies, to meet GCP standards.</w:t>
      </w:r>
    </w:p>
    <w:p>
      <w:pPr>
        <w:spacing w:after="0" w:line="23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delay or jeopardize our or our collaboration partners’ abilities to obtain regulatory approval for our product candidates in one or more indications.</w:t>
      </w:r>
    </w:p>
    <w:p>
      <w:pPr>
        <w:spacing w:after="0" w:line="16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Even if we believe our clinical trials, as well as, investigator-sponsored trials are successful, regulatory authorities may not agree that our completed clinical trials provide adequate data on safety or efficacy. Approval by one regulatory authority does not ensure approval by any other regulatory authority.</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scenarios could materially harm the commercial prospects for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clinical trials.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7" w:name="page28"/>
    <w:bookmarkEnd w:id="27"/>
    <w:p>
      <w:pPr>
        <w:ind w:right="60"/>
        <w:spacing w:after="0" w:line="282" w:lineRule="auto"/>
        <w:rPr>
          <w:sz w:val="20"/>
          <w:szCs w:val="20"/>
          <w:color w:val="auto"/>
        </w:rPr>
      </w:pPr>
      <w:r>
        <w:rPr>
          <w:rFonts w:ascii="Times New Roman" w:cs="Times New Roman" w:eastAsia="Times New Roman" w:hAnsi="Times New Roman"/>
          <w:sz w:val="18"/>
          <w:szCs w:val="18"/>
          <w:color w:val="auto"/>
        </w:rPr>
        <w:t>When we have an investigator-sponsored trial, we would have to rely on sponsor’s data generated independently under sponsor’s institutional practices. As a result, there is an additional risk that results may differ in future trials run by FibroGen as the sponsor.</w:t>
      </w:r>
    </w:p>
    <w:p>
      <w:pPr>
        <w:spacing w:after="0" w:line="26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54" w:lineRule="exact"/>
        <w:rPr>
          <w:sz w:val="20"/>
          <w:szCs w:val="20"/>
          <w:color w:val="auto"/>
        </w:rPr>
      </w:pPr>
    </w:p>
    <w:p>
      <w:pPr>
        <w:ind w:left="520" w:right="38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required regulatory or institutional review board approval or guidance;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drug to pass interim futility criteria for efficacy in a clinical trial design;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that meet safety stopping rules for the study in a clinical trial design;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timely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or retention, clinical site initiation, or retention problems associated with civil unrest, military conflicts around the world, or natural disasters;</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maintain clinical sites in compliance with clinical trial protocols or to conduct the clinical trial in accordance with regulatory requirements or our clinical protocols;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initiate or add a sufficient number of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of product candidate for use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enrolling a sufficient number of patients to conduct our clinical trials, as well as, investigator-sponsored trials as planned;</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the FDA or other regulatory authorities resulting in the imposition of a clinical hold, warning letter, or other regulatory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identifying and qualifying patients to participate in clinical trials of our product candidates is critical to our success. The timing of our clinical trials, as well as, investigator-sponsored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6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may be additional complexity involved in the development of FG-3246 if we use our radiolabeled antibody PET imaging agent, FG-3180, as a required screening for registration. As part of our upcoming Phase 2 mono-therapy trial of FG-3246, we plan to commence a sub-study of FG-3180 to assess the correlation between CD46 expression and patient response to FG-3246. While FG-3180 and FG-3246 use the same base anti-CD46 antibody, FG-3180 will require additional regulatory approval and may have additional development risks. If FG-3180 is required for registration of FG-3246, delays in the development of FG-3180 could delay the development of FG-3246. In addition, if there are delays in receiving an Investigational New Drug Application (“IND”) for FG-3180 or other delays in beginning the FG-3180 sub-study, this could reduce the number of patients in our FG-3246 study with PET diagnostic data thereby affecting our overall FG-3246 study data or development.</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as well as, investigator-sponsored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development plan becoming longer and more expensive;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our clinical trials, as well as, investigator-sponsored trials for the product candidates or specific indications affected;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Our drug candidates are being studied in patient populations that are at high risk of death and adverse events, and even if unrelated to our drug candidate,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as well as, investigator-sponsored trials, and commercialization of our products require access to, or development of, facilities to manufacture and manage our product candidates at sufficient yields, quality and scale. We may need to enter into additional manufacturing agreements and may be unable to do so on satisfactory terms or in a timely manner. In addition, we may experience delays or technical problems associated with technology transfer of manufacturing processes to any new suppliers.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or our collaboration partner, may not be able to accurately forecast clinical or commercial supply requirements and we may not meet or we may exceed our requirements as to quantities, scale-up, yield, cost, potency or quality in compliance with cGMP.</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 general risk of delayed drug supply due to delays experienced by any third-party provider in the supply chain, including raw material and components suppliers, export and customs locations, and shipping companies. Any delay or interruption in the supply of our product candidates or products could have a material adverse effect on our business and operations.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due to delays in, or not obtaining, marketing approval for any one of our clinical programs, we may have excess supply or excess waste of expiring product supply. Or if product expires due to delays, we may have a shortfall of supply of non-expired product as manufacturing of such product has significant lead times.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also our risk factor titled “</w:t>
      </w:r>
      <w:r>
        <w:rPr>
          <w:rFonts w:ascii="Times New Roman" w:cs="Times New Roman" w:eastAsia="Times New Roman" w:hAnsi="Times New Roman"/>
          <w:sz w:val="18"/>
          <w:szCs w:val="18"/>
          <w:i w:val="1"/>
          <w:iCs w:val="1"/>
          <w:color w:val="auto"/>
        </w:rPr>
        <w:t>We may have shortfalls, delays, or excesses in manufacturing.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or our partners may add or change manufacturers, change our manufacturing processes, or change packaging specifications to accommodate changes in regulations, manufacturing equipment or to account for different processes at new or second source suppliers. Manufacturing changes made to one of our drugs or drug candidates, include, but are not limited to, demonstration of comparability to regulatory approved/ in approval products and processes, additional clinical trials, delays in development or commercialization, earlier expiration dates, shorter shelf life, or specification failures, and those changes may materially impact our operations and potential profitability. This includes the scenario that the change may be unsuccessful and cause delays or other negative impact.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additional suppliers and validation/qualification of additional facilities to meet growing demand;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 and securing necessary licenses (such as export licenses);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shelf-life requirements of raw materials and supplies;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stability and product shelf life;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maintenance issues or failure;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quality assurance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pandemics, floods, storms, earthquakes, tsunamis, and droughts, or accidents such as fire, that affect facilities, possibly limit or postpone production, and increase costs;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license to proprietary starting materials.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ind w:right="260"/>
        <w:spacing w:after="0" w:line="282" w:lineRule="auto"/>
        <w:rPr>
          <w:sz w:val="20"/>
          <w:szCs w:val="20"/>
          <w:color w:val="auto"/>
        </w:rPr>
      </w:pPr>
      <w:r>
        <w:rPr>
          <w:rFonts w:ascii="Times New Roman" w:cs="Times New Roman" w:eastAsia="Times New Roman" w:hAnsi="Times New Roman"/>
          <w:sz w:val="18"/>
          <w:szCs w:val="18"/>
          <w:color w:val="auto"/>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discovery, development and commercialization of product candidates.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The China Health Authority has accepted abbreviated new drug applications (“NDAs”) for over 20 generic roxadustat applicants and approved eight for marketing in China.</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our products.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6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candidate as demonstrated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and perceptions of safety of our product candidates relative to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healthcare providers and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 candidate relative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pricing and reimbursement by third parties and government authorities as described below;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publicity relating to the product candidate.</w:t>
      </w: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see the risk factor titled “</w:t>
      </w:r>
      <w:r>
        <w:rPr>
          <w:rFonts w:ascii="Times New Roman" w:cs="Times New Roman" w:eastAsia="Times New Roman" w:hAnsi="Times New Roman"/>
          <w:sz w:val="18"/>
          <w:szCs w:val="18"/>
          <w:i w:val="1"/>
          <w:iCs w:val="1"/>
          <w:color w:val="auto"/>
        </w:rPr>
        <w:t>Our product candidates may cause or have attributed to them undesirable side effects or have other properties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 or prevent their regulatory approval or limit their commercial potential</w:t>
      </w:r>
      <w:r>
        <w:rPr>
          <w:rFonts w:ascii="Times New Roman" w:cs="Times New Roman" w:eastAsia="Times New Roman" w:hAnsi="Times New Roman"/>
          <w:sz w:val="18"/>
          <w:szCs w:val="18"/>
          <w:color w:val="auto"/>
        </w:rPr>
        <w:t>” above. If any product candidate is approved but does not achieve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level of acceptance by such parties, we may not generate or derive sufficient revenue from that product candidate and may not become or remain profitable.</w:t>
      </w:r>
    </w:p>
    <w:p>
      <w:pPr>
        <w:spacing w:after="0" w:line="28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by third-party payors may render our products less attractive to patients and healthcare providers.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applicable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were terminated or if our partners were unwilling or unable to contribute or participate in the collaborations, our ability to successfully develop and commercialize the relevant product candidate would suffer.</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entered into an Evaluation Agreement with Fortis Therapeutics, Inc. (“Fortis”) under which we rely, in part, on Fortis and its development partners, including University of California, San Francisco, for the continued development of FG-3246 (in conjunction with our PET biomarker). While we control development of FG-3246 up to the 4-year evaluation period, we will be doing so under our investigational new drug application that references Fortis’s investigational new drug application. If Fortis were unwilling to cooperate with development efforts, our ability to develop FG-3246 (in conjunction with our PET biomarker) would be delayed.</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we terminated our collaboration agreement with AstraZeneca AB (“AstraZeneca”) for roxadustat for the treatment of anemia in the U.S. and all territories except for China and those territories previously licensed to Astellas (the “AstraZeneca U.S./RoW Agreement”), we have active collaboration agreements with respect to the development and commercialization of roxadustat with Astellas Pharma Inc. (“Astellas”) and with AstraZeneca in China and South Korea. These agreements provide for reimbursement of our development costs by our collaboration partners and also provide for the commercialization of roxadustat throughout the major territories of the world.</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February 20, 2025, we entered into a share purchase agreement (the “Share Purchase Agreement”) with AstraZeneca Treasury Limited pursuant to which we agreed to sell all of the issued and outstanding equity interests of FibroGen International (Hong Kong) Ltd. (“FibroGen International”) to AstraZeneca Treasury Limited. The transaction is expected to close by mid-2025, and is subject to customary closing conditions and closing deliverables. Until closing, the collaboration agreement with AstraZeneca, and associated reimbursement of our development costs, will remain in effect.</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current agreements with Astellas and AstraZeneca provide them with the right to terminate their agreements with us upon the occurrence of negative clinical results, delays in the development and commercialization of our product candidates or adverse regulatory requirements or guidance. In addition, each of those agreements provides our partners the right to terminate any of those agreements upon written notice for convenience. The termination of any of our collaboration agreements would require us to fund and perform any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profit from the commercialization of roxadustat could suffer.</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instance, the AstraZeneca U.S./RoW Agreement was terminated on February 23, 2024 (except for South Korea). Although our ongoing collaboration agreement with AstraZeneca for the development and commercialization of roxadustat for the treatment of anemia in China (the “AstraZeneca China Agreement”) continues through closing of the Share Purchase Agreement, this eliminates any additional potential milestones or other payments AstraZeneca would have made under the AstraZeneca U.S./RoW Agreement except for potentially in South Korea. The likelihood receiving such payments was remote due to our withdrawal of the U.S. new drug application for chronic kidney disease (“CKD”) anemia. And while we are now investigating new licensing opportunities for roxadustat, there can be no assurance that we will find such a partner or be able to agree to a license on reasonable terms.</w:t>
      </w:r>
    </w:p>
    <w:p>
      <w:pPr>
        <w:spacing w:after="0" w:line="17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if our collaboration partners are unsuccessful in their commercialization efforts (particularly in Europe and China), our results will be negatively affected.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3" w:name="page34"/>
    <w:bookmarkEnd w:id="33"/>
    <w:p>
      <w:pPr>
        <w:ind w:right="20"/>
        <w:spacing w:after="0" w:line="254" w:lineRule="auto"/>
        <w:rPr>
          <w:sz w:val="20"/>
          <w:szCs w:val="20"/>
          <w:color w:val="auto"/>
        </w:rPr>
      </w:pPr>
      <w:r>
        <w:rPr>
          <w:rFonts w:ascii="Times New Roman" w:cs="Times New Roman" w:eastAsia="Times New Roman" w:hAnsi="Times New Roman"/>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Certain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and other institutions and third parties, including the principal investigators and their staff, to carry out our clinical trials, as well as, investigator-sponsored trials in accordance with GCP, clinical protocols, and designs. We also rely on a number of third-party CROs or other third parties to assist in undertaking, managing, monitoring, imaging and testing, and otherwise executing our ongoing clinical trials. We expect to continue to rely on CROs, clinical data management organizations, medical institutions, clinical investigators, and other third parties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cGMP, and good laboratory practices requirements can occur through periodic inspections of trial sponsors, principal investigators, and trial sites.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ensure the quality and accuracy of our data remains uncompromised and reliable, our third-party service providers and clinical investigators or clinical partners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do not have operating manufacturing facilities at this time other than our roxadustat manufacturing facility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5" w:lineRule="exact"/>
        <w:rPr>
          <w:sz w:val="20"/>
          <w:szCs w:val="20"/>
          <w:color w:val="auto"/>
        </w:rPr>
      </w:pPr>
    </w:p>
    <w:p>
      <w:pPr>
        <w:ind w:left="520" w:right="16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4" w:name="page35"/>
    <w:bookmarkEnd w:id="34"/>
    <w:p>
      <w:pPr>
        <w:ind w:left="520" w:right="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for FibroGen to meet timing and volume obligations to Astellas or other partners due to insufficient resources.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 Furthermore, premature termination of third-party manufacturers may result in additional cost burden for FibroGen.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shortfalls, delays, or excesses in manufacturing.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other manufacturers in the event that we have to manufacture lower volumes or not at all depending on the results of our clinical trials. We may be subject to payments to other third-party manufacturers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also be additional delays in importing or exporting products, intermediates, or raw materials between countries.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Entering into new long-term commercial supply arrangements on commercially reasonable terms, could take significant time or may not be possible.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 (“API”), and drug product to meet our and our collaboration partners’ needs to date, the lead-time and regulatory approvals required to source from and into countries outside of the U.S. increase the risk of delay and potential shortages of supply.</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one of our suppliers, Catalent, was recently acquired by a private company, which could add additional risk to our ability to manufacture at such supplier, including entering into new or extended agreements with this supplier.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and exclusively licensed technologies are not adequate, we may not be able to compete effectively in our market.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be involved in initiating legal or administrative proceedings involving the product candidates and intellectual property of our competitors. Moreover, we are, have been, and may in the future be involved in legal proceedings initiated by third parties involving our intellectual property. These proceedings can result in significant costs and commitment of management time and attention, and there can be no assurance that our efforts would be successful in preventing or limiting the ability of our competitors to market competing products or defending our intellectual property.</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Biotechnology and pharmaceutical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w:t>
      </w:r>
    </w:p>
    <w:p>
      <w:pPr>
        <w:spacing w:after="0" w:line="189"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color w:val="auto"/>
        </w:rPr>
        <w:t>Intellectual property protecting our roxadustat product is either being challenged or will expire at various times in the coming years, raising the possibility of generic competition. The China Health Authority has approved eight generic forms of our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w:t>
      </w:r>
      <w:r>
        <w:rPr>
          <w:rFonts w:ascii="SimSun" w:cs="SimSun" w:eastAsia="SimSun" w:hAnsi="SimSun"/>
          <w:sz w:val="18"/>
          <w:szCs w:val="18"/>
          <w:color w:val="auto"/>
        </w:rPr>
        <w:t>爱瑞卓</w:t>
      </w:r>
      <w:r>
        <w:rPr>
          <w:rFonts w:ascii="Times New Roman" w:cs="Times New Roman" w:eastAsia="Times New Roman" w:hAnsi="Times New Roman"/>
          <w:sz w:val="18"/>
          <w:szCs w:val="18"/>
          <w:color w:val="auto"/>
        </w:rPr>
        <w:t>®, roxadustat) for marketing in China. The introduction of generic competition for a patented branded medicine typically results in a significant and rapid reduction in net sales and operating income for the branded product because generic manufacturers typically offer their unpatented versions at sharply lower prices. Such competition can occur after successful challenges to intellectual property rights or the regular expiration of the term of the patent or other intellectual property rights. Such competition can also result from a Declaration of Public Interest or the compulsory licensing of our drugs by governments, or from a general weakening of intellectual property laws in certain countries around the world. In addition, generic manufacturers sometimes take an aggressive approach to challenging intellectual property rights, including conducting so-called “launches at risk” of products that are still under legal challenge for infringement before final resolution of legal proceedings.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pending the sale of FibroGen International (Hong Kong) Ltd. to AstraZeneca Treasury Limited,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may be costly, time consuming, and may negatively affect our competitive position.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w:t>
      </w:r>
    </w:p>
    <w:p>
      <w:pPr>
        <w:spacing w:after="0" w:line="16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FG-3246 (in conjunction with our PET imaging agent FG-3180).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Third parties have challenged and may again challenge our patents and patent applications. In particular, patent challenges have been filed against our crystal form patents in Europe and China, and against our photostable formulations patent in Europe. In Europe, our European Patent No. 3470397 (the “`397 Patent”), which claims formulations comprising the commercial crystalline form of roxadustat was upheld in opposition, the opponents have appealed the decision in this case. Our European Patent No. 3003284 (the “`284 Patent”), which claims photostable formulations of roxadustat, was recently revoked on appeal by the opponents, with no further right to appeal available to us.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For example, in China, we have had substantial difficulty effectively maintaining, prosecuting and enforcing our intellectual property rights. As we have experienced in multiple jurisdictions,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520" w:right="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our product candidates.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our product candidates we may discover, in-license or acquire and seek to develop in the future, will not obtain regulatory approval in any particular jurisdiction or indication.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9" w:name="page40"/>
    <w:bookmarkEnd w:id="39"/>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19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8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spacing w:after="0" w:line="15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Outside the U.S., laws, regulations, and industry standards govern data privacy and security. For example, the European Union’s General Data Protection Regulation (“EU GDPR”), the United Kingdom’s GDPR, Brazil’s General Data Protection Law (Lei Geral de Proteção de Dados Pessoais) (Law No. 13,709/2018), and China’s Personal Information Protection Law (“PIPL”) impose strict requirements for processing personal data, including health-related information. For example, under the EU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are subject to new and emerging data privacy regimes in Asia, including China’s PIPL, Japan’s Act on the Protection of Personal Information, and Singapore’s Personal Data Protection Act.</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companies that transfer personal data out of the European Economic Area and the United Kingdom to other jurisdictions are subject to scrutiny from regulators, individual litigants, and activities groups.</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planning to bring artificial intelligence (“AI”) into our IT platforms and services. However, our competitors might integrate AI faster or more effectively than us, which could put us at a disadvantage. Additionally, if AI helps create content, analyses, or recommendations that turn out to be flawed or biased, or even just perceived that way, it could hurt our business and financial health. AI can also lead to cybersecurity issues, potentially exposing personal data of users. Such incidents could damage our reputation and affect our performance. As AI technology rapidly evolves, and with the possibility of new regulations, we may need additional resources to ensure we use AI responsibly and ethically to avoid unforeseen negative consequences. Governments have passed and are likely to pass additional laws regulating generative AI. Our use of this technology could result in additional compliance costs, regulatory investigations and actions, and lawsuits.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resources and may necessitate changes to our services, information technologies, systems, and practices and to those of any third parties that process personal data on our behalf.</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require us to maintain costly compliance programs.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it may result in material misstatements in our financial statements.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 In addition, if our internal control over financial reporting is deemed ineffective, efforts required to remediate an ineffective system of control over financial reporting may place a significant burden on management and add increased pressure on our financial resources and processes.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U.S. healthcare reform may adversely affect our business model.</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Healthcare reform in the U.S. in the future may include changes to Prescription Drug User Fee Act (PDUFA) funding, or other actions that impact FDA programs or personnel funded by user fees. If user fees are cut or eliminated, or if personnel funded by user fees are terminated at FDA, the result could increase uncertainty on review timelines or extend FDA review timelines (e.g., NDAs, Biologics License Applications), which can result in delays for regulatory action and adversely impact drug development timelines.</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on February 14, 2023, HHS released a report outlining three new models for testing by the Centers for Medicare &amp; Medicaid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improper activities, which could result in significant liability or harm our reputation.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data privacy and security laws protecting personal data;</w:t>
      </w:r>
    </w:p>
    <w:p>
      <w:pPr>
        <w:spacing w:after="0" w:line="117"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or safety laws and regulations, we could incur fines, penalties or other costs.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consummate the sale of FibroGen International to AstraZeneca Treasury Limited, the trading price of our common stock and our business may be harmed.</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consummation of the sale of FibroGen International is subject to the satisfaction or waiver of various customary closing conditions, including the receipt of regulatory approval from the China State Administration for Market Regulation. We cannot guarantee that the closing conditions set forth in the Share Purchase Agreement will be satisfied and if we are unable to satisfy the closing conditions, AstraZeneca Treasury Limited will not be obligated to purchase FibroGen International. In the event that the sale is not completed, the announcement of the termination of the Share Purchase Agreement may adversely affect the trading price of our common stock and our business, including that we will not have sufficient liquidity to continue operations in the U.S. for twelve months from the date of this Annual Report and will not be able to comply with our debt covenant under our senior secured term loan facilities that requires a minimum of $30 million of unrestricted cash and cash equivalents to be held in accounts in the U.S. In addition, if the sale of FibroGen International to AstraZeneca Treasury Limited is not completed, our Board of Directors, may evaluate other strategic alternatives with respect to FibroGen International, if any are available, which alternatives may not be as favorable to our stockholders as the proposed sale to AstraZeneca Treasury Limited, and may not result in any definitive transaction or enhance stockholder value.</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operations in China and there are a number of risks associated with international operations could materially and adversely affect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pandemics.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China relations, as well as relations with other countries, and/or regulations may adversely impact our business.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5" w:name="page46"/>
    <w:bookmarkEnd w:id="45"/>
    <w:p>
      <w:pPr>
        <w:ind w:right="40"/>
        <w:spacing w:after="0" w:line="261" w:lineRule="auto"/>
        <w:rPr>
          <w:sz w:val="20"/>
          <w:szCs w:val="20"/>
          <w:color w:val="auto"/>
        </w:rPr>
      </w:pPr>
      <w:r>
        <w:rPr>
          <w:rFonts w:ascii="Times New Roman" w:cs="Times New Roman" w:eastAsia="Times New Roman" w:hAnsi="Times New Roman"/>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280" w:lineRule="exact"/>
        <w:rPr>
          <w:sz w:val="20"/>
          <w:szCs w:val="20"/>
          <w:color w:val="auto"/>
        </w:rPr>
      </w:pPr>
    </w:p>
    <w:p>
      <w:pPr>
        <w:jc w:val="both"/>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our own manufacturing facility in China to produce roxadustat drug product for the market in China. There are risks inherent to operating commercial manufacturing facilities, and we may not be able to continually meet market demand.</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obligated to comply with cGMP requirements but there can be no assurance that we will maintain all of the appropriate licenses required to manufacture our product candidates for clinical and commercial use in China. In addition to our product suppliers, we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but there can be no assurance that our efforts will continue to be successful in meeting these requirements.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facility. Certain equipment, records and other materials located in these facilities would be difficult to replace or would require substantial replacement lead-time that would impact our ability to successfully commercialize our product candidates in China.</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of manufacturing disruption due to geopolitical tensions in China and related to U.S. legislation impacting WuXi AppTec and WuXi Biologics.</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and companies that do business with WuXi Biologics. Shanghai SynTheAll Pharmaceutical Co., Ltd. (“WuXi STA”), our supplier of roxadustat drug substance, is also included in this legislation since it is a branch of WuXi Apptec. This can impact the FG-3246 program as we source the linker and payload from WuXi STA and we manufacture antibody, antibody drug conjugate drug substance and antibody drug conjugate drug product at WuXi Biologics. This legislation is being developed and it is possible that the content in the legislation continues to change prior to becoming law. There are also risks that new legislation comes up in the future that imposes further restrictions on our ability to source FG-3246 from WuXi Biologics and WuXi STA for U.S. based clinical and commercial demand. This legislation may prevent us from launching FG-3246 in the U.S. or conducting clinical trials after the period specified in the legislation. This may also force us to consider alternative suppliers for which additional time, money and resources may be required without a guarantee of producing comparable product in a timely fashion. The occurrence of any such event could materially and adversely affect our business, financial condition, results of operations, timing of supply deliveries, cash flows and prospects.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successfully growing and sustaining sales of roxadustat in China.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Pending the sale of FibroGen International to AstraZeneca Treasury Limited,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Roxadustat’s recent inclusion in the 2023 National Reimbursement Drug List came with a limited 7% price reduction. Such reimbursement pricing for China is effective for a standard two-year period (between January 1, 2024, and December 31, 2025). The China Health Authority has since accepted abbreviated NDAs for over 20 generics roxadustat applicants and approved eight for marketing in China. Given that the requisite number (four or more) generics have been approved in China, there is a substantial risk of roxadustat being subject to the country’s volume-based purchasing (“VBP”) program whereby a national tender could be called. We expect this to occur in the first half of 2025. If a tender is called for roxadustat, our access to the China market as the originator drug would be significantly impacted and our price would be further reduced, resulting in significant reductions in the topline revenue for roxadustat.</w:t>
      </w:r>
    </w:p>
    <w:p>
      <w:pPr>
        <w:spacing w:after="0" w:line="1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Sales of roxadustat in China may also be limited due to the complex nature of the healthcare system, low average personal income, pricing controls, still developing infrastructure, and potentially rapid competition from other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will be subject to pricing control in China and elsewhere.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of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are unpredictable, which may cause potential revenues from the sales of roxadustat to fluctuate from period to period.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Pending the sale of FibroGen International to AstraZeneca Treasury Limited, 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2024, approximately $51.7 million of our cash and cash equivalents is held in China, which was included in the held for sale assets in the consolidated balance sheet, that we will have access to the entirety of it upon the close of the sale of FibroGen International to AstraZeneca Treasury Limited.</w:t>
      </w:r>
    </w:p>
    <w:p>
      <w:pPr>
        <w:spacing w:after="0" w:line="2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as well as our partner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operations in Japan and Europe, which could adversely affect our financial performance.</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proposed to increase the U.S. corporate income tax rate from 21%, increase the U.S. taxation of our international business operations and impose a global minimum tax, although the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and regulations could have a material adverse effect on us.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governmental, or social conditions could have a material adverse effect on our business.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Chinese requirements, approvals or permissions in the future.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 to the China legal system and regulations could have a material adverse effect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There can be no assurance that we will not be subject to new or changing requirements, approvals or permissions in the future in order to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Pending the sale of FibroGen International to AstraZeneca Treasury Limited, 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China legal system and regulations could have a material adverse effect on us.</w:t>
      </w:r>
      <w:r>
        <w:rPr>
          <w:rFonts w:ascii="Times New Roman" w:cs="Times New Roman" w:eastAsia="Times New Roman" w:hAnsi="Times New Roman"/>
          <w:sz w:val="18"/>
          <w:szCs w:val="18"/>
          <w:color w:val="auto"/>
        </w:rPr>
        <w:t>” If in the future the Chinese government determines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with two lead product candidates in clinical development, roxadustat for chemotherapy-induced anemia in China, potentially anemia in lower-risk myelodysplastic syndromes in the U.S. and elsewhere, and FG-3246 (in conjunction with our PET imaging agent FG-3180) for metastatic castration-resistant prostate cancer. Most of our revenue generated to date has been based on our collaboration agreements. We continue to incur significant research and development and other expenses related to our ongoing operations. Our net loss for the years ended December 31, 2024 and 2023 were $47.6 million and $284.2 million, respectively. As of December 31, 2024, we had an accumulated deficit of $1.9 billion. As of December 31, 2024, we had capital resources from cash and cash equivalents of $50.5 million for our continuing operations. In addition, as of December 31, 2024, we had $51.7 million of cash and cash equivalents and $18.4 million of accounts receivable in China, which were included in the held for sale assets in the consolidated balance sheet. We will have access to the entirety of the cash, cash equivalents, and accounts receivable balances in China upon the close of the sales of FibroGen International to AstraZeneca Treasury Limited.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Furthermore, upon closing of the sale of FibroGen International to AstraZeneca Treasury Limited, we will not be due any royalty, development or milestone payments under the AstraZeneca China Agreement.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our clinical development efforts.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If we are unable to complete the sale of FibroGen International, access additional cash from our China operations, or raise additional capital in the U.S., we will not have sufficient liquidity to continue operations in the U.S. for the twelve months from the date of this Annual Report and will not be able to comply with our debt covenant under our senior secured term loan facilities that requires a minimum balance of $30 million of unrestricted cash and cash equivalents to be held in accounts in the U.S. Upon an event of default, our senior secured term loan facilities could become immediately due and payable. We have evaluated measures to access additional cash from our China operations and we believe the sale of FibroGen International represents the most efficient way to access the entirety of our cash from China upon closing of the transaction. There is also the potential that we raise additional funds in the U.S. at any time through equity, equity-linked, or debt financing arrangements or from other sources. There can be no assurances that these plans will be successful. As a result of these factors, we have determined that there is substantial doubt about our ability to continue as a going concern within 12 months after the date that the financial statements are issued.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8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we could delay, reduce or eliminate research and development programs, product portfolio development or future commercialization efforts which could adversely affect our business prospects.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an impairment of our long-lived assets, which could adversely affect our financial performance.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6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November 2022, we entered into a $50 million RIFA financing with NovaQuest with respect to our revenues from Astellas’ sales of roxadustat in Europe, Japan and the other Astellas territories.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April 2023, we entered into a financing agreement (“Financing Agreement”) with a $75 million senior secured term loan with investment funds managed by Morgan Stanley Tactical Value, as lenders, and Wilmington Trust, National Association, as the administrative agent.</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Financing Agreement with Morgan Stanley Tactical Value requires us to maintain a minimum balance of $30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spacing w:after="0" w:line="18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these financing transactions, see Note 9,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Liability Related to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 the condensed consolidated financial statements.</w:t>
      </w:r>
    </w:p>
    <w:p>
      <w:pPr>
        <w:spacing w:after="0" w:line="16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obligations under these financing transactions could have significant negative consequences for our shareholders, and our business, results of operations and financial condition by, among other things:</w:t>
      </w:r>
    </w:p>
    <w:p>
      <w:pPr>
        <w:spacing w:after="0" w:line="5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non-dilutive financing or enter into collaboration or partnership agreements of a certain size;</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debt, the risks described above could increase. A default in one of such agreements could trigger a default in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risks would negatively impact our ability to operate our business and obtain additional debt or equity financing on favorable terms.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recent revenue has been earned through our roxadustat collaborations.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either our Astellas collaboration or our AstraZeneca China collaboration were to be terminated, we could have a sudden decrease of revenue and require significant additional capital in order to help fund our operations. If adequate funds or partners are not available to us on a timely basis or on favorable terms, we may be required to delay, limit, reduce or terminate development or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senior management and key personnel could adversely affect our business.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August 2024, we approved a reduction to our U.S. workforce of approximately 75% to lower our operating expenses, causing the loss of senior management and employees with valuable skills, experience, and productivity. If we are unable to continue to attract and retain personnel with the quality and experience necessary to advance the development of our product candidates, our ability to pursue our strategy will be limited and our business and operations would be adversely affected.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 There is also significant competition, in particular in the San Francisco Bay Area, for the hiring of experienced and qualified personnel, which increases the importance of retention of our existing personnel.</w:t>
      </w:r>
    </w:p>
    <w:p>
      <w:pPr>
        <w:spacing w:after="0" w:line="29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5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example, we and certain of our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While the Securities Class Action Litigation has been settled, we intend to vigorously defend the claims made in the Derivative Litigation; however, the outcome of these matters cannot be predicted.</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4" w:name="page55"/>
    <w:bookmarkEnd w:id="54"/>
    <w:p>
      <w:pPr>
        <w:ind w:right="80"/>
        <w:spacing w:after="0" w:line="261" w:lineRule="auto"/>
        <w:rPr>
          <w:sz w:val="20"/>
          <w:szCs w:val="20"/>
          <w:color w:val="auto"/>
        </w:rPr>
      </w:pPr>
      <w:r>
        <w:rPr>
          <w:rFonts w:ascii="Times New Roman" w:cs="Times New Roman" w:eastAsia="Times New Roman" w:hAnsi="Times New Roman"/>
          <w:sz w:val="18"/>
          <w:szCs w:val="18"/>
          <w:color w:val="auto"/>
        </w:rPr>
        <w:t>The claims raised in these lawsuits may result in further legal matters or actions against us, including, but not limited to, government enforcement actions or additional private litigation. In the fourth quarter of 2021, we received a subpoena from the SEC requesting documents related to roxadustat’s pooled cardiovascular safety data. The SEC followed up with a subpoena for additional documents in the second quarter of 2024. We have been fully cooperating with the SEC’s investigation and are currently discussing a potential resolution.</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additional similar demands.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18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have to limit commercial operations.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withdrawals or labeling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231F20"/>
        </w:rPr>
        <w:t xml:space="preserve">In particular, severe ransomware attacks are becoming increasingly prevalent and can lead to significant interruptions in our operations, loss of </w:t>
      </w:r>
      <w:r>
        <w:rPr>
          <w:rFonts w:ascii="Times New Roman" w:cs="Times New Roman" w:eastAsia="Times New Roman" w:hAnsi="Times New Roman"/>
          <w:sz w:val="18"/>
          <w:szCs w:val="18"/>
          <w:color w:val="000000"/>
        </w:rPr>
        <w:t xml:space="preserve">confidential, proprietary, and </w:t>
      </w:r>
      <w:r>
        <w:rPr>
          <w:rFonts w:ascii="Times New Roman" w:cs="Times New Roman" w:eastAsia="Times New Roman" w:hAnsi="Times New Roman"/>
          <w:sz w:val="18"/>
          <w:szCs w:val="18"/>
          <w:color w:val="231F20"/>
        </w:rPr>
        <w:t>sensitive data and income, reputational harm, and diversion of funds. While it is possible that extortion payments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alleviate the negative impact of a ransomware attack, we may be unwilling or unable to make such payments.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If our third-party service providers experience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third party service providers may be exposed to natural disasters and other catastrophes.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third party service providers, who we rely on for critical support functions, may be exposed to significant risks from natural disasters and other catastrophic events, including earthquakes, power outages, and unforeseen disruptions. Many of these providers are in regions prone to earthquakes and fires, such as the San Francisco Bay Area. These risks could severely impact their operations, infrastructures, or abilities to deliver services, which could in turn disrupt our business continuity and have a material adverse effect on our operations and financial results. Although we have conducted comprehensive risk assessments, the vulnerability of our third-party partners to these events remains a significant risk, particularly as many operate from single sites with limited disaster recovery capabilities. Their inability to recover promptly from such events could result in service delays or interruptions, leading to operational challenges, and increased costs for us.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price volatility and may continue to be volatile. For example, during the year ended December 31, 2024, the closing price of our common stock on the Nasdaq Global Select Market has ranged from $0.29 per share to $2.73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9"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 as well as, investigator-sponsored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our common stock would be delisted due to not meeting the Nasdaq price requirement.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previously disclosed, on September 12, 2024, FibroGen received a letter from the Nasdaq Listing Qualifications Staff of the Nasdaq Stock Market notifying FibroGen that for 30 consecutive business days the bid price of FibroGen’s common stock had closed below $1.00 per share, the minimum closing bid price required by the continued listing requirements of Nasdaq listing rule 5450(a)(1) (the “Rule”). Therefore, in accordance with the Nasdaq listing rules, FibroGen was provided 180 calendar days, or until March 11, 2025 to regain compliance with the minimum bid price rule.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2025, FibroGen received written notice from Nasdaq notifying FibroGen that it did not regain compliance with the Rule and, unless the Company requested an appeal of this determination, is subject to delisting from the Nasdaq Global Select Market at the opening of business on March 21, 2025.</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March 14, 2025, FibroGen appealed this determination and therefore such delisting has been stayed. Our common stock will remain listed on the Nasdaq pending the ruling by the Nasdaq Hearings Panel.</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we will be successful in our appeal at the Nasdaq Hearings Panel and therefore be eligible for an additional 180-day period to regain compliance with the minimum bid price. We also believe we will be able to regain compliance with the Rule and cure the minimum bid price deficiency, including by effecting a reverse stock split, if necessary.</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However, there can be no assurance that our appeal to the Hearings Panel will be successful or that we will regain compliance with the minimum bid price rule or maintain compliance with the other listing requirements within the above timelines, or if it is necessary for us to effect a reverse stock split in order for us to regain compliance with the minimum bid price rule we may fail to do so, in which case our common stock may be delisted.</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Delisting from the Nasdaq Global Select Market or any Nasdaq market could make trading our common stock more difficult for investors, potentially leading to declines in our share price and liquidity. In addition, 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 If our common stock is delisted, it may come within the definition of “penny stock” as defined in the Exchange Act, and would be covered by Rule 15g-9 of the Exchange Act. That rule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us may make our common stock less attractive to investors.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and we are therefore eligible for certain provisions of the Exchange Act, including only being required to provide two years of audited financial statements and reduced disclosure obligations regarding executive compensation in our periodic reports and proxy statements. If some investors find our common shares less attractive as a result of our reliance on these reduced disclosure obligations, there may be a less active trading market for our common shares and our price of our common shares may be more volatile.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dilute stockholders and harm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68"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5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right="2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60" w:name="page61"/>
    <w:bookmarkEnd w:id="60"/>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16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IRC Section 382. We would undergo an ownership change if, among other things, the stockholders who own, directly or indirectly, 5% or more of our common stock, or are otherwise treated as “5% shareholders” under Section 382 of the U.S. Internal Revenue Code and the regulations promulgated thereunder, increase their aggregate percentage ownership of our stock by more than 50 percentage points over the lowest percentage of the stock owned by these stockholders at any time during the testing period, which is generally the three-year period preceding the potential ownership change. In the event of an ownership change, Section 382 of the U.S. Internal Revenue Code imposes an annual limitation on the amount of taxable income a corporation may offset with NOL carryforwards. The annual limitation is generally equal to the value of the stock of the corporation immediately before the ownership change, multiplied by the long-term tax-exempt rate for the month in which the ownership change occurs (the long-term tax-exempt rate for March 2015 is 2.67%). Any unused annual limitation may generally be carried over to later years until the NOL carryforwards expire. The Company performed an IRC Section 382 analysis and do not believe there were ownership changes as of December 31, 2024. Thus, IRC Section 382 will not limit the use of our net operating loss and tax credit carryforwards. We continue to monitor trading activities in our shares which could cause ownership change in future years.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or other trade policy changes could harm our business.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Changes in trade policies, tariffs, and geopolitical tensions may impact our business, supply chain, and costs of operations. Governments worldwide, including the U.S. and key trade partners like China, have imposed and may continue to impose tariffs, export controls, trade restrictions, and other measures that could impact our supply chain and our costs of doing business. If we are impacted by the changing trade relations between the U.S. and other countries, our business and results of operations may be negatively impacted.</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plan to pay dividends. Capital appreciation will be your sole possible source of gain, which may never occur.</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or our share price could be negatively affected as a result of shareholder proposals or actions.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and Responsibilities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Board of Directors recognizes that cybersecurity represents an important component of the Company's overall enterprise risk management (“ERM”). Throughout the year, our Board of Directors and its Committees engage with management to discuss and mitigate a wide range of enterprise risks, including cybersecurity.</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seek to mitigate cybersecurity risks through a cross-functional approach, including our Cybersecurity Committee, focused on preserving the confidentiality, security, and availability of the information that the Company collects and stores by identifying, preventing and mitigating cybersecurity threats and effectively responding to and remediating cybersecurity incidents as and if they occur.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Cybersecurity Committee is comprised of information technology, finance, legal, human resources and data privacy employees. It meets regularly to review and oversee the Company’s data security programs, policies, and strategies, including with respect to cybersecurity risk mitigation, business continuity, and business resiliency. Our Cybersecurity Committee (along with the Chief Financial Officer and General Counsel) also reviews, analyzes, and responds to cybersecurity incidents and breaches.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Audit Committee of the Board of Directors has the responsibility to review and discuss with management the Company’s guidelines, policies, and governance with respect to financial risk exposures and enterprise risk management (including with respect to cybersecurity) and to regularly report to the full Board. Our Audit Committee also oversees our internal audit department and management’s internal controls over financial reporting, including with respect to cybersecurity. Our Audit Committee receives regular presentations and reports on cybersecurity risks, progress on continued updates to The Company’s cybersecurity procedures, as well as is made aware, on a timely basis, of any cybersecurity incidents deemed significant enough to be raised to their attention by management, as well as ongoing updates regarding any such incident until it has been remediated.</w:t>
      </w:r>
    </w:p>
    <w:p>
      <w:pPr>
        <w:spacing w:after="0" w:line="18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Our head of Information Technology (“IT”) oversees overall cybersecurity management and implements our cybersecurity programs with the IT group, including appropriate risk mitigation strategies, systems, processes, and controls and provides periodic reports to our Audit Committee at least semi-annually. The head of IT holds a Masters in Computer Information Systems and a Bachelor of Science degree in Microbiology, and has served in leadership roles within the pharmaceutical and biotechnology industries for over 25 years, including leading enterprise-wide cybersecurity strategies, regulatory compliance programs, and IT transformation initiatives at leading biopharmaceutical companies. The head of IT has expertise spanning cybersecurity governance, risk management, cloud security, AI-driven cybersecurity enhancements, infrastructure modernization, and enterprise-wide IT resilience. The head of IT plays a key role in aligning cybersecurity frameworks with industry regulations such as SOC compliance, SOX, GxP, and data privacy standards, ensuring a secure and compliant IT environment to support business objectives.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periodically assess and test our cybersecurity procedures. We identify and assess material risks from cybersecurity threats by engaging outside advisors and experts to identify, anticipate, and assess future threats and trends, to perform assessments on our cybersecurity risk and measures to mitigate such risk, including information security maturity assessments of our information security control environment. The results of such assessments and reviews are reported as appropriate to the Cybersecurity Committee and Audit Committee, and we adjust our cybersecurity procedures as necessary based on the information provided by these assessments and reviews.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Technical Safeguards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continually invest in information and cybersecurity services and technologies. Technical safeguards are designed to protect the Company's information systems from cybersecurity threats, including firewalls, continuous intrusion detection and response system(s), data leak prevention strategies, enhanced email protection software, antimalware functionality and access controls. These safeguards are evaluated and improved through periodic assessments and review of cybersecurity threat intelligence. We rely on third parties to support its cybersecurity program, including but not limited to email security management, security operations and vulnerability management.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 Response and Recovery Planning</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incident response and data recovery plans that address our response to a cybersecurity incident. Our Cybersecurity Committee and members of the Cyber Security Incident Response Team (which contains additional information technology specialists) regularly test and evaluate the effectiveness of these incident response and data recovery plans. In addition to the incident detection safeguards described above, our cybersecurity policy requires employees and third party vendors to report any and all cybersecurity incidents to our IT department.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maintain a risk-based approach to identifying and overseeing cybersecurity risks presented by third parties, including vendors, service providers and other external users of the Company’s systems, as well as the systems of third parties that could materially impact our business in the event of a cybersecurity incident affecting those third-party systems. Depending on the nature of the services provided, we may conduct different amounts of diligence into the cybersecurity practices of the third party, monitor the third party for cybersecurity issues, and impose contractual obligations relating to privacy and cybersecurity onto the third party.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provide regular (at least annual) training for personnel regarding cybersecurity threats to equip our personnel with effective tools to address cybersecurity threats, and to communicate the Company's evolving information security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Cybersecurity Risk Posture</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an additional description of the risks from cybersecurity threats that may materially affect the Company, see “Risk Factors” in this Annual Report on Form 10-K, including “ 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lease approximately 67,000 square feet of office and manufacturing space in Beijing, China, and multiple office spaces in Beijing and Shanghai, China. Our leases in China expire in 2026. We have decommissioned our API manufacturing facility in Cangzhou, China, and intend to manufacture API for China at WuXi STA. We believe our facilities are adequate for our current needs and that suitable additional or substitute space would be available if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legal proceedings in our consolidated balance sheet as of December 31, 2024, except for the class action settlement, as we could not predict the ultimate outcome of these matters, or reasonably estimate any possible loss or range of loss. For a discussion of our legal proceedings,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February 28, 2025, there were 93 registered stockholders of record for our common stock. This number of registered stockholders does not include stockholders whose shares are held in street names by brokers and other nominees, or may be held in trust by other entities. Therefore, the actual number of stockholders is greater than this number of registered stockholders of record.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and other financial information included in Item 8 of this Annual Report on Form 10-K for the year ended December 31, 2024 (“Annual Report”).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“Forward-Looking Statements” and ““Risk Factors” sections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Unless noted otherwise, this management’s discussion and analysis relates solely to our continuing operations and does not reflect the operations results of FibroGen International (defined below), which is reflected as discontinued operations in our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FibroGen, Inc. (“FibroGen” or the “Company”) is a biopharmaceutical company focused on development of novel therapies at the frontiers of cancer biology and anemia.</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developing FG-3246, a potential first-in-class antibody-drug conjugate targeting CD46, for the treatment of metastatic castration-resistant prostate cancer and potentially other cancers. This program also includes the development of FG-3180, an associated CD46-targeted positron emission tomography (“PET”) biomarker and imaging agent.</w:t>
      </w:r>
    </w:p>
    <w:p>
      <w:pPr>
        <w:spacing w:after="0" w:line="183" w:lineRule="exact"/>
        <w:rPr>
          <w:sz w:val="20"/>
          <w:szCs w:val="20"/>
          <w:color w:val="auto"/>
        </w:rPr>
      </w:pPr>
    </w:p>
    <w:p>
      <w:pPr>
        <w:jc w:val="both"/>
        <w:ind w:right="320"/>
        <w:spacing w:after="0" w:line="229" w:lineRule="exact"/>
        <w:rPr>
          <w:sz w:val="20"/>
          <w:szCs w:val="20"/>
          <w:color w:val="auto"/>
        </w:rPr>
      </w:pPr>
      <w:r>
        <w:rPr>
          <w:rFonts w:ascii="Times New Roman" w:cs="Times New Roman" w:eastAsia="Times New Roman" w:hAnsi="Times New Roman"/>
          <w:sz w:val="18"/>
          <w:szCs w:val="18"/>
          <w:color w:val="auto"/>
        </w:rPr>
        <w:t>We and our collaboration partners have developed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currently approved in the People’s Republic of China (“China”), Europe, Japan, and numerous other countries for the treatment of anemia in chronic kidney disease (“CKD”) patients on dialysis and not on dialysis.</w:t>
      </w:r>
    </w:p>
    <w:p>
      <w:pPr>
        <w:spacing w:after="0" w:line="20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February 2025, we entered into a share purchase agreement (the “Share Purchase Agreement”) with AstraZeneca Treasury Limited pursuant to which we and our subsidiary FibroGen China Anemia Holdings, Ltd. agreed to sell all of the issued and outstanding equity interests of FibroGen International (Hong Kong) Ltd. (“FibroGen International”) to AstraZeneca Treasury Limited. AstraZeneca AB (“AstraZeneca”) is our long-time commercialization partner for roxadustat in greater China and South Korea. This sale includes all of our roxadustat assets in China, including FibroGen International’s subsidiary FibroGen (China) Medical Technology Development Co., Ltd and its 51.1% interest in Beijing Falikang Pharmaceutical Co. Ltd. (“Falikang”). The transaction is expected to close by mid-2025, and is subject to customary closing conditions and closing deliverables, including receipt of regulatory approval from the China State Administration for Market Regulation.</w:t>
      </w:r>
    </w:p>
    <w:p>
      <w:pPr>
        <w:spacing w:after="0" w:line="18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7"/>
          <w:szCs w:val="17"/>
          <w:color w:val="auto"/>
        </w:rPr>
        <w:t>We will retain the rights to roxadustat in the United States of America (“U.S.”), Canada, Mexico, and in all markets not held by AstraZeneca or licensed to Astellas Pharma Inc. (“Astellas”). Astellas is commercializing roxadustat (EVRENZO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in Europe and Japan to treat anemia under two development and commercialization license agreements: one for Japan, and one for Europe, the Commonwealth of Independent States, the Middle East and South Africa.</w:t>
      </w:r>
    </w:p>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continue to evaluate a development plan for roxadustat in anemia associated with lower-risk myelodysplastic syndrome, a high-value indication with significant unmet medical need.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40" w:type="dxa"/>
            <w:vAlign w:val="bottom"/>
            <w:gridSpan w:val="5"/>
          </w:tcPr>
          <w:p>
            <w:pPr>
              <w:jc w:val="right"/>
              <w:ind w:right="17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tcPr>
          <w:p>
            <w:pPr>
              <w:jc w:val="right"/>
              <w:ind w:right="9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tcPr>
          <w:p>
            <w:pPr>
              <w:jc w:val="right"/>
              <w:ind w:right="9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40" w:type="dxa"/>
            <w:vAlign w:val="bottom"/>
            <w:gridSpan w:val="5"/>
          </w:tcPr>
          <w:p>
            <w:pPr>
              <w:jc w:val="right"/>
              <w:ind w:right="1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2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180,037</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369,524</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340" w:type="dxa"/>
            <w:vAlign w:val="bottom"/>
          </w:tcPr>
          <w:p>
            <w:pPr>
              <w:spacing w:after="0"/>
              <w:rPr>
                <w:sz w:val="18"/>
                <w:szCs w:val="18"/>
                <w:color w:val="auto"/>
              </w:rPr>
            </w:pPr>
          </w:p>
        </w:tc>
        <w:tc>
          <w:tcPr>
            <w:tcW w:w="22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(153,098 )</w:t>
            </w:r>
          </w:p>
        </w:tc>
        <w:tc>
          <w:tcPr>
            <w:tcW w:w="46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(322,970 )</w:t>
            </w: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per share - basic and 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(1.53 )</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(3.32 )</w:t>
            </w:r>
          </w:p>
        </w:tc>
      </w:tr>
      <w:tr>
        <w:trPr>
          <w:trHeight w:val="418"/>
        </w:trPr>
        <w:tc>
          <w:tcPr>
            <w:tcW w:w="6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24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81,553</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shd w:val="clear" w:color="auto" w:fill="CFF0FC"/>
          </w:tcPr>
          <w:p>
            <w:pPr>
              <w:spacing w:after="0"/>
              <w:rPr>
                <w:sz w:val="18"/>
                <w:szCs w:val="18"/>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for the year ended December 31, 2024 primarily included the revenues recognized related to the following:</w:t>
      </w:r>
    </w:p>
    <w:p>
      <w:pPr>
        <w:spacing w:after="0" w:line="117" w:lineRule="exact"/>
        <w:rPr>
          <w:sz w:val="20"/>
          <w:szCs w:val="20"/>
          <w:color w:val="auto"/>
        </w:rPr>
      </w:pPr>
    </w:p>
    <w:p>
      <w:pPr>
        <w:ind w:left="520" w:right="1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million cumulative catch-up net adjustment in the drug product revenue, as a result of terminating the AstraZeneca U.S./RoW Agreement (as defined below), effective as of February 25, 2024 (“AstraZeneca Termination and Transition Agreement”), with the exception of South Korea.</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drug product revenue related to active pharmaceutical ingredient (“API”) deliveries to Astellas;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development revenue recognized under our collaboration agreements with our partners Astellas and AstraZeneca.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comparison, our revenue for the year ended December 31, 2023 primarily included the revenues recognized related to the following:</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of drug product revenue related to API deliveries to Astellas;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million of development revenue recognized under our collaboration agreements with our partners Astellas and AstraZeneca;</w:t>
      </w:r>
    </w:p>
    <w:p>
      <w:pPr>
        <w:spacing w:after="0" w:line="11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upfront payment, $3.0 million milestone payment based on Eluminex Biosciences (Suzhou) Limited (“Eluminex”) implanting a biosynthetic cornea in the first patient of its clinical trial in China and $3.0 million manufacturing related milestone payment, recognized under our license agreement and amendments with Eluminex;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regulatory milestone recognized under AstraZeneca China Agreement (defined further below) associated with the renewal of our right to continue to market roxadustat in China. Of this amount, $2.7 million was recognized as license revenue, $0.8 million was recognized as development revenue and the remainder was included in deferred revenue.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operating costs and expenses decreased $189.5 million for the year ended December 31, 2024 compared to the prior year as a result of the net effect of the following:</w:t>
      </w:r>
    </w:p>
    <w:p>
      <w:pPr>
        <w:spacing w:after="0" w:line="54" w:lineRule="exact"/>
        <w:rPr>
          <w:sz w:val="20"/>
          <w:szCs w:val="20"/>
          <w:color w:val="auto"/>
        </w:rPr>
      </w:pPr>
    </w:p>
    <w:p>
      <w:pPr>
        <w:ind w:left="520" w:right="48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 million lower clinical trial expenses primarily associated with the termination of pamrevlumab programs during the second half of 2024 responding to the topline clinical data results we reported in July 2024;</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 million lower employee-related expenses primarily due to the impact from reduction in force actions in August 2024 and July 2023, and cost control efforts;</w:t>
      </w:r>
    </w:p>
    <w:p>
      <w:pPr>
        <w:spacing w:after="0" w:line="53"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 million lower stock-based compensation primarily resulting from significantly lower stock price and cancellations of stock options and restricted stock units due to reduced headcount;</w:t>
      </w:r>
    </w:p>
    <w:p>
      <w:pPr>
        <w:spacing w:after="0" w:line="53"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million one-time, non-cash charge of acquired in-process research and development (“IPR&amp;D”) expenses, in the nine-month period in prior year, associated with the exclusive license for FG-3246 from Fortis Therapeutics, Inc. (“Fortis”) and the acquisition of Fortis;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ind w:left="520" w:right="80" w:hanging="512"/>
        <w:spacing w:after="0" w:line="312" w:lineRule="auto"/>
        <w:tabs>
          <w:tab w:leader="none" w:pos="5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$16.7 million lower facilities-related expenses due to cost control efforts and lower depreciation expense as certain property and equipment reached their useful lives in prior year period, offset by the loss on disposal of property and equipment associated with efforts to streamline operations;</w:t>
      </w:r>
    </w:p>
    <w:p>
      <w:pPr>
        <w:spacing w:after="0" w:line="31" w:lineRule="exact"/>
        <w:rPr>
          <w:rFonts w:ascii="Times New Roman" w:cs="Times New Roman" w:eastAsia="Times New Roman" w:hAnsi="Times New Roman"/>
          <w:sz w:val="17"/>
          <w:szCs w:val="17"/>
          <w:color w:val="auto"/>
        </w:rPr>
      </w:pPr>
    </w:p>
    <w:p>
      <w:pPr>
        <w:ind w:left="520" w:right="20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million lower outside services expenses due to termination of pamrevlumab programs, wind down of remaining obligations and cost control efforts;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lower drug development expenses associated with drug substance activities and logistic expenses related to pamrevlumab programs which were completed and terminated;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lower legal expenses primarily due to lower activities in corporate legal, legal proceedings and intellectual properties;</w:t>
      </w:r>
    </w:p>
    <w:p>
      <w:pPr>
        <w:spacing w:after="0" w:line="117"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million higher cost of goods sold mainly correspondingly to the above-mentioned drug product revenue resulting from the AstraZeneca Termination and Transition Agreement related to the AstraZeneca U.S./RoW Agreement, as defined further below;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higher restructuring charge recorded related to the reduction in force plan in August 2024 with larger scale as compared to the reduction in force plan in July 2023.</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were $95.7 million and $266.5 million for the years ended December 31, 2024 and 2023, respectively. Since inception and through December 31, 2024, we have incurred a total of approximately $3.3 billion in research and development expenses, a majority of which relates to the development of roxadustat, pamrevlumab, FG-3246 and other HIF-PH inhibitors. We expect to continue to incur significant expenses and operating losses over at least the next few years as we continue to make investments in research and development to advance our product candidate portfolio. We consider the active management and development of our clinical pipeline to be particularly crucial to our long-term success. The process of conducting the necessary clinical research to obtain regulatory approval is costly and time consuming. We implemented cost reduction efforts in 2023 and 2024 in connection with our efforts to streamline operations to align with our business goals. As a result, operating expenses have decreased and may continue to decrease in certain areas over time.</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had a loss from continuing operations of $153.1 million or loss from continuing operations per basic and diluted share of $(1.53), as compared to a loss from continuing operations of $323.0 million, or loss from continuing operations per basic and diluted share of $(3.32) for the prior year, primarily due to a decrease in operating costs and expenses, offset by a decrease in revenues.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Cash and cash equivalents, investments and accounts receivable totaled $51.0 million at December 31, 2024, a decrease of $157.6 million from December 31, 2023, primarily due to cash used in operations, discussed under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Our current and future research, development, manufacturing and commercialization efforts with respect to roxadustat depend on funds from our collaboration agreements with Astellas and AstraZeneca. See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consolidated financial statements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the development and commercialization (but not manufacture) of roxadustat for the treatment of anemia in Japan (“Astellas Japan Agreement”). In April 2006, we entered into the Europe Agreement with Astellas for roxadustat for the treatment of anemia in Europe, the Commonwealth of Independent States, the Middle East, and South Africa (“Astellas Europe Agreement”). Under these agreements, the aggregate amount for upfront payments and milestone payments received through December 31, 2024 totals $790.1 million. Based on the current development plans for roxadustat in Japan and Europe, we do not expect to receive most or all of the additional potential milestones under the Astellas Japan Agreement or the Astellas Europe Agreement.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2018, we and Astellas entered into an amendment to the Astellas Japan Agreement that allows Astellas to manufacture roxadustat drug product for commercialization in Japan (the “Astellas Japan Amendment”). The related drug product revenue was ($2.9) million and $15.7 million for the years ended December 31, 2024 and 2023, respectively.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40"/>
        <w:spacing w:after="0" w:line="289" w:lineRule="auto"/>
        <w:rPr>
          <w:sz w:val="20"/>
          <w:szCs w:val="20"/>
          <w:color w:val="auto"/>
        </w:rPr>
      </w:pPr>
      <w:r>
        <w:rPr>
          <w:rFonts w:ascii="Times New Roman" w:cs="Times New Roman" w:eastAsia="Times New Roman" w:hAnsi="Times New Roman"/>
          <w:sz w:val="17"/>
          <w:szCs w:val="17"/>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$4.9 million and $3.1 million for the years ended December 31, 2024 and 2023,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except for China and those territories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23, 2024, we entered into an agreement to terminate the AstraZeneca U.S./RoW Agreement with AstraZeneca, effective as of February 25, 2024. Pursuant to the AstraZeneca Termination and Transition Agreement, AstraZeneca returns all of their non-China roxadustat rights to us,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AstraZeneca Termination and Transition Agreement, FibroGen and AstraZeneca settled the outstanding balances relating to past transactions under the AstraZeneca Master Supply Agreement. Accordingly, during the first quarter of 2024, we recorded a cumulative catch-up net adjustment of $25.7 million to the drug product revenue.</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2013, through our China subsidiary and related affiliates, we entered into a collaboration agreement with AstraZeneca for roxadustat for the treatment of anemia in China (the “AstraZeneca China Agreement”). The aggregate amount for upfront payments and milestone payments received through December 31, 2024 totals $81.2 million.</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 w:cs="Times New Roman" w:eastAsia="Times New Roman" w:hAnsi="Times New Roman"/>
          <w:sz w:val="18"/>
          <w:szCs w:val="18"/>
          <w:i w:val="1"/>
          <w:iCs w:val="1"/>
          <w:color w:val="auto"/>
        </w:rPr>
        <w:t>AstraZeneca China Amendment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September 2023, we received the formal notice, from Beijing Medical Products Administration, of renewal of its right to continue to market roxadustat in China through 2028. We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U.S./RoW Agreement and the AstraZeneca China Agreement, all of which was recognized as revenue during the third quarter of 2023 from performance obligations satisfied.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2020, FibroGen China and AstraZeneca (together with FibroGen China, the “Parties”) entered into an amendment, effective July 1, 2020, to the AstraZeneca China Agreement,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 sales and marketing through AstraZeneca.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account for our investment in Falikang under the equity method, and Falikang is not consolidated into our consolidated financial statements. Our proportionate share of the reported profits or losses of Falikang, is included in the discontinued operations in the consolidated statement of operations, and the investment in unconsolidated subsidiary is included the held for sale assets in the consolidated balance sheet.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the consolidated financial statements for details.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right="340"/>
        <w:spacing w:after="0" w:line="261"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Substantially all direct roxadustat product sales to distributors in China are made by Falikang, while FibroGen Beijing continues to sell roxadustat product directly in one province in China. FibroGen Beijing manufactures and supplies commercial product to Falikang. The net transaction price for FibroGen Beijing’s product sales to Falikang is based on a gross transaction price, adjusted for the estimated profit share.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FibroGen Beijing manufactures and supplies commercial product to Falikang based on a gross transaction price, adjusted for the estimated profit share. In addition, AstraZeneca bills the co-promotion expenses to Falikang and to FibroGen Beijing, respectively, for its services provided to the respective entity. AstraZeneca is entitled to reimbursement of its sales and marketing expenses up to a cumulative capped amount of a percentage of net sales. Once such amount is reached, AstraZeneca will bill the co-promotion expenses based on actual costs as incurred plus a markup on a prospective basis, which is currently expected to continue through 2033. Such amount was reached during the year ended December 31, 2024. In addition, Development costs continue to be shared 50/50 between the Parties.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recognize revenue upon the transfer of control of commercial products to Falikang in an amount that reflects the allocation of transaction price of the China manufacturing and supply obligation (“China performance obligation”) to the performance obligation satisfied during the reporting period. For our direct sales of commercial drug product, we recognize revenue when control of the promised good is transferred to the customer in an amount that reflects the consideration that we expect to be entitled to in exchange for the product. During the years ended December 31, 2024 and 2023, included in the discontinued operations, we recognized $159.0 million and $89.1 million of net product revenue from the sales to Falikang, and $14.7 million and $11.9 million of net product revenue from sales directly to distributors in one province in China,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with Eluminex</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w:t>
      </w:r>
    </w:p>
    <w:p>
      <w:pPr>
        <w:spacing w:after="0" w:line="16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Eluminex Agreement</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the consolidated financial statements for details.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5"/>
                <w:szCs w:val="15"/>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3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(9,649 )</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(100 ) %</w:t>
            </w:r>
          </w:p>
        </w:tc>
      </w:tr>
      <w:tr>
        <w:trPr>
          <w:trHeight w:val="216"/>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(16,453 )</w:t>
            </w: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(89 ) %</w:t>
            </w:r>
          </w:p>
        </w:tc>
      </w:tr>
      <w:tr>
        <w:trPr>
          <w:trHeight w:val="21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(17,182 )</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(37 ) %</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 License revenues represented 0% and 21% of total revenues for the years ended December 31, 2024 and 2023, respectively.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Development revenue includes co-development and other development related services. We recognize development services as revenue in the period in which they are billed to our partners, excluding China. As of December 31, 2024, we do not expect to incur significant future co-development services. For China co-development services, we defer revenue until we begin to transfer control of the manufactured commercial product to AstraZeneca, which commenced in the first quarter of 2021 and we expect to continue through 2033, which reflects our best estimates. Other revenues consist of contract manufacturing revenue, patent transfer and sales of research and development material, which have not been material for any of the periods presented. Development and other revenues represented 7% and 39% of total revenues for the years ended December 31, 2024 and 2023, respectively.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140"/>
        <w:spacing w:after="0" w:line="254"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activities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Drug product revenues represented 93% and 40% of total revenues for the years ended December 31, 2024 and 2023, respectively.</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AstraZeneca U.S./RoW Agreement was terminated on February 23, 2024 (except for South Korea), while the AstraZeneca China Agreement and relationship continue unaffected. In the future, we will continue generating revenue from collaboration agreements in the form of milestone payments and royalties on drug product sales. We expect that any revenues we generate will fluctuate from quarter to quarter due to the uncertain timing and amount of such payments and sales.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Total revenue decreased $17.2 million or 37% for the year ended December 31, 2024 compared to the year ended December 31, 2023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90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AstraZeneca</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(2,649 )</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r>
      <w:tr>
        <w:trPr>
          <w:trHeight w:val="216"/>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Eluminex</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(7,000 )</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r>
      <w:tr>
        <w:trPr>
          <w:trHeight w:val="20"/>
        </w:trPr>
        <w:tc>
          <w:tcPr>
            <w:tcW w:w="45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r>
      <w:tr>
        <w:trPr>
          <w:trHeight w:val="209"/>
        </w:trPr>
        <w:tc>
          <w:tcPr>
            <w:tcW w:w="4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license revenue</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(9,649 )</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r>
      <w:tr>
        <w:trPr>
          <w:trHeight w:val="20"/>
        </w:trPr>
        <w:tc>
          <w:tcPr>
            <w:tcW w:w="4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License revenue decreased $9.6 million or 100% for the year ended December 31, 2024 compared to the year ended December 31, 2023. We did not have any license revenue for the year ended December 31, 2024.</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License revenue recognized under our collaboration agreements with AstraZeneca for the year ended December 31, 2023 represented the allocated revenue related to $4.0 million regulatory milestone associated with the renewal of our right to continue to market roxadustat in China that was included in the transaction price during the third quarter of 2023 when such milestone was achieved. License revenue recognized for the year ended December 31, 2023 also included a $1.0 million upfront payment under the A&amp;R Eluminex Agreement, a $3.0 million milestone payment based on Eluminex implanting a biosynthetic cornea in the first patient of its clinical trial in China, and a $3.0 million manufacturing related milestone payment when such milestones were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Other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378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8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(5,249 )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(79 ) %</w:t>
            </w: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AstraZeneca</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(9,055 )</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(96 ) %</w:t>
            </w:r>
          </w:p>
        </w:tc>
      </w:tr>
      <w:tr>
        <w:trPr>
          <w:trHeight w:val="20"/>
        </w:trPr>
        <w:tc>
          <w:tcPr>
            <w:tcW w:w="4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10"/>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development revenue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(14,304 )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(89 ) %</w:t>
            </w: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(2,149 )</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(95 ) %</w:t>
            </w:r>
          </w:p>
        </w:tc>
      </w:tr>
      <w:tr>
        <w:trPr>
          <w:trHeight w:val="20"/>
        </w:trPr>
        <w:tc>
          <w:tcPr>
            <w:tcW w:w="4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09"/>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development and other revenue</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(16,453 )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(89 ) %</w:t>
            </w:r>
          </w:p>
        </w:tc>
      </w:tr>
      <w:tr>
        <w:trPr>
          <w:trHeight w:val="20"/>
        </w:trPr>
        <w:tc>
          <w:tcPr>
            <w:tcW w:w="4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-453390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-453390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-453390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other revenue decreased $16.5 million, or 89% for the year ended December 31, 2024 compared to the year ended December 31, 2023.</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Astellas for the year ended December 31, 2024 was impacted by the decrease in co-development billings due to the closeout activities under our collaboration agreements with Astellas for roxadustat.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40"/>
        <w:spacing w:after="0" w:line="261"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AstraZeneca for the year ended December 31, 2024 was the final development revenue as a result of the termination of the AstraZeneca U.S./RoW Agreement. Development revenue recognized under our collaboration agreements with AstraZeneca for the year ended December 31, 2023 also included the allocated revenue of $0.8 million related to the above-mentioned $4.0 million regulatory milestone associated with the renewal of our right to continue to market Roxadustat in China.</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Other revenue recognized for the two years ended December 31, 2024 included our contract manufacturing agreement with Eluminex, under which we are responsible for supplying the cornea product at 110% of our product manufacturing costs until our manufacturing technology is fully transferred to Eluminex, which occurred by the end of 2023, and ceased in the first quarter of 2024. Other revenue recognized for the year ended December 31, 2023 also included a $0.5 million upfront payment related to patent transfer under from Eluminex and revenue from sales of certain research and development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Product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378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Astellas Japan Agreement</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(18,528 )</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(118 ) %</w:t>
            </w: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80" w:type="dxa"/>
            <w:vAlign w:val="bottom"/>
          </w:tcPr>
          <w:p>
            <w:pPr>
              <w:spacing w:after="0"/>
              <w:rPr>
                <w:sz w:val="18"/>
                <w:szCs w:val="18"/>
                <w:color w:val="auto"/>
              </w:rPr>
            </w:pPr>
          </w:p>
        </w:tc>
      </w:tr>
      <w:tr>
        <w:trPr>
          <w:trHeight w:val="249"/>
        </w:trPr>
        <w:tc>
          <w:tcPr>
            <w:tcW w:w="4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drug product revenue, net:</w:t>
            </w: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84"/>
        </w:trPr>
        <w:tc>
          <w:tcPr>
            <w:tcW w:w="4620" w:type="dxa"/>
            <w:vAlign w:val="bottom"/>
          </w:tcPr>
          <w:p>
            <w:pPr>
              <w:spacing w:after="0" w:line="84" w:lineRule="exact"/>
              <w:rPr>
                <w:sz w:val="20"/>
                <w:szCs w:val="20"/>
                <w:color w:val="auto"/>
              </w:rPr>
            </w:pPr>
            <w:r>
              <w:rPr>
                <w:rFonts w:ascii="Times New Roman" w:cs="Times New Roman" w:eastAsia="Times New Roman" w:hAnsi="Times New Roman"/>
                <w:sz w:val="9"/>
                <w:szCs w:val="9"/>
                <w:color w:val="auto"/>
              </w:rPr>
              <w:t>________________________</w:t>
            </w: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-239395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-222250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-239395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-222250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-239395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-222250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product revenue increased $8.9 million, or 48% for the year ended December 31, 2024 compared to the year ended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updated our estimate of variable consideration related to the API shipments fulfilled under the terms of Astellas Japan Amendment and accordingly recorded a reduction to the drug product revenue of $2.9 million for the year ended December 31, 2024.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we fulfilled two shipment obligations under the terms of Astellas Japan Amendment, and recognized related drug product revenue of $14.4 million in the same period. In addition, we updated our estimate of variable consideration related to the API shipments fulfilled under the terms of Astellas Japan Amendment and accordingly recorded an adjustment to the drug product revenue of $1.3 million for the year ended December 31, 2023. Specifically, the change in estimated variable consideration was based on the API held by Astellas at period end, adjusted to reflect the changes in the estimated bulk product strength mix intended to be manufactured by Astellas, foreign exchange impacts and estimated yield from the manufacture of bulk product tablets, among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balances related to the API price true-up under the Astellas Japan Agreement were $2.5 million in accrued liabilities and</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$0.6 million in other long-term liabilities, representing the Company’s best estimate of the timing for these amounts to be paid. As of December 31, 2023, the related balances were $1.2 million in accrued liabilities and $0.7 million in other long-term liabilities.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we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we reclassified $7.2 million from the related deferred revenue to accrued liabilities. As of December 31, 2024, the related balance in accrued liabilities was $10.5 million, representing our best estimate that this amount will be paid within the next 12 months.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fourth quarter of 2023, we transferred bulk drug product for commercial purposes under the terms of the Astellas Europe Agreement and the Astellas EU Supply Agreement, and recognized the related fully-burdened manufacturing costs of $0.8 million as drug product revenue, and recorded $17.7 million as deferred revenue due to a high degree of uncertainty associated with the variable consideration for revenue recognition purposes. In addition,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2023, we reclassified $38.7 million from the related deferred revenue to accrued liabilities. As of December 31, 2023, the related balance in accrued liabilities was $38.6 million, and we paid $35.3 million to Astellas during the year ended December 31, 2024.</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recognized royalty revenue of $4.3 million and $2.3 million as drug product revenue from the deferred revenue under the Astellas Europe Agreement for the years ended December 31, 2024 and 2023, respectively. The remainder of the deferred revenue will be recognized as and when uncertainty is resolved, based on the performance of roxadustat product sales in the Astellas territory.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As described above, pursuant to the AstraZeneca Termination and Transition Agreement related to the AstraZeneca U.S./RoW Agreement, FibroGen and AstraZeneca settled the outstanding balances relating to past transactions under the AstraZeneca Master Supply Agreement. Accordingly, during the first quarter of 2024, we accounted for the termination of the AstraZeneca U.S./RoW agreement as a contract modification under the ASC 606 and recorded a cumulative catch-up net adjustment of $25.7 million to the drug product revenue, and received the cash during the second quarter of 2024. In addition, the related accrued liabilities of $11.2 million as of December 31, 2023 was settled during the second quarter of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266,473</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(170,781 )</w:t>
            </w:r>
          </w:p>
        </w:tc>
        <w:tc>
          <w:tcPr>
            <w:tcW w:w="1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(64 ) %</w:t>
            </w:r>
          </w:p>
        </w:tc>
      </w:tr>
      <w:tr>
        <w:trPr>
          <w:trHeight w:val="216"/>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(37,153 )</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(43 ) %</w:t>
            </w:r>
          </w:p>
        </w:tc>
      </w:tr>
      <w:tr>
        <w:trPr>
          <w:trHeight w:val="216"/>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w:t>
            </w: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2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180,037</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369,524</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(189,487 )</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(51 ) %</w:t>
            </w: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2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-1010920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-1010920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-1010920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3" w:name="page74"/>
    <w:bookmarkEnd w:id="73"/>
    <w:p>
      <w:pPr>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$189.5 million, or 51% for the year ended December 31, 2024 compared to the year ended December 31, 2023,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goods sold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increased $11.6 million or 293% for the year ended December 31, 2024 compared to the year ended December 31, 2023.</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described above, during the year ended December 31, 2024, we recorded a cumulative catch-up net adjustment to the drug product revenue resulting from the AstraZeneca Termination and Transition Agreement related to the AstraZeneca U.S./RoW Agreement. Correspondingly, we recorded the related cost of goods sold of $14.6 million during the year ended December 31, 2024.</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 of goods sold associated with the roxadustat drug product revenue in the U.S. was $0.8 million and $3.1 million for the years ended December 31, 2024 and 2023, respectively, associated with the costs of API or bulk drug product delivered to Astellas and AstraZeneca in the respective periods.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goods sold for the years ended December 31, 2024 and 2023 also included manufacturing costs $0.1 million and $0.8 million, respectively, related to our contract manufacturing revenue from Eluminex, which ceased in the first quarter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in-process research and development (“IPR&amp;D”) assets that have no alternative future use other than in a particular research and development project. We have implemented a significant cost reduction plan in the U.S. in the third quarter of 2024, and efforts to streamline operations to align with our business goals in the second half of 2023. As a result, research and development expenses have overall decreased and may continue to decrease in certain areas over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years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Phase of</w:t>
            </w:r>
          </w:p>
        </w:tc>
        <w:tc>
          <w:tcPr>
            <w:tcW w:w="4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5"/>
                <w:szCs w:val="15"/>
                <w:color w:val="auto"/>
              </w:rPr>
            </w:pPr>
          </w:p>
        </w:tc>
      </w:tr>
      <w:tr>
        <w:trPr>
          <w:trHeight w:val="142"/>
        </w:trPr>
        <w:tc>
          <w:tcPr>
            <w:tcW w:w="39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Product Candidate</w:t>
            </w:r>
          </w:p>
        </w:tc>
        <w:tc>
          <w:tcPr>
            <w:tcW w:w="220" w:type="dxa"/>
            <w:vAlign w:val="bottom"/>
          </w:tcPr>
          <w:p>
            <w:pPr>
              <w:spacing w:after="0"/>
              <w:rPr>
                <w:sz w:val="12"/>
                <w:szCs w:val="12"/>
                <w:color w:val="auto"/>
              </w:rPr>
            </w:pPr>
          </w:p>
        </w:tc>
        <w:tc>
          <w:tcPr>
            <w:tcW w:w="23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Pamrevlumab</w:t>
            </w:r>
          </w:p>
        </w:tc>
        <w:tc>
          <w:tcPr>
            <w:tcW w:w="22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Phase 2/3</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49,696</w:t>
            </w:r>
          </w:p>
        </w:tc>
        <w:tc>
          <w:tcPr>
            <w:tcW w:w="9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122,154</w:t>
            </w:r>
          </w:p>
        </w:tc>
        <w:tc>
          <w:tcPr>
            <w:tcW w:w="4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FG-3246</w:t>
            </w:r>
          </w:p>
        </w:tc>
        <w:tc>
          <w:tcPr>
            <w:tcW w:w="2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1</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30,189</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Roxadustat</w:t>
            </w:r>
          </w:p>
        </w:tc>
        <w:tc>
          <w:tcPr>
            <w:tcW w:w="22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Approved / Phase 3</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4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FG-3165</w:t>
            </w:r>
          </w:p>
        </w:tc>
        <w:tc>
          <w:tcPr>
            <w:tcW w:w="2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4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20" w:type="dxa"/>
            <w:vAlign w:val="bottom"/>
            <w:tcBorders>
              <w:bottom w:val="single" w:sz="8" w:color="CFF0FC"/>
            </w:tcBorders>
            <w:shd w:val="clear" w:color="auto" w:fill="CFF0FC"/>
          </w:tcPr>
          <w:p>
            <w:pPr>
              <w:spacing w:after="0"/>
              <w:rPr>
                <w:sz w:val="18"/>
                <w:szCs w:val="18"/>
                <w:color w:val="auto"/>
              </w:rPr>
            </w:pPr>
          </w:p>
        </w:tc>
        <w:tc>
          <w:tcPr>
            <w:tcW w:w="2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3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75,508</w:t>
            </w:r>
          </w:p>
        </w:tc>
        <w:tc>
          <w:tcPr>
            <w:tcW w:w="4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266,473</w:t>
            </w:r>
          </w:p>
        </w:tc>
        <w:tc>
          <w:tcPr>
            <w:tcW w:w="40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right="200" w:hanging="512"/>
        <w:spacing w:after="0" w:line="282"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$24.6 million one-time, non-cash acquired IPR&amp;D expenses associated with the recent exclusive license for FG-3246 from Fortis and the acquisition of Fortis.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5" w:right="439" w:bottom="1440" w:gutter="0" w:footer="0" w:header="0"/>
        </w:sectPr>
      </w:pPr>
    </w:p>
    <w:bookmarkStart w:id="74" w:name="page75"/>
    <w:bookmarkEnd w:id="74"/>
    <w:p>
      <w:pPr>
        <w:ind w:right="1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$170.8 million, or 64% for the year ended December 31, 2024 compared to the year ended December 31, 2023 as a result of the net effect of the following:</w:t>
      </w:r>
    </w:p>
    <w:p>
      <w:pPr>
        <w:spacing w:after="0" w:line="54" w:lineRule="exact"/>
        <w:rPr>
          <w:sz w:val="20"/>
          <w:szCs w:val="20"/>
          <w:color w:val="auto"/>
        </w:rPr>
      </w:pPr>
    </w:p>
    <w:p>
      <w:pPr>
        <w:ind w:left="520" w:right="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$61.4 million in clinical trials costs primarily associated with the termination of pamrevlumab programs during the second half of 2024 responding to the topline clinical data results we reported in July 2024;</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$36.5 million in employee-related costs primarily due to the impact from reduction in force actions in August 2024 and July 2023, and cost control efforts;</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million one-time, non-cash charge of acquired IPR&amp;D expenses, in the prior year, associated with the exclusive license for FG-3246 from Fortis and the acquisition of Fortis;</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$17.2 million in facilities-related expenses due to cost control efforts and lower depreciation expense as certain property and equipment reached their useful lives in prior year period, offset by the loss on disposal of property and equipment associated with efforts to streamline operations during the third quarter of 2024;</w:t>
      </w:r>
    </w:p>
    <w:p>
      <w:pPr>
        <w:spacing w:after="0" w:line="67"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$13.4 million in stock-based compensation primarily resulting from significantly lower stock price and cancellations of stock options and restricted stock units due to reduced headcount;</w:t>
      </w:r>
    </w:p>
    <w:p>
      <w:pPr>
        <w:spacing w:after="0" w:line="53"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$10.0 million in drug development expenses associated with drug substance activities and logistic expenses related to pamrevlumab programs which were completed and terminated; and</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$7.0 million in outside services expenses primarily due to termination of pamrevlumab programs, wind down of remaining obligations and cost control efforts.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 We have implemented a significant cost reduction plan in the U.S. in the third quarter of 2024, and efforts to streamline operations to align with our business goals in the second half of 2023. As a result, SG&amp;A expenses have overall decreased and may continue to decrease over time.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SG&amp;A expenses decreased $37.2 million, or 43% for the year ended December 31, 2024 compared to the year ended December 31, 2023, as a result of the net effect of the following:</w:t>
      </w:r>
    </w:p>
    <w:p>
      <w:pPr>
        <w:spacing w:after="0" w:line="54" w:lineRule="exact"/>
        <w:rPr>
          <w:sz w:val="20"/>
          <w:szCs w:val="20"/>
          <w:color w:val="auto"/>
        </w:rPr>
      </w:pPr>
    </w:p>
    <w:p>
      <w:pPr>
        <w:ind w:left="520" w:right="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$15.0 million in employee-related costs primarily due to the impact from reduction in force actions in August 2024 and July 2023, and cost control efforts;</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$11.5 million in stock-based compensation primarily resulting from significantly lower stock price and cancellations of stock options and restricted stock units;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$5.4 million in outside services expenses due to cost control efforts;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$4.3 million in legal expenses primarily due to lower activities in corporate legal, legal proceedings and intellectual properties.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response to the topline clinical results for pamrevlumab in patients with pancreatic cancer we announced in July 2024, we implemented an immediate and significant cost reduction plan in the U.S., including terminating pamrevlumab research and development investment and expeditiously winding down remaining obligations, and reducing our U.S. workforce by approximately 75%. As a result, we recorded a total of $19.5 million non-recurring restructuring charge during the year ended December 31, 2024, primarily consisting of notice period and severance payments, accrued vacation, and employee benefits contributions.</w:t>
      </w:r>
    </w:p>
    <w:p>
      <w:pPr>
        <w:spacing w:after="0" w:line="18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In July 2023, we approved a restructuring plan to lower our operating expenses. The restructuring plan included reducing our U.S. workforce by approximately 32%. As a result, we recorded a total of $12.6 million non-recurring restructuring charge during the third quarter of 2023, primarily consisting of notice period and severance payments, accrued vacation and employee benefits contributions.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3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(8,247 )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(2,298 )</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 %</w:t>
            </w:r>
          </w:p>
        </w:tc>
      </w:tr>
      <w:tr>
        <w:trPr>
          <w:trHeight w:val="20"/>
        </w:trPr>
        <w:tc>
          <w:tcPr>
            <w:tcW w:w="56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09"/>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(2,951 )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(2,450 )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related to the senior secured term loan facilities, interest related to sale of future revenues and interest related to the Technology Development Center of the Republic of Finland product development obligations.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remained flat for the year ended December 31, 2024 compared to the year ended December 31, 2023, and primarily included interest expense of $7.9 million and $7.7 million, respectively, related to sale of future revenues under the Revenue Interest Financing Agreement (“RIFA”) with an affiliate of NovaQuest Capital Management (“NovaQuest”) entered into in November 2022. See Note 10,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(expenses), net decreased $2.3 million, or 30%, for the year ended December 31, 2024 compared to the year ended December 31, 2023, primarily due to lower interest income resulting from lower investment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2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(153,367 )</w:t>
            </w:r>
          </w:p>
        </w:tc>
        <w:tc>
          <w:tcPr>
            <w:tcW w:w="11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(323,222 )</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9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(252 )</w:t>
            </w:r>
          </w:p>
        </w:tc>
      </w:tr>
      <w:tr>
        <w:trPr>
          <w:trHeight w:val="216"/>
        </w:trPr>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for income taxes for each of the two years ended December 31, 2024 were due to foreign taxes.</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February 20, 2025, we entered into the Share Purchase Agreement with AstraZeneca Treasury Limited pursuant to which we and our subsidiary FibroGen China Anemia Holdings, Ltd. agreed to sell all of the issued and outstanding equity interests of FibroGen International to AstraZeneca Treasury Limited. AstraZeneca is our long-time commercialization partner for roxadustat in greater China and South Korea. This sale includes all of our roxadustat assets in China, including FibroGen International’s subsidiary FibroGen (China) Medical Technology Development Co., Ltd and its 51.1% interest in Falikang. The transaction is expected to close by mid-2025, and is subject to customary closing conditions and closing deliverables, including receipt of regulatory approval from the China State Administration for Market Regulation.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6" w:name="page77"/>
    <w:bookmarkEnd w:id="76"/>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FibroGen International met the “held for sale” criteria and the “discontinued operations” criteria in accordance with Financial Accounting Standard Boards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of December 31, 2024. Accordingly, the operating results related to FibroGen International are classified as discontinued operations, and have been reflected as discontinued operations in the consolidated statements of operations.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2022, we entered into a RIFA with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10,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In February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we could issue and sell, from time to time and through the Sales Agents, shares of our common stock having an aggregate offering price of up to $200.0 million. Under this ATM program, we sold 2,472,090 shares of our common stock and received net proceeds of approximately $48.4 million during the year ended December 31, 2023. We did not sell any shares of common stock under this ATM program during the year ended December 31, 2024. We terminated this at-the-market agreement in February 2025, in connection with entering into a new Equity Distribution Agreement with BofA Securities, Inc. pursuant to which we may issue and sell, from time to time and through BofA Securities, Inc., shares of our common stock having an aggregate offering price of up to $30.0 million. See the </w:t>
      </w:r>
      <w:r>
        <w:rPr>
          <w:rFonts w:ascii="Times New Roman" w:cs="Times New Roman" w:eastAsia="Times New Roman" w:hAnsi="Times New Roman"/>
          <w:sz w:val="18"/>
          <w:szCs w:val="18"/>
          <w:i w:val="1"/>
          <w:iCs w:val="1"/>
          <w:color w:val="auto"/>
        </w:rPr>
        <w:t>At-the-Market Program</w:t>
      </w:r>
      <w:r>
        <w:rPr>
          <w:rFonts w:ascii="Times New Roman" w:cs="Times New Roman" w:eastAsia="Times New Roman" w:hAnsi="Times New Roman"/>
          <w:sz w:val="18"/>
          <w:szCs w:val="18"/>
          <w:color w:val="auto"/>
        </w:rPr>
        <w:t xml:space="preserve"> section, in Note 13, </w:t>
      </w:r>
      <w:r>
        <w:rPr>
          <w:rFonts w:ascii="Times New Roman" w:cs="Times New Roman" w:eastAsia="Times New Roman" w:hAnsi="Times New Roman"/>
          <w:sz w:val="18"/>
          <w:szCs w:val="18"/>
          <w:i w:val="1"/>
          <w:iCs w:val="1"/>
          <w:color w:val="auto"/>
        </w:rPr>
        <w:t>Equity and Stock-based Compensation,</w:t>
      </w:r>
      <w:r>
        <w:rPr>
          <w:rFonts w:ascii="Times New Roman" w:cs="Times New Roman" w:eastAsia="Times New Roman" w:hAnsi="Times New Roman"/>
          <w:sz w:val="18"/>
          <w:szCs w:val="18"/>
          <w:color w:val="auto"/>
        </w:rPr>
        <w:t xml:space="preserve"> to the consolidated financial statements for details.</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April 2023, we entered into the Financing Agreement with investment funds managed by Morgan Stanley Tactical Value,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For additional details about this financing transaction, see Note 9, </w:t>
      </w:r>
      <w:r>
        <w:rPr>
          <w:rFonts w:ascii="Times New Roman" w:cs="Times New Roman" w:eastAsia="Times New Roman" w:hAnsi="Times New Roman"/>
          <w:sz w:val="18"/>
          <w:szCs w:val="18"/>
          <w:i w:val="1"/>
          <w:iCs w:val="1"/>
          <w:color w:val="auto"/>
        </w:rPr>
        <w:t>Senior Secured Revolving Line of Credit</w:t>
      </w:r>
      <w:r>
        <w:rPr>
          <w:rFonts w:ascii="Times New Roman" w:cs="Times New Roman" w:eastAsia="Times New Roman" w:hAnsi="Times New Roman"/>
          <w:sz w:val="18"/>
          <w:szCs w:val="18"/>
          <w:color w:val="auto"/>
        </w:rPr>
        <w:t>, to the consolidated financial statements.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$50.5 million for our continuing operations, compared to $81.6 million as of December 31, 2023. Cash is invested in accordance with our investment policy, primarily with a view to liquidity and capital preservation. Investments, consisting of available-for-sale securities, and stated at fair value, are also available as a source of liquidity. As of December 31, 2024, we did not have any short-term investments, compared to short-term investments of $121.9 million as of December 31, 2023. In addition, as of December 31, 2024, we had $51.7 million of cash and cash equivalents and $18.4 million of accounts receivable in China, which were included in the held for sale assets in the consolidated balance sheet. We will have access to the entirety of the cash, cash equivalents, and accounts receivable balances in China upon the close of the sales of FibroGen International to AstraZeneca Treasury Limited.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FibroGen Beijing made a total of $49.9 million repayments of intercompany loans. We have evaluated measures to access additional cash from our China operations and we believe the above-mentioned sale of FibroGen International represents the most efficient way to access the entirety of our cash from China upon closing of the transaction. The completion of the sale of FibroGen International, access to additional cash from our China operations and our capital contributions to FibroGen Beijing and the liquidity position of FibroGen Beijing depend on many factors, including those set forth under Part I, Item 1A “Risk Factors” in this Annual Report.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years ended December 31, 2024 and 2023 (in thousands), including both continuing operations and discontinued operations: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(137,999 )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(315,021 )</w:t>
            </w: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125,993</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153,657</w:t>
            </w:r>
          </w:p>
        </w:tc>
        <w:tc>
          <w:tcPr>
            <w:tcW w:w="12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122,749</w:t>
            </w:r>
          </w:p>
        </w:tc>
        <w:tc>
          <w:tcPr>
            <w:tcW w:w="120" w:type="dxa"/>
            <w:vAlign w:val="bottom"/>
          </w:tcPr>
          <w:p>
            <w:pPr>
              <w:spacing w:after="0"/>
              <w:rPr>
                <w:sz w:val="18"/>
                <w:szCs w:val="18"/>
                <w:color w:val="auto"/>
              </w:rPr>
            </w:pPr>
          </w:p>
        </w:tc>
      </w:tr>
      <w:tr>
        <w:trPr>
          <w:trHeight w:val="216"/>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(3,397 )</w:t>
            </w:r>
          </w:p>
        </w:tc>
      </w:tr>
      <w:tr>
        <w:trPr>
          <w:trHeight w:val="20"/>
        </w:trPr>
        <w:tc>
          <w:tcPr>
            <w:tcW w:w="6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(42,012 )</w:t>
            </w:r>
          </w:p>
        </w:tc>
      </w:tr>
      <w:tr>
        <w:trPr>
          <w:trHeight w:val="20"/>
        </w:trPr>
        <w:tc>
          <w:tcPr>
            <w:tcW w:w="6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$138.0 million for the year ended December 31, 2024 and consisted primarily of net loss of $47.6 million adjusted for non-cash items and non-operating activities of $27.0 million and a net decrease in operating assets and liabilities of $117.5 million. The significant non-cash items included stock-based compensation expense of $25.2 million. The significant items in the changes in operating assets and liabilities included the following:</w:t>
      </w:r>
    </w:p>
    <w:p>
      <w:pPr>
        <w:spacing w:after="0" w:line="72" w:lineRule="exact"/>
        <w:rPr>
          <w:sz w:val="20"/>
          <w:szCs w:val="20"/>
          <w:color w:val="auto"/>
        </w:rPr>
      </w:pPr>
    </w:p>
    <w:p>
      <w:pPr>
        <w:ind w:left="520" w:right="22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$93.8 million, driven by payment of $35.3 million to Astellas and $11.5 million to AstraZeneca related to accrued API and bulk drug product price true-up, bonus and severance payouts totaling $35.6 million, and settlement of historical co-promotion balances under the settlement agreements entered in September 2024 between FibroGen China and AstraZeneca. The accrued and other liabilities were also impacted by cost control efforts and the timing of invoicing and payment.</w:t>
      </w:r>
    </w:p>
    <w:p>
      <w:pPr>
        <w:spacing w:after="0" w:line="71" w:lineRule="exact"/>
        <w:rPr>
          <w:rFonts w:ascii="Times New Roman" w:cs="Times New Roman" w:eastAsia="Times New Roman" w:hAnsi="Times New Roman"/>
          <w:sz w:val="18"/>
          <w:szCs w:val="18"/>
          <w:color w:val="auto"/>
        </w:rPr>
      </w:pPr>
    </w:p>
    <w:p>
      <w:pPr>
        <w:ind w:left="520" w:right="4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lease right-of-use assets decreased $66.3 million, operating lease liabilities, non-current decreased $66.2 million and operating lease liabilities, current decreased $12.8 million related to the operating lease termination of our corporate headquarters. See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for details;</w:t>
      </w:r>
    </w:p>
    <w:p>
      <w:pPr>
        <w:spacing w:after="0" w:line="67" w:lineRule="exact"/>
        <w:rPr>
          <w:rFonts w:ascii="Times New Roman" w:cs="Times New Roman" w:eastAsia="Times New Roman" w:hAnsi="Times New Roman"/>
          <w:sz w:val="18"/>
          <w:szCs w:val="18"/>
          <w:color w:val="auto"/>
        </w:rPr>
      </w:pPr>
    </w:p>
    <w:p>
      <w:pPr>
        <w:ind w:left="520" w:right="80" w:hanging="512"/>
        <w:spacing w:after="0" w:line="254"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revenue decreased $28.3 million, primarily related to the $46.7 million product revenue recognized, which is included in the discontinued operations, from the previously deferred revenue of the China performance obligation during the year. In addition, the decrease in deferred revenue was also related to the reclassification of $7.2 million to accrued liabilities, resulting from changes in estimated variable consideration associated with the bulk drug product transferred to Astellas under the terms of the Astellas Europe Agreement and the Astellas EU Supply Agreement during the year.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consolidated financial statements for details. The decreases were offset by the impact that deferred revenue was no longer netted against any contract assets as of December 31, 2024, as the $22.5 million of unbilled co-development revenue under the AstraZeneca China Amendment and the $4.0 million unbilled regulatory milestone payment under the AstraZeneca China Agreement as of December 31, 2023 were billed during the third quarter of 2024 under the above-mentioned settlement agreements;</w:t>
      </w:r>
    </w:p>
    <w:p>
      <w:pPr>
        <w:spacing w:after="0" w:line="80"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increased $15.6 million, primarily due to the unbilled receivables from Falikang based on the arrangements under the above-mentioned settlement agreements between FibroGen China and AstraZeneca to settle certain historical items, offset by the reimbursements from the insurance for the legal fees associated with the class action lawsuit, which is recoverable under our insurance policies.</w:t>
      </w:r>
    </w:p>
    <w:p>
      <w:pPr>
        <w:spacing w:after="0" w:line="71" w:lineRule="exact"/>
        <w:rPr>
          <w:rFonts w:ascii="Times New Roman" w:cs="Times New Roman" w:eastAsia="Times New Roman" w:hAnsi="Times New Roman"/>
          <w:sz w:val="18"/>
          <w:szCs w:val="18"/>
          <w:color w:val="auto"/>
        </w:rPr>
      </w:pPr>
    </w:p>
    <w:p>
      <w:pPr>
        <w:ind w:left="520" w:right="240" w:hanging="512"/>
        <w:spacing w:after="0" w:line="261"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receivable increased $6.7 million, primarily driven by the billings to Falikang based on the arrangements under the above-mentioned settlement agreements and related to the increase product sales, as well as the timing of receipt of the billings under our collaboration and license agreements. Accounts receivable from Falikang is part of the held-for-sale assets resulting from the Share Purchase Agreement with AstraZeneca Treasury Limited as discussed above and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consolidated financial statements;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8" w:name="page79"/>
    <w:bookmarkEnd w:id="78"/>
    <w:p>
      <w:pPr>
        <w:ind w:left="520" w:right="200" w:hanging="512"/>
        <w:spacing w:after="0" w:line="258"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Inventory decreased $22.3 million primarily driven by the $12.6 million of work-in-progress inventory that was reimbursed as part of the above-mentioned termination of the AstraZeneca U.S./RoW agreement, and lower inventory production in China as we have decommissioned our API manufacturing facility in Cangzhou, China, and intend to manufacture API for China at Shanghai SynTheAll Pharmaceutical Co., Ltd. (“WuXi STA”). Inventory in China is part of the held-for-sale assets resulting from the Share Purchase Agreement with AstraZeneca Treasury Limited as discussed above and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consolidated financial statements; and</w:t>
      </w:r>
    </w:p>
    <w:p>
      <w:pPr>
        <w:spacing w:after="0" w:line="75"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payable increased $14.5 million, primarily driven by the payments to be made for the historical co-promotion expenses to AstraZeneca during the current year, which is part of the held-for-sale liabilities resulting from the Share Purchase Agreement with AstraZeneca Treasury Limited as discussed above and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the consolidated financial statements. The increase was offset by timing of invoicing and payments and cost control efforts.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$315.0 million for the year ended December 31, 2023 and consisted primarily of net loss of $284.2 million adjusted for non-cash items and non-operating activities of $88.9 million and a net decrease in operating assets and liabilities of $119.7 million. The significant non-cash or non-operating cash items included stock-based compensation expense of $50.8 million, acquired IPR&amp;D expenses associated with the acquisition of Fortis of $24.6 million, depreciation expense of $9.5 million, non-cash interest expense related to sale of future revenues of $7.7 million, and net accretion of premium and discount on investments of $5.1 million. The significant items in the changes in operating assets and liabilities included the following:</w:t>
      </w:r>
    </w:p>
    <w:p>
      <w:pPr>
        <w:spacing w:after="0" w:line="79" w:lineRule="exact"/>
        <w:rPr>
          <w:sz w:val="20"/>
          <w:szCs w:val="20"/>
          <w:color w:val="auto"/>
        </w:rPr>
      </w:pPr>
    </w:p>
    <w:p>
      <w:pPr>
        <w:ind w:left="520" w:right="20" w:hanging="512"/>
        <w:spacing w:after="0" w:line="25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$49.8 million, primarily due to the movements related to API and bulk drug product price true-up resulting from changes in estimated variable consideration associated with the API shipments fulfilled under the terms of the Astellas Japan Amendment, the bulk drug product transferred under the terms of the Astellas Europe Agreement and the Astellas EU Supply Agreement, including the payment of $57.4 million previously accrued balance made during the current year period. The decrease was partially offset by the accrued liabilities of $28.5 million for the litigation settlement as of December 31, 2023, which is fully recoverable under our insurance policies. The accrued and other liabilities were also impacted by the timing of invoicing and payment;</w:t>
      </w:r>
    </w:p>
    <w:p>
      <w:pPr>
        <w:spacing w:after="0" w:line="79"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decreased $28.2 million, primarily related to related to the reclassification of $38.7 million to accrued liabilities, resulting from changes in estimated variable consideration associated with the bulk drug product transferred to Astellas under the terms of the Astellas Europe Agreement and the Astellas EU Supply Agreement during the current year;</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$15.5 million, primarily driven by the payments made for the historical co-promotion expenses to AstraZeneca during the current year, as well as the timing of invoicing and payments; and</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increased $28.2 million, primarily due to the $28.5 million receivable as of December 31, 2023 for the insurance recovery for the above-mentioned litigation settlement.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purchases or disposal of property and equipment, purchases of investments, and proceeds from the maturity and sale of investments.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$126.0 million for the year ended December 31, 2024 and consisted primarily of $133.8 million of proceeds from maturities of investments, partially offset by $8.6 million of cash used in purchases of available-for-sale securities.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$153.7 million for the year ended December 31, 2023 and consisted primarily of $400.6 million of proceeds from maturities of investments and $6.7 million of proceeds from sales of available-for-sale securities, partially offset by $251.8 million of cash used in purchases of available-for-sale securities.</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strategic financing arrangements, proceeds from the issuance of our common stock, and cash paid for payroll taxes on restricted stock unit releases.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not material for the year ended December 31, 2024.</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$122.7 million for the year ended December 31, 2023 and consisted primarily of $74.1 million net proceeds from senior secured term loan facilities, $48.4 million net proceeds received under the ATM Program and $3.7 million of proceeds from the issuance of common stock upon exercise of stock options and purchases under our Employee Share 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generate revenue from commercial sales of roxadustat product in China, Japan and Europe. Even with the expectation of increases in these revenues and the sale of FibroGen International and its subsidiaries to AstraZeneca,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outlined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as well as unknown factors that may adversely affect our business. We anticipate that we will need substantial additional funding in connection with our continuing operations.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complete the above mentioned sale of FibroGen International and its subsidiaries to AstraZeneca, access additional cash from our China operations, or raise additional capital in the United States, we would not have sufficient liquidity to continue operations in the U.S. for the 12 months from the date that the financial statements are issued and would not be able to comply with its financial covenant that requires a minimum balance of $30 million of unrestricted cash and cash equivalents to be held in accounts in the United States. In addition, there is a covenant under our senior secured credit facility to provide an annual audit report without a going concern qualification other than with respect to certain exceptions, of which we believe it meets an exception to such requirement. Upon an event of default, our senior secured term loan facilities could become immediately due and payable. We have evaluated measures to access additional cash from our China operations and believe the sale of FibroGen International represents the most efficient way to access the entirety of our cash from China upon closing of the transaction. There is also the potential that we raise additional funds in the U.S. at any time through equity, equity-linked, or debt financing arrangements or from other sources. There can be no assurances that these plans will be successful. As a result of these factors, we have determined that there is substantial doubt about our ability to continue as a going concern within 12 months after the date that the financial statements are issued.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funding, we could delay, reduce or eliminate research and development programs, product portfolio development or future commercialization efforts which could adversely affect our business prospects.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our material cash requirements from known contractual and other obligations primarily relate to our lease liabilities, non-cancelable purchase obligations and liability related to sale of future revenues. Expected timing of those payments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Next 12 Months</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Beyond 12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revenues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119,347</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payments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122,117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Our outstanding non-cancelable purchase obligations primarily related to manufacturing and supply for FG-3246 and roxadustat, and other purchases and programs. 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for details.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Under the Financing Agreement with Morgan Stanley Tactical Value, as of December 31, 2024, we had $73.1 million of senior secured term loan facilities balance on the consolidated balance sheets, which are not subject for repayment until May 2026. Meanwhile, we are obliged to pay interest on a monthly basis, for which we expect to pay a total of $10.5 million within the next 12 months. See Note 9,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consolidated financial statements for details.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Under the RIFA with NovaQuest, as of December 31, 2024, we had $59.3 million of liability related to sale of future revenues on the consolidated balance sheets, $0.5 million of which we expect to pay within the next 12 months. Based on our current estimates of drug product revenue and revenue from milestone payments under the Astellas Agreements, and taking into the consideration of the terms under the RIFA, we anticipate to reach a payment cap up to $125.0 million by 2031. See Note 10,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consolidated financial statements for details.</w:t>
      </w:r>
    </w:p>
    <w:p>
      <w:pPr>
        <w:spacing w:after="0" w:line="17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The table above excludes uncertain tax benefits of approximately $74.3 million that are disclosed in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consolidated financial statements because these uncertain tax positions, if recognized, would be an adjustment to the gross deferred tax assets and the corresponding valuation allowance, if warranted.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2024, we have several on-going clinical studies in various stages. Under agreements with various contract research organizations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cancelable, we have historically not canceled such contracts.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2024, our FibroGen Europe Oy (“FibroGen Europe”) subsidiary had $9.8 million of principal outstanding and $7.2 million of interest accrued related to loans from the Finnish government (“TEKES” loans), respectively, which have been included as product development obligations on our consolidated balance sheet. See Note 11, </w:t>
      </w:r>
      <w:r>
        <w:rPr>
          <w:rFonts w:ascii="Times New Roman" w:cs="Times New Roman" w:eastAsia="Times New Roman" w:hAnsi="Times New Roman"/>
          <w:sz w:val="18"/>
          <w:szCs w:val="18"/>
          <w:i w:val="1"/>
          <w:iCs w:val="1"/>
          <w:color w:val="auto"/>
        </w:rPr>
        <w:t>Product Development Obligations</w:t>
      </w:r>
      <w:r>
        <w:rPr>
          <w:rFonts w:ascii="Times New Roman" w:cs="Times New Roman" w:eastAsia="Times New Roman" w:hAnsi="Times New Roman"/>
          <w:sz w:val="18"/>
          <w:szCs w:val="18"/>
          <w:color w:val="auto"/>
        </w:rPr>
        <w:t>, to the consolidated financial statements for details. 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in the foreseeable future. For the foregoing reasons, we cannot estimate the potential timing and the amounts of repayments (if required) or forgiveness. As a result, the TEKES loans have been excluded from the table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including for example, service, manufacturing and collaboration agreements. Pursuant to these arrangements, we indemnify, holds harmless, and agree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We have entered into indemnification agreements with our directors and officers that may require us to indemnify our directors and officers against liabilities that may arise by reason of their status or service as directors or officers to the extent permissible under applicable law. The maximum potential amount of future payments we could be required to make under these arrangements is not determinable.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recently issued accounting guidance, 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to the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and critical estimates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under collaboration agreements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our consolidated financial statements. Determining the performance obligations within a collaboration agreement often involves significant judgment and is specific to the facts and circumstances contained in each agreement.</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our consolidated financial statements.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For revenue recognition purposes, we determine that the terms of our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We believe that the existence of what we consider to be substantive termination penalties on the part of the counterparty create sufficient incentive for the counterparty to avoid exercising its right to terminate the agreement.</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payments from sales of API; payments from sales of bulk drug product and royalties on net sales of licensed products.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Co-development billings resulting from our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Prior to CKD approval in the third quarter of 2021, determining the amount of variable consideration from co-development billings required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Milestones are therefore included in the transaction price when achievement of the milestone becomes probable.</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royalty revenue resulting from collaboration arrangements has been immaterial.</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allocate the transaction price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our consolidated financial statements.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each performance obligation identified within an arrangement, we determine the period over which the promised services are transferred and the performance obligation is satisfied. Service revenue that was recognized over time was based on progress toward complete satisfaction of the performance obligation. For each performance obligation satisfied over time, we assess the proper method to be used for revenue recognition, either an input method to measure progress toward the satisfaction of services or an output method of determining the progress of completion of performance obligation.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under license agreements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a license agreement, if the license to our intellectual property is determined to be distinct from the other performance obligations identified in the arrangement, we recognize revenues from upfront license fees allocated to the license when the license is transferred to the licensee and the licensee is able to use and benefit from the license. For licenses that are bundled with other promises, we determine whether the combined performance obligation is satisfied over time or at a point in time. If the combined performance obligation is satisfied over time, we use judgment in determining the appropriate method of measuring progress for purposes of recognizing revenue from the up-front license fees. We evaluate the measure of progress each reporting period and, if necessary, adjust the measure of performance and related revenue recognition.</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revenue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and Astellas in support of pre-commercial preparation prior to the NDA or Marketing Authorization Application approval, and to Astellas for ongoing commercial activities in Japan and Europe. We recognize drug product revenue when we fulfill the inventory transfer obligations.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we include it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We review new information that may affect its variable consideration estimate at every reporting period and records revenue adjustment, if certain and material. Actual amounts of consideration ultimately received in the future may differ from our estimates, for which we will adjust these estimates and affect the drug product revenue in the period such variances become known.</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each of our collaboration agreements provide for annual true up to the considerations paid for our commercial supplies, we will re-evaluate the transaction price in each reporting period and record adjustment to revenue as uncertain events are resolved or other changes in circumstances occur.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performance obligation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Falikang is jointly owned by AstraZeneca and FibroGen Beijing.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is FibroGen Beijing’s primary customer in China and substantially all roxadustat product sales to distributors in China are made by Falikang.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bears inventory risk once it receives and accepts the product from FibroGen Beijing, and is responsible for delivering product to its distributors.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promises identified under the AstraZeneca China Agreement (as defined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our agreements with AstraZeneca as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are deferred until control of the manufactured commercial product is transferred to AstraZeneca.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initiation of roxadustat sales to Falikang marked the beginning of the China performance obligation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we determined it is likely those sales would occur. The price per unit is subject to reassessment on a quarterly basis, which may result in adjustments due to changes in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520" w:right="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Non-refundable upfront license fees; development, regulatory, and commercial milestone payments based on the AstraZeneca China Agreement allocated to the China performance obligation;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billings resulting from our research and development efforts, which are reimbursable under the AstraZeneca China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4" w:name="page85"/>
    <w:bookmarkEnd w:id="84"/>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profit/loss share between FibroGen Beijing and AstraZeneca from April 1, 2020 through December 31, 2020;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transaction price from product sales to Falikang from January 1, 2021 onwards. The net transaction price includes the following elements:</w:t>
      </w:r>
    </w:p>
    <w:p>
      <w:pPr>
        <w:spacing w:after="0" w:line="117" w:lineRule="exact"/>
        <w:rPr>
          <w:rFonts w:ascii="Times New Roman" w:cs="Times New Roman" w:eastAsia="Times New Roman" w:hAnsi="Times New Roman"/>
          <w:sz w:val="18"/>
          <w:szCs w:val="18"/>
          <w:color w:val="auto"/>
        </w:rPr>
      </w:pPr>
    </w:p>
    <w:p>
      <w:pPr>
        <w:ind w:left="1020" w:right="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w:t>
      </w:r>
    </w:p>
    <w:p>
      <w:pPr>
        <w:spacing w:after="0" w:line="67" w:lineRule="exact"/>
        <w:rPr>
          <w:rFonts w:ascii="Times New Roman" w:cs="Times New Roman" w:eastAsia="Times New Roman" w:hAnsi="Times New Roman"/>
          <w:sz w:val="18"/>
          <w:szCs w:val="18"/>
          <w:color w:val="auto"/>
        </w:rPr>
      </w:pPr>
    </w:p>
    <w:p>
      <w:pPr>
        <w:ind w:left="1020" w:right="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significant judgment.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defer any net transaction price in excess of the revenue recognized, and recognize it over future periods as the performance obligations are satisfied. As of December 31, 2024, the related deferred revenues were not included in the disposal group held for sale as the related obligation to AstraZeneca will be satisfied upon the closing of the divestiture FibroGen International. The product revenue recognized under the China performance obligation is included in discontinued operations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On February 20, 2025, we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our roxadustat assets in China, including FibroGen International’s subsidiary FibroGen (China) Medical Technology Development Co., Ltd and its 51.1% interest in Falikang. The transaction is expected to close by mid-2025, and is subject to customary closing conditions and closing deliverables, including receipt of regulatory approval from the China State Administration for Market Regulation. We analyzed the quantitative and qualitative factors and concluded that the sale of FibroGen International represents a strategic shift in our business and qualified as a discontinued operation. As a result, we determined that FibroGen International met the “held for sale” criteria and the “discontinued operations” criteria in accordance with Financial Accounting Standard Boards Accounting Standards Codification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(“ASC 205”), as of December 31, 2024. Accordingly, the consolidated balance sheets and the consolidated statements of operations, and the notes to the consolidated financial statements were recasted for all periods presented to reflect the discontinuation of FibroGen International in accordance with ASC 205. The operating results related to FibroGen International are classified as discontinued operations, and have been reflected as discontinued operations in the consolidated statements of operations, while the related assets and liabilities were classified within the consolidated balance sheets as held for sale for all periods presented.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to our consolidated financial statements for related disclosures.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therefore, pursuant to Item 305(e) of Regulation S-K, we are not required to provide the information required by this Item.</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8"/>
        </w:trPr>
        <w:tc>
          <w:tcPr>
            <w:tcW w:w="106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8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FibroGen, Inc.</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680" w:type="dxa"/>
            <w:vAlign w:val="bottom"/>
            <w:gridSpan w:val="10"/>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6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 w:type="dxa"/>
            <w:vAlign w:val="bottom"/>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83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6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3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69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Redeemable Non-controlling Interests and Stockholders’ Deficit</w:t>
            </w:r>
          </w:p>
        </w:tc>
        <w:tc>
          <w:tcPr>
            <w:tcW w:w="2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53"/>
        </w:trPr>
        <w:tc>
          <w:tcPr>
            <w:tcW w:w="106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0" w:type="dxa"/>
            <w:vAlign w:val="bottom"/>
          </w:tcPr>
          <w:p>
            <w:pPr>
              <w:spacing w:after="0"/>
              <w:rPr>
                <w:sz w:val="24"/>
                <w:szCs w:val="24"/>
                <w:color w:val="auto"/>
              </w:rPr>
            </w:pPr>
          </w:p>
        </w:tc>
        <w:tc>
          <w:tcPr>
            <w:tcW w:w="6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II. Valuation and Qualifying Accounts for each of the two years ended December 31, 2024</w:t>
            </w:r>
          </w:p>
        </w:tc>
        <w:tc>
          <w:tcPr>
            <w:tcW w:w="39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777"/>
        </w:trPr>
        <w:tc>
          <w:tcPr>
            <w:tcW w:w="6780" w:type="dxa"/>
            <w:vAlign w:val="bottom"/>
            <w:gridSpan w:val="8"/>
          </w:tcPr>
          <w:p>
            <w:pPr>
              <w:ind w:left="554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FibroGen,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FibroGen, Inc. and its subsidiaries (the "Company") as of December 31, 2024 and 2023, and the related consolidated statements of operations, of comprehensive loss, of changes in redeemable non-controlling interests and stockholders’ deficit and of cash flows for the years then ended, including the related notes and financial statement schedule listed in the accompanying index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1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needs to complete the sale of FibroGen International, access additional cash from its China operations, or raise additional capital in order to fund its United States operations and to comply with certain debt covenants under its senior secured short term loan facilities. These conditions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the Transaction Price for Product Revenue Recognition for Sales to Beijing Falikang Pharmaceutical Co. Ltd. ("Falikang")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Notes 2, 3, and 4 to the consolidated financial statements, with respect to the roxadustat commercial product, revenue is recognized at a point in time when control of the product is transferred to Falikang. Total product revenue, net recognized related to sales to Falikang was $159.0 million for the year ended December 31, 2024. Revenue is recognized based on the estimated transaction price per unit and the actual quantity of product delivered to Falikang during the reporting period. The estimated transaction price per unit is determined based on the overall transaction price over the total estimated sales quantity for the estimated performance period in which management determined it is likely those sales would occur. Management applied significant judgment in determining the transaction price per unit, which involved the use of significant assumptions such as (i) the estimated total gross transaction price and profit share, (ii) the estimated total sales quantity, and (iii) the estimated performance period in which the Company determined it is likely those sales would occur.</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determining the transaction price for product revenue recognition for sales to Falikang is a critical audit matter are the significant judgment by management when determining the transaction price per unit, which in turn led to a high degree of auditor judgment, subjectivity, and effort in performing procedures and in evaluating management’s significant assumptions related to the estimated total gross transaction price, estimated total sales quantity, and estimated performance period over which the Company determined it is likely those sales would occur.</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determination of the transaction price per unit for sales to Falikang. These procedures also included, among others, testing management’s process for determining the transaction price per unit, which included evaluating the appropriateness of the method, testing the completeness and accuracy of the data used in the method, and evaluating the reasonableness of significant assumptions related to the estimated total gross transaction price, estimated total sales quantity, and estimated performance period over which the Company determined it is likely those sales would occur. Evaluating the reasonableness of the significant assumptions used by management involved evaluating whether the assumptions were reasonable considering (i) the current and historical transaction price and quantity, (ii) the consistency with external market, industry and regulatory data, (iii) whether these assumptions were consistent with evidence obtained in other areas of the audit, and (iv) patent expiration and market exclusivity.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110,849</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65,776</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331,559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time deposits</w:t>
            </w:r>
          </w:p>
        </w:tc>
        <w:tc>
          <w:tcPr>
            <w:tcW w:w="16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tcPr>
          <w:p>
            <w:pPr>
              <w:spacing w:after="0"/>
              <w:rPr>
                <w:sz w:val="18"/>
                <w:szCs w:val="18"/>
                <w:color w:val="auto"/>
              </w:rPr>
            </w:pPr>
          </w:p>
        </w:tc>
      </w:tr>
      <w:tr>
        <w:trPr>
          <w:trHeight w:val="250"/>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214,525</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deficit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132,987</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217,668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585,728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125,000 shares authorized; no shares issued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at December 31, 2024 and 2023</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225,000 shares authorized at December 31,</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2024 and 2023; 100,917 and 98,770 shares issued and outstanding at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FF0FC"/>
          </w:tcPr>
          <w:p>
            <w:pPr>
              <w:spacing w:after="0"/>
              <w:rPr>
                <w:sz w:val="20"/>
                <w:szCs w:val="20"/>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1,668,620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1,643,641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(5,732 )</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(6,875 )</w:t>
            </w: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(1,889,499 )</w:t>
            </w:r>
          </w:p>
        </w:tc>
        <w:tc>
          <w:tcPr>
            <w:tcW w:w="1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(1,841,920 )</w:t>
            </w:r>
          </w:p>
        </w:tc>
      </w:tr>
      <w:tr>
        <w:trPr>
          <w:trHeight w:val="20"/>
        </w:trPr>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 attributable to FibroGen</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(225,602 )</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(204,166 )</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100" w:type="dxa"/>
            <w:vAlign w:val="bottom"/>
          </w:tcPr>
          <w:p>
            <w:pPr>
              <w:spacing w:after="0"/>
              <w:rPr>
                <w:sz w:val="18"/>
                <w:szCs w:val="18"/>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deficit</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(205,115 )</w:t>
            </w:r>
          </w:p>
        </w:tc>
        <w:tc>
          <w:tcPr>
            <w:tcW w:w="1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(183,679 )</w:t>
            </w:r>
          </w:p>
        </w:tc>
      </w:tr>
      <w:tr>
        <w:trPr>
          <w:trHeight w:val="209"/>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 deficit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214,525</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423,529</w:t>
            </w:r>
          </w:p>
        </w:tc>
        <w:tc>
          <w:tcPr>
            <w:tcW w:w="100" w:type="dxa"/>
            <w:vAlign w:val="bottom"/>
            <w:tcBorders>
              <w:top w:val="single" w:sz="8" w:color="CFF0FC"/>
            </w:tcBorders>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-4756785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-4739640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-3634105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-2527935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18,401</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00" w:type="dxa"/>
            <w:vAlign w:val="bottom"/>
          </w:tcPr>
          <w:p>
            <w:pPr>
              <w:spacing w:after="0"/>
              <w:rPr>
                <w:sz w:val="18"/>
                <w:szCs w:val="18"/>
                <w:color w:val="auto"/>
              </w:rPr>
            </w:pPr>
          </w:p>
        </w:tc>
      </w:tr>
      <w:tr>
        <w:trPr>
          <w:trHeight w:val="209"/>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95,692</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266,473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86,483</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180,037</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369,524</w:t>
            </w:r>
          </w:p>
        </w:tc>
        <w:tc>
          <w:tcPr>
            <w:tcW w:w="100" w:type="dxa"/>
            <w:vAlign w:val="bottom"/>
          </w:tcPr>
          <w:p>
            <w:pPr>
              <w:spacing w:after="0"/>
              <w:rPr>
                <w:sz w:val="18"/>
                <w:szCs w:val="18"/>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8"/>
              </w:rPr>
              <w:t>(150,416 )</w:t>
            </w: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(322,721 )</w:t>
            </w:r>
          </w:p>
        </w:tc>
      </w:tr>
      <w:tr>
        <w:trPr>
          <w:trHeight w:val="216"/>
        </w:trPr>
        <w:tc>
          <w:tcPr>
            <w:tcW w:w="7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(8,247 )</w:t>
            </w: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(8,095 )</w:t>
            </w:r>
          </w:p>
        </w:tc>
      </w:tr>
      <w:tr>
        <w:trPr>
          <w:trHeight w:val="21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0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(2,951 )</w:t>
            </w: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09"/>
        </w:trPr>
        <w:tc>
          <w:tcPr>
            <w:tcW w:w="74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0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8"/>
              </w:rPr>
              <w:t>(153,367 )</w:t>
            </w: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(323,222 )</w:t>
            </w: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(269 )</w:t>
            </w: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0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(153,098</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105,519</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(47,579 )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(284,232 )</w:t>
            </w:r>
          </w:p>
        </w:tc>
      </w:tr>
      <w:tr>
        <w:trPr>
          <w:trHeight w:val="20"/>
        </w:trPr>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per share - basic and diluted</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(1.53 )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per share - basic and diluted</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8"/>
                <w:szCs w:val="18"/>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0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7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100,044</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-2853690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-2013585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-1165225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(47,579 )   $</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(284,232 )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(3,712 )</w:t>
            </w: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10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(23 )</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FF0FC"/>
          </w:tcPr>
          <w:p>
            <w:pPr>
              <w:spacing w:after="0"/>
              <w:rPr>
                <w:sz w:val="18"/>
                <w:szCs w:val="18"/>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net of taxes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(1,155 )</w:t>
            </w:r>
          </w:p>
        </w:tc>
      </w:tr>
      <w:tr>
        <w:trPr>
          <w:trHeight w:val="20"/>
        </w:trPr>
        <w:tc>
          <w:tcPr>
            <w:tcW w:w="7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(46,436 )</w:t>
            </w:r>
          </w:p>
        </w:tc>
        <w:tc>
          <w:tcPr>
            <w:tcW w:w="6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(285,387 )</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-316230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8"/>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040" w:type="dxa"/>
            <w:vAlign w:val="bottom"/>
            <w:gridSpan w:val="4"/>
            <w:vMerge w:val="restart"/>
          </w:tcPr>
          <w:p>
            <w:pPr>
              <w:jc w:val="right"/>
              <w:ind w:right="54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040" w:type="dxa"/>
            <w:vAlign w:val="bottom"/>
            <w:gridSpan w:val="2"/>
          </w:tcPr>
          <w:p>
            <w:pPr>
              <w:jc w:val="center"/>
              <w:ind w:right="268"/>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Redeemable</w:t>
            </w:r>
          </w:p>
        </w:tc>
        <w:tc>
          <w:tcPr>
            <w:tcW w:w="0" w:type="dxa"/>
            <w:vAlign w:val="bottom"/>
          </w:tcPr>
          <w:p>
            <w:pPr>
              <w:spacing w:after="0"/>
              <w:rPr>
                <w:sz w:val="1"/>
                <w:szCs w:val="1"/>
                <w:color w:val="auto"/>
              </w:rPr>
            </w:pPr>
          </w:p>
        </w:tc>
      </w:tr>
      <w:tr>
        <w:trPr>
          <w:trHeight w:val="137"/>
        </w:trPr>
        <w:tc>
          <w:tcPr>
            <w:tcW w:w="2040" w:type="dxa"/>
            <w:vAlign w:val="bottom"/>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50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160" w:type="dxa"/>
            <w:vAlign w:val="bottom"/>
            <w:gridSpan w:val="3"/>
          </w:tcPr>
          <w:p>
            <w:pPr>
              <w:jc w:val="center"/>
              <w:ind w:right="148"/>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1040" w:type="dxa"/>
            <w:vAlign w:val="bottom"/>
            <w:gridSpan w:val="2"/>
          </w:tcPr>
          <w:p>
            <w:pPr>
              <w:jc w:val="right"/>
              <w:ind w:right="268"/>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Controlling</w:t>
            </w:r>
          </w:p>
        </w:tc>
        <w:tc>
          <w:tcPr>
            <w:tcW w:w="18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468"/>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0" w:type="dxa"/>
            <w:vAlign w:val="bottom"/>
          </w:tcPr>
          <w:p>
            <w:pPr>
              <w:spacing w:after="0"/>
              <w:rPr>
                <w:sz w:val="1"/>
                <w:szCs w:val="1"/>
                <w:color w:val="auto"/>
              </w:rPr>
            </w:pPr>
          </w:p>
        </w:tc>
      </w:tr>
      <w:tr>
        <w:trPr>
          <w:trHeight w:val="128"/>
        </w:trPr>
        <w:tc>
          <w:tcPr>
            <w:tcW w:w="2040" w:type="dxa"/>
            <w:vAlign w:val="bottom"/>
          </w:tcPr>
          <w:p>
            <w:pPr>
              <w:spacing w:after="0"/>
              <w:rPr>
                <w:sz w:val="11"/>
                <w:szCs w:val="11"/>
                <w:color w:val="auto"/>
              </w:rPr>
            </w:pPr>
          </w:p>
        </w:tc>
        <w:tc>
          <w:tcPr>
            <w:tcW w:w="840" w:type="dxa"/>
            <w:vAlign w:val="bottom"/>
          </w:tcPr>
          <w:p>
            <w:pPr>
              <w:jc w:val="right"/>
              <w:ind w:right="170"/>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1"/>
                <w:szCs w:val="11"/>
                <w:color w:val="auto"/>
              </w:rPr>
            </w:pPr>
          </w:p>
        </w:tc>
        <w:tc>
          <w:tcPr>
            <w:tcW w:w="1040" w:type="dxa"/>
            <w:vAlign w:val="bottom"/>
            <w:gridSpan w:val="2"/>
          </w:tcPr>
          <w:p>
            <w:pPr>
              <w:jc w:val="center"/>
              <w:ind w:right="268"/>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1"/>
                <w:szCs w:val="11"/>
                <w:color w:val="auto"/>
              </w:rPr>
            </w:pPr>
          </w:p>
        </w:tc>
        <w:tc>
          <w:tcPr>
            <w:tcW w:w="1040" w:type="dxa"/>
            <w:vAlign w:val="bottom"/>
            <w:gridSpan w:val="2"/>
          </w:tcPr>
          <w:p>
            <w:pPr>
              <w:jc w:val="right"/>
              <w:ind w:right="448"/>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1"/>
                <w:szCs w:val="11"/>
                <w:color w:val="auto"/>
              </w:rPr>
            </w:pPr>
          </w:p>
        </w:tc>
        <w:tc>
          <w:tcPr>
            <w:tcW w:w="10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2"/>
                <w:szCs w:val="12"/>
                <w:b w:val="1"/>
                <w:bCs w:val="1"/>
                <w:color w:val="auto"/>
                <w:w w:val="93"/>
              </w:rPr>
              <w:t>Interests</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0"/>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1"/>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(Note 6)</w:t>
            </w:r>
          </w:p>
        </w:tc>
        <w:tc>
          <w:tcPr>
            <w:tcW w:w="0" w:type="dxa"/>
            <w:vAlign w:val="bottom"/>
          </w:tcPr>
          <w:p>
            <w:pPr>
              <w:spacing w:after="0"/>
              <w:rPr>
                <w:sz w:val="1"/>
                <w:szCs w:val="1"/>
                <w:color w:val="auto"/>
              </w:rPr>
            </w:pPr>
          </w:p>
        </w:tc>
      </w:tr>
      <w:tr>
        <w:trPr>
          <w:trHeight w:val="124"/>
        </w:trPr>
        <w:tc>
          <w:tcPr>
            <w:tcW w:w="204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94,166,086</w:t>
            </w:r>
          </w:p>
        </w:tc>
        <w:tc>
          <w:tcPr>
            <w:tcW w:w="42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1,541,019</w:t>
            </w:r>
          </w:p>
        </w:tc>
        <w:tc>
          <w:tcPr>
            <w:tcW w:w="2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(5,720 )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(1,557,688 )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22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(1,480 )</w:t>
            </w:r>
          </w:p>
        </w:tc>
        <w:tc>
          <w:tcPr>
            <w:tcW w:w="10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40" w:type="dxa"/>
            <w:vAlign w:val="bottom"/>
            <w:vMerge w:val="continue"/>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380" w:type="dxa"/>
            <w:vAlign w:val="bottom"/>
            <w:gridSpan w:val="2"/>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920" w:type="dxa"/>
            <w:vAlign w:val="bottom"/>
            <w:tcBorders>
              <w:right w:val="single" w:sz="8" w:color="auto"/>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0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(284,232 )</w:t>
            </w:r>
          </w:p>
        </w:tc>
        <w:tc>
          <w:tcPr>
            <w:tcW w:w="1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(284,232 )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Consolidation of Fortis</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(Note 6)</w:t>
            </w: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investments</w:t>
            </w: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(3,712 )</w:t>
            </w:r>
          </w:p>
        </w:tc>
        <w:tc>
          <w:tcPr>
            <w:tcW w:w="10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(3,712 )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adjustments</w:t>
            </w: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under ATM</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2,472,090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48,383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48,407</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Program</w:t>
            </w: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plans, net of</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2,132,071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payroll taxes paid</w:t>
            </w: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50,767</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50,767</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98,770,247</w:t>
            </w:r>
          </w:p>
        </w:tc>
        <w:tc>
          <w:tcPr>
            <w:tcW w:w="24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(6,875</w:t>
            </w:r>
          </w:p>
        </w:tc>
        <w:tc>
          <w:tcPr>
            <w:tcW w:w="2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(1,841,920</w:t>
            </w:r>
          </w:p>
        </w:tc>
        <w:tc>
          <w:tcPr>
            <w:tcW w:w="2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220" w:type="dxa"/>
            <w:vAlign w:val="bottom"/>
            <w:shd w:val="clear" w:color="auto" w:fill="CFF0FC"/>
          </w:tcPr>
          <w:p>
            <w:pPr>
              <w:spacing w:after="0"/>
              <w:rPr>
                <w:sz w:val="10"/>
                <w:szCs w:val="10"/>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(183,679</w:t>
            </w:r>
          </w:p>
        </w:tc>
        <w:tc>
          <w:tcPr>
            <w:tcW w:w="240" w:type="dxa"/>
            <w:vAlign w:val="bottom"/>
            <w:tcBorders>
              <w:right w:val="single" w:sz="8" w:color="auto"/>
            </w:tcBorders>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tcBorders>
              <w:bottom w:val="single" w:sz="8" w:color="CFF0FC"/>
            </w:tcBorders>
            <w:shd w:val="clear" w:color="auto" w:fill="CFF0FC"/>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vMerge w:val="continue"/>
            <w:shd w:val="clear" w:color="auto" w:fill="CFF0FC"/>
          </w:tcPr>
          <w:p>
            <w:pPr>
              <w:spacing w:after="0"/>
              <w:rPr>
                <w:sz w:val="15"/>
                <w:szCs w:val="15"/>
                <w:color w:val="auto"/>
              </w:rPr>
            </w:pP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vMerge w:val="continue"/>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right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(47,579 )</w:t>
            </w:r>
          </w:p>
        </w:tc>
        <w:tc>
          <w:tcPr>
            <w:tcW w:w="140" w:type="dxa"/>
            <w:vAlign w:val="bottom"/>
          </w:tcPr>
          <w:p>
            <w:pPr>
              <w:spacing w:after="0"/>
              <w:rPr>
                <w:sz w:val="11"/>
                <w:szCs w:val="11"/>
                <w:color w:val="auto"/>
              </w:rPr>
            </w:pPr>
          </w:p>
        </w:tc>
        <w:tc>
          <w:tcPr>
            <w:tcW w:w="102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20" w:type="dxa"/>
            <w:vAlign w:val="bottom"/>
            <w:tcBorders>
              <w:right w:val="single" w:sz="8" w:color="auto"/>
            </w:tcBorders>
            <w:gridSpan w:val="2"/>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(47,579 )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investments</w:t>
            </w: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w:t>
            </w: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from</w:t>
            </w: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plans, net of</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2,146,709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(236 )</w:t>
            </w:r>
          </w:p>
        </w:tc>
        <w:tc>
          <w:tcPr>
            <w:tcW w:w="12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(215 )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payroll taxes paid</w:t>
            </w: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25,215</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25,215</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8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100,916,95</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1,668,620</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(1,889,499</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(205,115</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40" w:type="dxa"/>
            <w:vAlign w:val="bottom"/>
            <w:tcBorders>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0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vMerge w:val="continue"/>
            <w:shd w:val="clear" w:color="auto" w:fill="CFF0FC"/>
          </w:tcPr>
          <w:p>
            <w:pPr>
              <w:spacing w:after="0"/>
              <w:rPr>
                <w:sz w:val="15"/>
                <w:szCs w:val="15"/>
                <w:color w:val="auto"/>
              </w:rPr>
            </w:pPr>
          </w:p>
        </w:tc>
        <w:tc>
          <w:tcPr>
            <w:tcW w:w="68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right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vMerge w:val="continue"/>
            <w:shd w:val="clear" w:color="auto" w:fill="CFF0FC"/>
          </w:tcPr>
          <w:p>
            <w:pPr>
              <w:spacing w:after="0"/>
              <w:rPr>
                <w:sz w:val="15"/>
                <w:szCs w:val="15"/>
                <w:color w:val="auto"/>
              </w:rPr>
            </w:pPr>
          </w:p>
        </w:tc>
        <w:tc>
          <w:tcPr>
            <w:tcW w:w="9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-1370965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-1353820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-1370965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-1353820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-1370965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-1353820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-1370965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-1353820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-1370965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-1353820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-1370965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-1353820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-1370965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-1353820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-24765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gridSpan w:val="5"/>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r>
      <w:tr>
        <w:trPr>
          <w:trHeight w:val="142"/>
        </w:trPr>
        <w:tc>
          <w:tcPr>
            <w:tcW w:w="7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r>
      <w:tr>
        <w:trPr>
          <w:trHeight w:val="142"/>
        </w:trPr>
        <w:tc>
          <w:tcPr>
            <w:tcW w:w="74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(47,579 )</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(284,232 )</w:t>
            </w:r>
          </w:p>
        </w:tc>
      </w:tr>
      <w:tr>
        <w:trPr>
          <w:trHeight w:val="14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9,518</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finance lease right-of-use assets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accretion of premium and discount on investments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(1,680 )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(5,061 )</w:t>
            </w: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Investment income in unconsolidated variable interest entity</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(3,969 )</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(2,638 )</w:t>
            </w: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2"/>
                <w:szCs w:val="12"/>
                <w:color w:val="auto"/>
              </w:rPr>
            </w:pPr>
          </w:p>
        </w:tc>
      </w:tr>
      <w:tr>
        <w:trPr>
          <w:trHeight w:val="14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25,215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50,767</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Acquired in-process research and development expenses</w:t>
            </w:r>
          </w:p>
        </w:tc>
        <w:tc>
          <w:tcPr>
            <w:tcW w:w="200" w:type="dxa"/>
            <w:vAlign w:val="bottom"/>
          </w:tcPr>
          <w:p>
            <w:pPr>
              <w:spacing w:after="0"/>
              <w:rPr>
                <w:sz w:val="12"/>
                <w:szCs w:val="12"/>
                <w:color w:val="auto"/>
              </w:rPr>
            </w:pPr>
          </w:p>
        </w:tc>
        <w:tc>
          <w:tcPr>
            <w:tcW w:w="182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24,636</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Non-cash interest expense related to sale of future revenues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7,734</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Dividend received from unconsolidated variable interest entity</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Impairment of investment</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Realized loss on sales of available-for-sale securities</w:t>
            </w:r>
          </w:p>
        </w:tc>
        <w:tc>
          <w:tcPr>
            <w:tcW w:w="200" w:type="dxa"/>
            <w:vAlign w:val="bottom"/>
          </w:tcPr>
          <w:p>
            <w:pPr>
              <w:spacing w:after="0"/>
              <w:rPr>
                <w:sz w:val="12"/>
                <w:szCs w:val="12"/>
                <w:color w:val="auto"/>
              </w:rPr>
            </w:pPr>
          </w:p>
        </w:tc>
        <w:tc>
          <w:tcPr>
            <w:tcW w:w="182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 net</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(6,737 )</w:t>
            </w: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22,284</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(1,695 )</w:t>
            </w: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(15,550 )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(28,165 )</w:t>
            </w:r>
          </w:p>
        </w:tc>
      </w:tr>
      <w:tr>
        <w:trPr>
          <w:trHeight w:val="14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66,306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11,704</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(15,514 )</w:t>
            </w: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(93,790 )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(49,778 )</w:t>
            </w: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(12,774 )</w:t>
            </w: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Deferred revenues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(28,297 )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(28,166 )</w:t>
            </w:r>
          </w:p>
        </w:tc>
      </w:tr>
      <w:tr>
        <w:trPr>
          <w:trHeight w:val="14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Accrued interest expense related to sale of future revenues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interest for finance lease liabilities</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(11 )</w:t>
            </w:r>
          </w:p>
        </w:tc>
      </w:tr>
      <w:tr>
        <w:trPr>
          <w:trHeight w:val="148"/>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(66,154 )</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(12,998 )</w:t>
            </w:r>
          </w:p>
        </w:tc>
      </w:tr>
      <w:tr>
        <w:trPr>
          <w:trHeight w:val="148"/>
        </w:trPr>
        <w:tc>
          <w:tcPr>
            <w:tcW w:w="7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(540 )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(2,573 )</w:t>
            </w:r>
          </w:p>
        </w:tc>
      </w:tr>
      <w:tr>
        <w:trPr>
          <w:trHeight w:val="20"/>
        </w:trPr>
        <w:tc>
          <w:tcPr>
            <w:tcW w:w="7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40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rPr>
              <w:t>(137,999 )</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(315,021 )</w:t>
            </w:r>
          </w:p>
        </w:tc>
      </w:tr>
      <w:tr>
        <w:trPr>
          <w:trHeight w:val="142"/>
        </w:trPr>
        <w:tc>
          <w:tcPr>
            <w:tcW w:w="74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(266 )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(2,519 )</w:t>
            </w:r>
          </w:p>
        </w:tc>
      </w:tr>
      <w:tr>
        <w:trPr>
          <w:trHeight w:val="14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available-for-sale securities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auto"/>
              </w:rPr>
              <w:t>(8,628 )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(251,830 )</w:t>
            </w:r>
          </w:p>
        </w:tc>
      </w:tr>
      <w:tr>
        <w:trPr>
          <w:trHeight w:val="14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acquired from consolidation of Fortis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available-for-sale securities</w:t>
            </w:r>
          </w:p>
        </w:tc>
        <w:tc>
          <w:tcPr>
            <w:tcW w:w="200" w:type="dxa"/>
            <w:vAlign w:val="bottom"/>
          </w:tcPr>
          <w:p>
            <w:pPr>
              <w:spacing w:after="0"/>
              <w:rPr>
                <w:sz w:val="12"/>
                <w:szCs w:val="12"/>
                <w:color w:val="auto"/>
              </w:rPr>
            </w:pPr>
          </w:p>
        </w:tc>
        <w:tc>
          <w:tcPr>
            <w:tcW w:w="182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6,729</w:t>
            </w:r>
          </w:p>
        </w:tc>
        <w:tc>
          <w:tcPr>
            <w:tcW w:w="100" w:type="dxa"/>
            <w:vAlign w:val="bottom"/>
          </w:tcPr>
          <w:p>
            <w:pPr>
              <w:spacing w:after="0"/>
              <w:rPr>
                <w:sz w:val="12"/>
                <w:szCs w:val="12"/>
                <w:color w:val="auto"/>
              </w:rPr>
            </w:pPr>
          </w:p>
        </w:tc>
      </w:tr>
      <w:tr>
        <w:trPr>
          <w:trHeight w:val="14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maturities of investments</w:t>
            </w: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133,841</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400,621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4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2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125,993</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153,657</w:t>
            </w:r>
          </w:p>
        </w:tc>
        <w:tc>
          <w:tcPr>
            <w:tcW w:w="100" w:type="dxa"/>
            <w:vAlign w:val="bottom"/>
          </w:tcPr>
          <w:p>
            <w:pPr>
              <w:spacing w:after="0"/>
              <w:rPr>
                <w:sz w:val="12"/>
                <w:szCs w:val="12"/>
                <w:color w:val="auto"/>
              </w:rPr>
            </w:pPr>
          </w:p>
        </w:tc>
      </w:tr>
      <w:tr>
        <w:trPr>
          <w:trHeight w:val="142"/>
        </w:trPr>
        <w:tc>
          <w:tcPr>
            <w:tcW w:w="7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senior secured term loan facilities, net of issuance costs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74,078</w:t>
            </w:r>
          </w:p>
        </w:tc>
        <w:tc>
          <w:tcPr>
            <w:tcW w:w="100" w:type="dxa"/>
            <w:vAlign w:val="bottom"/>
            <w:shd w:val="clear" w:color="auto" w:fill="CFF0FC"/>
          </w:tcPr>
          <w:p>
            <w:pPr>
              <w:spacing w:after="0"/>
              <w:rPr>
                <w:sz w:val="12"/>
                <w:szCs w:val="12"/>
                <w:color w:val="auto"/>
              </w:rPr>
            </w:pP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transaction costs for senior secured term loan facilities</w:t>
            </w:r>
          </w:p>
        </w:tc>
        <w:tc>
          <w:tcPr>
            <w:tcW w:w="200" w:type="dxa"/>
            <w:vAlign w:val="bottom"/>
          </w:tcPr>
          <w:p>
            <w:pPr>
              <w:spacing w:after="0"/>
              <w:rPr>
                <w:sz w:val="12"/>
                <w:szCs w:val="12"/>
                <w:color w:val="auto"/>
              </w:rPr>
            </w:pPr>
          </w:p>
        </w:tc>
        <w:tc>
          <w:tcPr>
            <w:tcW w:w="182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(2,746 )</w:t>
            </w:r>
          </w:p>
        </w:tc>
      </w:tr>
      <w:tr>
        <w:trPr>
          <w:trHeight w:val="14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Repayments of finance lease liabilities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(40 )</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(148 )</w:t>
            </w: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Repayments of lease obligations</w:t>
            </w:r>
          </w:p>
        </w:tc>
        <w:tc>
          <w:tcPr>
            <w:tcW w:w="200" w:type="dxa"/>
            <w:vAlign w:val="bottom"/>
          </w:tcPr>
          <w:p>
            <w:pPr>
              <w:spacing w:after="0"/>
              <w:rPr>
                <w:sz w:val="12"/>
                <w:szCs w:val="12"/>
                <w:color w:val="auto"/>
              </w:rPr>
            </w:pPr>
          </w:p>
        </w:tc>
        <w:tc>
          <w:tcPr>
            <w:tcW w:w="182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(336 )</w:t>
            </w:r>
          </w:p>
        </w:tc>
      </w:tr>
      <w:tr>
        <w:trPr>
          <w:trHeight w:val="14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paid for payroll taxes on restricted stock unit releases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(354 )</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(237 )</w:t>
            </w:r>
          </w:p>
        </w:tc>
      </w:tr>
      <w:tr>
        <w:trPr>
          <w:trHeight w:val="149"/>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ATM Program, net of commissions</w:t>
            </w:r>
          </w:p>
        </w:tc>
        <w:tc>
          <w:tcPr>
            <w:tcW w:w="200" w:type="dxa"/>
            <w:vAlign w:val="bottom"/>
          </w:tcPr>
          <w:p>
            <w:pPr>
              <w:spacing w:after="0"/>
              <w:rPr>
                <w:sz w:val="12"/>
                <w:szCs w:val="12"/>
                <w:color w:val="auto"/>
              </w:rPr>
            </w:pPr>
          </w:p>
        </w:tc>
        <w:tc>
          <w:tcPr>
            <w:tcW w:w="1820" w:type="dxa"/>
            <w:vAlign w:val="bottom"/>
            <w:gridSpan w:val="2"/>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48,407</w:t>
            </w:r>
          </w:p>
        </w:tc>
        <w:tc>
          <w:tcPr>
            <w:tcW w:w="100" w:type="dxa"/>
            <w:vAlign w:val="bottom"/>
          </w:tcPr>
          <w:p>
            <w:pPr>
              <w:spacing w:after="0"/>
              <w:rPr>
                <w:sz w:val="12"/>
                <w:szCs w:val="12"/>
                <w:color w:val="auto"/>
              </w:rPr>
            </w:pPr>
          </w:p>
        </w:tc>
      </w:tr>
      <w:tr>
        <w:trPr>
          <w:trHeight w:val="14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employee stock plans</w:t>
            </w: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100" w:type="dxa"/>
            <w:vAlign w:val="bottom"/>
            <w:shd w:val="clear" w:color="auto" w:fill="CFF0FC"/>
          </w:tcPr>
          <w:p>
            <w:pPr>
              <w:spacing w:after="0"/>
              <w:rPr>
                <w:sz w:val="12"/>
                <w:szCs w:val="12"/>
                <w:color w:val="auto"/>
              </w:rPr>
            </w:pPr>
          </w:p>
        </w:tc>
      </w:tr>
      <w:tr>
        <w:trPr>
          <w:trHeight w:val="142"/>
        </w:trPr>
        <w:tc>
          <w:tcPr>
            <w:tcW w:w="74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2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(255</w:t>
            </w:r>
          </w:p>
        </w:tc>
        <w:tc>
          <w:tcPr>
            <w:tcW w:w="2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122,749</w:t>
            </w:r>
          </w:p>
        </w:tc>
        <w:tc>
          <w:tcPr>
            <w:tcW w:w="100" w:type="dxa"/>
            <w:vAlign w:val="bottom"/>
          </w:tcPr>
          <w:p>
            <w:pPr>
              <w:spacing w:after="0"/>
              <w:rPr>
                <w:sz w:val="12"/>
                <w:szCs w:val="12"/>
                <w:color w:val="auto"/>
              </w:rPr>
            </w:pPr>
          </w:p>
        </w:tc>
      </w:tr>
      <w:tr>
        <w:trPr>
          <w:trHeight w:val="142"/>
        </w:trPr>
        <w:tc>
          <w:tcPr>
            <w:tcW w:w="74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Effect of exchange rate change on cash and cash equivalents</w:t>
            </w:r>
          </w:p>
        </w:tc>
        <w:tc>
          <w:tcPr>
            <w:tcW w:w="20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751</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(3,397 )</w:t>
            </w:r>
          </w:p>
        </w:tc>
      </w:tr>
      <w:tr>
        <w:trPr>
          <w:trHeight w:val="20"/>
        </w:trPr>
        <w:tc>
          <w:tcPr>
            <w:tcW w:w="7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200" w:type="dxa"/>
            <w:vAlign w:val="bottom"/>
          </w:tcPr>
          <w:p>
            <w:pPr>
              <w:spacing w:after="0"/>
              <w:rPr>
                <w:sz w:val="12"/>
                <w:szCs w:val="12"/>
                <w:color w:val="auto"/>
              </w:rPr>
            </w:pPr>
          </w:p>
        </w:tc>
        <w:tc>
          <w:tcPr>
            <w:tcW w:w="182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rPr>
              <w:t>(11,510 )</w:t>
            </w:r>
          </w:p>
        </w:tc>
        <w:tc>
          <w:tcPr>
            <w:tcW w:w="200" w:type="dxa"/>
            <w:vAlign w:val="bottom"/>
          </w:tcPr>
          <w:p>
            <w:pPr>
              <w:spacing w:after="0"/>
              <w:rPr>
                <w:sz w:val="12"/>
                <w:szCs w:val="12"/>
                <w:color w:val="auto"/>
              </w:rPr>
            </w:pPr>
          </w:p>
        </w:tc>
        <w:tc>
          <w:tcPr>
            <w:tcW w:w="16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(42,012 )</w:t>
            </w:r>
          </w:p>
        </w:tc>
      </w:tr>
      <w:tr>
        <w:trPr>
          <w:trHeight w:val="14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cash and cash equivalents at beginning of period</w:t>
            </w: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113,688</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155,700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cash and cash equivalents at end of period</w:t>
            </w:r>
          </w:p>
        </w:tc>
        <w:tc>
          <w:tcPr>
            <w:tcW w:w="2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102,178</w:t>
            </w:r>
          </w:p>
        </w:tc>
        <w:tc>
          <w:tcPr>
            <w:tcW w:w="2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113,688</w:t>
            </w:r>
          </w:p>
        </w:tc>
        <w:tc>
          <w:tcPr>
            <w:tcW w:w="100" w:type="dxa"/>
            <w:vAlign w:val="bottom"/>
          </w:tcPr>
          <w:p>
            <w:pPr>
              <w:spacing w:after="0"/>
              <w:rPr>
                <w:sz w:val="12"/>
                <w:szCs w:val="12"/>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7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 cash acquisition in Fortis</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(22,000 )</w:t>
            </w:r>
          </w:p>
        </w:tc>
      </w:tr>
      <w:tr>
        <w:trPr>
          <w:trHeight w:val="14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payments</w:t>
            </w:r>
          </w:p>
        </w:tc>
        <w:tc>
          <w:tcPr>
            <w:tcW w:w="2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6,383</w:t>
            </w:r>
          </w:p>
        </w:tc>
        <w:tc>
          <w:tcPr>
            <w:tcW w:w="100" w:type="dxa"/>
            <w:vAlign w:val="bottom"/>
          </w:tcPr>
          <w:p>
            <w:pPr>
              <w:spacing w:after="0"/>
              <w:rPr>
                <w:sz w:val="12"/>
                <w:szCs w:val="12"/>
                <w:color w:val="auto"/>
              </w:rPr>
            </w:pPr>
          </w:p>
        </w:tc>
      </w:tr>
      <w:tr>
        <w:trPr>
          <w:trHeight w:val="136"/>
        </w:trPr>
        <w:tc>
          <w:tcPr>
            <w:tcW w:w="740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Balance in accounts payable and accrued liabilities related to purchases</w:t>
            </w:r>
          </w:p>
        </w:tc>
        <w:tc>
          <w:tcPr>
            <w:tcW w:w="20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7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of property and equipment</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gridSpan w:val="2"/>
            <w:shd w:val="clear" w:color="auto" w:fill="CFF0FC"/>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FF0FC"/>
          </w:tcPr>
          <w:p>
            <w:pPr>
              <w:spacing w:after="0"/>
              <w:rPr>
                <w:sz w:val="14"/>
                <w:szCs w:val="14"/>
                <w:color w:val="auto"/>
              </w:rPr>
            </w:pPr>
          </w:p>
        </w:tc>
      </w:tr>
      <w:tr>
        <w:trPr>
          <w:trHeight w:val="148"/>
        </w:trPr>
        <w:tc>
          <w:tcPr>
            <w:tcW w:w="7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and cash equivalents to the consolidated balance sheets:</w:t>
            </w:r>
          </w:p>
        </w:tc>
        <w:tc>
          <w:tcPr>
            <w:tcW w:w="20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shd w:val="clear" w:color="auto" w:fill="CFF0FC"/>
          </w:tcPr>
          <w:p>
            <w:pPr>
              <w:spacing w:after="0"/>
              <w:rPr>
                <w:sz w:val="12"/>
                <w:szCs w:val="12"/>
                <w:color w:val="auto"/>
              </w:rPr>
            </w:pPr>
          </w:p>
        </w:tc>
        <w:tc>
          <w:tcPr>
            <w:tcW w:w="1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40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and cash equivalents of continuing operations</w:t>
            </w:r>
          </w:p>
        </w:tc>
        <w:tc>
          <w:tcPr>
            <w:tcW w:w="2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50,482</w:t>
            </w:r>
          </w:p>
        </w:tc>
        <w:tc>
          <w:tcPr>
            <w:tcW w:w="28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81,553</w:t>
            </w:r>
          </w:p>
        </w:tc>
        <w:tc>
          <w:tcPr>
            <w:tcW w:w="100" w:type="dxa"/>
            <w:vAlign w:val="bottom"/>
            <w:tcBorders>
              <w:top w:val="single" w:sz="8" w:color="CFF0FC"/>
            </w:tcBorders>
          </w:tcPr>
          <w:p>
            <w:pPr>
              <w:spacing w:after="0"/>
              <w:rPr>
                <w:sz w:val="12"/>
                <w:szCs w:val="12"/>
                <w:color w:val="auto"/>
              </w:rPr>
            </w:pPr>
          </w:p>
        </w:tc>
      </w:tr>
      <w:tr>
        <w:trPr>
          <w:trHeight w:val="149"/>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 included in assets held for sale</w:t>
            </w:r>
          </w:p>
        </w:tc>
        <w:tc>
          <w:tcPr>
            <w:tcW w:w="200" w:type="dxa"/>
            <w:vAlign w:val="bottom"/>
            <w:tcBorders>
              <w:bottom w:val="single" w:sz="8" w:color="auto"/>
            </w:tcBorders>
            <w:shd w:val="clear" w:color="auto" w:fill="CFF0FC"/>
          </w:tcPr>
          <w:p>
            <w:pPr>
              <w:spacing w:after="0"/>
              <w:rPr>
                <w:sz w:val="12"/>
                <w:szCs w:val="12"/>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51,696</w:t>
            </w:r>
          </w:p>
        </w:tc>
        <w:tc>
          <w:tcPr>
            <w:tcW w:w="2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32,135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40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cash and cash equivalents in the consolidated statements of cash flows</w:t>
            </w:r>
          </w:p>
        </w:tc>
        <w:tc>
          <w:tcPr>
            <w:tcW w:w="2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102,178</w:t>
            </w:r>
          </w:p>
        </w:tc>
        <w:tc>
          <w:tcPr>
            <w:tcW w:w="2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113,688</w:t>
            </w:r>
          </w:p>
        </w:tc>
        <w:tc>
          <w:tcPr>
            <w:tcW w:w="100" w:type="dxa"/>
            <w:vAlign w:val="bottom"/>
          </w:tcPr>
          <w:p>
            <w:pPr>
              <w:spacing w:after="0"/>
              <w:rPr>
                <w:sz w:val="12"/>
                <w:szCs w:val="12"/>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-3333750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-2571115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-1623695</wp:posOffset>
            </wp:positionV>
            <wp:extent cx="93980" cy="1365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-1623695</wp:posOffset>
            </wp:positionV>
            <wp:extent cx="93980" cy="136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-1405255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-1207770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-325120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-128270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FibroGen, Inc. (“FibroGen” or the “Company”) is a biopharmaceutical company focused on development of novel therapies at the frontiers of cancer biology and anemia.</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is developing FG-3246, an antibody-drug conjugate targeting CD46, for the treatment of metastatic castration-resistant prostate cancer and potentially other cancers. This program also includes the development of FG-3180, an associated CD46-targeted positron emission tomography (“PET”) biomarker and imaging agent.</w:t>
      </w:r>
    </w:p>
    <w:p>
      <w:pPr>
        <w:spacing w:after="0" w:line="183" w:lineRule="exact"/>
        <w:rPr>
          <w:sz w:val="20"/>
          <w:szCs w:val="20"/>
          <w:color w:val="auto"/>
        </w:rPr>
      </w:pPr>
    </w:p>
    <w:p>
      <w:pPr>
        <w:jc w:val="both"/>
        <w:ind w:right="80"/>
        <w:spacing w:after="0" w:line="229" w:lineRule="exact"/>
        <w:rPr>
          <w:sz w:val="20"/>
          <w:szCs w:val="20"/>
          <w:color w:val="auto"/>
        </w:rPr>
      </w:pPr>
      <w:r>
        <w:rPr>
          <w:rFonts w:ascii="Times New Roman" w:cs="Times New Roman" w:eastAsia="Times New Roman" w:hAnsi="Times New Roman"/>
          <w:sz w:val="18"/>
          <w:szCs w:val="18"/>
          <w:color w:val="auto"/>
        </w:rPr>
        <w:t>The Company and its collaboration partners have developed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which is currently approved in the People’s Republic of China (“China”), Europe, Japan, and numerous other countries for the treatment of anemia in chronic kidney disease (“CKD”) patients on dialysis and not on dialysis.</w:t>
      </w:r>
    </w:p>
    <w:p>
      <w:pPr>
        <w:spacing w:after="0" w:line="20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On February 20, 2025, the Company entered into a share purchase agreement (the “Share Purchase Agreement”) with AstraZeneca Treasury Limited pursuant to which FibroGen and its subsidiary FibroGen China Anemia Holdings, Ltd. agreed to sell all of the issued and outstanding equity interests of FibroGen International (Hong Kong) Ltd. (“FibroGen International”) to AstraZeneca Treasury Limited. AstraZeneca AB (“AstraZeneca”) is the Company’s long-time commercialization partner for roxadustat in greater China and South Korea. This sale includes all of FibroGen’s roxadustat assets in China, including FibroGen International’s subsidiary FibroGen (China) Medical Technology Development Co., Ltd and its 51.1% interest in Beijing Falikang Pharmaceutical Co. Ltd (“Falikang”). The transaction is expected to close by mid-2025, and is subject to customary closing conditions and closing deliverables, including receipt of regulatory approval from the China State Administration for Market Regulation.</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FibroGen has retained the rights to roxadustat in the United States of America (“U.S.”), Canada, Mexico, and in all markets not held by AstraZeneca or licensed to Astellas Pharma Inc. (“Astellas”). Astellas is commercializing roxadustat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 Europe and Japan to treat anemia under two development and commercialization license agreements: one for Japan, and one for Europe, the Commonwealth of Independent States, the Middle East and South Africa.</w:t>
      </w:r>
    </w:p>
    <w:p>
      <w:pPr>
        <w:spacing w:after="0" w:line="2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a development plan for roxadustat in anemia associated with lower-risk myelodysplastic syndrome, a high-value indication with significant unmet medical need.</w:t>
      </w:r>
    </w:p>
    <w:p>
      <w:pPr>
        <w:spacing w:after="0" w:line="266" w:lineRule="exact"/>
        <w:rPr>
          <w:sz w:val="20"/>
          <w:szCs w:val="20"/>
          <w:color w:val="auto"/>
        </w:rPr>
      </w:pPr>
    </w:p>
    <w:p>
      <w:pPr>
        <w:ind w:right="7480" w:firstLine="8"/>
        <w:spacing w:after="0" w:line="378" w:lineRule="auto"/>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U.S. (“U.S. GAAP”). The consolidated financial statements include the accounts of the Company, its wholly owned subsidiaries and its majority-owned subsidiaries, as well as any variable interest entity (“VIE”) for which FibroGen is the primary beneficiary. All inter-company transactions and balances have been eliminated in consolidation.</w:t>
      </w:r>
    </w:p>
    <w:p>
      <w:pPr>
        <w:spacing w:after="0" w:line="180" w:lineRule="exact"/>
        <w:rPr>
          <w:sz w:val="20"/>
          <w:szCs w:val="20"/>
          <w:color w:val="auto"/>
        </w:rPr>
      </w:pPr>
    </w:p>
    <w:p>
      <w:pPr>
        <w:jc w:val="center"/>
        <w:ind w:right="220"/>
        <w:spacing w:after="0" w:line="407" w:lineRule="auto"/>
        <w:rPr>
          <w:sz w:val="20"/>
          <w:szCs w:val="20"/>
          <w:color w:val="auto"/>
        </w:rPr>
      </w:pPr>
      <w:r>
        <w:rPr>
          <w:rFonts w:ascii="Times New Roman" w:cs="Times New Roman" w:eastAsia="Times New Roman" w:hAnsi="Times New Roman"/>
          <w:sz w:val="18"/>
          <w:szCs w:val="18"/>
          <w:color w:val="auto"/>
        </w:rPr>
        <w:t>The Company operates in one reportable segment — the development and commercialization of novel therapeutics to treat serious unmet medical needs.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FibroGen’s roxadustat assets in China, including FibroGen International’s subsidiary FibroGen (China) Medical Technology Development Co., Ltd and its 51.1% interest in Falikang. The transaction is expected to close by mid-2025, and is subject to customary closing conditions and closing deliverables, including receipt of regulatory approval from the China State Administration for Market Regulation. The Company analyzed the quantitative and qualitative factors and concluded that the sale of FibroGen International represents a strategic shift in FibroGen’s business and qualified as a discontinued operation. As a result, the Company determined that FibroGen International met the “held for sale” criteria and the “discontinued operations” criteria in accordance with Financial Accounting Standard Boards (“FASB”) Accounting Standards Codification (“ASC”) 205,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of December 31, 2024. Accordingly, the consolidated balance sheets and the consolidated statements of operations, and the notes to the consolidated financial statements were recasted for all periods presented to reflect the discontinuation of FibroGen International in accordance with ASC 205. The operating results related to FibroGen International are classified as discontinued operations, and have been reflected as discontinued operations in the consolidated statements of operations, while the related assets and liabilities were classified within the consolidated balance sheets as held for sale for all periods presented.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related disclosures. Unless otherwise noted, discussion in the notes to these consolidated financial statements, relates to solely to the Company’s continuing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the U.S. GAAP applicable to a going concern, which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the above mentioned sale of FibroGen International, access additional cash from its China operations, or raise additional capital in the United States, the Company would not have sufficient liquidity to continue operations in the U.S. for the 12 months from the date that the financial statements are issued and would not be able to comply with its financial covenant that requires a minimum balance of $30 million of unrestricted cash and cash equivalents to be held in accounts in the United States. In addition, there is a covenant under the Company’s senior secured credit facility to provide an annual audit report without a going concern qualification other than with respect to certain exceptions, of which the Company believes it meets an exception to such requirement. Upon an event of default, the Company’s senior secured term loan facilities could become immediately due and payable. The Company has evaluated measures to access additional cash from its China operations and believes the sale of FibroGen International represents the most efficient way to access the entirety of its cash from China upon closing of the transaction. There is also the potential that the Company raises additional funds in the U.S. at any time through equity, equity-linked, or debt financing arrangements or from other sources. There can be no assurances that these plans will be successful. As a result of these factors, the Company has determined that there is substantial doubt about its ability to continue as a going concern within 12 months after the date that the financial statements are issued.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functional currency of FibroGen Europe is the Euro. The functional currency of FibroGen (China) Medical Technology Development Co., Ltd. (“FibroGen Beijing”) is CNY. As such, monetary assets and liabilities of FibroGen Europe and FibroGen Beijing in currencies other than their functional currencies are remeasured using exchange rates in effect at the end of the period. The assets and liabilities of FibroGen Europe and FibroGen Beijing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(deficit).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5" w:name="page96"/>
    <w:bookmarkEnd w:id="95"/>
    <w:p>
      <w:pPr>
        <w:ind w:right="140"/>
        <w:spacing w:after="0" w:line="258" w:lineRule="auto"/>
        <w:rPr>
          <w:sz w:val="20"/>
          <w:szCs w:val="20"/>
          <w:color w:val="auto"/>
        </w:rPr>
      </w:pPr>
      <w:r>
        <w:rPr>
          <w:rFonts w:ascii="Times New Roman" w:cs="Times New Roman" w:eastAsia="Times New Roman" w:hAnsi="Times New Roman"/>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(as defined and discussed under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below). On an ongoing basis, management reviews these estimates and assumptions. Changes in facts and circumstances may alter such estimates and actual results could differ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associated with concentration of credit for cash and cash equivalents. Outside of short-term operating needs, cash on hand is invested in commercial paper and money market funds. Any remaining cash is deposited with major financial institutions primarily in the U.S. At times, such deposits may be in excess of insured limits. The Company has not experienced any loss on its deposits of cash and cash equivalents. As of December 31, 2024 and 2023, the accounts receivable was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w:t>
      </w:r>
      <w:r>
        <w:rPr>
          <w:rFonts w:ascii="Times New Roman" w:cs="Times New Roman" w:eastAsia="Times New Roman" w:hAnsi="Times New Roman"/>
          <w:sz w:val="17"/>
          <w:szCs w:val="17"/>
          <w:color w:val="auto"/>
        </w:rPr>
        <w:t>regulatory authorities,</w:t>
      </w:r>
      <w:r>
        <w:rPr>
          <w:rFonts w:ascii="Times New Roman" w:cs="Times New Roman" w:eastAsia="Times New Roman" w:hAnsi="Times New Roman"/>
          <w:sz w:val="18"/>
          <w:szCs w:val="18"/>
          <w:color w:val="auto"/>
        </w:rPr>
        <w:t xml:space="preserve">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and cash equivalents also include certain money market accounts and commercial paper.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did not have any short-term or long-term investments as of December 31, 2024. As of December 31, 2023, the Company’s short-term investments consist of diversified bonds, commercial paper, and money market funds with original maturities of greater than three months and remaining maturities of less than 12 months (365 days) are considered. Any investments with maturities greater than 12 months (365 days) from the balance sheet date are considered long-term investments. When such investments are held,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Realized and unrealized gains or losses resulting from changes in value and sale of the Company’s marketable equity investments are recorded in other income (expenses) in the consolidated statement of operations.</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Trade accounts receivable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years ended the years ended December 31, 2024 and 2023 and the allowance for credit losses as of December 31, 2024 and 2023 were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 – Available-for-sale debt securities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provision for, or reversal of, credit loss expense. Losses are charged against the allowance when the Company believes that an available-for-sale security is confirmed uncollectable or when either of the criteria regarding intent or requirement to sell is met. The Company did not have any available-for-sale debt securities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or FIFO, basis. The Company’s inventories uses actual costs to determine its cost basis. The cost of inventories includes direct material cost, direct labor and manufacturing overhead.</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When the technical feasibility of the Company’s future commercialization is considered probable and the future economic benefit is expected to be realized, based on management’s judgment, the Company capitalizes pre-launch inventory costs prior to regulatory approval. A number of factors are considered, including the status in the validation process in significant jurisdictions, regulatory application and approval process, and terms and condition for future sale of such inventory or future alternative use. The pre-launch inventory cost includes purchase cost of raw materials, cost paid to contract manufacturers for inventory manufacturing, freight and custom charges, and certain direct internal labor and overhead expenses.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inventories to identify obsolete, slow-moving, excess or otherwise unsaleable items. If obsolete, excess or unsaleable items are observed and there are no alternate uses for the inventory, an inventory valuation adjustment is recorded through a charge to cost of goods sold on the Company’s consolidated statements of operations. Inventory valuation adjustments require judgment including consideration of many factors, such as estimates of future product demand and product expiration period, among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their estimated useful lives using the straight-line method. Computer equipment, laboratory equipment, machinery and furniture and fixtures are depreciated over three to five years. Leasehold improvements are recorded at cost and amortized over the term of the lease or their useful life, whichever is shorter. The Company did not have property and equipment as of December 31, 2024.</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the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when the Company obtains an economic interest in an entity, it evaluates the entity to determine if it should be deemed a VIE, and, if so, whether the Company is the primary beneficiary and is therefore required to consolidate the VIE, based on significant judgment whether the Company (i) has the power to direct the activities that most significantly impact the economic performance of the VIE and (ii) has the obligation to absorb losses or the right to receive benefits of the VIE that could potentially be significant to the VIE.</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an ongoing basis, the Company re-evaluates the VIE assessment based on potential changes in facts and circumstances, including but not limited to, the shareholder loans to the entity and the execution of any future significant agreements between the entity and its shareholders and/or other third parties.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7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 xml:space="preserve">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reassesses the incremental borrowing rate periodically for application to any new leases or lease modifications, which approximates the rate at which the Company would borrow, on a secured basis, in the country where the lease was executed. For any lease modification, the Company reassesses the lease classification, remeasures the related lease liability using an updated discount rate, and adjusts the related ROU asset under the lease modification guidance under the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(“ASC 842”).</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that the Company will exercise that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ROU assets, operating lease liabilities, current and non-current on the Company’s consolidated balance sheets. As of December 31, 2024, the Company did not have any operating leases. The Company immaterial finance leases are immaterial and are included in other assets, accrued and other current liabilities, and other long-term liabilities on the Company’s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(asset group)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 The Company had no impairment of long-lived assets for the years ended December 31, 2024 and 2023.</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Liability Related to Sale of Future Revenues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the sale of future revenue as a debt, because the risks and rewards to the investor are limited by the terms of the transaction as discussed further in Note 10,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The difference between the carrying amount of the initial liability and the gross proceeds received is accounted for as a discount. The Company recognizes interest expense based on an estimated effective annual interest rate, which is affected by the amount and timing of revenues recognized and changes in the timing of forecasted revenues. Quarterly, the Company reassesses the expected revenues and the timing of such revenues, recalculates the amortization and effective interest rate and adjusts the accounting prospectively as needed.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entities or assets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this screen criteria is met, the transaction is accounted for as an asset acquisition. If not, further determination is required as to whether or not the Company has acquired inputs and processes that have the ability to create outputs which would meet the definition of a business. The Company measures and recognizes asset acquisitions that are not deemed to be business combinations based on the cost to acquire the assets, which includes transaction costs.</w:t>
      </w:r>
    </w:p>
    <w:p>
      <w:pPr>
        <w:spacing w:after="0" w:line="18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In an asset acquisition, the cost allocated to acquire in-process research and development (“IPR&amp;D”) with no alternative future use is charged to research and development expense at the acquisition date. The Company recognizes assets acquired and liabilities assumed in asset acquisitions, including contingent assets and liabilities, and non-controlling interests (“NCI”) in the acquired assets at their estimated fair values as of the date of acquisition.</w:t>
      </w:r>
    </w:p>
    <w:p>
      <w:pPr>
        <w:spacing w:after="0" w:line="15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 NCI represents the non-affiliated equity interest in the underlying entity or asset. The Company presents redeemable NCI in its consolidated statements of changes in equity within mezzanine equity. Nonredeemable NCI and redeemable NCI are initially recorded at their fair values. Subsequently, net loss in the underlying entity or asset is only allocated to nonredeemable NCI. Net income in the underlying entity or asset is allocated to nonredeemable NCI and redeemable NCI based on their respective stated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under collaboration agreements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4,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 and Revenues</w:t>
      </w:r>
      <w:r>
        <w:rPr>
          <w:rFonts w:ascii="Times New Roman" w:cs="Times New Roman" w:eastAsia="Times New Roman" w:hAnsi="Times New Roman"/>
          <w:sz w:val="18"/>
          <w:szCs w:val="18"/>
          <w:color w:val="auto"/>
        </w:rPr>
        <w:t>. Determining the performance obligations within a collaboration agreement often involves significant judgment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to the facts and circumstances contained in each agreement.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revenue recognition purposes, the Company determines that the terms of its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payments from sales of bulk drug product and royalties on net sales of licensed products.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9" w:name="page100"/>
    <w:bookmarkEnd w:id="99"/>
    <w:p>
      <w:pPr>
        <w:spacing w:after="0" w:line="266" w:lineRule="auto"/>
        <w:rPr>
          <w:sz w:val="20"/>
          <w:szCs w:val="20"/>
          <w:color w:val="auto"/>
        </w:rPr>
      </w:pPr>
      <w:r>
        <w:rPr>
          <w:rFonts w:ascii="Times New Roman" w:cs="Times New Roman" w:eastAsia="Times New Roman" w:hAnsi="Times New Roman"/>
          <w:sz w:val="18"/>
          <w:szCs w:val="18"/>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Prior to CKD approval in the third quarter of 2021, determining the amount of variable consideration from co-development billings required the Company to make estimates of future research and development efforts, which involved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Milestones are therefore included in the transaction price when achievement of the milestone becomes probable.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each performance obligation identified within an arrangement, the Company determines the period over which the promised services are transferred and the performance obligation is satisfied. Service revenue that was recognized over time was based on progress toward complete satisfaction of the performance obligation. For each performance obligation satisfied over time, the Company assesses the proper method to be used for revenue recognition, either an input method to measure progress toward the satisfaction of services or an output method of determining the progress of completion of performance obligation.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under license agreements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Under a license agreement, if the license to the Company’s intellectual property is determined to be distinct from the other performance obligations identified in the arrangement, the Company recognizes revenues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 If the combined performance obligation is satisfied over time, the Company uses judgment in determining the appropriate method of measuring progress for purposes of recognizing revenue from the up-front license fees. The Company evaluates the measure of progress each reporting period and, if necessary, adjusts the measure of performance and related revenue recognition.</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Drug product revenue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and Astellas in support of pre-commercial preparation prior to the New Drug Application (“NDA”) or Marketing Authorization Application approval, and to Astellas for ongoing commercial activities in Japan and Europe. Drug product revenue is recognized when the Company fulfills the inventory transfer obligations.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records revenue adjustment, if certain and material. Actual amounts of consideration ultimately received in the future may differ from the Company’s estimates, for which the Company will adjust these estimates and affect the drug product revenue in the period such variances become known.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each of the Company’s collaboration agreements provide for annual true up to the considerations paid for its commercial supplies, the Company will re-evaluate the transaction price in each reporting period and record adjustment to revenue as uncertain events are resolved or other changes in circumstances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performance obligation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Falikang is jointly owned by AstraZeneca and FibroGen Beijing.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is FibroGen Beijing’s primary customer in China and substantially all roxadustat product sales to distributors in China are made by Falikang.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bears inventory risk once it receives and accepts the product from FibroGen Beijing, and is responsible for delivering product to its distributors.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promises identified under the AstraZeneca China Agreement (as defined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are deferred until control of the manufactured commercial product is transferred to AstraZeneca.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initiation of roxadustat sales to Falikang marks the beginning of the China performance obligation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determined it is likely those sales would occur. The price per unit is subject to reassessment on a quarterly basis, which may result in cumulative catch up adjustments due to changes in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520" w:right="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Non-refundable upfront license fees; development, regulatory, and commercial milestone payments based on the AstraZeneca China Agreement allocated to the China performance obligation;</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billings resulting from the Company’s research and development efforts, which are reimbursable under the AstraZeneca China Agreement;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1" w:name="page102"/>
    <w:bookmarkEnd w:id="101"/>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profit/loss share between FibroGen Beijing and AstraZeneca from April 1, 2020 through December 31, 2020;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transaction price from product sales to Falikang from January 1, 2021 onwards. The net transaction price includes the following elements:</w:t>
      </w:r>
    </w:p>
    <w:p>
      <w:pPr>
        <w:spacing w:after="0" w:line="117" w:lineRule="exact"/>
        <w:rPr>
          <w:rFonts w:ascii="Times New Roman" w:cs="Times New Roman" w:eastAsia="Times New Roman" w:hAnsi="Times New Roman"/>
          <w:sz w:val="18"/>
          <w:szCs w:val="18"/>
          <w:color w:val="auto"/>
        </w:rPr>
      </w:pPr>
    </w:p>
    <w:p>
      <w:pPr>
        <w:ind w:left="1020" w:right="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w:t>
      </w:r>
    </w:p>
    <w:p>
      <w:pPr>
        <w:spacing w:after="0" w:line="67" w:lineRule="exact"/>
        <w:rPr>
          <w:rFonts w:ascii="Times New Roman" w:cs="Times New Roman" w:eastAsia="Times New Roman" w:hAnsi="Times New Roman"/>
          <w:sz w:val="18"/>
          <w:szCs w:val="18"/>
          <w:color w:val="auto"/>
        </w:rPr>
      </w:pPr>
    </w:p>
    <w:p>
      <w:pPr>
        <w:ind w:left="1020" w:right="8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significant judgment.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net transaction price in excess of the revenue recognized is deferred, and will be recognized over future periods as the performance obligations are satisfied. As of December 31, 2024, the related deferred revenues were not included in the disposal group held for sale as the related obligation to AstraZeneca will be satisfied upon the closing of the divestiture FibroGen International (see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section above). The product revenue recognized under the China performance obligation is included in discontinued operations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above-mentioned expense for acquired IPR&amp;D asset, independent research and development costs and the gross amount of costs associated with work performed under collaboration agreements. Research and development costs include employee-related expenses, expenses incurred under agreements with clinical research organizations, other clinical and preclinical costs and allocated direct and indirect overhead costs, such as facilities costs, information technology costs and other overhead. All research and development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Accruals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recruiting fees and expenses associated with obtaining and maintaining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 restructuring charge is recognized when the liability is incurred and accrued in the period in which it is probable that the employees are entitled to the restructuring benefits and the amounts can be reasonably estimated. The restructuring liability accrued but not paid at the end of the reporting period is included in accrued and other current liabilities in the consolidated balance sheets.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has adopted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includes interest and penalties related to unrecognized tax benefits within income tax expense in the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maintains equity incentive plans under which equity awards are granted to employees, which are comprised of stock options, service-based restricted stock units (“RSUs”), performance-based RSUs (“PRSUs”), and total shareholder return (“TSR”) awards.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 options, RSUs and PRSUs granted to its employees and directors based on the estimated fair value of the award on the grant date. The Company uses the Black-Scholes valuation model to estimate the fair value of stock option awards. The determination of the grant date fair value of options using the Black-Scholes valuation model is affected by the Company’s estimated common stock fair value and requires management to make a number of assumptions including the expected life of the option, the volatility of the underlying stock, the risk-free interest rate and expected dividends. The Company determines the fair value of RSUs and PRSUs using the fair value of its common stock on the date of grant. To estimate the fair value of the TSR awards, the Company uses the Monte Carlo valuation model to simulate the probabilities of achievement, which requires management to make a number of assumptions including 30-day average price, volatility of the underlying stock and the Company’s peers, and the risk-free interest rate.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cost of service-based stock options and restricted stock units is recognized net of any estimated forfeitures on a straight-line basis over the employee requisite service period. Compensation cost for PRSUs is expensed over the respective vesting periods when the achievement of performance criteria is probable. Compensation cost for the TSR awards is recognized over the requisite service period, regardless of when, if ever, the market condition is satisfied.</w:t>
      </w:r>
    </w:p>
    <w:p>
      <w:pPr>
        <w:spacing w:after="0" w:line="180" w:lineRule="exact"/>
        <w:rPr>
          <w:sz w:val="20"/>
          <w:szCs w:val="20"/>
          <w:color w:val="auto"/>
        </w:rPr>
      </w:pPr>
    </w:p>
    <w:p>
      <w:pPr>
        <w:jc w:val="center"/>
        <w:ind w:right="100"/>
        <w:spacing w:after="0" w:line="407" w:lineRule="auto"/>
        <w:rPr>
          <w:sz w:val="20"/>
          <w:szCs w:val="20"/>
          <w:color w:val="auto"/>
        </w:rPr>
      </w:pPr>
      <w:r>
        <w:rPr>
          <w:rFonts w:ascii="Times New Roman" w:cs="Times New Roman" w:eastAsia="Times New Roman" w:hAnsi="Times New Roman"/>
          <w:sz w:val="18"/>
          <w:szCs w:val="18"/>
          <w:color w:val="auto"/>
        </w:rPr>
        <w:t>The Company believes that the fair value of stock options granted to non-employees is more reliably measured than the fair value of the services received.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11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which requires all public entities, including public entities with a single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to provide in interim and annual periods one or more measures of segment profit or loss used by the chief operating decision maker to allocate resources and assess performance. In addition, this guidance requires disclosures of significant segment expenses and other segment items as well as incremental qualitative disclosures. This guidance is effective for fiscal years beginning after December 15, 2023, and interim periods after December 15, 2024, with retrospective application required, and early adoption permitted. The Company adopted this guidance on its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requires entities to disaggregate operating expenses into specific categories to provide enhanced transparency into the nature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 of expenses. This guidance is effective for fiscal years beginning after December 15, 2026, and for interim periods within fiscal years beginning after December 15, 2027, with early adoption permitted. This guidance should be applied either prospectively to financial statements issued for reporting periods after the effective date or retrospectively to any or all prior periods presented in the financial statements. The Company is currently in the process of evaluating the effects of this guidance on its related disclosures.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spacing w:after="0" w:line="289"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20, 2025, the Company entered into the Share Purchase Agreement with AstraZeneca Treasury Limited, pursuant to which FibroGen and its subsidiary FibroGen China Anemia Holdings, Ltd. agreed to sell all of the issued and outstanding equity interests of FibroGen International to AstraZeneca Treasury Limited for an aggregate purchase price comprised of $85 million in cash for the enterprise value of FibroGen International, plus an additional cash amount equal to the net cash held in China by FibroGen International and its subsidiaries as of the closing. This sale includes all of our roxadustat assets in China, including FibroGen International’s subsidiary FibroGen (China) Medical Technology Development Co., Ltd and its 51.1% interest in Falikang. The transaction is expected to close by mid-2025, and is subject to customary closing conditions and closing deliverables, including receipt of regulatory approval from the China State Administration for Market Regulation. The Company analyzed the quantitative and qualitative factors and concluded that the sale of FibroGen International represents a strategic shift in FibroGen’s business and qualified as a discontinued operation. As a result, Company determined that FibroGen International met the “held for sale” criteria and the “discontinued operations” criteria in accordance with FASB ASC 205, Presentation of Financial Statements, as of December 31, 2024. Accordingly, the operating results related to the FibroGen International are classified as discontinued operations, and have been reflected as discontinued operations in the consolidated statements of operations, while the related assets and liabilities were classified within the consolidated balance sheets as held for sale for all periods presented.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4" w:name="page105"/>
    <w:bookmarkEnd w:id="104"/>
    <w:p>
      <w:pPr>
        <w:ind w:right="340"/>
        <w:spacing w:after="0" w:line="282" w:lineRule="auto"/>
        <w:rPr>
          <w:sz w:val="20"/>
          <w:szCs w:val="20"/>
          <w:color w:val="auto"/>
        </w:rPr>
      </w:pPr>
      <w:r>
        <w:rPr>
          <w:rFonts w:ascii="Times New Roman" w:cs="Times New Roman" w:eastAsia="Times New Roman" w:hAnsi="Times New Roman"/>
          <w:sz w:val="18"/>
          <w:szCs w:val="18"/>
          <w:color w:val="auto"/>
        </w:rPr>
        <w:t>The financial results of the discontinued operations with respect to FibroGen International reflected in the consolidated statements of operations for the years ended December 31, 2024 and 2023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173,664</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32,304</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112,949</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(11,683 )</w:t>
            </w: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(7,437 )</w:t>
            </w:r>
          </w:p>
        </w:tc>
        <w:tc>
          <w:tcPr>
            <w:tcW w:w="0" w:type="dxa"/>
            <w:vAlign w:val="bottom"/>
          </w:tcPr>
          <w:p>
            <w:pPr>
              <w:spacing w:after="0"/>
              <w:rPr>
                <w:sz w:val="1"/>
                <w:szCs w:val="1"/>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0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(11,260 )</w:t>
            </w:r>
          </w:p>
        </w:tc>
        <w:tc>
          <w:tcPr>
            <w:tcW w:w="6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(4,551 )</w:t>
            </w:r>
          </w:p>
        </w:tc>
        <w:tc>
          <w:tcPr>
            <w:tcW w:w="0" w:type="dxa"/>
            <w:vAlign w:val="bottom"/>
          </w:tcPr>
          <w:p>
            <w:pPr>
              <w:spacing w:after="0"/>
              <w:rPr>
                <w:sz w:val="1"/>
                <w:szCs w:val="1"/>
                <w:color w:val="auto"/>
              </w:rPr>
            </w:pPr>
          </w:p>
        </w:tc>
      </w:tr>
      <w:tr>
        <w:trPr>
          <w:trHeight w:val="210"/>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101,689</w:t>
            </w:r>
          </w:p>
        </w:tc>
        <w:tc>
          <w:tcPr>
            <w:tcW w:w="300" w:type="dxa"/>
            <w:vAlign w:val="bottom"/>
            <w:tcBorders>
              <w:top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in unconsolidated variable interest entity</w:t>
            </w: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105,519</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-1447800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-599440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product revenue, net, consists primarily of revenues from sales of roxadustat commercial product to Falikang, a distribution entity jointly owned by AstraZeneca and FibroGen Beijing, and is discussed in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Revenues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carrying value of the assets and liabilities of the discontinued operations with respect to FibroGen International on the consolidated balance sheets as of December 31, 2024 and 2023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24,392</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110,849</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65,776</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method investment in unconsolidated variable interest entity</w:t>
            </w:r>
          </w:p>
        </w:tc>
        <w:tc>
          <w:tcPr>
            <w:tcW w:w="2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long-term assets held for sale</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39,904</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5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long-term liabilities held for sale</w:t>
            </w:r>
          </w:p>
        </w:tc>
        <w:tc>
          <w:tcPr>
            <w:tcW w:w="25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5200" w:type="dxa"/>
            <w:vAlign w:val="bottom"/>
          </w:tcPr>
          <w:p>
            <w:pPr>
              <w:spacing w:after="0"/>
              <w:rPr>
                <w:sz w:val="24"/>
                <w:szCs w:val="24"/>
                <w:color w:val="auto"/>
              </w:rPr>
            </w:pPr>
          </w:p>
        </w:tc>
        <w:tc>
          <w:tcPr>
            <w:tcW w:w="258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-3171190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-2313940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-1456690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-864870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-847725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ind w:right="80"/>
        <w:spacing w:after="0" w:line="282" w:lineRule="auto"/>
        <w:rPr>
          <w:sz w:val="20"/>
          <w:szCs w:val="20"/>
          <w:color w:val="auto"/>
        </w:rPr>
      </w:pPr>
      <w:r>
        <w:rPr>
          <w:rFonts w:ascii="Times New Roman" w:cs="Times New Roman" w:eastAsia="Times New Roman" w:hAnsi="Times New Roman"/>
          <w:sz w:val="18"/>
          <w:szCs w:val="18"/>
          <w:color w:val="auto"/>
        </w:rPr>
        <w:t>The significant non-cash items and capital expenditures for the discontinued operations with respect to FibroGen International included in the consolidated statements of cash flows for the years ended December 31, 2024 and 2023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in unconsolidated variable interest entity</w:t>
            </w:r>
          </w:p>
        </w:tc>
        <w:tc>
          <w:tcPr>
            <w:tcW w:w="10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(3,969 )</w:t>
            </w:r>
          </w:p>
        </w:tc>
        <w:tc>
          <w:tcPr>
            <w:tcW w:w="6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(2,638 )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received from unconsolidated variable interest entity</w:t>
            </w: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(859 )</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discontinued operations, Falikang, an entity jointly owned by FibroGen Beijing and AstraZeneca is an unconsolidated VIE accounted for as an equity method investment, and considered as a related party to the Company. FibroGen Beijing owns 51.1% of Falikang’s equity.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net product revenue from sales to Falikang were $159.0 million and $89.1 million, respectively. The other income from Falikang were immaterial for the years ended December 31, 2024 and 2023.</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the investment income (loss) in Falikang was $4.0 million and $2.6 million, respectively. During the years ended December 31, 2024 and 2023, the Company received $2.2 million and $2.3 million of dividend distribution from Falikang, respectively. As of December 31, 2024 and 2023, the Company’s equity method investment in Falikang were $6.9 million and $5.3 million, respectively, which was included in the long-term assets held for sale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accounts receivable, net, from Falikang were $13.9 million and $5.2 million, respectively.</w:t>
      </w:r>
    </w:p>
    <w:p>
      <w:pPr>
        <w:spacing w:after="0" w:line="329" w:lineRule="exact"/>
        <w:rPr>
          <w:sz w:val="20"/>
          <w:szCs w:val="20"/>
          <w:color w:val="auto"/>
        </w:rPr>
      </w:pPr>
    </w:p>
    <w:p>
      <w:pPr>
        <w:ind w:right="6160" w:firstLine="8"/>
        <w:spacing w:after="0" w:line="375" w:lineRule="auto"/>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License Agreement and Revenues Astellas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Japan Agreement</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for the development and commercialization (but not manufacture) of roxadustat for the treatment of anemia in Japan (“Astellas Japan Agreement”). Under this agreement, Astellas paid license fees and other consideration totaling $40.1 million (such amounts were fully received as of February 2009). Under the Astellas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Astellas Japan Agreement also provides for tiered payments based on net sales of product (as defined) in the low 20% range of the list price published by the Japanese Ministry of Health, Labour and Welfare, adjusted for certain elements, after commercial launch.</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the considerations received under the Astellas Japan Agreement, through December 31, 2024 totals $105.1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Japan, the Company does not expect to receive most or all of the additional potential milestones under the Astellas Japan Agreement.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2018, FibroGen and Astellas entered into an amendment to the Astellas Japan Agreement that allows Astellas to manufacture roxadustat drug product for commercialization in Japan (the “Astellas Japan Amendment”). Under this amendment, FibroGen would continue to manufacture and supply roxadustat API to Astellas for the roxadustat commercial activities in Japan. The commercial terms of the Astellas Japan Agreement relating to the transfer price for roxadustat for commercial use remain substantially the same, reflecting an adjustment for the manufacture of drug product by Astellas rather than FibroGen.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Europe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paid license fees and other upfront consideration totaling $320.0 million (such amounts were fully received as of February 2009). The Astellas Europe Agreement also provides for additional development and regulatory approval milestone payments up to $425.0 million, comprised of (i) up to $90.0 million in milestone payments upon achievement of specified clinical and development milestone events (such amounts were fully received as of 2012), and (ii) up to $335.0 million in milestone payments upon achievement of specified regulatory milestone events.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the considerations received under the Astellas Europe Agreement through December 31, 2024 totals $685.0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Europe, the Company does not expect to receive most or all of the additional potential milestones under the Astellas Europe Agreement.</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Under the Astellas Europe Agreement, Astellas has an option to purchase roxadustat bulk drug product in support of commercial supplies. During the first quarter of 2021, the Company entered into an EU Supply Agreement with Astellas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Astellas Agreements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2024, the transaction price for the Astellas Japan Agreement, excluding manufacturing services that is discussed separately below, included $40.1 million of non-contingent upfront payments, $65.0 million of variable consideration related to payments for milestones achieved, and $12.4 million of variable consideration related to co-development billings. The transaction price for the Astellas Europe Agreement, excluding manufacturing services that is discussed separately below, included $320.0 million of non-contingent upfront payments, $365.0 million of variable consideration related to payments for milestones achieved, and $222.1 million of variable consideration related to co-development billings.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technology license under the Astellas Japan Agreement and the Astellas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The promised services that were analyzed, along with their general timing of satisfaction and recognition as revenue, are as follows:</w:t>
      </w:r>
    </w:p>
    <w:p>
      <w:pPr>
        <w:spacing w:after="0" w:line="115" w:lineRule="exact"/>
        <w:rPr>
          <w:sz w:val="20"/>
          <w:szCs w:val="20"/>
          <w:color w:val="auto"/>
        </w:rPr>
      </w:pPr>
    </w:p>
    <w:p>
      <w:pPr>
        <w:ind w:left="520" w:right="100" w:hanging="512"/>
        <w:spacing w:after="0" w:line="271" w:lineRule="auto"/>
        <w:tabs>
          <w:tab w:leader="none" w:pos="520" w:val="left"/>
        </w:tabs>
        <w:numPr>
          <w:ilvl w:val="0"/>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License to the Company’s technology existing at the effective date of the agreements. </w:t>
      </w:r>
      <w:r>
        <w:rPr>
          <w:rFonts w:ascii="Times New Roman" w:cs="Times New Roman" w:eastAsia="Times New Roman" w:hAnsi="Times New Roman"/>
          <w:sz w:val="17"/>
          <w:szCs w:val="17"/>
          <w:color w:val="auto"/>
        </w:rPr>
        <w:t>For both of the Astellas agreements, the license was delivered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the beginning of the agreement term. In both cases, the Company concluded at the time of the agreement that its collaboration partner, Astellas, would have the knowledge and capabilities to fully exploit the licenses without the Company’s further involvement. However, the Astellas Japan Agreement has contractual limitations that might affect Astellas’ ability to fully exploit the license and therefore, potentially, the conclusion as to whether the license is capable of being distinct.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 The portion of the transaction price allocated to this performance obligation based on a relative SSP basis was recognized as revenue in its entirety at the point in time the license transfers to Astellas.</w:t>
      </w:r>
    </w:p>
    <w:p>
      <w:pPr>
        <w:spacing w:after="0" w:line="173" w:lineRule="exact"/>
        <w:rPr>
          <w:rFonts w:ascii="Times New Roman" w:cs="Times New Roman" w:eastAsia="Times New Roman" w:hAnsi="Times New Roman"/>
          <w:sz w:val="17"/>
          <w:szCs w:val="17"/>
          <w:i w:val="1"/>
          <w:iCs w:val="1"/>
          <w:color w:val="auto"/>
        </w:rPr>
      </w:pPr>
    </w:p>
    <w:p>
      <w:pPr>
        <w:ind w:left="520" w:hanging="512"/>
        <w:spacing w:after="0" w:line="254" w:lineRule="auto"/>
        <w:tabs>
          <w:tab w:leader="none" w:pos="5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Co-development services (Astellas Europe Agreement). </w:t>
      </w:r>
      <w:r>
        <w:rPr>
          <w:rFonts w:ascii="Times New Roman" w:cs="Times New Roman" w:eastAsia="Times New Roman" w:hAnsi="Times New Roman"/>
          <w:sz w:val="18"/>
          <w:szCs w:val="18"/>
          <w:color w:val="auto"/>
        </w:rPr>
        <w:t>This promise relates to co-development services that were reasonably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performed by the 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related to CKD approval, and such an allocation is consistent with the allocation objective. Through the third quarter of 2021 upon the approval of CKD, revenue was recognized over time based on progress toward complete satisfaction of the performance obligation. The Company used an input method to measure progress toward the satisfaction of the performance obligation, which was based on costs of labor hours and out-of-pocket expenses incurred relative to total expected costs to be incurred. Subsequently, the Company accounts for the development services for the indications related to chemotherapy-induced anemia and myelodysplastic syndromes (“MDS”) separately as services are provided. There was no provision for co-development services in the Astellas Japan Agreement.</w:t>
      </w:r>
    </w:p>
    <w:p>
      <w:pPr>
        <w:spacing w:after="0" w:line="188" w:lineRule="exact"/>
        <w:rPr>
          <w:rFonts w:ascii="Times New Roman" w:cs="Times New Roman" w:eastAsia="Times New Roman" w:hAnsi="Times New Roman"/>
          <w:sz w:val="18"/>
          <w:szCs w:val="18"/>
          <w:i w:val="1"/>
          <w:iCs w:val="1"/>
          <w:color w:val="auto"/>
        </w:rPr>
      </w:pPr>
    </w:p>
    <w:p>
      <w:pPr>
        <w:ind w:left="520" w:right="300" w:hanging="512"/>
        <w:spacing w:after="0" w:line="284" w:lineRule="auto"/>
        <w:tabs>
          <w:tab w:leader="none" w:pos="5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License to the Company’s technology developed during the term of the agreement and development (referred to as “when and if available”) and information sharing services. </w:t>
      </w:r>
      <w:r>
        <w:rPr>
          <w:rFonts w:ascii="Times New Roman" w:cs="Times New Roman" w:eastAsia="Times New Roman" w:hAnsi="Times New Roman"/>
          <w:sz w:val="18"/>
          <w:szCs w:val="18"/>
          <w:color w:val="auto"/>
        </w:rPr>
        <w:t>These promises are generally satisfied throughout the term of the agreements.</w:t>
      </w:r>
    </w:p>
    <w:p>
      <w:pPr>
        <w:spacing w:after="0" w:line="158" w:lineRule="exact"/>
        <w:rPr>
          <w:rFonts w:ascii="Times New Roman" w:cs="Times New Roman" w:eastAsia="Times New Roman" w:hAnsi="Times New Roman"/>
          <w:sz w:val="18"/>
          <w:szCs w:val="18"/>
          <w:i w:val="1"/>
          <w:iCs w:val="1"/>
          <w:color w:val="auto"/>
        </w:rPr>
      </w:pPr>
    </w:p>
    <w:p>
      <w:pPr>
        <w:ind w:left="520" w:right="440" w:hanging="512"/>
        <w:spacing w:after="0" w:line="284" w:lineRule="auto"/>
        <w:tabs>
          <w:tab w:leader="none" w:pos="5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promise is satisfied as supplies for clinical product are delivered for use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programs during the development period, or pre-commercialization period.</w:t>
      </w:r>
    </w:p>
    <w:p>
      <w:pPr>
        <w:spacing w:after="0" w:line="15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Committee service</w:t>
      </w:r>
      <w:r>
        <w:rPr>
          <w:rFonts w:ascii="Times New Roman" w:cs="Times New Roman" w:eastAsia="Times New Roman" w:hAnsi="Times New Roman"/>
          <w:sz w:val="18"/>
          <w:szCs w:val="18"/>
          <w:color w:val="auto"/>
        </w:rPr>
        <w:t>. This promise is satisfied throughout the course of the agreements as meetings are attended.</w:t>
      </w:r>
    </w:p>
    <w:p>
      <w:pPr>
        <w:spacing w:after="0" w:line="227" w:lineRule="exact"/>
        <w:rPr>
          <w:rFonts w:ascii="Times New Roman" w:cs="Times New Roman" w:eastAsia="Times New Roman" w:hAnsi="Times New Roman"/>
          <w:sz w:val="18"/>
          <w:szCs w:val="18"/>
          <w:i w:val="1"/>
          <w:iCs w:val="1"/>
          <w:color w:val="auto"/>
        </w:rPr>
      </w:pPr>
    </w:p>
    <w:p>
      <w:pPr>
        <w:ind w:left="520" w:right="2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Items (2)-(5) are bundled into a single performance obligation that is distinct given the fact that all are highly interrelated during the development period (pre-commercial phase of development) such that satisfying them independently is not practicable. For the revenue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and updates the measure of progress in each reporting period.</w:t>
      </w:r>
    </w:p>
    <w:p>
      <w:pPr>
        <w:spacing w:after="0" w:line="181" w:lineRule="exact"/>
        <w:rPr>
          <w:rFonts w:ascii="Times New Roman" w:cs="Times New Roman" w:eastAsia="Times New Roman" w:hAnsi="Times New Roman"/>
          <w:sz w:val="18"/>
          <w:szCs w:val="18"/>
          <w:i w:val="1"/>
          <w:iCs w:val="1"/>
          <w:color w:val="auto"/>
        </w:rPr>
      </w:pPr>
    </w:p>
    <w:p>
      <w:pPr>
        <w:ind w:left="520" w:right="120" w:hanging="512"/>
        <w:spacing w:after="0" w:line="261" w:lineRule="auto"/>
        <w:tabs>
          <w:tab w:leader="none" w:pos="5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promised service is distinct as services are not interrelated with any of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181" w:lineRule="exact"/>
        <w:rPr>
          <w:rFonts w:ascii="Times New Roman" w:cs="Times New Roman" w:eastAsia="Times New Roman" w:hAnsi="Times New Roman"/>
          <w:sz w:val="18"/>
          <w:szCs w:val="18"/>
          <w:i w:val="1"/>
          <w:iCs w:val="1"/>
          <w:color w:val="auto"/>
        </w:rPr>
      </w:pPr>
    </w:p>
    <w:p>
      <w:pPr>
        <w:ind w:left="520" w:right="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Under the Astellas Japan Amendment, the drug product revenue represents variable consideration and is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drug product tablets, and estimated yield from the manufacture of bulk product tablets, among others.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8" w:name="page109"/>
    <w:bookmarkEnd w:id="108"/>
    <w:p>
      <w:pPr>
        <w:ind w:left="520" w:right="20"/>
        <w:spacing w:after="0" w:line="289" w:lineRule="auto"/>
        <w:rPr>
          <w:sz w:val="20"/>
          <w:szCs w:val="20"/>
          <w:color w:val="auto"/>
        </w:rPr>
      </w:pPr>
      <w:r>
        <w:rPr>
          <w:rFonts w:ascii="Times New Roman" w:cs="Times New Roman" w:eastAsia="Times New Roman" w:hAnsi="Times New Roman"/>
          <w:sz w:val="17"/>
          <w:szCs w:val="17"/>
          <w:color w:val="auto"/>
        </w:rPr>
        <w:t>Under the Astellas Europe Agreement, the drug product revenue amount represents variable consideration and is estimated based on the quantity of product transferred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 and Development Revenue Recognized Under the Astellas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Japan Agreement were not material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(in thousands):</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December 31, 2024 and accounts receivable has been allocated to each of the following performance obligations under the Astellas Japan Agreement, including $100.3 million for license and $17.1 million for co-development.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2024 under the Astellas Japan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Europe Agreement were as follows for the years ended December 31, 2024 and 2023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60" w:type="dxa"/>
            <w:vAlign w:val="bottom"/>
          </w:tcPr>
          <w:p>
            <w:pPr>
              <w:spacing w:after="0"/>
              <w:rPr>
                <w:sz w:val="15"/>
                <w:szCs w:val="15"/>
                <w:color w:val="auto"/>
              </w:rPr>
            </w:pPr>
          </w:p>
        </w:tc>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60" w:type="dxa"/>
            <w:vAlign w:val="bottom"/>
            <w:vMerge w:val="restart"/>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2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260" w:type="dxa"/>
            <w:vAlign w:val="bottom"/>
            <w:shd w:val="clear" w:color="auto" w:fill="CFF0FC"/>
          </w:tcPr>
          <w:p>
            <w:pPr>
              <w:spacing w:after="0"/>
              <w:rPr>
                <w:sz w:val="18"/>
                <w:szCs w:val="18"/>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1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December 31, 2024 and accounts receivable has been allocated to each of the following performance obligations under the Astellas Europe Agreement, including $619.0 million for license and $288.1 million for co-development.</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2024 under the Astellas Europe Agreement. The Company does not expect material variable consideration from estimated future co-development billing beyond the development period in the transaction price related to the Astellas Europe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U.S./Rest of World (“RoW”)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(“AstraZeneca U.S./RoW Agreement”).</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February 23, 2024, the Company and AstraZeneca entered into an agreement to terminate the AstraZeneca U.S./RoW Agreement, effective as of February 25, 2024 (“AstraZeneca Termination and Transition Agreement”). Pursuant to the AstraZeneca Termination and Transition Agreement, AstraZeneca returns all of their non-China roxadustat rights to the Company, with the exception of South Korea, and provides certain assistance during a transition period. In addition, as a part of this AstraZeneca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9" w:name="page110"/>
    <w:bookmarkEnd w:id="109"/>
    <w:p>
      <w:pPr>
        <w:spacing w:after="0" w:line="255" w:lineRule="auto"/>
        <w:rPr>
          <w:sz w:val="20"/>
          <w:szCs w:val="20"/>
          <w:color w:val="auto"/>
        </w:rPr>
      </w:pPr>
      <w:r>
        <w:rPr>
          <w:rFonts w:ascii="Times New Roman" w:cs="Times New Roman" w:eastAsia="Times New Roman" w:hAnsi="Times New Roman"/>
          <w:sz w:val="18"/>
          <w:szCs w:val="18"/>
          <w:color w:val="auto"/>
        </w:rPr>
        <w:t xml:space="preserve">The aggregate amount of the considerations received under the AstraZeneca U.S./RoW Agreement through December 31, 2024 totals $439.0 million, excluding drug product revenue under the Master Supply Agreement with AstraZeneca under the AstraZeneca U.S./RoW Agreement (“AstraZeneca Master Supply Agreement”), entered in 2020, which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In addition, resulting from the AstraZeneca Termination and Transition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recorded a cumulative catch-up adjustment as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collaboration agreement with AstraZeneca for roxadustat in China, as described below, remains in place.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China Agreement</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(“AstraZeneca China Agreement”). Under the terms of the AstraZeneca China Agreement, AstraZeneca agreed to pay upfront consideration totaling $28.2 million (such amounts were fully received in 2014). Under the AstraZeneca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AstraZeneca China Agreement is structured as a 50/50 profit or loss share (as defined), which was amended under the AstraZeneca China Amendment in 2020 as discussed and defined below, and provides for joint development costs (including capital and equipment costs for construction of the manufacturing plant in China), to be shared equally during the development period.</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aggregate amount of the considerations received for milestone and upfront payments under the AstraZeneca China Agreement through December 31, 2024 totals $81.2 million.</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18, 2023, the Company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China Agreement, $3.5 million of which was recognized as revenue during the year ended December 31, 2023 from performance obligations satisfied or partially satisfied. As of December 31, 2023, the $4.0 million milestone was unbilled and recorded as a contract asset and fully netted against the contract liabilities (deferred revenue) related to the AstraZeneca China Agreement. During the third quarter of 2024, based on the arrangements under the settlement agreements entered in September 2024 between FibroGen China and AstraZeneca to settle certain historical items, the $4.0 million milestone was billed and received during the fourth quarter of 2024.</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China Amendment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2020, FibroGen China Anemia Holdings, Ltd., FibroGen Beijing, and FibroGen International (Hong Kong) Limited and AstraZeneca entered into an amendment, relating to the development and commercialization of roxadustat in China (the “AstraZeneca China Amendment”). Under the AstraZeneca China Amendment, in 2020, FibroGen Beijing and AstraZeneca completed the establishment of a jointly owned entity, Falikang, which performs roxadustat distribution, as well as conducts sales and marketing through AstraZeneca.</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transaction price, adjusted for the estimated profit share. In addition, AstraZeneca bills the co-promotion expenses to Falikang and to FibroGen Beijing, respectively, for its services provided to the respective entity. AstraZeneca is entitled to reimbursement of its sales and marketing expenses up to a cumulative capped amount of a percentage of net sales. Once such amount is reached, AstraZeneca will bill the co-promotion expenses based on actual costs as incurred plus a markup on a prospective basis, which is currently expected to continue through 2033. Such amount was reached during the year ended December 31, 2024. Development costs continue to be shared 50/50 between the Parties.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related net product revenue recognized from the sales to Falikang is discussed under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 The related net product revenue recognized from the sales to Falikang was $159.0 million and $89.1 million for the years ended December 31, 2024 and 2023, respectively, and were included in the discontinued operations in the consolidated statements of operations together with the sales directly to distributors, resulting from the Share Purchase Agreement with AstraZeneca Treasury Limited as discussed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AstraZeneca Agreements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evaluated whether the AstraZeneca U.S./RoW Agreement and the AstraZeneca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72" w:lineRule="exact"/>
        <w:rPr>
          <w:sz w:val="20"/>
          <w:szCs w:val="20"/>
          <w:color w:val="auto"/>
        </w:rPr>
      </w:pPr>
    </w:p>
    <w:p>
      <w:pPr>
        <w:ind w:left="520" w:right="56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61"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75"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AstraZeneca U.S./RoW Agreement and the AstraZeneca China Agreement based on their relative SSPs.</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11" w:name="page112"/>
    <w:bookmarkEnd w:id="111"/>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2024, the transaction price for the AstraZeneca U.S./RoW Agreement and the AstraZeneca China Agreement, excluding manufacturing services that is discussed separately below, included $402.2 million of non-contingent upfront payments, $118.0 million of variable consideration related to payments for milestones considered probable of being achieved, $616.3 million of variable consideration related to co-development billings.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AstraZeneca agreements, the Company allocated the transaction price to the various performance obligations based on the relative SSP of each performance obligation, with the exception of co-development billings and commercial sale of product. Co-development billings under the AstraZeneca U.S./RoW Agreement were allocated entirely to the U.S./RoW co-development services performance obligation, and co-development billings under the AstraZeneca China Agreement were allocated entirely to the combined performance obligation under the AstraZeneca China Agreement. Commercial sale of product under the AstraZeneca U.S./ROW Agreement is entirely allocated to the manufacturing commercial supply of products performance obligation, and commercial sale of product under the AstraZeneca China Agreement is allocated entirely to the combined China performance obligation.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revenue recognition purposes, the Company determined that the terms of its collaboration agreements with AstraZeneca begin on the effective date and end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promised services that were analyzed, along with their general timing of satisfaction and recognition as revenue, are as follows:</w:t>
      </w:r>
    </w:p>
    <w:p>
      <w:pPr>
        <w:spacing w:after="0" w:line="115" w:lineRule="exact"/>
        <w:rPr>
          <w:sz w:val="20"/>
          <w:szCs w:val="20"/>
          <w:color w:val="auto"/>
        </w:rPr>
      </w:pPr>
    </w:p>
    <w:p>
      <w:pPr>
        <w:ind w:left="520" w:right="120" w:hanging="512"/>
        <w:spacing w:after="0" w:line="272" w:lineRule="auto"/>
        <w:tabs>
          <w:tab w:leader="none" w:pos="520"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License to the Company’s technology existing at the effective date of the agreements. </w:t>
      </w:r>
      <w:r>
        <w:rPr>
          <w:rFonts w:ascii="Times New Roman" w:cs="Times New Roman" w:eastAsia="Times New Roman" w:hAnsi="Times New Roman"/>
          <w:sz w:val="17"/>
          <w:szCs w:val="17"/>
          <w:color w:val="auto"/>
        </w:rPr>
        <w:t>For the AstraZeneca U.S./RoW Agreement, the license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delivered at the beginning of the agreement term. The Company concluded that AstraZeneca has the knowledge and capabilities to fully exploit the license under the AstraZeneca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71" w:lineRule="exact"/>
        <w:rPr>
          <w:rFonts w:ascii="Times New Roman" w:cs="Times New Roman" w:eastAsia="Times New Roman" w:hAnsi="Times New Roman"/>
          <w:sz w:val="17"/>
          <w:szCs w:val="17"/>
          <w:i w:val="1"/>
          <w:iCs w:val="1"/>
          <w:color w:val="auto"/>
        </w:rPr>
      </w:pPr>
    </w:p>
    <w:p>
      <w:pPr>
        <w:ind w:left="520" w:hanging="512"/>
        <w:spacing w:after="0" w:line="255" w:lineRule="auto"/>
        <w:tabs>
          <w:tab w:leader="none" w:pos="5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Co-development services. </w:t>
      </w:r>
      <w:r>
        <w:rPr>
          <w:rFonts w:ascii="Times New Roman" w:cs="Times New Roman" w:eastAsia="Times New Roman" w:hAnsi="Times New Roman"/>
          <w:sz w:val="18"/>
          <w:szCs w:val="18"/>
          <w:color w:val="auto"/>
        </w:rPr>
        <w:t>This promise relates to co-development services that were reasonably expected to be performed by the Company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Through the end of 2021, revenue was recognized over time based on progress toward complete satisfaction of the performance obligation. The Company used an input method to measure progress toward the satisfaction of the performance obligation related to CKD approval, which is based on costs of labor hours or full time equivalents and out-of-pocket expenses incurred relative to total expected costs to be incurred. Subsequently, the Company accounts for the development services for other significant indications related to chemotherapy-induced anemia and MDS separately as services are provided.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ind w:left="520" w:right="440" w:hanging="512"/>
        <w:spacing w:after="0" w:line="284" w:lineRule="auto"/>
        <w:tabs>
          <w:tab w:leader="none" w:pos="5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of clinical supplies of products. </w:t>
      </w:r>
      <w:r>
        <w:rPr>
          <w:rFonts w:ascii="Times New Roman" w:cs="Times New Roman" w:eastAsia="Times New Roman" w:hAnsi="Times New Roman"/>
          <w:sz w:val="18"/>
          <w:szCs w:val="18"/>
          <w:color w:val="auto"/>
        </w:rPr>
        <w:t>This promise is satisfied as supplies for clinical product are delivered for use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trial programs during the development period, or pre-commercialization period.</w:t>
      </w:r>
    </w:p>
    <w:p>
      <w:pPr>
        <w:spacing w:after="0" w:line="158" w:lineRule="exact"/>
        <w:rPr>
          <w:rFonts w:ascii="Times New Roman" w:cs="Times New Roman" w:eastAsia="Times New Roman" w:hAnsi="Times New Roman"/>
          <w:sz w:val="18"/>
          <w:szCs w:val="18"/>
          <w:i w:val="1"/>
          <w:iCs w:val="1"/>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sharing and committee service. </w:t>
      </w:r>
      <w:r>
        <w:rPr>
          <w:rFonts w:ascii="Times New Roman" w:cs="Times New Roman" w:eastAsia="Times New Roman" w:hAnsi="Times New Roman"/>
          <w:sz w:val="18"/>
          <w:szCs w:val="18"/>
          <w:color w:val="auto"/>
        </w:rPr>
        <w:t>These promises are satisfied throughout the course of the agreement as services are provided.</w:t>
      </w:r>
    </w:p>
    <w:p>
      <w:pPr>
        <w:spacing w:after="0" w:line="227" w:lineRule="exact"/>
        <w:rPr>
          <w:rFonts w:ascii="Times New Roman" w:cs="Times New Roman" w:eastAsia="Times New Roman" w:hAnsi="Times New Roman"/>
          <w:sz w:val="18"/>
          <w:szCs w:val="18"/>
          <w:i w:val="1"/>
          <w:iCs w:val="1"/>
          <w:color w:val="auto"/>
        </w:rPr>
      </w:pPr>
    </w:p>
    <w:p>
      <w:pPr>
        <w:ind w:left="520" w:right="2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Items (2)-(4) are bundled into a single performance obligation that is distinct given the fact that all are highly interrelated during the development period (pre-commercial phase of development) such that delivering them independently is not practicable. For the revenue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and updates the measure of progress in each reporting period.</w:t>
      </w:r>
    </w:p>
    <w:p>
      <w:pPr>
        <w:spacing w:after="0" w:line="181" w:lineRule="exact"/>
        <w:rPr>
          <w:rFonts w:ascii="Times New Roman" w:cs="Times New Roman" w:eastAsia="Times New Roman" w:hAnsi="Times New Roman"/>
          <w:sz w:val="18"/>
          <w:szCs w:val="18"/>
          <w:i w:val="1"/>
          <w:iCs w:val="1"/>
          <w:color w:val="auto"/>
        </w:rPr>
      </w:pPr>
    </w:p>
    <w:p>
      <w:pPr>
        <w:ind w:left="520" w:right="160" w:hanging="512"/>
        <w:spacing w:after="0" w:line="257" w:lineRule="auto"/>
        <w:tabs>
          <w:tab w:leader="none" w:pos="5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Manufacturing commercial supplies of products. </w:t>
      </w:r>
      <w:r>
        <w:rPr>
          <w:rFonts w:ascii="Times New Roman" w:cs="Times New Roman" w:eastAsia="Times New Roman" w:hAnsi="Times New Roman"/>
          <w:sz w:val="18"/>
          <w:szCs w:val="18"/>
          <w:color w:val="auto"/>
        </w:rPr>
        <w:t>This promise is distinct as services are not interrelated with any of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Revenue is recognized as supplies are shipped for commercial use during the commercialization period. The drug product revenue amount represents variable consideration and is estimated based on the quantity of product shipped and an estimated price for each individual purchase order. The estimated price is based on the contractual transfer price percentage applied on the estimated weighted average net sales price, which is estimated to be realized by AstraZeneca from the end sale of roxadustat in its approved territories.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Agreement:</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promised services that were analyzed are consistent with the AstraZeneca U.S./RoW Agreement, except for license to the Company’s technology existing at the effective date of the agreement, described as follows:</w:t>
      </w:r>
    </w:p>
    <w:p>
      <w:pPr>
        <w:spacing w:after="0" w:line="52" w:lineRule="exact"/>
        <w:rPr>
          <w:sz w:val="20"/>
          <w:szCs w:val="20"/>
          <w:color w:val="auto"/>
        </w:rPr>
      </w:pPr>
    </w:p>
    <w:p>
      <w:pPr>
        <w:ind w:left="520" w:right="60" w:hanging="512"/>
        <w:spacing w:after="0" w:line="257"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 to the Company’s technology existing at the effective date of the agreement. </w:t>
      </w:r>
      <w:r>
        <w:rPr>
          <w:rFonts w:ascii="Times New Roman" w:cs="Times New Roman" w:eastAsia="Times New Roman" w:hAnsi="Times New Roman"/>
          <w:sz w:val="18"/>
          <w:szCs w:val="18"/>
          <w:color w:val="auto"/>
        </w:rPr>
        <w:t>The license was delivered at the beginning of the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However, the AstraZeneca China Agreement has contractual limitations that might affect AstraZeneca’s ability to fully exploit the license and therefore, potentially, the conclusion as to whether the license is distinct in the context of the agreement. In the AstraZeneca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AstraZeneca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The Company holds the rights to manufacture commercial drug product in China. Therefore, AstraZeneca cannot benefit from the license on its own or together with other readily available resources. Accordingly, all the promises identified, including the license, co-development services and manufacturing of commercial supplies, under the AstraZeneca China Agreement have been bundled into a single performance obligation and amounts of the transaction price allocable to this performance obligation are deferred until control of the manufactured commercial drug product has begun to transfer to AstraZeneca.</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AstraZeneca China Amendment, substantially all product sales will be made by Falikang directly to the distributors in China, while the Company continues to sell directly in one province in China. Revenue is recognized at a point in time when control of roxadustat commercial product is transferred to Falikang. See the </w:t>
      </w:r>
      <w:r>
        <w:rPr>
          <w:rFonts w:ascii="Times New Roman" w:cs="Times New Roman" w:eastAsia="Times New Roman" w:hAnsi="Times New Roman"/>
          <w:sz w:val="18"/>
          <w:szCs w:val="18"/>
          <w:i w:val="1"/>
          <w:iCs w:val="1"/>
          <w:color w:val="auto"/>
        </w:rPr>
        <w:t>China Performance Obligation</w:t>
      </w:r>
      <w:r>
        <w:rPr>
          <w:rFonts w:ascii="Times New Roman" w:cs="Times New Roman" w:eastAsia="Times New Roman" w:hAnsi="Times New Roman"/>
          <w:sz w:val="18"/>
          <w:szCs w:val="18"/>
          <w:color w:val="auto"/>
        </w:rPr>
        <w:t xml:space="preserve"> section below. The related net product revenue is included in the discontinued operations in the consolidated statements of operations, resulting from the Share Purchase Agreement with AstraZeneca Treasury Limited as discussed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 and Development Revenue Recognized Under the AstraZeneca Agreements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AstraZeneca U.S./RoW Agreement and the AstraZeneca China Agreement were as follows for the years ended December 31, 2024 and 2023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00" w:type="dxa"/>
            <w:vAlign w:val="bottom"/>
            <w:vMerge w:val="restart"/>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2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AstraZeneca U.S./RoW Agreement and AstraZeneca</w:t>
            </w:r>
          </w:p>
        </w:tc>
        <w:tc>
          <w:tcPr>
            <w:tcW w:w="220" w:type="dxa"/>
            <w:vAlign w:val="bottom"/>
            <w:shd w:val="clear" w:color="auto" w:fill="CFF0FC"/>
          </w:tcPr>
          <w:p>
            <w:pPr>
              <w:spacing w:after="0"/>
              <w:rPr>
                <w:sz w:val="16"/>
                <w:szCs w:val="16"/>
                <w:color w:val="auto"/>
              </w:rPr>
            </w:pPr>
          </w:p>
        </w:tc>
        <w:tc>
          <w:tcPr>
            <w:tcW w:w="304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License revenue</w:t>
            </w:r>
          </w:p>
        </w:tc>
        <w:tc>
          <w:tcPr>
            <w:tcW w:w="980" w:type="dxa"/>
            <w:vAlign w:val="bottom"/>
            <w:shd w:val="clear" w:color="auto" w:fill="CFF0FC"/>
          </w:tcPr>
          <w:p>
            <w:pPr>
              <w:jc w:val="right"/>
              <w:ind w:right="776"/>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Agreement</w:t>
            </w:r>
          </w:p>
        </w:tc>
        <w:tc>
          <w:tcPr>
            <w:tcW w:w="220" w:type="dxa"/>
            <w:vAlign w:val="bottom"/>
            <w:shd w:val="clear" w:color="auto" w:fill="CFF0FC"/>
          </w:tcPr>
          <w:p>
            <w:pPr>
              <w:spacing w:after="0"/>
              <w:rPr>
                <w:sz w:val="20"/>
                <w:szCs w:val="20"/>
                <w:color w:val="auto"/>
              </w:rPr>
            </w:pPr>
          </w:p>
        </w:tc>
        <w:tc>
          <w:tcPr>
            <w:tcW w:w="2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price related to consideration received through December 31, 2024 and accounts receivable has been allocated to each of the performance obligations under the AstraZeneca U.S./RoW Agreement and AstraZeneca China Agreement, including $344.5 million for license, $625.5 million for co-development, information sharing and committee services, and $486.9 million for China performance obligation (with cumulative revenue of $354.8 million through December 31, 2024) that is recognized as product revenue, net included in discontinued operations as described under </w:t>
      </w:r>
      <w:r>
        <w:rPr>
          <w:rFonts w:ascii="Times New Roman" w:cs="Times New Roman" w:eastAsia="Times New Roman" w:hAnsi="Times New Roman"/>
          <w:sz w:val="18"/>
          <w:szCs w:val="18"/>
          <w:i w:val="1"/>
          <w:iCs w:val="1"/>
          <w:color w:val="auto"/>
        </w:rPr>
        <w:t>China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 </w:t>
      </w:r>
      <w:r>
        <w:rPr>
          <w:rFonts w:ascii="Times New Roman" w:cs="Times New Roman" w:eastAsia="Times New Roman" w:hAnsi="Times New Roman"/>
          <w:sz w:val="18"/>
          <w:szCs w:val="18"/>
          <w:color w:val="auto"/>
        </w:rPr>
        <w:t>section below.</w:t>
      </w:r>
    </w:p>
    <w:p>
      <w:pPr>
        <w:spacing w:after="0" w:line="18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Performance Obligation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Product revenue, net, which is included in the discontinued operations, consists primarily of revenues from sales of roxadustat commercial product to Falikang.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adjusted for the estimated profit share.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roxadustat sales to Falikang marked the beginning of the Company’s China performance obligation under the Company’s agreements with AstraZeneca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Periodically, the Company updates its assumptions such as total sales quantity, performance period, gross transaction price, profit share and other inputs including foreign currency translation impact, among others. Any net transaction price in excess of the revenue recognized is added to the deferred balance to date, and will be recognized in future periods as the performance obligation is satisfied. As of December 31, 2024, the related deferred revenues were not included in the disposal group held for sale as the related obligation to AstraZeneca will be satisfied upon the closing of the divestiture FibroGen International. The product revenue recognized is included in discontinued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roll-forward of the related deferred revenue that is considered as a contract liability (in thousands):</w:t>
      </w:r>
    </w:p>
    <w:tbl>
      <w:tblPr>
        <w:tblLayout w:type="fixed"/>
        <w:tblInd w:w="0" w:type="dxa"/>
        <w:tblCellMar>
          <w:top w:w="0" w:type="dxa"/>
          <w:left w:w="0" w:type="dxa"/>
          <w:bottom w:w="0" w:type="dxa"/>
          <w:right w:w="0" w:type="dxa"/>
        </w:tblCellMar>
      </w:tblPr>
      <w:tr>
        <w:trPr>
          <w:trHeight w:val="151"/>
        </w:trPr>
        <w:tc>
          <w:tcPr>
            <w:tcW w:w="4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64"/>
              <w:spacing w:after="0" w:line="151"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as 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vMerge w:val="restart"/>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(Discontinued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AstraZeneca China performance obligation</w:t>
            </w:r>
          </w:p>
        </w:tc>
        <w:tc>
          <w:tcPr>
            <w:tcW w:w="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(179,851 )  $</w:t>
            </w: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(112,503 )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159,010</w:t>
            </w:r>
          </w:p>
        </w:tc>
        <w:tc>
          <w:tcPr>
            <w:tcW w:w="4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(132,097 )</w:t>
            </w: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 deferred revenue</w:t>
            </w:r>
          </w:p>
        </w:tc>
        <w:tc>
          <w:tcPr>
            <w:tcW w:w="200" w:type="dxa"/>
            <w:vAlign w:val="bottom"/>
            <w:vMerge w:val="continue"/>
            <w:shd w:val="clear" w:color="auto" w:fill="CFF0FC"/>
          </w:tcPr>
          <w:p>
            <w:pPr>
              <w:spacing w:after="0"/>
              <w:rPr>
                <w:sz w:val="18"/>
                <w:szCs w:val="18"/>
                <w:color w:val="auto"/>
              </w:rPr>
            </w:pPr>
          </w:p>
        </w:tc>
        <w:tc>
          <w:tcPr>
            <w:tcW w:w="1500" w:type="dxa"/>
            <w:vAlign w:val="bottom"/>
            <w:gridSpan w:val="3"/>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46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-864870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-847725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-864870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-847725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-864870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-847725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-864870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-847725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18"/>
          <w:szCs w:val="18"/>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December 31, 2024, approximately $19.9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Product Revenue,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product revenue from commercial-grade API or bulk drug product sales to Astellas and AstraZeneca was as follows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(in thousands):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3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Astellas Japan Agreement</w:t>
            </w:r>
          </w:p>
        </w:tc>
        <w:tc>
          <w:tcPr>
            <w:tcW w:w="130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(2,872 )</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1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25,671</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27,673</w:t>
            </w:r>
          </w:p>
        </w:tc>
        <w:tc>
          <w:tcPr>
            <w:tcW w:w="36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120" w:type="dxa"/>
            <w:vAlign w:val="bottom"/>
            <w:tcBorders>
              <w:top w:val="single" w:sz="8" w:color="CFF0FC"/>
            </w:tcBorders>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Company updated its estimate of variable consideration related to the API shipments fulfilled under the terms of Astellas Japan Amendment, and accordingly recorded a reduction to the drug product revenue of $2.9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the Company fulfilled two shipment obligations under the terms of Astellas Japan Amendment, and recognized related drug product revenue of $14.4 million in the same period. In addition, the Company updated its estimate of variable consideration related to the API shipments fulfilled under the terms of Astellas Japan Amendment and accordingly recorded an adjustment to the drug product revenue of $1.3 million for the year ended December 31, 2023. Specifically, the change in estimated variable consideration was based on the API held by Astellas at period end, adjusted to reflect the changes in the estimated bulk product strength mix intended to be manufactured by Astellas, foreign exchange impacts and estimated yield from the manufacture of bulk product tablets, among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balances related to the API price true-up under the Astellas Japan Agreement were $2.5 million in accrued liabilities and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$0.6 million in other long-term liabilities, representing the Company’s best estimate of the timing for these amounts to be paid. As of December 31, 2023, the balances related to the API price true-up under the Astellas Japan Agreement were $1.2 million in accrued liabilities and $0.7 million in other long-term liabilities.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2024, the Company transferred bulk drug product for commercial purposes under the terms of the Astellas Europe Agreement and the Astellas EU Supply Agreement, and recognized the related fully-burdened manufacturing costs of $0.6 million as drug product revenue, and recorded $4.4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2024, the Company reclassified $7.2 million from the related deferred revenue to accrued liabilities.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ind w:right="40"/>
        <w:spacing w:after="0" w:line="273" w:lineRule="auto"/>
        <w:rPr>
          <w:sz w:val="20"/>
          <w:szCs w:val="20"/>
          <w:color w:val="auto"/>
        </w:rPr>
      </w:pPr>
      <w:r>
        <w:rPr>
          <w:rFonts w:ascii="Times New Roman" w:cs="Times New Roman" w:eastAsia="Times New Roman" w:hAnsi="Times New Roman"/>
          <w:sz w:val="17"/>
          <w:szCs w:val="17"/>
          <w:color w:val="auto"/>
        </w:rPr>
        <w:t>During the fourth quarter of 2023, the Company transferred bulk drug product for commercial purposes under the terms of the Astellas Europe Agreement and the Astellas EU Supply Agreement, and recognized the related fully-burdened manufacturing costs of $0.8 million as drug product revenue, and recorded $17.7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2023, the Company reclassified $38.7 million from the related deferred revenue to accrued liabilities. The Company paid $35.3 million to Astellas during the year ended December 31, 2024.</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2024, the related balance in accrued liabilities was $10.5 million, representing the Company’s best estimate that this amount will be paid within the next 12 months. As of December 31, 2023, the related balance in accrued liabilities was $38.6 million.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recognized royalty revenue of $4.3 million and $2.3 million as drug product revenue from the deferred revenue under the Astellas Europe Agreement during the years ended December 31, 2024 and 2023, respectively. The remainder of the deferred revenue will be recognized as and when uncertainty is resolved, based on the performance of roxadustat product sales in the Astellas territory.</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includes a roll-forward of the above-mentioned deferred revenues that are considered as contract liabilities related to drug product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Reclassified to</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Liability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Drug product revenue - deferred revenue:</w:t>
            </w: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(16,925 )   $</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(9,901 )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i w:val="1"/>
          <w:iCs w:val="1"/>
          <w:color w:val="auto"/>
        </w:rPr>
        <w:t>AstraZeneca Agreements</w:t>
      </w:r>
      <w:r>
        <w:rPr>
          <w:rFonts w:ascii="Times New Roman" w:cs="Times New Roman" w:eastAsia="Times New Roman" w:hAnsi="Times New Roman"/>
          <w:sz w:val="18"/>
          <w:szCs w:val="18"/>
          <w:color w:val="auto"/>
        </w:rPr>
        <w:t xml:space="preserve"> section above, pursuant to the AstraZeneca Termination and Transition Agreement related to the AstraZeneca U.S./RoW Agreement, the Company and AstraZeneca settled the outstanding balances relating to past transactions under the AstraZeneca Master Supply Agreement. Accordingly, during the first quarter of 2024, the Company accounted for the termination of the AstraZeneca U.S./RoW agreement as a contract modification under the ASC 606 and recorded a cumulative catch-up net adjustment of $25.7 million to the drug product revenue and received the cash during the second quarter of 2024. In addition, the related accrued liabilities of $11.2 million as of December 31, 2023 was settled during the second quarter of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Corresponding to the drug product revenue, during the first quarter of 2024, the Company recorded the related cost of goods sold of $21.1 million.</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Eluminex Agreements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6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Under the terms of the agreement with Eluminex, as amended and restated in January 2022, Eluminex made an $8.0 million upfront payment to FibroGen during the first quarter of 2022. In addition, FibroGen may receive up to a total of $64.0 million in future manufacturing, clinical, regulatory, and commercial milestone payments for the biosynthetic cornea program, as well as $36.0 million in commercial milestones for the first recombinant collagen</w:t>
      </w:r>
    </w:p>
    <w:p>
      <w:pPr>
        <w:spacing w:after="0" w:line="1" w:lineRule="exact"/>
        <w:rPr>
          <w:sz w:val="20"/>
          <w:szCs w:val="20"/>
          <w:color w:val="auto"/>
        </w:rPr>
      </w:pPr>
    </w:p>
    <w:p>
      <w:pPr>
        <w:jc w:val="both"/>
        <w:ind w:firstLine="8"/>
        <w:spacing w:after="0" w:line="255" w:lineRule="auto"/>
        <w:tabs>
          <w:tab w:leader="none" w:pos="2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accounted for this agreement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identified one performance obligation at inception of the agreement related to the granting of the license rights to the investigational biosynthetic cornea derived from recombinant human collagen Type III. The Company based its assessment on the determination that Eluminex can benefit from the granted license on its own by developing and commercializing the underlying product using its own resources. All components of the transaction price in the agreement were allocated to the single performance obligation. The remaining future variable consideration related to future manufacturing, clinical, regulatory milestone payments as described above were fully constrained because the Company cannot conclude that it is probable that a significant reversal of the amount of cumulative revenue recognized will not occur, given the inherent uncertainties of success with these future milestones. For commercial milestones and royalties, the Company determined that the license is the predominant item to which the royalties or sales-based milestones relate and revenue will be recognized when the corresponding milestones and royalties are earned.</w:t>
      </w:r>
    </w:p>
    <w:p>
      <w:pPr>
        <w:spacing w:after="0" w:line="19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 $3.0 million milestone payment based on Eluminex implanting a biosynthetic cornea in the first patient of its clinical trial in China, a $3.0 million manufacturing related milestone payment and a $1.0 million upfront payment, as license revenue for the performance obligation satisfied and included in license revenue in the consolidated statement of operations. In addition, the Company recognized a $0.5 million upfront payment related to patent transfer under the A&amp;R Eluminex Agreement as other revenue and included in development and other revenue in the consolidated statement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FibroGen and Eluminex entered into a separate contract manufacturing agreement, under which the Company was responsible for supplying the cornea product at cost plus 10% of its product manufacturing costs until its manufacturing technology is fully transferred to Eluminex, which occurred by the end of 2023. The related contract manufacturing revenue was recorded as other revenue and included in development and other revenue in the condensed consolidated statement of operations. Such contract manufacturing activity was generally ceased during the first quarter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agreements with Eluminex were as follows for the years ended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Borders>
              <w:bottom w:val="single" w:sz="8" w:color="auto"/>
            </w:tcBorders>
            <w:vMerge w:val="continue"/>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Eluminex</w:t>
            </w:r>
          </w:p>
        </w:tc>
        <w:tc>
          <w:tcPr>
            <w:tcW w:w="220" w:type="dxa"/>
            <w:vAlign w:val="bottom"/>
            <w:shd w:val="clear" w:color="auto" w:fill="CFF0FC"/>
          </w:tcPr>
          <w:p>
            <w:pPr>
              <w:spacing w:after="0"/>
              <w:rPr>
                <w:sz w:val="18"/>
                <w:szCs w:val="18"/>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3020" w:type="dxa"/>
            <w:vAlign w:val="bottom"/>
            <w:gridSpan w:val="3"/>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 - contract manufacturing</w:t>
            </w:r>
          </w:p>
        </w:tc>
        <w:tc>
          <w:tcPr>
            <w:tcW w:w="30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 - patent transfer</w:t>
            </w:r>
          </w:p>
        </w:tc>
        <w:tc>
          <w:tcPr>
            <w:tcW w:w="3020" w:type="dxa"/>
            <w:vAlign w:val="bottom"/>
            <w:gridSpan w:val="3"/>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7" w:name="page118"/>
    <w:bookmarkEnd w:id="117"/>
    <w:p>
      <w:pPr>
        <w:ind w:left="360" w:hanging="352"/>
        <w:spacing w:after="0"/>
        <w:tabs>
          <w:tab w:leader="none" w:pos="3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part of its continuing efforts to reduce operating expenses and preserve cash, on September 27, 2024, the Company entered into an Agreement for Termination of Lease and Voluntary Surrender of Premises (“Lease Termination Agreement”) with its landlord, ARE-San Francisco No.43 Owner, LLC (“ARE”) related to the Company’s operating lease of its corporate headquarters in San Francisco, California. The Lease Termination Agreement modifies the lease agreement dated as of September 22, 2006, as subsequently amended and accelerates the expiration date of the term of the Lease from 2028 to no later than December 31, 2024.</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Lease Termination Agreement, the Company paid ARE a total consideration of $10.0 million settlement amount, consisting of a $8.3 million of a one-time cash payment by FibroGen for past rent, FibroGen’s share of operating costs, taxes, insurance, utilities, and other costs and a lease modification payment; and a $1.7 million security deposit, in the form of a letter of credit. As of execution of this Lease Termination Agreement, FibroGen is not responsible for the payment of any further rent payments or operating costs, taxes, insurance, utilities, or any other scheduled monthly payments due under the lease to ARE.</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ceased the use of the underlying operating lease right-of-use asset by September 30, 2024. As a result, during the third quarter of 2024, the Company derecognized the related operating lease right-of-use asset of $56.1 million and operating lease liabilities of $68.5 million, and recorded an approximately $1.7 million gain as credits to the selling, general and administrative expenses for the year ended December 31, 2024. As of December 31, 2024, the Company did not have any operating lease and restricted time deposit.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the Company has several immaterial lease arrangements in the U.S. for office equipment, with contracted lease terms up to six years, treated as finance leases.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Company’s operating and finance leases were classified within the consolidated balance sheets as held for sale for all periods presented.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assets and related lease liabilities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3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cost</w:t>
            </w:r>
          </w:p>
        </w:tc>
        <w:tc>
          <w:tcPr>
            <w:tcW w:w="3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(1,670 )</w:t>
            </w: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(1,634 )</w:t>
            </w: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cost</w:t>
            </w:r>
          </w:p>
        </w:tc>
        <w:tc>
          <w:tcPr>
            <w:tcW w:w="3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(28,421 )</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assets</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FF0FC"/>
          </w:tcPr>
          <w:p>
            <w:pPr>
              <w:spacing w:after="0"/>
              <w:rPr>
                <w:sz w:val="17"/>
                <w:szCs w:val="17"/>
                <w:color w:val="auto"/>
              </w:rPr>
            </w:pPr>
          </w:p>
        </w:tc>
        <w:tc>
          <w:tcPr>
            <w:tcW w:w="3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080" w:type="dxa"/>
            <w:vAlign w:val="bottom"/>
          </w:tcPr>
          <w:p>
            <w:pPr>
              <w:spacing w:after="0"/>
              <w:rPr>
                <w:sz w:val="24"/>
                <w:szCs w:val="24"/>
                <w:color w:val="auto"/>
              </w:rPr>
            </w:pPr>
          </w:p>
        </w:tc>
        <w:tc>
          <w:tcPr>
            <w:tcW w:w="38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-2279650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-864870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-847725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-847725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Line Item</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80" w:type="dxa"/>
            <w:vAlign w:val="bottom"/>
            <w:gridSpan w:val="10"/>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40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4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w:t>
            </w:r>
          </w:p>
        </w:tc>
        <w:tc>
          <w:tcPr>
            <w:tcW w:w="44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7"/>
                <w:szCs w:val="17"/>
                <w:color w:val="auto"/>
              </w:rPr>
            </w:pPr>
          </w:p>
        </w:tc>
        <w:tc>
          <w:tcPr>
            <w:tcW w:w="560" w:type="dxa"/>
            <w:vAlign w:val="bottom"/>
          </w:tcPr>
          <w:p>
            <w:pPr>
              <w:jc w:val="right"/>
              <w:ind w:right="3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Operating lease cost</w:t>
            </w:r>
          </w:p>
        </w:tc>
        <w:tc>
          <w:tcPr>
            <w:tcW w:w="440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4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9,722</w:t>
            </w:r>
          </w:p>
        </w:tc>
        <w:tc>
          <w:tcPr>
            <w:tcW w:w="2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(1,125 )</w:t>
            </w:r>
          </w:p>
        </w:tc>
        <w:tc>
          <w:tcPr>
            <w:tcW w:w="56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(3,024 )</w:t>
            </w:r>
          </w:p>
        </w:tc>
        <w:tc>
          <w:tcPr>
            <w:tcW w:w="0" w:type="dxa"/>
            <w:vAlign w:val="bottom"/>
          </w:tcPr>
          <w:p>
            <w:pPr>
              <w:spacing w:after="0"/>
              <w:rPr>
                <w:sz w:val="1"/>
                <w:szCs w:val="1"/>
                <w:color w:val="auto"/>
              </w:rPr>
            </w:pPr>
          </w:p>
        </w:tc>
      </w:tr>
      <w:tr>
        <w:trPr>
          <w:trHeight w:val="249"/>
        </w:trPr>
        <w:tc>
          <w:tcPr>
            <w:tcW w:w="33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246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3"/>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8,632</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term and discount rate were as follows:</w:t>
            </w: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4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20" w:type="dxa"/>
            <w:vAlign w:val="bottom"/>
            <w:gridSpan w:val="4"/>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in the U.S. and China were as follows (in thousands):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22,601</w:t>
            </w:r>
          </w:p>
        </w:tc>
        <w:tc>
          <w:tcPr>
            <w:tcW w:w="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Right-of-use assets obtained in exchange for new lease liabilities:</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2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-3077210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-3059430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-3077210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Variable Interest Entity - Fortis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May 2023 (the “Option Acquisition Date”), the Company entered into an exclusive option agreement to acquire Fortis Therapeutics (“Fortis”) with its novel Phase 1 antibody-drug conjugate, FOR46 (now referred to as “FG-3246”), that targets a novel epitope on CD46 preferentially expressed on certain cancer cells. FG-3246 is in development for the treatment of metastatic castration-resistant prostate cancer with potential applicability in other solid tumors and hematologic malignancies. If FibroGen exercises the option to acquire Fortis, it will pay Fortis an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thereafter, legacy Fortis shareholders would be eligible to receive from FibroGen up to $200.0 million in contingent payments associated with the achievement of various regulatory approvals. If FibroGen acquires Fortis, it would also be responsible to pay University of California, San Francisco (“UCSF”), an upstream licensor to Fortis, development milestone fees and a single digit royalty on net sales of therapeutic or diagnostic products arising from the </w:t>
      </w:r>
      <w:r>
        <w:rPr>
          <w:rFonts w:ascii="Times New Roman" w:cs="Times New Roman" w:eastAsia="Times New Roman" w:hAnsi="Times New Roman"/>
          <w:sz w:val="18"/>
          <w:szCs w:val="18"/>
          <w:color w:val="212529"/>
        </w:rPr>
        <w:t>licensing arrangement between Fortis and UCSF</w:t>
      </w:r>
      <w:r>
        <w:rPr>
          <w:rFonts w:ascii="Times New Roman" w:cs="Times New Roman" w:eastAsia="Times New Roman" w:hAnsi="Times New Roman"/>
          <w:sz w:val="18"/>
          <w:szCs w:val="18"/>
          <w:color w:val="auto"/>
        </w:rPr>
        <w:t>. If FibroGen chooses not to acquire Fortis, its exclusive license to FG-3246 would expire.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(which ends on the earlier of 120 days after Fortis or FibroGen submits data from any Phase 2 clinical trial of a product to the U.S. Food and Drug Administration for the purpose of progressing to a Phase 3 clinical trial or May 2027 absent extension). As part of the clinical development strategy, FibroGen will continue the work to develop a PET-based biomarker utilizing a radiolabeled version of the targeting antibody for patient selection. Additionally, the Company is obligated to make four quarterly payments totaling $5.4 million to Fortis in support of its continued development obligations, of which the last payment was $1.7 million and made during the three months ended March 31, 2024.</w:t>
      </w:r>
    </w:p>
    <w:p>
      <w:pPr>
        <w:spacing w:after="0" w:line="19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Pursuant to the guidance under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December 31, 2024.</w:t>
      </w:r>
    </w:p>
    <w:p>
      <w:pPr>
        <w:spacing w:after="0" w:line="17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transaction was accounted for as an asset acquisition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substantially all of the fair value of the gross assets acquired is concentrated in a single identifiable IPR&amp;D asset. The fair value of the consideration transferred was zero. The Company determined that the above mentioned quarterly payments to support Fortis’ continued development obligations should not be included in the purchase consideration, as those payments are payable to Fortis rather than to its shareholders.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Fortis has authorized and issued common shares and Series A preferred shares. As of the Option Acquisition Date and December 31, 2023, the Company owned approximately 2% of Fortis’ Series A preferred shares, which was acquired previously and carried at zero cost. The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shares holders upon occurrence of certain events out of the Company’s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Option Acquisition Date, Fortis’ net income is allocated to its common shares and preferred shares based on their respective stated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Fortis’ net loss is allocated to its common shares only as the holders of preferred shares do not have a contractual obligation to absorb such losses.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expensed fair value of the acquired IPR&amp;D assets of $24.4 million as research and development expense in the consolidated statements of operations for the year ended December 31, 2023. The fair value of Fortis (enterprise value) and the fair value of nonredeemable NCI and redeemable NCI were determined based on the above-mentioned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contingent payments up to $200.0 million, weighted with probability and expected timing of the underlying events, and discounted by the Company’s estimated market level cost of debt.</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total assets and liabilities of Fortis were immaterial. For the year ended December 31, 2024 and the period from the Option Acquisition Date to December 31, 2023, Fortis’ net income (losses) was immaterial.</w:t>
      </w:r>
    </w:p>
    <w:p>
      <w:pPr>
        <w:spacing w:after="0" w:line="266"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 The availability of observable data is monitored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28,241</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14,269</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20" w:type="dxa"/>
            <w:vAlign w:val="bottom"/>
          </w:tcPr>
          <w:p>
            <w:pPr>
              <w:spacing w:after="0"/>
              <w:rPr>
                <w:sz w:val="18"/>
                <w:szCs w:val="18"/>
                <w:color w:val="auto"/>
              </w:rPr>
            </w:pPr>
          </w:p>
        </w:tc>
      </w:tr>
      <w:tr>
        <w:trPr>
          <w:trHeight w:val="216"/>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31,228</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17,250</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48,478</w:t>
            </w:r>
          </w:p>
        </w:tc>
        <w:tc>
          <w:tcPr>
            <w:tcW w:w="1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4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12,288</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13,992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88,289</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88,289</w:t>
            </w:r>
          </w:p>
        </w:tc>
        <w:tc>
          <w:tcPr>
            <w:tcW w:w="120" w:type="dxa"/>
            <w:vAlign w:val="bottom"/>
            <w:shd w:val="clear" w:color="auto" w:fill="CFF0FC"/>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42,797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20" w:type="dxa"/>
            <w:vAlign w:val="bottom"/>
          </w:tcPr>
          <w:p>
            <w:pPr>
              <w:spacing w:after="0"/>
              <w:rPr>
                <w:sz w:val="18"/>
                <w:szCs w:val="18"/>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9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8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shd w:val="clear" w:color="auto" w:fill="CFF0FC"/>
          </w:tcPr>
          <w:p>
            <w:pPr>
              <w:spacing w:after="0"/>
              <w:rPr>
                <w:sz w:val="18"/>
                <w:szCs w:val="18"/>
                <w:color w:val="auto"/>
              </w:rPr>
            </w:pPr>
          </w:p>
        </w:tc>
      </w:tr>
      <w:tr>
        <w:trPr>
          <w:trHeight w:val="210"/>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55,085</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117,105</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172,190</w:t>
            </w:r>
          </w:p>
        </w:tc>
        <w:tc>
          <w:tcPr>
            <w:tcW w:w="1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-1370965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-1370965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-1370965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years ended December 31, 2024 and 2023, the transfers of assets between levels was a total of $26.3 million and $20.4 million transfer from Level 1 to Level 2, respectively, as such US treasury notes and bills were changed to off-the-run when they were issued before the most recent issue and were still outstanding at measurement day.</w:t>
      </w:r>
    </w:p>
    <w:p>
      <w:pPr>
        <w:spacing w:after="0" w:line="291" w:lineRule="exact"/>
        <w:rPr>
          <w:sz w:val="20"/>
          <w:szCs w:val="20"/>
          <w:color w:val="auto"/>
        </w:rPr>
      </w:pPr>
    </w:p>
    <w:p>
      <w:pPr>
        <w:ind w:right="8780" w:firstLine="8"/>
        <w:spacing w:after="0" w:line="378" w:lineRule="auto"/>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Cash and Cash Equivalents</w:t>
      </w: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7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28,241</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5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74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0"/>
        </w:trPr>
        <w:tc>
          <w:tcPr>
            <w:tcW w:w="114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119</w:t>
            </w:r>
          </w:p>
        </w:tc>
        <w:tc>
          <w:tcPr>
            <w:tcW w:w="1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-864870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-847725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did not have any short-term or long-term investments as of December 31, 2024. As of December 31, 2023, The Company’s investments consist primarily of available-for-sale debt investments and the amortized cost, gross unrealized holding gains or losses, and fair value of the Company’s investments by major investments type are summarized in the tables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3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560" w:type="dxa"/>
            <w:vAlign w:val="bottom"/>
            <w:gridSpan w:val="2"/>
            <w:shd w:val="clear" w:color="auto" w:fill="CFF0FC"/>
          </w:tcPr>
          <w:p>
            <w:pPr>
              <w:jc w:val="right"/>
              <w:ind w:right="112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shd w:val="clear" w:color="auto" w:fill="CFF0FC"/>
          </w:tcPr>
          <w:p>
            <w:pPr>
              <w:jc w:val="right"/>
              <w:ind w:right="110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121,874</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2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0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all available for sale securities in an unrealized loss position as of December 31, 2023, the fair value and gross unrealized loss by length of time the security has been in a continual unrealized loss position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5"/>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2"/>
                <w:szCs w:val="12"/>
                <w:color w:val="auto"/>
              </w:rPr>
            </w:pPr>
          </w:p>
        </w:tc>
        <w:tc>
          <w:tcPr>
            <w:tcW w:w="1980" w:type="dxa"/>
            <w:vAlign w:val="bottom"/>
            <w:gridSpan w:val="3"/>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More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27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00" w:type="dxa"/>
            <w:vAlign w:val="bottom"/>
          </w:tcPr>
          <w:p>
            <w:pPr>
              <w:spacing w:after="0"/>
              <w:rPr>
                <w:sz w:val="10"/>
                <w:szCs w:val="10"/>
                <w:color w:val="auto"/>
              </w:rPr>
            </w:pPr>
          </w:p>
        </w:tc>
      </w:tr>
      <w:tr>
        <w:trPr>
          <w:trHeight w:val="173"/>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5"/>
                <w:szCs w:val="15"/>
                <w:color w:val="auto"/>
              </w:rPr>
            </w:pPr>
          </w:p>
        </w:tc>
      </w:tr>
      <w:tr>
        <w:trPr>
          <w:trHeight w:val="210"/>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980" w:type="dxa"/>
            <w:vAlign w:val="bottom"/>
            <w:gridSpan w:val="2"/>
            <w:shd w:val="clear" w:color="auto" w:fill="CFF0FC"/>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2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980" w:type="dxa"/>
            <w:vAlign w:val="bottom"/>
            <w:gridSpan w:val="2"/>
          </w:tcPr>
          <w:p>
            <w:pPr>
              <w:jc w:val="right"/>
              <w:ind w:right="5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2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other-than-temporary impairment loss during the two years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11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16,386</w:t>
            </w:r>
          </w:p>
        </w:tc>
        <w:tc>
          <w:tcPr>
            <w:tcW w:w="80" w:type="dxa"/>
            <w:vAlign w:val="bottom"/>
            <w:tcBorders>
              <w:bottom w:val="single" w:sz="8" w:color="CFF0FC"/>
            </w:tcBorders>
          </w:tcPr>
          <w:p>
            <w:pPr>
              <w:spacing w:after="0"/>
              <w:rPr>
                <w:sz w:val="18"/>
                <w:szCs w:val="18"/>
                <w:color w:val="auto"/>
              </w:rPr>
            </w:pPr>
          </w:p>
        </w:tc>
      </w:tr>
      <w:tr>
        <w:trPr>
          <w:trHeight w:val="250"/>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Resulting from the AstraZeneca Termination and Transition Agreement related to the AstraZeneca U.S./RoW Agreement, as described under Note 4,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the Company was reimbursed $12.6 million for work-in-progress inventory,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off and recognized as cost of goods sold during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to write-down excess and obsolete inventory were immaterial as of December 31, 2024 and December 31, 2023.</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proceeds receivable for litigation settlement</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See the </w:t>
      </w:r>
      <w:r>
        <w:rPr>
          <w:rFonts w:ascii="Times New Roman" w:cs="Times New Roman" w:eastAsia="Times New Roman" w:hAnsi="Times New Roman"/>
          <w:sz w:val="18"/>
          <w:szCs w:val="18"/>
          <w:i w:val="1"/>
          <w:iCs w:val="1"/>
          <w:color w:val="auto"/>
        </w:rPr>
        <w:t>Accrued and Other Current Liabilities</w:t>
      </w:r>
      <w:r>
        <w:rPr>
          <w:rFonts w:ascii="Times New Roman" w:cs="Times New Roman" w:eastAsia="Times New Roman" w:hAnsi="Times New Roman"/>
          <w:sz w:val="18"/>
          <w:szCs w:val="18"/>
          <w:color w:val="auto"/>
        </w:rPr>
        <w:t xml:space="preserve"> section below, and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details.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11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84,920</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1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Borders>
              <w:bottom w:val="single" w:sz="8" w:color="CFF0FC"/>
            </w:tcBorders>
          </w:tcPr>
          <w:p>
            <w:pPr>
              <w:spacing w:after="0"/>
              <w:rPr>
                <w:sz w:val="18"/>
                <w:szCs w:val="18"/>
                <w:color w:val="auto"/>
              </w:rPr>
            </w:pPr>
          </w:p>
        </w:tc>
      </w:tr>
      <w:tr>
        <w:trPr>
          <w:trHeight w:val="209"/>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117,742</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(112,957 )</w:t>
            </w:r>
          </w:p>
        </w:tc>
      </w:tr>
      <w:tr>
        <w:trPr>
          <w:trHeight w:val="250"/>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80" w:type="dxa"/>
            <w:vAlign w:val="bottom"/>
            <w:tcBorders>
              <w:top w:val="single" w:sz="8" w:color="auto"/>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-453390</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-453390</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514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disposed of all its property and equipment during the year ended December 31, 2024, as part of the efforts to streamline operations, and recorded $2.5 million of loss on disposal. Depreciation expense for the continuing operations for the years ended December 31, 2024 and 2023 was $1.2 million and $7.0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256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8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API and bulk drug product price true-up</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w:t>
            </w: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revenues</w:t>
            </w: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3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132,987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121</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-865505</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-847725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-1010920</wp:posOffset>
            </wp:positionV>
            <wp:extent cx="603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-865505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3" w:name="page124"/>
    <w:bookmarkEnd w:id="123"/>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The accrued liabilities of $13.1 million for API and bulk drug product price true-up as of December 31, 2024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During the second quarter of 2024, the Company paid $35.3 million to Astellas and $11.5 million to AstraZeneca related to accrued amounts.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4, </w:t>
      </w:r>
      <w:r>
        <w:rPr>
          <w:rFonts w:ascii="Times New Roman" w:cs="Times New Roman" w:eastAsia="Times New Roman" w:hAnsi="Times New Roman"/>
          <w:sz w:val="18"/>
          <w:szCs w:val="18"/>
          <w:i w:val="1"/>
          <w:iCs w:val="1"/>
          <w:color w:val="auto"/>
        </w:rPr>
        <w:t>Collaboration Agreements, License Agreement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for details.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and 2023, the accrued litigation settlement of $28.5 million was related to the Company’s agreement in principle with plaintiffs to settle the class action lawsuit. See the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section above, and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Responding to the reported results for pamrevlumab in July 2024, the Company implemented an immediate and significant cost reduction plan in the U.S., including terminating pamrevlumab research and development investment and expeditiously wind down remaining obligations, and reducing U.S. workforce by approximately 75%. As a result, the Company recorded a total of $19.5 million non-recurring restructuring charge during the year ended December 31, 2024, primarily consisting of notice period and severance payments, accrued vacation, and employee benefits contributions. Total cash payments under the reduction in force was $16.5 million during the year ended December 31, 2024. The remaining accrued restructuring charge was $4.6 million as of December 31, 2024 and will be substantially paid out in the first half of 2025. As of December 31, 2023, the remaining accrued restructuring charge was $3.7 million related to the restructuring plan in 2023 and was paid out by early 2024.</w:t>
      </w:r>
    </w:p>
    <w:p>
      <w:pPr>
        <w:spacing w:after="0" w:line="293"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Secured Term Loan Facilities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 million initial term loan (the “Initial Term Loan”), (ii) a $37.5 million delayed draw term loan that will be funded upon the achievement of certain clinical development milestones (“Delayed Draw Term Loan 1”) and, (iii) an uncommitted delayed draw term loan of up to $37.5 million to be funded at the Lenders sole discretion, (“Delayed Draw Term Loan 2” and, together with the Initial Term Loan and Delayed Draw Term Loan 1, the “Term Loans”).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Financing Agreement, the Lenders have funded the Initial Term Loan. The clinical development milestones which could have triggered Delayed Draw Term Loan 1 were not achieved, and the Lenders have not funded Delayed Draw Term Loan 2. As such, these features expired during 2023. The Company has determined that certain other features embedded within the Loan should be bifurcated and accounted for separately as a derivative. At inception and as of December 31, 2024, the fair values of such derivatives were negligible due to the low probability of the underlying events.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May 2023, the Company received $74.1 million, representing the Initial Term Loan of $75.0 million net of $0.9 million issuance costs. The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the year ended December 31, 2024.</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recorded interest expense of $11.7 million and $7.4 million for the year ended December 31, 2024 and 2023, respectively, which were included in discontinued operations as the Company is required to repay the loan upon the closing of the divestiture FibroGen International. As of December 31, 2024 and 2023, the related accrued interest was $0.4 million, respectively. The Company was in compliance with all debt covenants associated with the senior secured term loan facilities as of December 31, 2024, including maintaining a minimum balance of $30 million of unrestricted cash and cash equivalents held in accounts in the 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certain other features embedded within the Loan should be bifurcated and accounted for separately as a derivative. At inception and as of December 31, 2024, the fair values of such derivatives were negligible due to the low probability of the underlying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senior secured term loan facilities as of December 31, 2024 and 2023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of senior secured term loan facilities</w:t>
            </w:r>
          </w:p>
        </w:tc>
        <w:tc>
          <w:tcPr>
            <w:tcW w:w="12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128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Pr>
          <w:p>
            <w:pPr>
              <w:spacing w:after="0"/>
              <w:rPr>
                <w:sz w:val="18"/>
                <w:szCs w:val="18"/>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Unamortized issuance costs and transaction costs</w:t>
            </w:r>
          </w:p>
        </w:tc>
        <w:tc>
          <w:tcPr>
            <w:tcW w:w="1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(1,908 )</w:t>
            </w:r>
          </w:p>
        </w:tc>
        <w:tc>
          <w:tcPr>
            <w:tcW w:w="5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(3,066 )</w:t>
            </w:r>
          </w:p>
        </w:tc>
        <w:tc>
          <w:tcPr>
            <w:tcW w:w="0" w:type="dxa"/>
            <w:vAlign w:val="bottom"/>
          </w:tcPr>
          <w:p>
            <w:pPr>
              <w:spacing w:after="0"/>
              <w:rPr>
                <w:sz w:val="1"/>
                <w:szCs w:val="1"/>
                <w:color w:val="auto"/>
              </w:rPr>
            </w:pPr>
          </w:p>
        </w:tc>
      </w:tr>
      <w:tr>
        <w:trPr>
          <w:trHeight w:val="209"/>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facilities, ending balance</w:t>
            </w:r>
          </w:p>
        </w:tc>
        <w:tc>
          <w:tcPr>
            <w:tcW w:w="1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28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1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1280" w:type="dxa"/>
            <w:vAlign w:val="bottom"/>
            <w:tcBorders>
              <w:top w:val="single" w:sz="8" w:color="auto"/>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28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-454025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Liability Related to Sale of Future Revenues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Revenue Interest Financing Agreement (the “RIFA”) with NQ Entity, L.P.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NovaQuest will retain this entitlement until it has reached the Payment Cap, at which point 100% of such revenue interest on future global net sales of Astellas will revert to the Company.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15.60% as of December 31, 2024.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The table below shows the activity of the liability related to sale of future revenues for the year ended December 31, 2024:</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beginning balance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(5,653 )</w:t>
            </w: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ending balance</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(460 )</w:t>
            </w:r>
          </w:p>
        </w:tc>
      </w:tr>
      <w:tr>
        <w:trPr>
          <w:trHeight w:val="209"/>
        </w:trPr>
        <w:tc>
          <w:tcPr>
            <w:tcW w:w="6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58,864</w:t>
            </w:r>
          </w:p>
        </w:tc>
        <w:tc>
          <w:tcPr>
            <w:tcW w:w="100" w:type="dxa"/>
            <w:vAlign w:val="bottom"/>
            <w:tcBorders>
              <w:top w:val="single" w:sz="8" w:color="CFF0FC"/>
            </w:tcBorders>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-454025</wp:posOffset>
            </wp:positionV>
            <wp:extent cx="596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During the years ended December 31, 2024 and 2023, the Company recognized, under Astellas Agreements, development revenue of $1.4 million and $6.7 million, respectively, and drug product revenue of $2.0 million and $18.8 million, respectively. See Note 4, </w:t>
      </w:r>
      <w:r>
        <w:rPr>
          <w:rFonts w:ascii="Times New Roman" w:cs="Times New Roman" w:eastAsia="Times New Roman" w:hAnsi="Times New Roman"/>
          <w:sz w:val="18"/>
          <w:szCs w:val="18"/>
          <w:i w:val="1"/>
          <w:iCs w:val="1"/>
          <w:color w:val="auto"/>
        </w:rPr>
        <w:t>Collaboration Agreements, License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Revenue</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the Company recognized the related interest expense of $7.9 million and $7.7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paid $5.7 million accrued interest.</w:t>
      </w:r>
    </w:p>
    <w:p>
      <w:pPr>
        <w:spacing w:after="0" w:line="20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Based on the current estimates of drug product revenue and revenue from milestone payments under the Astellas Agreements, and taking into the consideration of the terms discussed above, the Company anticipates to reach a Payment Cap up to $125.0 million by 2031.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Product Development Obligations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project-by-project basis to fund various product development efforts undertaken by FibroGen Europe only. Each separate note is denominated in EUR and bears interest (not compounded) calculated as one percentage point less than the Bank of Finland rate in effect at the time of the note, but no less than 3.0%.</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2024 and 2023, the Company had U.S. Dollar equivalent of $9.8 million and $10.4 million of principal outstanding, respectively, and $7.2 million and $7.3 million of interest accrued, respectively, which were presented in the product development obligations line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a guarantor of these loans, and these loans are not repayable by FibroGen Europe until it has distributable funds.</w:t>
      </w:r>
    </w:p>
    <w:p>
      <w:pPr>
        <w:spacing w:after="0" w:line="329" w:lineRule="exact"/>
        <w:rPr>
          <w:sz w:val="20"/>
          <w:szCs w:val="20"/>
          <w:color w:val="auto"/>
        </w:rPr>
      </w:pPr>
    </w:p>
    <w:p>
      <w:pPr>
        <w:ind w:right="8320" w:firstLine="8"/>
        <w:spacing w:after="0" w:line="378" w:lineRule="auto"/>
        <w:tabs>
          <w:tab w:leader="none" w:pos="3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Contract Obligations</w:t>
      </w:r>
    </w:p>
    <w:p>
      <w:pPr>
        <w:spacing w:after="0"/>
        <w:rPr>
          <w:sz w:val="20"/>
          <w:szCs w:val="20"/>
          <w:color w:val="auto"/>
        </w:rPr>
      </w:pPr>
      <w:r>
        <w:rPr>
          <w:rFonts w:ascii="Times New Roman" w:cs="Times New Roman" w:eastAsia="Times New Roman" w:hAnsi="Times New Roman"/>
          <w:sz w:val="18"/>
          <w:szCs w:val="18"/>
          <w:color w:val="auto"/>
        </w:rPr>
        <w:t>As of December 31, 2024, the Company had the following outstanding non-cancelable purchase obligations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Purchase Obligations</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5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Due In The Year Ending 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1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purchases and other programs</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Manufacture and supply of FG-3246</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Manufacture and supply of roxadustat</w:t>
            </w:r>
          </w:p>
        </w:tc>
        <w:tc>
          <w:tcPr>
            <w:tcW w:w="1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fulfill its commitments under these agreements in the normal course of business, and as such, no liability has been recorded.</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Product Development Obligations</w:t>
      </w:r>
      <w:r>
        <w:rPr>
          <w:rFonts w:ascii="Times New Roman" w:cs="Times New Roman" w:eastAsia="Times New Roman" w:hAnsi="Times New Roman"/>
          <w:sz w:val="18"/>
          <w:szCs w:val="18"/>
          <w:color w:val="auto"/>
        </w:rPr>
        <w:t xml:space="preserve"> for details of the respective obligations.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Legal Proceedings and Other Matters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consolidated balance sheet as of December 31, 2024, as the Company could not predict the ultimate outcome of these matters, or reasonably estimate the potential exposure.</w:t>
      </w:r>
    </w:p>
    <w:p>
      <w:pPr>
        <w:spacing w:after="0" w:line="18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Between April 2021 and May 2021, five putative securities class action complaints were filed against FibroGen and certain of its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Food and Drug Administration approval. On August 30, 2021, the Court consolidated the actions and appointed a group of lead plaintiffs. On October 17, 2023, the parties reached an agreement in principle to settle the class action at $28.5 million. Accordingly, as of December 31, 2024 and 2023, the Company recorded the $28.5 million in accrued and other current liabilities in the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in the consolidated balance sheet. The determination that the recorded receivables are probable of collection is based on the terms of the applicable insurance policies and communications with the insurers. The Court preliminarily approved the settlement on February 13, 2024 and approved the settlement Plan of Allocation on May 28, 2024 and Plaintiffs’ motion for attorney’s fees on August 1, 2024, reserving further orders on the final judgment until after the claims and distribution process was completed. The court entered a class distribution order on January 1, 2025. Another case, filed on May 25, 2023, against the same defendants, asserting similar claims as the class action and additional common-law and California state fraud claims was voluntarily dismissed on December 20, 2023.</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Between July 30, 2021 and April 3, 2024, seven shareholder derivative complaints were filed, naming as defendants certain of the Company’s current and former officers and certain current and former members of the Company’s board, as well as FibroGen as nominal defendants (the “Derivative Lawsuits”). Of these Derivative Lawsuits, four were filed in the Delaware Court of Chancery, two were filed in the U.S. District Court for the District of Delaware (the “Delaware Federal Derivative Actions”), and one was filed in the U.S. District Court for the Northern District of California (the “California Federal Derivative Action”). The plaintiffs assert state and federal claims based on some of the same alleged misstatements as the securities class action complaint. The complaints seek unspecified damages, attorneys’ fees, and other costs. The status of the seven Derivative Lawsuits is currently as follows:</w:t>
      </w:r>
    </w:p>
    <w:p>
      <w:pPr>
        <w:spacing w:after="0" w:line="79" w:lineRule="exact"/>
        <w:rPr>
          <w:sz w:val="20"/>
          <w:szCs w:val="20"/>
          <w:color w:val="auto"/>
        </w:rPr>
      </w:pPr>
    </w:p>
    <w:p>
      <w:pPr>
        <w:jc w:val="both"/>
        <w:ind w:left="520" w:hanging="512"/>
        <w:spacing w:after="0" w:line="258"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Delaware Chancery Derivative actions, filed on April 14, 2022, and June 1, 2023, have been consolidated (the “Delaware Chancery Consolidated Derivative”). On February 1, 2024, Defendants moved to dismiss the Delaware Chancery Consolidated Derivative action, which the Court granted on October 2, 2024. On October 30, 2024, the Delaware Chancery Consolidated Derivative was dismissed with prejudice. The other two derivative actions, filed in the Delaware Court of Chancery on December 3, 2023 and April 3, 2024 were consolidated and stayed pending resolution of the motion to dismiss the Delaware Chancery Consolidated Derivative action;</w:t>
      </w:r>
    </w:p>
    <w:p>
      <w:pPr>
        <w:spacing w:after="0" w:line="7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Federal Derivative actions were voluntarily dismissed on November 14, 2024 and January 16, 2025;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Federal Derivative action was voluntarily dismissed on January 22, 2024.</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the claims asserted in the Derivative Lawsuits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received a subpoena from the SEC requesting documents related to roxadustat’s pooled cardiovascular safety data. The SEC followed up with a subpoena for additional documents in the second quarter of 2024. The Company is fully cooperating with the SEC, and is currently discussing a potential resolution. The Company cannot predict the outcome.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7" w:name="page128"/>
    <w:bookmarkEnd w:id="127"/>
    <w:p>
      <w:pPr>
        <w:ind w:right="60"/>
        <w:spacing w:after="0" w:line="266" w:lineRule="auto"/>
        <w:rPr>
          <w:sz w:val="20"/>
          <w:szCs w:val="20"/>
          <w:color w:val="auto"/>
        </w:rPr>
      </w:pPr>
      <w:r>
        <w:rPr>
          <w:rFonts w:ascii="Times New Roman" w:cs="Times New Roman" w:eastAsia="Times New Roman" w:hAnsi="Times New Roman"/>
          <w:sz w:val="18"/>
          <w:szCs w:val="18"/>
          <w:color w:val="auto"/>
        </w:rPr>
        <w:t>Between 2022 and 2024, the Company’s Board of Directors received seven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additional similar demands.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r>
    </w:p>
    <w:p>
      <w:pPr>
        <w:spacing w:after="0" w:line="296" w:lineRule="exact"/>
        <w:rPr>
          <w:sz w:val="20"/>
          <w:szCs w:val="20"/>
          <w:color w:val="auto"/>
        </w:rPr>
      </w:pPr>
    </w:p>
    <w:p>
      <w:pPr>
        <w:ind w:right="7880" w:firstLine="8"/>
        <w:spacing w:after="0" w:line="378" w:lineRule="auto"/>
        <w:tabs>
          <w:tab w:leader="none" w:pos="3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Common Stock</w:t>
      </w:r>
    </w:p>
    <w:p>
      <w:pPr>
        <w:ind w:right="520"/>
        <w:spacing w:after="0" w:line="282" w:lineRule="auto"/>
        <w:rPr>
          <w:sz w:val="20"/>
          <w:szCs w:val="20"/>
          <w:color w:val="auto"/>
        </w:rPr>
      </w:pPr>
      <w:r>
        <w:rPr>
          <w:rFonts w:ascii="Times New Roman" w:cs="Times New Roman" w:eastAsia="Times New Roman" w:hAnsi="Times New Roman"/>
          <w:sz w:val="18"/>
          <w:szCs w:val="18"/>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shares of stock plans outstanding and shares reserved for future issuance related to stock options and RSU grants and the Company’s Employee Stock Purchase Plan (“ESPP”) purchases are as follows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8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12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100,917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98,770</w:t>
            </w:r>
          </w:p>
        </w:tc>
        <w:tc>
          <w:tcPr>
            <w:tcW w:w="8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8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8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stock options and RSUs grant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80" w:type="dxa"/>
            <w:vAlign w:val="bottom"/>
          </w:tcPr>
          <w:p>
            <w:pPr>
              <w:spacing w:after="0"/>
              <w:rPr>
                <w:sz w:val="18"/>
                <w:szCs w:val="18"/>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ESPP offering</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138,139</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130,999</w:t>
            </w:r>
          </w:p>
        </w:tc>
        <w:tc>
          <w:tcPr>
            <w:tcW w:w="8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Program</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24, 2025, the Company entered into an Equity Distribution Agreement with BofA Securities, Inc. (“BofA”), under which it may offer and sell its common stock having aggregate sales proceeds of up to $30.0 million from time to time through BofA as its sales agent.</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February 2023, the Company entered into an Amended and Restated Equity Distribution Agreement (the “at-the-market agreement”) with Goldman Sachs &amp; Co., LLC and BofA Securities, Inc. (each a “Sales Agent”), which amended and restated its Equity Distribution Agreement with Goldman Sachs</w:t>
      </w:r>
    </w:p>
    <w:p>
      <w:pPr>
        <w:ind w:right="40" w:firstLine="8"/>
        <w:spacing w:after="0" w:line="252" w:lineRule="auto"/>
        <w:tabs>
          <w:tab w:leader="none" w:pos="1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dated August 8, 2022, to add BofA Securities, Inc. as an additional Sales Agent under that agreement. Under the at-the-market agreement, the Company could issue and sell, from time to time and through the Sales Agents, shares of its common stock having an aggregate offering price of up to $200.0 million. For the year ended December 31, 2023, the Company sold 2,472,090 shares under this ATM program, for proceeds of approximately $48.4 million, net of commissions to Sales Agents, at a weighted-average offering prices per share of $19.63. The Company did not sell any shares of common stock under this ATM program during the year ended December 31, 2024. The Company terminated this at-the-market agreement in February 2025, in connection with entering into the above-mentioned new Equity Distribution Agreement with BofA.</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and RSU Plans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may be granted only to employees and officers of the Company. Nonqualified stock options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incentive stock option or a nonqualified stock option. Options generally vest over four years. Options expire no more than ten years after the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2014, the Company adopted a 2014 Equity Incentive Plan (the “2014 Plan”) which became effective in November 2014. The 2014 Plan is the successor equity compensation plan to the 2005 Plan.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2024, the Company’s 2024 Equity Incentive Plan (the “2024 Plan”), the successor to and continuation of the 2014 Plan, became effective. The 2024 Plan provides for the grant of incentive stock options, nonqualified stock options, stock appreciation rights, restricted stock awards, restricted stock unit awards and performance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Options generally expire ten years from the date of grant unless the optionee is a 10% stockholder, in which case the term will be five years from the date of grant. Unvested options exercised are subject to the Company’s repurchase right. As of December 31, 2024, the Company has reserved 19,461,785 shares of its common stock that remains unissued for issuance under the 2024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2024 and 2023, no shares of Common Stock were subject to repurchase by the Company.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February 2023, the Company granted 159,150 total shares of PRSUs to certain executives for the performance period beginning January 1, 2023 and ending December 31, 2026. In February 2022, the Company granted 280,450 total shares of PRSUs to certain executives for the performance period beginning January 1, 2022 and ending December 31, 2025. The ultimate number of shares eligible to vest for PRSUs range from 0% to 200% of the target number of shares depending on achievement relative to the predefined clinical performance metrics and continued employment with the Company. During the year ended December 31, 2024, 4,686 shares of the PRSUs have vested and been released.</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February 2023, the Company granted 159,150 total shares of TSR awards to certain executives for the performance period beginning January 1, 2023 and ending December 31, 2026. In February 2022, the Company granted 280,450 total shares of TSR awards to certain executives for the performance period beginning January 1, 2022 and ending December 31, 2025. The ultimate number of shares eligible to vest for the TSR awards range from 0% to 200% of the target number of shares depending on the TSR of FibroGen’s common stock as compared to companies in the NBI index, and continued employment with the Company. During the year ended December 31, 2024, no TSR awards shares have vested and been released.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Stock option transactions, including forfeited options granted under the 2024 Plan as well as prior plans, are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(5,848 )</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(919 )</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9,359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16.82</w:t>
            </w:r>
          </w:p>
        </w:tc>
        <w:tc>
          <w:tcPr>
            <w:tcW w:w="1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-299720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-282575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estimated weighted-average fair value of the stock options granted during the years ended December 31, 2024 and 2023 was $1.74 and $7.27, respectively. The total intrinsic value of options exercised during the years ended December 31, 2024 and 2023 was $0 and $0.9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RSUs, PRSUs and TSR awards: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Fair Value</w:t>
            </w:r>
          </w:p>
        </w:tc>
      </w:tr>
      <w:tr>
        <w:trPr>
          <w:trHeight w:val="173"/>
        </w:trPr>
        <w:tc>
          <w:tcPr>
            <w:tcW w:w="5380" w:type="dxa"/>
            <w:vAlign w:val="bottom"/>
          </w:tcPr>
          <w:p>
            <w:pPr>
              <w:spacing w:after="0"/>
              <w:rPr>
                <w:sz w:val="15"/>
                <w:szCs w:val="15"/>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at Grant</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(2,254 )</w:t>
            </w: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(2,459 )</w:t>
            </w: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8"/>
                <w:szCs w:val="18"/>
                <w:color w:val="auto"/>
              </w:rPr>
            </w:pPr>
          </w:p>
        </w:tc>
      </w:tr>
      <w:tr>
        <w:trPr>
          <w:trHeight w:val="250"/>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03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numbers of PRSUs and TSR awards granted included in the table above reflect the shares that could be eligible to vest at 100% of target number of shares.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Among the vested RSUs during the year ended December 31, 2024, 1,792,577 shares were released and issued, while the remaining was withheld for the related payroll taxes. The estimated weighted-average fair value of the awards granted during the years ended December 31, 2024 and 2023 was $1.78 and $11.61,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ESPP</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September 2014, the Company adopted a 2014 ESPP that became effective in November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which commenced on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354,132 shares and 361,911 shares purchased by employees under the 2014 ESPP during the years ended December 31, 2024 and 2023, respectively. The 2014 ESPP was suspended as of December 31, 2024.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recorded directly to research and development and selling, general and administrative expense for the years the years ended December 31, 2024 and 2023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tcPr>
          <w:p>
            <w:pPr>
              <w:spacing w:after="0"/>
              <w:rPr>
                <w:sz w:val="18"/>
                <w:szCs w:val="18"/>
                <w:color w:val="auto"/>
              </w:rPr>
            </w:pPr>
          </w:p>
        </w:tc>
      </w:tr>
      <w:tr>
        <w:trPr>
          <w:trHeight w:val="250"/>
        </w:trPr>
        <w:tc>
          <w:tcPr>
            <w:tcW w:w="5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tcBorders>
              <w:bottom w:val="single" w:sz="8" w:color="auto"/>
            </w:tcBorders>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option valuation model. The fair value of employee stock options and RSUs is being amortized on a straight-line basis over the requisite service period of the awards. Compensation cost for PRSUs is expensed over the respective vesting periods when the achievement of performance criteria is probable. The Company estimates the fair value of the TSR awards using the Monte Carlo valuation model to simulate the probabilities of achievement. Compensation cost for the TSR awards is recognized over the requisite service period, regardless of when, if ever, the market condition is satisfied. The fair market value of common stock is based on the closing price of the Company’s common stock as reported on the Nasdaq Global Select Market on the date of the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employee stock-based compensation is estimated using the following assumptions:</w:t>
      </w:r>
    </w:p>
    <w:p>
      <w:pPr>
        <w:spacing w:after="0" w:line="117" w:lineRule="exact"/>
        <w:rPr>
          <w:sz w:val="20"/>
          <w:szCs w:val="20"/>
          <w:color w:val="auto"/>
        </w:rPr>
      </w:pPr>
    </w:p>
    <w:p>
      <w:pPr>
        <w:ind w:left="520" w:hanging="512"/>
        <w:spacing w:after="0" w:line="261"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 The expected term of 2014 ESPP shares is the average of the remaining purchase periods under each offering period. The expected term of TSR awards is determined based on the grant date to the end of the performance period.</w:t>
      </w:r>
    </w:p>
    <w:p>
      <w:pPr>
        <w:spacing w:after="0" w:line="7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xml:space="preserve"> The Company considers its historical volatility data for volatility considerations for all of its stock-based compensation types except for its TSR awards, which is based on a blend of the Company’s and comparable public entities’ historical volatility.</w:t>
      </w:r>
    </w:p>
    <w:p>
      <w:pPr>
        <w:spacing w:after="0" w:line="53"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xml:space="preserve"> Expressed as a weighted-average, the risk-free interest rate assumption is based on the U.S. Treasury instruments whose term was consistent with the expected term of the Company’s respective stock-based compensation types.</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Expected Dividend Yield.</w:t>
      </w:r>
      <w:r>
        <w:rPr>
          <w:rFonts w:ascii="Times New Roman" w:cs="Times New Roman" w:eastAsia="Times New Roman" w:hAnsi="Times New Roman"/>
          <w:sz w:val="18"/>
          <w:szCs w:val="18"/>
          <w:color w:val="auto"/>
        </w:rPr>
        <w:t xml:space="preserve"> The Company has never declared or paid any cash dividends and does not plan to pay cash dividends in the foreseeable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stock options granted and ESPPs using the Black-Scholes option valuation model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8"/>
        </w:trPr>
        <w:tc>
          <w:tcPr>
            <w:tcW w:w="5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ESPPs</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61.5 - 271.2  %</w:t>
            </w:r>
          </w:p>
        </w:tc>
        <w:tc>
          <w:tcPr>
            <w:tcW w:w="8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56.7 - 271.2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2.6 - 5.3  %</w:t>
            </w:r>
          </w:p>
        </w:tc>
        <w:tc>
          <w:tcPr>
            <w:tcW w:w="80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0.2 - 5.2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22"/>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The assumptions used to estimate the fair value of the TSR awards using the Monte Carlo valuation model were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3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TSR awards</w:t>
            </w:r>
          </w:p>
        </w:tc>
        <w:tc>
          <w:tcPr>
            <w:tcW w:w="1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69.0 - 73.3  %</w:t>
            </w:r>
          </w:p>
        </w:tc>
        <w:tc>
          <w:tcPr>
            <w:tcW w:w="8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69.0 - 73.3  %</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1.8 - 4.2</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1.8 - 4.2  %</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380" w:type="dxa"/>
            <w:vAlign w:val="bottom"/>
          </w:tcPr>
          <w:p>
            <w:pPr>
              <w:spacing w:after="0"/>
              <w:rPr>
                <w:sz w:val="20"/>
                <w:szCs w:val="20"/>
                <w:color w:val="auto"/>
              </w:rPr>
            </w:pPr>
          </w:p>
        </w:tc>
      </w:tr>
    </w:tbl>
    <w:p>
      <w:pPr>
        <w:spacing w:after="0" w:line="1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$7.0 million of total unrecognized compensation costs, net of estimated forfeitures, related to non-vested stock option awards granted that will be recognized on a straight-line basis over the weighted-average period of 2.44 years. As of December 31, 2024, there was $7.5 million of total unrecognized compensation costs, net of estimated forfeitures, related to non-vested RSUs, PRSUs and TSR awards granted that will be recognized on a straight-line basis over the weighted-average period of 2.51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Stock and Non-Controlling Interests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Europe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and 2023,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 The holders of FibroGen Europe’s shares of Preferred Stock (“Preferred Shares”) have the following rights, preferences and privileges:</w:t>
      </w:r>
    </w:p>
    <w:p>
      <w:pPr>
        <w:spacing w:after="0" w:line="73"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When the assets of FibroGen Europe are distributed (except for distribution in a liquidation), Preferred Shares shall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2"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Pre-emptive Right </w:t>
      </w:r>
      <w:r>
        <w:rPr>
          <w:rFonts w:ascii="Times New Roman" w:cs="Times New Roman" w:eastAsia="Times New Roman" w:hAnsi="Times New Roman"/>
          <w:sz w:val="18"/>
          <w:szCs w:val="18"/>
          <w:color w:val="auto"/>
        </w:rPr>
        <w:t>— Preferred Shares shall have pre-emptive subscription right in accordance with the Finnish Limited Liability Companies Act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shares are issued, option rights are given, or convertible loan is taken,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2" w:lineRule="exact"/>
        <w:rPr>
          <w:sz w:val="20"/>
          <w:szCs w:val="20"/>
          <w:color w:val="auto"/>
        </w:rPr>
      </w:pPr>
    </w:p>
    <w:p>
      <w:pPr>
        <w:ind w:left="52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Right </w:t>
      </w:r>
      <w:r>
        <w:rPr>
          <w:rFonts w:ascii="Times New Roman" w:cs="Times New Roman" w:eastAsia="Times New Roman" w:hAnsi="Times New Roman"/>
          <w:sz w:val="18"/>
          <w:szCs w:val="18"/>
          <w:color w:val="auto"/>
        </w:rPr>
        <w:t>— If a Preferred Share can be redeemed by a majority shareholder owning more than ninety percent (90%)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FibroGen Europe in accordance with the provisions of the Finnish Limited Liability Companies Act, the minority holders of Preferred Shares have the right to request redemption of their shares.</w:t>
      </w:r>
    </w:p>
    <w:p>
      <w:pPr>
        <w:spacing w:after="0" w:line="65" w:lineRule="exact"/>
        <w:rPr>
          <w:sz w:val="20"/>
          <w:szCs w:val="20"/>
          <w:color w:val="auto"/>
        </w:rPr>
      </w:pPr>
    </w:p>
    <w:p>
      <w:pPr>
        <w:ind w:left="52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Right </w:t>
      </w:r>
      <w:r>
        <w:rPr>
          <w:rFonts w:ascii="Times New Roman" w:cs="Times New Roman" w:eastAsia="Times New Roman" w:hAnsi="Times New Roman"/>
          <w:sz w:val="18"/>
          <w:szCs w:val="18"/>
          <w:color w:val="auto"/>
        </w:rPr>
        <w:t>— Each share has one vote. Preferred Shares have voting rights only in situations that are specifically provided in the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Conversion Right </w:t>
      </w:r>
      <w:r>
        <w:rPr>
          <w:rFonts w:ascii="Times New Roman" w:cs="Times New Roman" w:eastAsia="Times New Roman" w:hAnsi="Times New Roman"/>
          <w:sz w:val="18"/>
          <w:szCs w:val="18"/>
          <w:color w:val="auto"/>
        </w:rPr>
        <w:t>(1-for-1 basis into Common Stock of FibroGen Europe):</w:t>
      </w:r>
    </w:p>
    <w:p>
      <w:pPr>
        <w:spacing w:after="0" w:line="119" w:lineRule="exact"/>
        <w:rPr>
          <w:sz w:val="20"/>
          <w:szCs w:val="20"/>
          <w:color w:val="auto"/>
        </w:rPr>
      </w:pPr>
    </w:p>
    <w:p>
      <w:pPr>
        <w:jc w:val="both"/>
        <w:ind w:left="1020" w:right="180" w:hanging="503"/>
        <w:spacing w:after="0" w:line="266"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67"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Europe and certain other European states. Commercial use means there is income generated from the first commercial sale of the products incorporating the above-mentioned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82" w:lineRule="exact"/>
        <w:rPr>
          <w:sz w:val="20"/>
          <w:szCs w:val="20"/>
          <w:color w:val="auto"/>
        </w:rPr>
      </w:pPr>
    </w:p>
    <w:p>
      <w:pPr>
        <w:jc w:val="both"/>
        <w:ind w:left="520"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 </w:t>
      </w:r>
      <w:r>
        <w:rPr>
          <w:rFonts w:ascii="Times New Roman" w:cs="Times New Roman" w:eastAsia="Times New Roman" w:hAnsi="Times New Roman"/>
          <w:sz w:val="18"/>
          <w:szCs w:val="18"/>
          <w:color w:val="auto"/>
        </w:rPr>
        <w:t>— In the event of a dissolution of FibroGen Europe, holders of Preferred Shares are entitled to be paid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18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FibroGen Cayman</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FibroGen Cayman had 6,758,000 Series A Preference Shares outstanding as of December 31, 2024 and 2023, respectively. The holders of the FibroGen Cayman Series A Preference Shares have the following rights, preferences and privileges:</w:t>
      </w:r>
    </w:p>
    <w:p>
      <w:pPr>
        <w:spacing w:after="0" w:line="52"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liquidation, dissolution, or winding up of the Company, either voluntary or involuntary, including by means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the holders of FibroGen Cayman Series A Preference Shares are entitled to be paid an amount equal to the product of the number of shares held by a holder of shares of FibroGen Cayman Series A Preference Shares and the original issue price of $1.00 (subject to equitable adjustment for any stock dividend, combination, split, reclassification, recapitalization) plus all declared and unpaid dividends thereon.</w:t>
      </w:r>
    </w:p>
    <w:p>
      <w:pPr>
        <w:spacing w:after="0" w:line="72"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 Each share of FibroGen Cayman Series A Preference Shares is convertible into the number of fully paid and non-assessable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of FibroGen Cayman that results from dividing the original issue price by the conversion price in effect at the time of the conversion, subject to adjustments for stock splits, stock dividends, reclassifications and like events. The FibroGen Cayman Series A Preference Shares have a conversion price that is equal to the original issuance price such that the conversion ratio to FibroGen Cayman Common Stock is 1:1 as of all periods presented.</w:t>
      </w:r>
    </w:p>
    <w:p>
      <w:pPr>
        <w:spacing w:after="0" w:line="75" w:lineRule="exact"/>
        <w:rPr>
          <w:sz w:val="20"/>
          <w:szCs w:val="20"/>
          <w:color w:val="auto"/>
        </w:rPr>
      </w:pPr>
    </w:p>
    <w:p>
      <w:pPr>
        <w:ind w:left="5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w:t>
      </w:r>
      <w:r>
        <w:rPr>
          <w:rFonts w:ascii="Times New Roman" w:cs="Times New Roman" w:eastAsia="Times New Roman" w:hAnsi="Times New Roman"/>
          <w:sz w:val="18"/>
          <w:szCs w:val="18"/>
          <w:color w:val="auto"/>
        </w:rPr>
        <w:t>— The holders of FibroGen Cayman Series A Preference Shares are entitled to vote together with the FibroGen Cayman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on all matters submitted for a vote of the stockholders. The holder of each share of FibroGen Cayman Series A Preference Shares has the number of votes equal to the number of shares of FibroGen Cayman Common Stock into which it is convertible.</w:t>
      </w:r>
    </w:p>
    <w:p>
      <w:pPr>
        <w:spacing w:after="0" w:line="65" w:lineRule="exact"/>
        <w:rPr>
          <w:sz w:val="20"/>
          <w:szCs w:val="20"/>
          <w:color w:val="auto"/>
        </w:rPr>
      </w:pPr>
    </w:p>
    <w:p>
      <w:pPr>
        <w:ind w:left="520"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holders of FibroGen Cayman Series A Preference Shares are entitled to receive cash dividends when and if declared, at a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Non-controlling interest positions related to the issuance of subsidiary stock as described above are reported as a separate component of consolidated equity from the equity attributable to the Company’s stockholders at December 31, 2024 and 2023. In addition, the Company does not allocate losses to the non-controlling interests as the outstanding shares representing the non-controlling interest do not represent a residual equity interest in the subsidiary.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net loss for each of the years ended December 31, 2024 and 2023. Therefore, dilutive common shares are not assumed to have been issued since their effect is anti-dilutive for these periods.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Diluted weighted average shares excluded the following potential common shares related to stock options, RSUs, PRSUs, TSR awards and shares to be purchased under the 2014 Employee Stock Purchase Plan (“ESPP”) for the periods presented as they were anti-dilutive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960" w:type="dxa"/>
            <w:vAlign w:val="bottom"/>
            <w:gridSpan w:val="8"/>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760" w:type="dxa"/>
            <w:vAlign w:val="bottom"/>
            <w:shd w:val="clear" w:color="auto" w:fill="CFF0FC"/>
          </w:tcPr>
          <w:p>
            <w:pPr>
              <w:spacing w:after="0"/>
              <w:rPr>
                <w:sz w:val="18"/>
                <w:szCs w:val="18"/>
                <w:color w:val="auto"/>
              </w:rPr>
            </w:pPr>
          </w:p>
        </w:tc>
        <w:tc>
          <w:tcPr>
            <w:tcW w:w="1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13,475</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RSUs, PRSUs and TSR awards</w:t>
            </w:r>
          </w:p>
        </w:tc>
        <w:tc>
          <w:tcPr>
            <w:tcW w:w="760" w:type="dxa"/>
            <w:vAlign w:val="bottom"/>
          </w:tcPr>
          <w:p>
            <w:pPr>
              <w:spacing w:after="0"/>
              <w:rPr>
                <w:sz w:val="18"/>
                <w:szCs w:val="18"/>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3,122</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76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17,037</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Income Taxes</w:t>
            </w:r>
          </w:p>
        </w:tc>
        <w:tc>
          <w:tcPr>
            <w:tcW w:w="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96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 (in thousands):</w:t>
            </w: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(142,819 )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(324,581 )</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7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(10,548 )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(153,367 )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(323,222 )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8"/>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(269 )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(252 )</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70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(269 )</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(252 )</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Borders>
              <w:top w:val="single" w:sz="8" w:color="CFF0FC"/>
            </w:tcBorders>
            <w:shd w:val="clear" w:color="auto" w:fill="CFF0FC"/>
          </w:tcPr>
          <w:p>
            <w:pPr>
              <w:spacing w:after="0" w:line="20" w:lineRule="exact"/>
              <w:rPr>
                <w:sz w:val="1"/>
                <w:szCs w:val="1"/>
                <w:color w:val="auto"/>
              </w:rPr>
            </w:pPr>
          </w:p>
        </w:tc>
        <w:tc>
          <w:tcPr>
            <w:tcW w:w="24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is the reconciliation between the statutory federal income tax rate and the Company’s effective tax rate: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4"/>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8"/>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24"/>
                <w:szCs w:val="24"/>
                <w:color w:val="auto"/>
              </w:rPr>
            </w:pPr>
          </w:p>
        </w:tc>
      </w:tr>
      <w:tr>
        <w:trPr>
          <w:trHeight w:val="142"/>
        </w:trPr>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9"/>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not benefitted</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losses not benefitted</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Deduction limitation on executive compensation</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4200" w:type="dxa"/>
            <w:vAlign w:val="bottom"/>
            <w:tcBorders>
              <w:top w:val="single" w:sz="8" w:color="CFF0FC"/>
            </w:tcBorders>
          </w:tcPr>
          <w:p>
            <w:pPr>
              <w:spacing w:after="0"/>
              <w:rPr>
                <w:sz w:val="24"/>
                <w:szCs w:val="24"/>
                <w:color w:val="auto"/>
              </w:rPr>
            </w:pPr>
          </w:p>
        </w:tc>
        <w:tc>
          <w:tcPr>
            <w:tcW w:w="2440" w:type="dxa"/>
            <w:vAlign w:val="bottom"/>
            <w:tcBorders>
              <w:top w:val="single" w:sz="8" w:color="CFF0FC"/>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-3042285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-3042285</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-2750820</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-2733675</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-2750820</wp:posOffset>
            </wp:positionV>
            <wp:extent cx="603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-2733675</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-865505</wp:posOffset>
            </wp:positionV>
            <wp:extent cx="15430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-847725</wp:posOffset>
            </wp:positionV>
            <wp:extent cx="1543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-865505</wp:posOffset>
            </wp:positionV>
            <wp:extent cx="15430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-847725</wp:posOffset>
            </wp:positionV>
            <wp:extent cx="15430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as follows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206,365</w:t>
            </w: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175,258</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123,156</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436,080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(452,740 )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(426,355 )</w:t>
            </w:r>
          </w:p>
        </w:tc>
      </w:tr>
      <w:tr>
        <w:trPr>
          <w:trHeight w:val="209"/>
        </w:trPr>
        <w:tc>
          <w:tcPr>
            <w:tcW w:w="6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(9,725 )</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accrued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6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(9,725 )</w:t>
            </w:r>
          </w:p>
        </w:tc>
      </w:tr>
      <w:tr>
        <w:trPr>
          <w:trHeight w:val="209"/>
        </w:trPr>
        <w:tc>
          <w:tcPr>
            <w:tcW w:w="69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$26.4 million and $66.8 million for the years ended December 31, 2024 and 2023, respectively. Due to uncertainty surrounding the realization of the favorable tax attributes in the future tax returns, the Company has established a valuation allowance against its otherwise recognizable net deferred tax assets.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intends to continue maintaining a full valuation allowance on its deferred tax assets until there is sufficient evidence to support the reversal of all or some portion of this allowance.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net operating loss carryforwards available to offset future taxable income of approximately $945.5 million and $145.0 million for federal and state tax purposes, respectively. $292.4 million of the federal net operating loss carryforwards will begin to expire in 2026 if not utilized, while the remainder can be carried forward indefinitely. The state net operating loss carryforward will begin to expire in 2028 if not utilized. The Company also had foreign net operating loss carryforwards of approximately $0.6 million, which expire between 2025 and 2034 if not utilized.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had approximately $150.8 million of federal and $53.3 million of California research and development tax credit and other tax credit carryforwards available to offset future taxable income. The federal credits begin to expire in 2025 and the California research credits have no expiration dates.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Federal and state tax laws impose substantial restrictions on the utilization of net operating loss and credit carryforwards in the event of an “ownership change” for tax purposes, as defined in Internal Revenue Code (“IRC”) Section 382. The Company performed an IRC Section 382 analysis and has determined that there were no ownership changes as of December 31, 2024. Thus, IRC Section 382 will not limit the use of the Company’s net operating loss and tax credit carryforwards. The Company will continue to monitor trading activities in its shares which could cause ownership change in future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had unrecognized tax benefits of approximately $74.3 million as of December 31, 2024. Approximately $0.4 million of unrecognized tax benefits, if recognized, would affect the effective tax rate. The interest accrued as of December 31, 2024 and 2023 was immaterial.</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35" w:name="page136"/>
    <w:bookmarkEnd w:id="135"/>
    <w:p>
      <w:pPr>
        <w:ind w:right="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during the two years ended December 31, 2024 is as follows (in thousands):</w:t>
      </w:r>
    </w:p>
    <w:p>
      <w:pPr>
        <w:sectPr>
          <w:pgSz w:w="11900" w:h="16838" w:orient="portrait"/>
          <w:cols w:equalWidth="0" w:num="1">
            <w:col w:w="11240"/>
          </w:cols>
          <w:pgMar w:left="320" w:top="1201" w:right="339" w:bottom="1440" w:gutter="0" w:footer="0" w:header="0"/>
        </w:sectPr>
      </w:pPr>
    </w:p>
    <w:p>
      <w:pPr>
        <w:spacing w:after="0" w:line="3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Decrease due to prior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Increase due to current year position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Foreign exchange rate differential</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Decrease due to prior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Increase due to current year position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Foreign exchange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3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4"/>
          <w:szCs w:val="14"/>
          <w:b w:val="1"/>
          <w:bCs w:val="1"/>
          <w:color w:val="auto"/>
        </w:rPr>
        <w:t>Federal and State</w:t>
      </w:r>
    </w:p>
    <w:p>
      <w:pPr>
        <w:spacing w:after="0" w:line="34" w:lineRule="exact"/>
        <w:rPr>
          <w:sz w:val="20"/>
          <w:szCs w:val="20"/>
          <w:color w:val="auto"/>
        </w:rPr>
      </w:pPr>
    </w:p>
    <w:p>
      <w:pPr>
        <w:ind w:left="1027" w:hanging="1027"/>
        <w:spacing w:after="0"/>
        <w:tabs>
          <w:tab w:leader="none" w:pos="10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62,249</w:t>
      </w:r>
    </w:p>
    <w:p>
      <w:pPr>
        <w:spacing w:after="0" w:line="27" w:lineRule="exact"/>
        <w:rPr>
          <w:rFonts w:ascii="Times New Roman" w:cs="Times New Roman" w:eastAsia="Times New Roman" w:hAnsi="Times New Roman"/>
          <w:sz w:val="18"/>
          <w:szCs w:val="18"/>
          <w:color w:val="auto"/>
        </w:rPr>
      </w:pPr>
    </w:p>
    <w:p>
      <w:pPr>
        <w:ind w:left="1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-269240</wp:posOffset>
            </wp:positionV>
            <wp:extent cx="9772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18"/>
          <w:szCs w:val="18"/>
          <w:color w:val="auto"/>
        </w:rPr>
        <w:t>8,805</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(190 )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9772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1027"/>
        <w:spacing w:after="0"/>
        <w:rPr>
          <w:sz w:val="20"/>
          <w:szCs w:val="20"/>
          <w:color w:val="auto"/>
        </w:rPr>
      </w:pPr>
      <w:r>
        <w:rPr>
          <w:rFonts w:ascii="Times New Roman" w:cs="Times New Roman" w:eastAsia="Times New Roman" w:hAnsi="Times New Roman"/>
          <w:sz w:val="18"/>
          <w:szCs w:val="18"/>
          <w:color w:val="auto"/>
        </w:rPr>
        <w:t>70,710</w:t>
      </w:r>
    </w:p>
    <w:p>
      <w:pPr>
        <w:spacing w:after="0" w:line="23"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(156 )</w:t>
      </w:r>
    </w:p>
    <w:p>
      <w:pPr>
        <w:spacing w:after="0" w:line="9"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18"/>
          <w:szCs w:val="18"/>
          <w:color w:val="auto"/>
        </w:rPr>
        <w:t>3,920</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(153 )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9772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1027" w:hanging="1027"/>
        <w:spacing w:after="0"/>
        <w:tabs>
          <w:tab w:leader="none" w:pos="10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74,321</w:t>
      </w:r>
    </w:p>
    <w:p>
      <w:pPr>
        <w:spacing w:after="0" w:line="235" w:lineRule="exact"/>
        <w:rPr>
          <w:sz w:val="20"/>
          <w:szCs w:val="20"/>
          <w:color w:val="auto"/>
        </w:rPr>
      </w:pPr>
    </w:p>
    <w:p>
      <w:pPr>
        <w:sectPr>
          <w:pgSz w:w="11900" w:h="16838" w:orient="portrait"/>
          <w:cols w:equalWidth="0" w:num="2">
            <w:col w:w="7773" w:space="720"/>
            <w:col w:w="2747"/>
          </w:cols>
          <w:pgMar w:left="320" w:top="1201" w:right="339" w:bottom="1440" w:gutter="0" w:footer="0" w:header="0"/>
          <w:type w:val="continuous"/>
        </w:sectPr>
      </w:pPr>
    </w:p>
    <w:p>
      <w:pPr>
        <w:spacing w:after="0" w:line="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interest and penalties as a component of tax expense, if any.</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2015 to 2024. The Company is not currently under audit in any tax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which primarily focuses on the development and commercialization of novel therapeutics to treat serious unmet medical needs. The Company has determined that the chief executive officer is the chief operating decision maker (“CODM”). The CODM assesses performance of the business, monitors budget versus actual results and manages and allocates resources to the Company’s operations using consolidated net loss as the primary measurement. The CODM is regularly provided with entity-wide expense categories that are consistent with those found on the Company’s consolidated statements of operations. The measure of segment assets is reported on the balance sheet as total consolidated assets.</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did not have any property and equipment or operating lease right-of-use assets, and the Company’s finance lease right-of-use assets were all in the U.S. As of December 31, 2023, the Company’s property and equipment, operating lease right-of-use assets and finance lease right-of-use assets were all in the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enterprise-wide information is presented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revenues, which are based on the region that revenue is generated,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9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2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(2,854 )</w:t>
            </w: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7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9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20"/>
        </w:trPr>
        <w:tc>
          <w:tcPr>
            <w:tcW w:w="580" w:type="dxa"/>
            <w:vAlign w:val="bottom"/>
          </w:tcPr>
          <w:p>
            <w:pPr>
              <w:spacing w:after="0"/>
              <w:rPr>
                <w:sz w:val="24"/>
                <w:szCs w:val="24"/>
                <w:color w:val="auto"/>
              </w:rPr>
            </w:pPr>
          </w:p>
        </w:tc>
        <w:tc>
          <w:tcPr>
            <w:tcW w:w="3040" w:type="dxa"/>
            <w:vAlign w:val="bottom"/>
            <w:tcBorders>
              <w:top w:val="single" w:sz="8" w:color="CFF0FC"/>
            </w:tcBorders>
          </w:tcPr>
          <w:p>
            <w:pPr>
              <w:spacing w:after="0"/>
              <w:rPr>
                <w:sz w:val="24"/>
                <w:szCs w:val="24"/>
                <w:color w:val="auto"/>
              </w:rPr>
            </w:pPr>
          </w:p>
        </w:tc>
        <w:tc>
          <w:tcPr>
            <w:tcW w:w="2780" w:type="dxa"/>
            <w:vAlign w:val="bottom"/>
            <w:tcBorders>
              <w:top w:val="single" w:sz="8" w:color="CFF0FC"/>
            </w:tcBorders>
          </w:tcPr>
          <w:p>
            <w:pPr>
              <w:jc w:val="right"/>
              <w:ind w:right="550"/>
              <w:spacing w:after="0"/>
              <w:rPr>
                <w:sz w:val="20"/>
                <w:szCs w:val="20"/>
                <w:color w:val="auto"/>
              </w:rPr>
            </w:pPr>
            <w:r>
              <w:rPr>
                <w:rFonts w:ascii="Times New Roman" w:cs="Times New Roman" w:eastAsia="Times New Roman" w:hAnsi="Times New Roman"/>
                <w:sz w:val="18"/>
                <w:szCs w:val="18"/>
                <w:color w:val="auto"/>
              </w:rPr>
              <w:t>134</w:t>
            </w:r>
          </w:p>
        </w:tc>
        <w:tc>
          <w:tcPr>
            <w:tcW w:w="1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-865505</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-847725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-865505</wp:posOffset>
            </wp:positionV>
            <wp:extent cx="603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revenues have been generated from the following collaboration partners that individually accounted for 10% or more of the Company’s total revenue:</w:t>
      </w:r>
    </w:p>
    <w:p>
      <w:pPr>
        <w:spacing w:after="0" w:line="155"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7620</wp:posOffset>
            </wp:positionV>
            <wp:extent cx="32061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jc w:val="center"/>
        <w:ind w:left="4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bl>
      <w:tblPr>
        <w:tblLayout w:type="fixed"/>
        <w:tblInd w:w="0" w:type="dxa"/>
        <w:tblCellMar>
          <w:top w:w="0" w:type="dxa"/>
          <w:left w:w="0" w:type="dxa"/>
          <w:bottom w:w="0" w:type="dxa"/>
          <w:right w:w="0" w:type="dxa"/>
        </w:tblCellMar>
      </w:tblPr>
      <w:tr>
        <w:trPr>
          <w:trHeight w:val="142"/>
        </w:trPr>
        <w:tc>
          <w:tcPr>
            <w:tcW w:w="5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320" w:type="dxa"/>
            <w:vAlign w:val="bottom"/>
            <w:tcBorders>
              <w:top w:val="single" w:sz="8" w:color="auto"/>
              <w:bottom w:val="single" w:sz="8" w:color="auto"/>
            </w:tcBorders>
          </w:tcPr>
          <w:p>
            <w:pPr>
              <w:jc w:val="right"/>
              <w:ind w:right="9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AstraZeneca</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88 %</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Astellas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12 %</w:t>
            </w:r>
          </w:p>
        </w:tc>
        <w:tc>
          <w:tcPr>
            <w:tcW w:w="2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Eluminex</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560" w:type="dxa"/>
            <w:vAlign w:val="bottom"/>
          </w:tcPr>
          <w:p>
            <w:pPr>
              <w:spacing w:after="0"/>
              <w:rPr>
                <w:sz w:val="18"/>
                <w:szCs w:val="18"/>
                <w:color w:val="auto"/>
              </w:rPr>
            </w:pPr>
          </w:p>
        </w:tc>
      </w:tr>
      <w:tr>
        <w:trPr>
          <w:trHeight w:val="540"/>
        </w:trPr>
        <w:tc>
          <w:tcPr>
            <w:tcW w:w="580" w:type="dxa"/>
            <w:vAlign w:val="bottom"/>
          </w:tcPr>
          <w:p>
            <w:pPr>
              <w:spacing w:after="0"/>
              <w:rPr>
                <w:sz w:val="24"/>
                <w:szCs w:val="24"/>
                <w:color w:val="auto"/>
              </w:rPr>
            </w:pPr>
          </w:p>
        </w:tc>
        <w:tc>
          <w:tcPr>
            <w:tcW w:w="658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135</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to Other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(Credited)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Accounts -</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to Statement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of Operation</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and Equity</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 of Year</w:t>
            </w:r>
          </w:p>
        </w:tc>
      </w:tr>
      <w:tr>
        <w:trPr>
          <w:trHeight w:val="20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allowances for deferred tax assets</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426,355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452,740</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359,518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66,837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426,355</w:t>
            </w:r>
          </w:p>
        </w:tc>
        <w:tc>
          <w:tcPr>
            <w:tcW w:w="100" w:type="dxa"/>
            <w:vAlign w:val="bottom"/>
            <w:shd w:val="clear" w:color="auto" w:fill="CFF0FC"/>
          </w:tcPr>
          <w:p>
            <w:pPr>
              <w:spacing w:after="0"/>
              <w:rPr>
                <w:sz w:val="18"/>
                <w:szCs w:val="18"/>
                <w:color w:val="auto"/>
              </w:rPr>
            </w:pPr>
          </w:p>
        </w:tc>
      </w:tr>
      <w:tr>
        <w:trPr>
          <w:trHeight w:val="756"/>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ind w:right="10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Attached as Exhibits 31.1 and 31.2 to this Annual Report on Form 10-K for the year ended December 31, 2024 (“Annual Report”)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includes the information concerning the controls evaluation referred to in the Rule 13a-14(a) and 15d-15(e) Certifications.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December 31, 2024, the end of the period covered by this Annual Report. Disclosure controls and procedures (as defined in Rules 13a-15(e) or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our evaluation, the Chief Executive Officer and Chief Financial Officer have concluded that our disclosure controls and procedures were effective at the reasonable assurance level as of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 xml:space="preserve">Management, with the participation and under the supervision of our Chief Executive Officer and our Chief Financial Officer, evaluated our internal control over financial reporting as of December 31, 2024, the end of our fiscal year, using the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set forth by the Committee of Sponsoring Organizations of the Treadway Commission.</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our evaluation, our management has concluded that our internal control over financial reporting was effective as of December 31, 2024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that appears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December 31, 2024 that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7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305" w:right="61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nominees, including information with respect to our audit committee, audit committee financial experts and procedures by which stockholders may recommend nominees to our Board of Directors, is incorporated by reference to the sections titled “Proposal 1 – Election of Directors” and “Directors and Corporate Governance” in our Proxy Statement for our 2025 Annual Meeting of Stockholders to be filed with the SEC within 120 days after the end of the fiscal year ended December 31, 2024 (the “2025 Proxy Statement”). The information required by this item regarding our executive officers is incorporated by reference to the section titled “Executive Officers” appearing in our 2025 Proxy Statement. The information, if any, required by this item regarding compliance with Section 16(a) of the Securities Exchange Act of 1934, as amended, is incorporated by reference to the section titled “Delinquent Section 16(a) Reports” appearing in our 2025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the Insider Trading Policy is filed as an exhibit to this Annual Report on Form 10-K. In addition, it is our practice to comply with the applicable laws and regulations relating to insider trading.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A copy of our Code of Business Conduct and Ethics can be found on our website (</w:t>
      </w:r>
      <w:r>
        <w:rPr>
          <w:rFonts w:ascii="Times New Roman" w:cs="Times New Roman" w:eastAsia="Times New Roman" w:hAnsi="Times New Roman"/>
          <w:sz w:val="18"/>
          <w:szCs w:val="18"/>
          <w:u w:val="single" w:color="auto"/>
          <w:color w:val="auto"/>
        </w:rPr>
        <w:t>www.FibroGen.com</w:t>
      </w:r>
      <w:r>
        <w:rPr>
          <w:rFonts w:ascii="Times New Roman" w:cs="Times New Roman" w:eastAsia="Times New Roman" w:hAnsi="Times New Roman"/>
          <w:sz w:val="18"/>
          <w:szCs w:val="18"/>
          <w:color w:val="auto"/>
        </w:rPr>
        <w:t>) under “Corporate Governance.” The contents of our website are not a part of this Annual Report.</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“Executive Compensation,” “Director Compensation,” “Compensation Committee Interlocks and Insider Participation” and “Compensation Committee Report” appearing in our 2025 Proxy Statement.</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“Security Ownership of Certain Beneficial Owners and Management” and “Equity Compensation Plan Information” appearing in our 2025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titled “Transactions with Related Persons” and “Directors and Corporate Governance” appearing in our 2025 Proxy Statement.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proposal titled “Proposal 3 - Ratification of Selection of Independent Registered Public Accounting Firm” appearing in our 2025 Proxy Statement.</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1" w:name="page142"/>
    <w:bookmarkEnd w:id="14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Schedule II is included on page 136. All other schedules are omitted because they are not required or the required information is included in the consolidated financial statements or notes thereto.</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15(b) below.</w:t>
      </w:r>
    </w:p>
    <w:p>
      <w:pPr>
        <w:spacing w:after="0" w:line="221" w:lineRule="exact"/>
        <w:rPr>
          <w:sz w:val="20"/>
          <w:szCs w:val="20"/>
          <w:color w:val="auto"/>
        </w:rPr>
      </w:pPr>
    </w:p>
    <w:p>
      <w:pPr>
        <w:jc w:val="both"/>
        <w:ind w:right="20" w:firstLine="8"/>
        <w:spacing w:after="0" w:line="317" w:lineRule="auto"/>
        <w:tabs>
          <w:tab w:leader="none" w:pos="265"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Exhibits</w:t>
      </w:r>
      <w:r>
        <w:rPr>
          <w:rFonts w:ascii="Times New Roman" w:cs="Times New Roman" w:eastAsia="Times New Roman" w:hAnsi="Times New Roman"/>
          <w:sz w:val="17"/>
          <w:szCs w:val="17"/>
          <w:color w:val="auto"/>
        </w:rPr>
        <w:t>—We have filed, or incorporated into this Annual Report by reference, the exhibits listed below. Where an exhibit is incorporated by reference,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number in parentheses indicates the document to which cross-reference is made. Refer to the end of this table for a listing of cross-reference documents.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09"/>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17"/>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Pr>
          <w:p>
            <w:pPr>
              <w:spacing w:after="0"/>
              <w:rPr>
                <w:sz w:val="18"/>
                <w:szCs w:val="18"/>
                <w:color w:val="auto"/>
              </w:rPr>
            </w:pPr>
          </w:p>
        </w:tc>
        <w:tc>
          <w:tcPr>
            <w:tcW w:w="1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100" w:type="dxa"/>
            <w:vAlign w:val="bottom"/>
          </w:tcPr>
          <w:p>
            <w:pPr>
              <w:spacing w:after="0"/>
              <w:rPr>
                <w:sz w:val="18"/>
                <w:szCs w:val="18"/>
                <w:color w:val="auto"/>
              </w:rPr>
            </w:pPr>
          </w:p>
        </w:tc>
        <w:tc>
          <w:tcPr>
            <w:tcW w:w="1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404">
              <w:r>
                <w:rPr>
                  <w:rFonts w:ascii="Times New Roman" w:cs="Times New Roman" w:eastAsia="Times New Roman" w:hAnsi="Times New Roman"/>
                  <w:sz w:val="18"/>
                  <w:szCs w:val="18"/>
                  <w:color w:val="auto"/>
                </w:rPr>
                <w:t>Amended and Restated Certificate of</w:t>
              </w:r>
            </w:hyperlink>
          </w:p>
        </w:tc>
        <w:tc>
          <w:tcPr>
            <w:tcW w:w="920" w:type="dxa"/>
            <w:vAlign w:val="bottom"/>
            <w:gridSpan w:val="11"/>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404">
              <w:r>
                <w:rPr>
                  <w:rFonts w:ascii="Times New Roman" w:cs="Times New Roman" w:eastAsia="Times New Roman" w:hAnsi="Times New Roman"/>
                  <w:sz w:val="18"/>
                  <w:szCs w:val="18"/>
                  <w:color w:val="auto"/>
                  <w:w w:val="99"/>
                </w:rPr>
                <w:t>Incorporation of FibroGen, Inc.</w:t>
              </w:r>
            </w:hyperlink>
          </w:p>
        </w:tc>
        <w:tc>
          <w:tcPr>
            <w:tcW w:w="136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405">
              <w:r>
                <w:rPr>
                  <w:rFonts w:ascii="Times New Roman" w:cs="Times New Roman" w:eastAsia="Times New Roman" w:hAnsi="Times New Roman"/>
                  <w:sz w:val="18"/>
                  <w:szCs w:val="18"/>
                  <w:color w:val="auto"/>
                </w:rPr>
                <w:t>Amended and Restated Bylaws of FibroGen,</w:t>
              </w:r>
            </w:hyperlink>
          </w:p>
        </w:tc>
        <w:tc>
          <w:tcPr>
            <w:tcW w:w="360" w:type="dxa"/>
            <w:vAlign w:val="bottom"/>
            <w:gridSpan w:val="3"/>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S-1/A</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3.4</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4"/>
              </w:rPr>
            </w:pPr>
            <w:hyperlink r:id="rId405">
              <w:r>
                <w:rPr>
                  <w:rFonts w:ascii="Times New Roman" w:cs="Times New Roman" w:eastAsia="Times New Roman" w:hAnsi="Times New Roman"/>
                  <w:sz w:val="18"/>
                  <w:szCs w:val="18"/>
                  <w:color w:val="auto"/>
                  <w:w w:val="94"/>
                </w:rPr>
                <w:t>Inc.</w:t>
              </w:r>
            </w:hyperlink>
          </w:p>
        </w:tc>
        <w:tc>
          <w:tcPr>
            <w:tcW w:w="3360" w:type="dxa"/>
            <w:vAlign w:val="bottom"/>
            <w:gridSpan w:val="1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0"/>
          </w:tcPr>
          <w:p>
            <w:pPr>
              <w:spacing w:after="0"/>
              <w:rPr>
                <w:rFonts w:ascii="Times New Roman" w:cs="Times New Roman" w:eastAsia="Times New Roman" w:hAnsi="Times New Roman"/>
                <w:sz w:val="18"/>
                <w:szCs w:val="18"/>
                <w:color w:val="auto"/>
              </w:rPr>
            </w:pPr>
            <w:hyperlink r:id="rId406">
              <w:r>
                <w:rPr>
                  <w:rFonts w:ascii="Times New Roman" w:cs="Times New Roman" w:eastAsia="Times New Roman" w:hAnsi="Times New Roman"/>
                  <w:sz w:val="18"/>
                  <w:szCs w:val="18"/>
                  <w:color w:val="auto"/>
                </w:rPr>
                <w:t>Form of Common Stock Certificate.</w:t>
              </w:r>
            </w:hyperlink>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11/21/2014</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407">
              <w:r>
                <w:rPr>
                  <w:rFonts w:ascii="Times New Roman" w:cs="Times New Roman" w:eastAsia="Times New Roman" w:hAnsi="Times New Roman"/>
                  <w:sz w:val="18"/>
                  <w:szCs w:val="18"/>
                  <w:color w:val="auto"/>
                </w:rPr>
                <w:t>Shareholders’ Agreement by and among</w:t>
              </w:r>
            </w:hyperlink>
          </w:p>
        </w:tc>
        <w:tc>
          <w:tcPr>
            <w:tcW w:w="680" w:type="dxa"/>
            <w:vAlign w:val="bottom"/>
            <w:gridSpan w:val="9"/>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4.6</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11/8/2017</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07">
              <w:r>
                <w:rPr>
                  <w:rFonts w:ascii="Times New Roman" w:cs="Times New Roman" w:eastAsia="Times New Roman" w:hAnsi="Times New Roman"/>
                  <w:sz w:val="18"/>
                  <w:szCs w:val="18"/>
                  <w:color w:val="auto"/>
                </w:rPr>
                <w:t>FibroGen International (Cayman) Limited</w:t>
              </w:r>
            </w:hyperlink>
          </w:p>
        </w:tc>
        <w:tc>
          <w:tcPr>
            <w:tcW w:w="54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07">
              <w:r>
                <w:rPr>
                  <w:rFonts w:ascii="Times New Roman" w:cs="Times New Roman" w:eastAsia="Times New Roman" w:hAnsi="Times New Roman"/>
                  <w:sz w:val="18"/>
                  <w:szCs w:val="18"/>
                  <w:color w:val="auto"/>
                </w:rPr>
                <w:t>and certain of its shareholders, dated as of</w:t>
              </w:r>
            </w:hyperlink>
          </w:p>
        </w:tc>
        <w:tc>
          <w:tcPr>
            <w:tcW w:w="56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407">
              <w:r>
                <w:rPr>
                  <w:rFonts w:ascii="Times New Roman" w:cs="Times New Roman" w:eastAsia="Times New Roman" w:hAnsi="Times New Roman"/>
                  <w:sz w:val="18"/>
                  <w:szCs w:val="18"/>
                  <w:color w:val="auto"/>
                  <w:w w:val="98"/>
                </w:rPr>
                <w:t>September 8, 2017.</w:t>
              </w:r>
            </w:hyperlink>
          </w:p>
        </w:tc>
        <w:tc>
          <w:tcPr>
            <w:tcW w:w="2240" w:type="dxa"/>
            <w:vAlign w:val="bottom"/>
            <w:gridSpan w:val="1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408">
              <w:r>
                <w:rPr>
                  <w:rFonts w:ascii="Times New Roman" w:cs="Times New Roman" w:eastAsia="Times New Roman" w:hAnsi="Times New Roman"/>
                  <w:sz w:val="18"/>
                  <w:szCs w:val="18"/>
                  <w:color w:val="auto"/>
                </w:rPr>
                <w:t>Common Stock Purchase Agreement by and</w:t>
              </w:r>
            </w:hyperlink>
          </w:p>
        </w:tc>
        <w:tc>
          <w:tcPr>
            <w:tcW w:w="400" w:type="dxa"/>
            <w:vAlign w:val="bottom"/>
            <w:gridSpan w:val="4"/>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S-1/A</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08">
              <w:r>
                <w:rPr>
                  <w:rFonts w:ascii="Times New Roman" w:cs="Times New Roman" w:eastAsia="Times New Roman" w:hAnsi="Times New Roman"/>
                  <w:sz w:val="18"/>
                  <w:szCs w:val="18"/>
                  <w:color w:val="auto"/>
                </w:rPr>
                <w:t>between FibroGen, Inc. and AstraZeneca AB,</w:t>
              </w:r>
            </w:hyperlink>
          </w:p>
        </w:tc>
        <w:tc>
          <w:tcPr>
            <w:tcW w:w="3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Times New Roman" w:cs="Times New Roman" w:eastAsia="Times New Roman" w:hAnsi="Times New Roman"/>
                <w:sz w:val="18"/>
                <w:szCs w:val="18"/>
                <w:color w:val="auto"/>
              </w:rPr>
            </w:pPr>
            <w:hyperlink r:id="rId408">
              <w:r>
                <w:rPr>
                  <w:rFonts w:ascii="Times New Roman" w:cs="Times New Roman" w:eastAsia="Times New Roman" w:hAnsi="Times New Roman"/>
                  <w:sz w:val="18"/>
                  <w:szCs w:val="18"/>
                  <w:color w:val="auto"/>
                </w:rPr>
                <w:t>dated as of October 20, 2014.</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409">
              <w:r>
                <w:rPr>
                  <w:rFonts w:ascii="Times New Roman" w:cs="Times New Roman" w:eastAsia="Times New Roman" w:hAnsi="Times New Roman"/>
                  <w:sz w:val="18"/>
                  <w:szCs w:val="18"/>
                  <w:color w:val="auto"/>
                </w:rPr>
                <w:t>Description of Capital Stock of FibroGen,</w:t>
              </w:r>
            </w:hyperlink>
          </w:p>
        </w:tc>
        <w:tc>
          <w:tcPr>
            <w:tcW w:w="560" w:type="dxa"/>
            <w:vAlign w:val="bottom"/>
            <w:gridSpan w:val="8"/>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Times New Roman" w:cs="Times New Roman" w:eastAsia="Times New Roman" w:hAnsi="Times New Roman"/>
                <w:sz w:val="18"/>
                <w:szCs w:val="18"/>
                <w:color w:val="auto"/>
              </w:rPr>
            </w:pPr>
            <w:hyperlink r:id="rId409">
              <w:r>
                <w:rPr>
                  <w:rFonts w:ascii="Times New Roman" w:cs="Times New Roman" w:eastAsia="Times New Roman" w:hAnsi="Times New Roman"/>
                  <w:sz w:val="18"/>
                  <w:szCs w:val="18"/>
                  <w:color w:val="auto"/>
                </w:rPr>
                <w:t>Inc.</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14"/>
          </w:tcPr>
          <w:p>
            <w:pPr>
              <w:spacing w:after="0"/>
              <w:rPr>
                <w:rFonts w:ascii="Times New Roman" w:cs="Times New Roman" w:eastAsia="Times New Roman" w:hAnsi="Times New Roman"/>
                <w:sz w:val="18"/>
                <w:szCs w:val="18"/>
                <w:color w:val="auto"/>
                <w:w w:val="99"/>
              </w:rPr>
            </w:pPr>
            <w:hyperlink r:id="rId410">
              <w:r>
                <w:rPr>
                  <w:rFonts w:ascii="Times New Roman" w:cs="Times New Roman" w:eastAsia="Times New Roman" w:hAnsi="Times New Roman"/>
                  <w:sz w:val="18"/>
                  <w:szCs w:val="18"/>
                  <w:color w:val="auto"/>
                  <w:w w:val="99"/>
                </w:rPr>
                <w:t>FibroGen, Inc. 2024 Equity Incentive Plan.</w:t>
              </w:r>
            </w:hyperlink>
          </w:p>
        </w:tc>
        <w:tc>
          <w:tcPr>
            <w:tcW w:w="520" w:type="dxa"/>
            <w:vAlign w:val="bottom"/>
            <w:gridSpan w:val="6"/>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6/7/2024</w:t>
            </w: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411">
              <w:r>
                <w:rPr>
                  <w:rFonts w:ascii="Times New Roman" w:cs="Times New Roman" w:eastAsia="Times New Roman" w:hAnsi="Times New Roman"/>
                  <w:sz w:val="18"/>
                  <w:szCs w:val="18"/>
                  <w:color w:val="auto"/>
                </w:rPr>
                <w:t>Form of Restricted Stock Unit Grant Notice</w:t>
              </w:r>
            </w:hyperlink>
          </w:p>
        </w:tc>
        <w:tc>
          <w:tcPr>
            <w:tcW w:w="440" w:type="dxa"/>
            <w:vAlign w:val="bottom"/>
            <w:gridSpan w:val="5"/>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8/6/2024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Times New Roman" w:cs="Times New Roman" w:eastAsia="Times New Roman" w:hAnsi="Times New Roman"/>
                <w:sz w:val="18"/>
                <w:szCs w:val="18"/>
                <w:color w:val="auto"/>
              </w:rPr>
            </w:pPr>
            <w:hyperlink r:id="rId411">
              <w:r>
                <w:rPr>
                  <w:rFonts w:ascii="Times New Roman" w:cs="Times New Roman" w:eastAsia="Times New Roman" w:hAnsi="Times New Roman"/>
                  <w:sz w:val="18"/>
                  <w:szCs w:val="18"/>
                  <w:color w:val="auto"/>
                </w:rPr>
                <w:t>and Award Agreement.</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412">
              <w:r>
                <w:rPr>
                  <w:rFonts w:ascii="Times New Roman" w:cs="Times New Roman" w:eastAsia="Times New Roman" w:hAnsi="Times New Roman"/>
                  <w:sz w:val="18"/>
                  <w:szCs w:val="18"/>
                  <w:color w:val="auto"/>
                </w:rPr>
                <w:t>Form of Stock Option Grant Notice and</w:t>
              </w:r>
            </w:hyperlink>
          </w:p>
        </w:tc>
        <w:tc>
          <w:tcPr>
            <w:tcW w:w="720" w:type="dxa"/>
            <w:vAlign w:val="bottom"/>
            <w:gridSpan w:val="10"/>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8/6/2024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Times New Roman" w:cs="Times New Roman" w:eastAsia="Times New Roman" w:hAnsi="Times New Roman"/>
                <w:sz w:val="18"/>
                <w:szCs w:val="18"/>
                <w:color w:val="auto"/>
              </w:rPr>
            </w:pPr>
            <w:hyperlink r:id="rId412">
              <w:r>
                <w:rPr>
                  <w:rFonts w:ascii="Times New Roman" w:cs="Times New Roman" w:eastAsia="Times New Roman" w:hAnsi="Times New Roman"/>
                  <w:sz w:val="18"/>
                  <w:szCs w:val="18"/>
                  <w:color w:val="auto"/>
                </w:rPr>
                <w:t>Option Agreement.</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413">
              <w:r>
                <w:rPr>
                  <w:rFonts w:ascii="Times New Roman" w:cs="Times New Roman" w:eastAsia="Times New Roman" w:hAnsi="Times New Roman"/>
                  <w:sz w:val="18"/>
                  <w:szCs w:val="18"/>
                  <w:color w:val="auto"/>
                </w:rPr>
                <w:t>FibroGen, Inc. 2014 Equity Incentive Plan</w:t>
              </w:r>
            </w:hyperlink>
          </w:p>
        </w:tc>
        <w:tc>
          <w:tcPr>
            <w:tcW w:w="540" w:type="dxa"/>
            <w:vAlign w:val="bottom"/>
            <w:gridSpan w:val="7"/>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S-1/A</w:t>
            </w:r>
          </w:p>
        </w:tc>
        <w:tc>
          <w:tcPr>
            <w:tcW w:w="1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333-199069</w:t>
            </w:r>
          </w:p>
        </w:tc>
        <w:tc>
          <w:tcPr>
            <w:tcW w:w="1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11/12/2014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Times New Roman" w:cs="Times New Roman" w:eastAsia="Times New Roman" w:hAnsi="Times New Roman"/>
                <w:sz w:val="18"/>
                <w:szCs w:val="18"/>
                <w:color w:val="auto"/>
              </w:rPr>
            </w:pPr>
            <w:hyperlink r:id="rId413">
              <w:r>
                <w:rPr>
                  <w:rFonts w:ascii="Times New Roman" w:cs="Times New Roman" w:eastAsia="Times New Roman" w:hAnsi="Times New Roman"/>
                  <w:sz w:val="18"/>
                  <w:szCs w:val="18"/>
                  <w:color w:val="auto"/>
                </w:rPr>
                <w:t>and forms of agreement thereunder.</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5"/>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10.3+</w:t>
            </w:r>
          </w:p>
        </w:tc>
        <w:tc>
          <w:tcPr>
            <w:tcW w:w="2740" w:type="dxa"/>
            <w:vAlign w:val="bottom"/>
            <w:tcBorders>
              <w:bottom w:val="single" w:sz="8" w:color="0000EE"/>
            </w:tcBorders>
            <w:gridSpan w:val="3"/>
          </w:tcPr>
          <w:p>
            <w:pPr>
              <w:spacing w:after="0"/>
              <w:rPr>
                <w:rFonts w:ascii="Times New Roman" w:cs="Times New Roman" w:eastAsia="Times New Roman" w:hAnsi="Times New Roman"/>
                <w:sz w:val="18"/>
                <w:szCs w:val="18"/>
                <w:color w:val="auto"/>
              </w:rPr>
            </w:pPr>
            <w:hyperlink r:id="rId416">
              <w:r>
                <w:rPr>
                  <w:rFonts w:ascii="Times New Roman" w:cs="Times New Roman" w:eastAsia="Times New Roman" w:hAnsi="Times New Roman"/>
                  <w:sz w:val="18"/>
                  <w:szCs w:val="18"/>
                  <w:color w:val="auto"/>
                </w:rPr>
                <w:t>FibroGen, Inc. 2014 Employee Stock</w:t>
              </w:r>
            </w:hyperlink>
          </w:p>
        </w:tc>
        <w:tc>
          <w:tcPr>
            <w:tcW w:w="260" w:type="dxa"/>
            <w:vAlign w:val="bottom"/>
            <w:gridSpan w:val="2"/>
          </w:tcPr>
          <w:p>
            <w:pPr>
              <w:spacing w:after="0"/>
              <w:rPr>
                <w:sz w:val="17"/>
                <w:szCs w:val="17"/>
                <w:color w:val="auto"/>
              </w:rPr>
            </w:pPr>
          </w:p>
        </w:tc>
        <w:tc>
          <w:tcPr>
            <w:tcW w:w="18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S-1/A</w:t>
            </w: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333-199069</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11/12/2014</w:t>
            </w:r>
          </w:p>
        </w:tc>
      </w:tr>
      <w:tr>
        <w:trPr>
          <w:trHeight w:val="196"/>
        </w:trPr>
        <w:tc>
          <w:tcPr>
            <w:tcW w:w="130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416">
              <w:r>
                <w:rPr>
                  <w:rFonts w:ascii="Times New Roman" w:cs="Times New Roman" w:eastAsia="Times New Roman" w:hAnsi="Times New Roman"/>
                  <w:sz w:val="18"/>
                  <w:szCs w:val="18"/>
                  <w:color w:val="auto"/>
                  <w:w w:val="98"/>
                </w:rPr>
                <w:t>Purchase Plan.</w:t>
              </w:r>
            </w:hyperlink>
          </w:p>
        </w:tc>
        <w:tc>
          <w:tcPr>
            <w:tcW w:w="1940" w:type="dxa"/>
            <w:vAlign w:val="bottom"/>
            <w:gridSpan w:val="4"/>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12"/>
        </w:trPr>
        <w:tc>
          <w:tcPr>
            <w:tcW w:w="13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10.4+</w:t>
            </w:r>
          </w:p>
        </w:tc>
        <w:tc>
          <w:tcPr>
            <w:tcW w:w="2880" w:type="dxa"/>
            <w:vAlign w:val="bottom"/>
            <w:tcBorders>
              <w:bottom w:val="single" w:sz="8" w:color="0000EE"/>
            </w:tcBorders>
            <w:gridSpan w:val="4"/>
          </w:tcPr>
          <w:p>
            <w:pPr>
              <w:spacing w:after="0"/>
              <w:rPr>
                <w:rFonts w:ascii="Times New Roman" w:cs="Times New Roman" w:eastAsia="Times New Roman" w:hAnsi="Times New Roman"/>
                <w:sz w:val="18"/>
                <w:szCs w:val="18"/>
                <w:color w:val="auto"/>
              </w:rPr>
            </w:pPr>
            <w:hyperlink r:id="rId417">
              <w:r>
                <w:rPr>
                  <w:rFonts w:ascii="Times New Roman" w:cs="Times New Roman" w:eastAsia="Times New Roman" w:hAnsi="Times New Roman"/>
                  <w:sz w:val="18"/>
                  <w:szCs w:val="18"/>
                  <w:color w:val="auto"/>
                </w:rPr>
                <w:t>FibroGen, Inc. Non-Employee Director</w:t>
              </w:r>
            </w:hyperlink>
          </w:p>
        </w:tc>
        <w:tc>
          <w:tcPr>
            <w:tcW w:w="120" w:type="dxa"/>
            <w:vAlign w:val="bottom"/>
          </w:tcPr>
          <w:p>
            <w:pPr>
              <w:spacing w:after="0"/>
              <w:rPr>
                <w:sz w:val="24"/>
                <w:szCs w:val="24"/>
                <w:color w:val="auto"/>
              </w:rPr>
            </w:pPr>
          </w:p>
        </w:tc>
        <w:tc>
          <w:tcPr>
            <w:tcW w:w="18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7"/>
              </w:rPr>
              <w:t>10-Q</w:t>
            </w:r>
          </w:p>
        </w:tc>
        <w:tc>
          <w:tcPr>
            <w:tcW w:w="2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001-36740</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5/6/2024</w:t>
            </w: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rPr>
            </w:pPr>
            <w:hyperlink r:id="rId417">
              <w:r>
                <w:rPr>
                  <w:rFonts w:ascii="Times New Roman" w:cs="Times New Roman" w:eastAsia="Times New Roman" w:hAnsi="Times New Roman"/>
                  <w:sz w:val="18"/>
                  <w:szCs w:val="18"/>
                  <w:color w:val="auto"/>
                </w:rPr>
                <w:t>Compensation Policy, as amended, dated</w:t>
              </w:r>
            </w:hyperlink>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417">
              <w:r>
                <w:rPr>
                  <w:rFonts w:ascii="Times New Roman" w:cs="Times New Roman" w:eastAsia="Times New Roman" w:hAnsi="Times New Roman"/>
                  <w:sz w:val="18"/>
                  <w:szCs w:val="18"/>
                  <w:color w:val="auto"/>
                  <w:w w:val="98"/>
                </w:rPr>
                <w:t>April 22, 2024.</w:t>
              </w:r>
            </w:hyperlink>
          </w:p>
        </w:tc>
        <w:tc>
          <w:tcPr>
            <w:tcW w:w="1900" w:type="dxa"/>
            <w:vAlign w:val="bottom"/>
            <w:gridSpan w:val="3"/>
          </w:tcPr>
          <w:p>
            <w:pPr>
              <w:spacing w:after="0"/>
              <w:rPr>
                <w:sz w:val="17"/>
                <w:szCs w:val="17"/>
                <w:color w:val="auto"/>
              </w:rPr>
            </w:pP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20"/>
          </w:cols>
          <w:pgMar w:left="340" w:top="1188" w:right="5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FibroGen, Inc. Bonus Plan.</w:t>
            </w:r>
          </w:p>
        </w:tc>
      </w:tr>
      <w:tr>
        <w:trPr>
          <w:trHeight w:val="20"/>
        </w:trPr>
        <w:tc>
          <w:tcPr>
            <w:tcW w:w="13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FibroGen Insider Trading and Trading</w:t>
            </w:r>
          </w:p>
        </w:tc>
        <w:tc>
          <w:tcPr>
            <w:tcW w:w="38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2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Window Policy, amended and restated as of</w:t>
            </w:r>
          </w:p>
        </w:tc>
      </w:tr>
      <w:tr>
        <w:trPr>
          <w:trHeight w:val="196"/>
        </w:trPr>
        <w:tc>
          <w:tcPr>
            <w:tcW w:w="1300" w:type="dxa"/>
            <w:vAlign w:val="bottom"/>
          </w:tcPr>
          <w:p>
            <w:pPr>
              <w:spacing w:after="0"/>
              <w:rPr>
                <w:sz w:val="17"/>
                <w:szCs w:val="17"/>
                <w:color w:val="auto"/>
              </w:rPr>
            </w:pPr>
          </w:p>
        </w:tc>
        <w:tc>
          <w:tcPr>
            <w:tcW w:w="3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November 2021.</w:t>
            </w:r>
          </w:p>
        </w:tc>
      </w:tr>
      <w:tr>
        <w:trPr>
          <w:trHeight w:val="20"/>
        </w:trPr>
        <w:tc>
          <w:tcPr>
            <w:tcW w:w="13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1620" w:val="left"/>
          <w:tab w:leader="none" w:pos="3520" w:val="left"/>
          <w:tab w:leader="none" w:pos="5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620" w:val="left"/>
          <w:tab w:leader="none" w:pos="3520" w:val="left"/>
          <w:tab w:leader="none" w:pos="5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632" w:lineRule="exact"/>
        <w:rPr>
          <w:sz w:val="20"/>
          <w:szCs w:val="20"/>
          <w:color w:val="auto"/>
        </w:rPr>
      </w:pPr>
    </w:p>
    <w:p>
      <w:pPr>
        <w:sectPr>
          <w:pgSz w:w="11900" w:h="16838" w:orient="portrait"/>
          <w:cols w:equalWidth="0" w:num="2">
            <w:col w:w="4640" w:space="720"/>
            <w:col w:w="5660"/>
          </w:cols>
          <w:pgMar w:left="340" w:top="1188" w:right="5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600" w:type="dxa"/>
            <w:vAlign w:val="bottom"/>
            <w:tcBorders>
              <w:bottom w:val="single" w:sz="8" w:color="0000EE"/>
            </w:tcBorders>
            <w:gridSpan w:val="6"/>
          </w:tcPr>
          <w:p>
            <w:pPr>
              <w:spacing w:after="0"/>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Lease for Premises in Beijing BDA</w:t>
              </w:r>
            </w:hyperlink>
          </w:p>
        </w:tc>
        <w:tc>
          <w:tcPr>
            <w:tcW w:w="68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333-199069</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10/1/2014</w:t>
            </w:r>
          </w:p>
        </w:tc>
      </w:tr>
      <w:tr>
        <w:trPr>
          <w:trHeight w:val="196"/>
        </w:trPr>
        <w:tc>
          <w:tcPr>
            <w:tcW w:w="1300" w:type="dxa"/>
            <w:vAlign w:val="bottom"/>
          </w:tcPr>
          <w:p>
            <w:pPr>
              <w:spacing w:after="0"/>
              <w:rPr>
                <w:sz w:val="17"/>
                <w:szCs w:val="17"/>
                <w:color w:val="auto"/>
              </w:rPr>
            </w:pPr>
          </w:p>
        </w:tc>
        <w:tc>
          <w:tcPr>
            <w:tcW w:w="2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Biomedical Park by and among Beijing</w:t>
              </w:r>
            </w:hyperlink>
          </w:p>
        </w:tc>
        <w:tc>
          <w:tcPr>
            <w:tcW w:w="40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FibroGen Medical Technology Development</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Co., Ltd., Beijing Economic and Technology</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Investment Development Parent Company</w:t>
              </w:r>
            </w:hyperlink>
          </w:p>
        </w:tc>
        <w:tc>
          <w:tcPr>
            <w:tcW w:w="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and Beijing BDA International Biological</w:t>
              </w:r>
            </w:hyperlink>
          </w:p>
        </w:tc>
        <w:tc>
          <w:tcPr>
            <w:tcW w:w="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w w:val="99"/>
              </w:rPr>
            </w:pPr>
            <w:hyperlink r:id="rId418">
              <w:r>
                <w:rPr>
                  <w:rFonts w:ascii="Times New Roman" w:cs="Times New Roman" w:eastAsia="Times New Roman" w:hAnsi="Times New Roman"/>
                  <w:sz w:val="18"/>
                  <w:szCs w:val="18"/>
                  <w:color w:val="auto"/>
                  <w:w w:val="99"/>
                </w:rPr>
                <w:t>Pharmaceutical Investment Management Co.,</w:t>
              </w:r>
            </w:hyperlink>
          </w:p>
        </w:tc>
        <w:tc>
          <w:tcPr>
            <w:tcW w:w="40" w:type="dxa"/>
            <w:vAlign w:val="bottom"/>
            <w:tcBorders>
              <w:bottom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Ltd., effective as of February 1, 2013, as</w:t>
              </w:r>
            </w:hyperlink>
          </w:p>
        </w:tc>
        <w:tc>
          <w:tcPr>
            <w:tcW w:w="32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supplemented by the Supplementary</w:t>
              </w:r>
            </w:hyperlink>
          </w:p>
        </w:tc>
        <w:tc>
          <w:tcPr>
            <w:tcW w:w="620" w:type="dxa"/>
            <w:vAlign w:val="bottom"/>
            <w:gridSpan w:val="10"/>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Agreement to Lease of Premises in Beijing</w:t>
              </w:r>
            </w:hyperlink>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w w:val="99"/>
              </w:rPr>
            </w:pPr>
            <w:hyperlink r:id="rId418">
              <w:r>
                <w:rPr>
                  <w:rFonts w:ascii="Times New Roman" w:cs="Times New Roman" w:eastAsia="Times New Roman" w:hAnsi="Times New Roman"/>
                  <w:sz w:val="18"/>
                  <w:szCs w:val="18"/>
                  <w:color w:val="auto"/>
                  <w:w w:val="99"/>
                </w:rPr>
                <w:t>BDA Biomedical Park by and among Beijing</w:t>
              </w:r>
            </w:hyperlink>
          </w:p>
        </w:tc>
        <w:tc>
          <w:tcPr>
            <w:tcW w:w="40" w:type="dxa"/>
            <w:vAlign w:val="bottom"/>
            <w:tcBorders>
              <w:bottom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FibroGen Medical Technology Development</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Co., Ltd., Beijing Economic Technology</w:t>
              </w:r>
            </w:hyperlink>
          </w:p>
        </w:tc>
        <w:tc>
          <w:tcPr>
            <w:tcW w:w="3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Investment Development Parent Company</w:t>
              </w:r>
            </w:hyperlink>
          </w:p>
        </w:tc>
        <w:tc>
          <w:tcPr>
            <w:tcW w:w="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and Beijing BDA International Biological</w:t>
              </w:r>
            </w:hyperlink>
          </w:p>
        </w:tc>
        <w:tc>
          <w:tcPr>
            <w:tcW w:w="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w w:val="99"/>
              </w:rPr>
            </w:pPr>
            <w:hyperlink r:id="rId418">
              <w:r>
                <w:rPr>
                  <w:rFonts w:ascii="Times New Roman" w:cs="Times New Roman" w:eastAsia="Times New Roman" w:hAnsi="Times New Roman"/>
                  <w:sz w:val="18"/>
                  <w:szCs w:val="18"/>
                  <w:color w:val="auto"/>
                  <w:w w:val="99"/>
                </w:rPr>
                <w:t>Pharmaceutical Investment Management Co.,</w:t>
              </w:r>
            </w:hyperlink>
          </w:p>
        </w:tc>
        <w:tc>
          <w:tcPr>
            <w:tcW w:w="40" w:type="dxa"/>
            <w:vAlign w:val="bottom"/>
            <w:tcBorders>
              <w:bottom w:val="single" w:sz="8" w:color="0000EE"/>
            </w:tcBorders>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gridSpan w:val="17"/>
          </w:tcPr>
          <w:p>
            <w:pPr>
              <w:spacing w:after="0" w:line="196" w:lineRule="exact"/>
              <w:rPr>
                <w:rFonts w:ascii="Times New Roman" w:cs="Times New Roman" w:eastAsia="Times New Roman" w:hAnsi="Times New Roman"/>
                <w:sz w:val="18"/>
                <w:szCs w:val="18"/>
                <w:color w:val="auto"/>
              </w:rPr>
            </w:pPr>
            <w:hyperlink r:id="rId418">
              <w:r>
                <w:rPr>
                  <w:rFonts w:ascii="Times New Roman" w:cs="Times New Roman" w:eastAsia="Times New Roman" w:hAnsi="Times New Roman"/>
                  <w:sz w:val="18"/>
                  <w:szCs w:val="18"/>
                  <w:color w:val="auto"/>
                </w:rPr>
                <w:t>Ltd., dated as of January 30, 2013.</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520" w:type="dxa"/>
            <w:vAlign w:val="bottom"/>
            <w:tcBorders>
              <w:bottom w:val="single" w:sz="8" w:color="0000EE"/>
            </w:tcBorders>
            <w:gridSpan w:val="4"/>
          </w:tcPr>
          <w:p>
            <w:pPr>
              <w:spacing w:after="0"/>
              <w:rPr>
                <w:rFonts w:ascii="Times New Roman" w:cs="Times New Roman" w:eastAsia="Times New Roman" w:hAnsi="Times New Roman"/>
                <w:sz w:val="18"/>
                <w:szCs w:val="18"/>
                <w:color w:val="auto"/>
                <w:w w:val="99"/>
              </w:rPr>
            </w:pPr>
            <w:hyperlink r:id="rId419">
              <w:r>
                <w:rPr>
                  <w:rFonts w:ascii="Times New Roman" w:cs="Times New Roman" w:eastAsia="Times New Roman" w:hAnsi="Times New Roman"/>
                  <w:sz w:val="18"/>
                  <w:szCs w:val="18"/>
                  <w:color w:val="auto"/>
                  <w:w w:val="99"/>
                </w:rPr>
                <w:t>Form of Employment Offer Letter.</w:t>
              </w:r>
            </w:hyperlink>
          </w:p>
        </w:tc>
        <w:tc>
          <w:tcPr>
            <w:tcW w:w="76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333-199069</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10/1/2014</w:t>
            </w: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1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420">
              <w:r>
                <w:rPr>
                  <w:rFonts w:ascii="Times New Roman" w:cs="Times New Roman" w:eastAsia="Times New Roman" w:hAnsi="Times New Roman"/>
                  <w:sz w:val="18"/>
                  <w:szCs w:val="18"/>
                  <w:color w:val="auto"/>
                </w:rPr>
                <w:t>Collaboration Agreement, by and between</w:t>
              </w:r>
            </w:hyperlink>
          </w:p>
        </w:tc>
        <w:tc>
          <w:tcPr>
            <w:tcW w:w="1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10-Q</w:t>
            </w: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11/5/2020</w:t>
            </w: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420">
              <w:r>
                <w:rPr>
                  <w:rFonts w:ascii="Times New Roman" w:cs="Times New Roman" w:eastAsia="Times New Roman" w:hAnsi="Times New Roman"/>
                  <w:sz w:val="18"/>
                  <w:szCs w:val="18"/>
                  <w:color w:val="auto"/>
                </w:rPr>
                <w:t>FibroGen, Inc. and Astellas Pharma Inc.,</w:t>
              </w:r>
            </w:hyperlink>
          </w:p>
        </w:tc>
        <w:tc>
          <w:tcPr>
            <w:tcW w:w="300" w:type="dxa"/>
            <w:vAlign w:val="bottom"/>
            <w:gridSpan w:val="6"/>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gridSpan w:val="17"/>
          </w:tcPr>
          <w:p>
            <w:pPr>
              <w:spacing w:after="0" w:line="196" w:lineRule="exact"/>
              <w:rPr>
                <w:rFonts w:ascii="Times New Roman" w:cs="Times New Roman" w:eastAsia="Times New Roman" w:hAnsi="Times New Roman"/>
                <w:sz w:val="18"/>
                <w:szCs w:val="18"/>
                <w:color w:val="auto"/>
              </w:rPr>
            </w:pPr>
            <w:hyperlink r:id="rId420">
              <w:r>
                <w:rPr>
                  <w:rFonts w:ascii="Times New Roman" w:cs="Times New Roman" w:eastAsia="Times New Roman" w:hAnsi="Times New Roman"/>
                  <w:sz w:val="18"/>
                  <w:szCs w:val="18"/>
                  <w:color w:val="auto"/>
                </w:rPr>
                <w:t>effective as of June 1, 2005.</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10.9(i)†</w:t>
            </w:r>
          </w:p>
        </w:tc>
        <w:tc>
          <w:tcPr>
            <w:tcW w:w="2600" w:type="dxa"/>
            <w:vAlign w:val="bottom"/>
            <w:tcBorders>
              <w:bottom w:val="single" w:sz="8" w:color="0000EE"/>
            </w:tcBorders>
            <w:gridSpan w:val="6"/>
          </w:tcPr>
          <w:p>
            <w:pPr>
              <w:spacing w:after="0"/>
              <w:rPr>
                <w:rFonts w:ascii="Times New Roman" w:cs="Times New Roman" w:eastAsia="Times New Roman" w:hAnsi="Times New Roman"/>
                <w:sz w:val="18"/>
                <w:szCs w:val="18"/>
                <w:color w:val="auto"/>
              </w:rPr>
            </w:pPr>
            <w:hyperlink r:id="rId421">
              <w:r>
                <w:rPr>
                  <w:rFonts w:ascii="Times New Roman" w:cs="Times New Roman" w:eastAsia="Times New Roman" w:hAnsi="Times New Roman"/>
                  <w:sz w:val="18"/>
                  <w:szCs w:val="18"/>
                  <w:color w:val="auto"/>
                </w:rPr>
                <w:t>Amendment No. 1 to Collaboration</w:t>
              </w:r>
            </w:hyperlink>
          </w:p>
        </w:tc>
        <w:tc>
          <w:tcPr>
            <w:tcW w:w="68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10-K</w:t>
            </w: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001-36740</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10.9(i)</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2/27/2019</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21">
              <w:r>
                <w:rPr>
                  <w:rFonts w:ascii="Times New Roman" w:cs="Times New Roman" w:eastAsia="Times New Roman" w:hAnsi="Times New Roman"/>
                  <w:sz w:val="18"/>
                  <w:szCs w:val="18"/>
                  <w:color w:val="auto"/>
                </w:rPr>
                <w:t>Agreement, by and between FibroGen, Inc.</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421">
              <w:r>
                <w:rPr>
                  <w:rFonts w:ascii="Times New Roman" w:cs="Times New Roman" w:eastAsia="Times New Roman" w:hAnsi="Times New Roman"/>
                  <w:sz w:val="18"/>
                  <w:szCs w:val="18"/>
                  <w:color w:val="auto"/>
                </w:rPr>
                <w:t>and Astellas Pharma Inc., effective as of</w:t>
              </w:r>
            </w:hyperlink>
          </w:p>
        </w:tc>
        <w:tc>
          <w:tcPr>
            <w:tcW w:w="34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gridSpan w:val="17"/>
          </w:tcPr>
          <w:p>
            <w:pPr>
              <w:spacing w:after="0" w:line="196" w:lineRule="exact"/>
              <w:rPr>
                <w:rFonts w:ascii="Times New Roman" w:cs="Times New Roman" w:eastAsia="Times New Roman" w:hAnsi="Times New Roman"/>
                <w:sz w:val="18"/>
                <w:szCs w:val="18"/>
                <w:color w:val="auto"/>
              </w:rPr>
            </w:pPr>
            <w:hyperlink r:id="rId421">
              <w:r>
                <w:rPr>
                  <w:rFonts w:ascii="Times New Roman" w:cs="Times New Roman" w:eastAsia="Times New Roman" w:hAnsi="Times New Roman"/>
                  <w:sz w:val="18"/>
                  <w:szCs w:val="18"/>
                  <w:color w:val="auto"/>
                </w:rPr>
                <w:t>January 1, 2013.</w:t>
              </w:r>
            </w:hyperlink>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560" w:type="dxa"/>
            <w:vAlign w:val="bottom"/>
            <w:tcBorders>
              <w:bottom w:val="single" w:sz="8" w:color="0000EE"/>
            </w:tcBorders>
            <w:gridSpan w:val="5"/>
          </w:tcPr>
          <w:p>
            <w:pPr>
              <w:spacing w:after="0"/>
              <w:rPr>
                <w:rFonts w:ascii="Times New Roman" w:cs="Times New Roman" w:eastAsia="Times New Roman" w:hAnsi="Times New Roman"/>
                <w:sz w:val="18"/>
                <w:szCs w:val="18"/>
                <w:color w:val="auto"/>
              </w:rPr>
            </w:pPr>
            <w:hyperlink r:id="rId422">
              <w:r>
                <w:rPr>
                  <w:rFonts w:ascii="Times New Roman" w:cs="Times New Roman" w:eastAsia="Times New Roman" w:hAnsi="Times New Roman"/>
                  <w:sz w:val="18"/>
                  <w:szCs w:val="18"/>
                  <w:color w:val="auto"/>
                </w:rPr>
                <w:t>Anemia License and Collaboration</w:t>
              </w:r>
            </w:hyperlink>
          </w:p>
        </w:tc>
        <w:tc>
          <w:tcPr>
            <w:tcW w:w="72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333-199069</w:t>
            </w: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10/1/2014</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22">
              <w:r>
                <w:rPr>
                  <w:rFonts w:ascii="Times New Roman" w:cs="Times New Roman" w:eastAsia="Times New Roman" w:hAnsi="Times New Roman"/>
                  <w:sz w:val="18"/>
                  <w:szCs w:val="18"/>
                  <w:color w:val="auto"/>
                </w:rPr>
                <w:t>Agreement, by and between FibroGen, Inc.</w:t>
              </w:r>
            </w:hyperlink>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9"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422">
        <w:r>
          <w:rPr>
            <w:rFonts w:ascii="Times New Roman" w:cs="Times New Roman" w:eastAsia="Times New Roman" w:hAnsi="Times New Roman"/>
            <w:sz w:val="18"/>
            <w:szCs w:val="18"/>
            <w:color w:val="auto"/>
          </w:rPr>
          <w:t>and Astellas Pharma Inc., effective as of April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-7620</wp:posOffset>
            </wp:positionV>
            <wp:extent cx="21177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2117725" cy="8890"/>
                    </a:xfrm>
                    <a:prstGeom prst="rect">
                      <a:avLst/>
                    </a:prstGeom>
                    <a:noFill/>
                  </pic:spPr>
                </pic:pic>
              </a:graphicData>
            </a:graphic>
          </wp:anchor>
        </w:drawing>
      </w:r>
    </w:p>
    <w:p>
      <w:pPr>
        <w:spacing w:after="0" w:line="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422">
        <w:r>
          <w:rPr>
            <w:rFonts w:ascii="Times New Roman" w:cs="Times New Roman" w:eastAsia="Times New Roman" w:hAnsi="Times New Roman"/>
            <w:sz w:val="18"/>
            <w:szCs w:val="18"/>
            <w:color w:val="auto"/>
          </w:rPr>
          <w:t>28, 2006.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4286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188" w:right="53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64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426">
              <w:r>
                <w:rPr>
                  <w:rFonts w:ascii="Times New Roman" w:cs="Times New Roman" w:eastAsia="Times New Roman" w:hAnsi="Times New Roman"/>
                  <w:sz w:val="18"/>
                  <w:szCs w:val="18"/>
                  <w:color w:val="auto"/>
                </w:rPr>
                <w:t>Amendment to Anemia License and</w:t>
              </w:r>
            </w:hyperlink>
          </w:p>
        </w:tc>
        <w:tc>
          <w:tcPr>
            <w:tcW w:w="700" w:type="dxa"/>
            <w:vAlign w:val="bottom"/>
            <w:gridSpan w:val="16"/>
          </w:tcPr>
          <w:p>
            <w:pPr>
              <w:spacing w:after="0"/>
              <w:rPr>
                <w:sz w:val="17"/>
                <w:szCs w:val="17"/>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333-199069</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10.13</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426">
              <w:r>
                <w:rPr>
                  <w:rFonts w:ascii="Times New Roman" w:cs="Times New Roman" w:eastAsia="Times New Roman" w:hAnsi="Times New Roman"/>
                  <w:sz w:val="18"/>
                  <w:szCs w:val="18"/>
                  <w:color w:val="auto"/>
                </w:rPr>
                <w:t>Collaboration Agreement, by and between</w:t>
              </w:r>
            </w:hyperlink>
          </w:p>
        </w:tc>
        <w:tc>
          <w:tcPr>
            <w:tcW w:w="2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26">
              <w:r>
                <w:rPr>
                  <w:rFonts w:ascii="Times New Roman" w:cs="Times New Roman" w:eastAsia="Times New Roman" w:hAnsi="Times New Roman"/>
                  <w:sz w:val="18"/>
                  <w:szCs w:val="18"/>
                  <w:color w:val="auto"/>
                </w:rPr>
                <w:t>FibroGen, Inc. and Astellas Pharma Inc.,</w:t>
              </w:r>
            </w:hyperlink>
          </w:p>
        </w:tc>
        <w:tc>
          <w:tcPr>
            <w:tcW w:w="36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7"/>
          </w:tcPr>
          <w:p>
            <w:pPr>
              <w:spacing w:after="0" w:line="196" w:lineRule="exact"/>
              <w:rPr>
                <w:rFonts w:ascii="Times New Roman" w:cs="Times New Roman" w:eastAsia="Times New Roman" w:hAnsi="Times New Roman"/>
                <w:sz w:val="18"/>
                <w:szCs w:val="18"/>
                <w:color w:val="auto"/>
              </w:rPr>
            </w:pPr>
            <w:hyperlink r:id="rId426">
              <w:r>
                <w:rPr>
                  <w:rFonts w:ascii="Times New Roman" w:cs="Times New Roman" w:eastAsia="Times New Roman" w:hAnsi="Times New Roman"/>
                  <w:sz w:val="18"/>
                  <w:szCs w:val="18"/>
                  <w:color w:val="auto"/>
                </w:rPr>
                <w:t>effective as of August 31, 2006.</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1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427">
              <w:r>
                <w:rPr>
                  <w:rFonts w:ascii="Times New Roman" w:cs="Times New Roman" w:eastAsia="Times New Roman" w:hAnsi="Times New Roman"/>
                  <w:sz w:val="18"/>
                  <w:szCs w:val="18"/>
                  <w:color w:val="auto"/>
                </w:rPr>
                <w:t>Amendment No. 2 to Anemia License and</w:t>
              </w:r>
            </w:hyperlink>
          </w:p>
        </w:tc>
        <w:tc>
          <w:tcPr>
            <w:tcW w:w="240" w:type="dxa"/>
            <w:vAlign w:val="bottom"/>
            <w:gridSpan w:val="4"/>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333-199069</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10.14</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427">
              <w:r>
                <w:rPr>
                  <w:rFonts w:ascii="Times New Roman" w:cs="Times New Roman" w:eastAsia="Times New Roman" w:hAnsi="Times New Roman"/>
                  <w:sz w:val="18"/>
                  <w:szCs w:val="18"/>
                  <w:color w:val="auto"/>
                </w:rPr>
                <w:t>Collaboration Agreement, by and between</w:t>
              </w:r>
            </w:hyperlink>
          </w:p>
        </w:tc>
        <w:tc>
          <w:tcPr>
            <w:tcW w:w="2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27">
              <w:r>
                <w:rPr>
                  <w:rFonts w:ascii="Times New Roman" w:cs="Times New Roman" w:eastAsia="Times New Roman" w:hAnsi="Times New Roman"/>
                  <w:sz w:val="18"/>
                  <w:szCs w:val="18"/>
                  <w:color w:val="auto"/>
                </w:rPr>
                <w:t>FibroGen, Inc. and Astellas Pharma Inc.,</w:t>
              </w:r>
            </w:hyperlink>
          </w:p>
        </w:tc>
        <w:tc>
          <w:tcPr>
            <w:tcW w:w="36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427">
              <w:r>
                <w:rPr>
                  <w:rFonts w:ascii="Times New Roman" w:cs="Times New Roman" w:eastAsia="Times New Roman" w:hAnsi="Times New Roman"/>
                  <w:sz w:val="18"/>
                  <w:szCs w:val="18"/>
                  <w:color w:val="auto"/>
                  <w:w w:val="99"/>
                </w:rPr>
                <w:t>effective as of December 1, 2006.</w:t>
              </w:r>
            </w:hyperlink>
          </w:p>
        </w:tc>
        <w:tc>
          <w:tcPr>
            <w:tcW w:w="90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62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428">
              <w:r>
                <w:rPr>
                  <w:rFonts w:ascii="Times New Roman" w:cs="Times New Roman" w:eastAsia="Times New Roman" w:hAnsi="Times New Roman"/>
                  <w:sz w:val="18"/>
                  <w:szCs w:val="18"/>
                  <w:color w:val="auto"/>
                </w:rPr>
                <w:t>Supplement to Anemia License and</w:t>
              </w:r>
            </w:hyperlink>
          </w:p>
        </w:tc>
        <w:tc>
          <w:tcPr>
            <w:tcW w:w="720" w:type="dxa"/>
            <w:vAlign w:val="bottom"/>
            <w:gridSpan w:val="17"/>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333-199069</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10.15</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428">
              <w:r>
                <w:rPr>
                  <w:rFonts w:ascii="Times New Roman" w:cs="Times New Roman" w:eastAsia="Times New Roman" w:hAnsi="Times New Roman"/>
                  <w:sz w:val="18"/>
                  <w:szCs w:val="18"/>
                  <w:color w:val="auto"/>
                </w:rPr>
                <w:t>Collaboration Agreement, by and between</w:t>
              </w:r>
            </w:hyperlink>
          </w:p>
        </w:tc>
        <w:tc>
          <w:tcPr>
            <w:tcW w:w="2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28">
              <w:r>
                <w:rPr>
                  <w:rFonts w:ascii="Times New Roman" w:cs="Times New Roman" w:eastAsia="Times New Roman" w:hAnsi="Times New Roman"/>
                  <w:sz w:val="18"/>
                  <w:szCs w:val="18"/>
                  <w:color w:val="auto"/>
                </w:rPr>
                <w:t>FibroGen, Inc. and Astellas Pharma Inc.,</w:t>
              </w:r>
            </w:hyperlink>
          </w:p>
        </w:tc>
        <w:tc>
          <w:tcPr>
            <w:tcW w:w="36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7"/>
          </w:tcPr>
          <w:p>
            <w:pPr>
              <w:spacing w:after="0" w:line="196" w:lineRule="exact"/>
              <w:rPr>
                <w:rFonts w:ascii="Times New Roman" w:cs="Times New Roman" w:eastAsia="Times New Roman" w:hAnsi="Times New Roman"/>
                <w:sz w:val="18"/>
                <w:szCs w:val="18"/>
                <w:color w:val="auto"/>
              </w:rPr>
            </w:pPr>
            <w:hyperlink r:id="rId428">
              <w:r>
                <w:rPr>
                  <w:rFonts w:ascii="Times New Roman" w:cs="Times New Roman" w:eastAsia="Times New Roman" w:hAnsi="Times New Roman"/>
                  <w:sz w:val="18"/>
                  <w:szCs w:val="18"/>
                  <w:color w:val="auto"/>
                </w:rPr>
                <w:t>effective as of April 28, 2006.</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1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429">
              <w:r>
                <w:rPr>
                  <w:rFonts w:ascii="Times New Roman" w:cs="Times New Roman" w:eastAsia="Times New Roman" w:hAnsi="Times New Roman"/>
                  <w:sz w:val="18"/>
                  <w:szCs w:val="18"/>
                  <w:color w:val="auto"/>
                </w:rPr>
                <w:t>Amendment No. 3 to Anemia License and</w:t>
              </w:r>
            </w:hyperlink>
          </w:p>
        </w:tc>
        <w:tc>
          <w:tcPr>
            <w:tcW w:w="240" w:type="dxa"/>
            <w:vAlign w:val="bottom"/>
            <w:gridSpan w:val="4"/>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5"/>
              </w:rPr>
              <w:t>S-1</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333-199069</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10.16</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10/1/2014</w:t>
            </w: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429">
              <w:r>
                <w:rPr>
                  <w:rFonts w:ascii="Times New Roman" w:cs="Times New Roman" w:eastAsia="Times New Roman" w:hAnsi="Times New Roman"/>
                  <w:sz w:val="18"/>
                  <w:szCs w:val="18"/>
                  <w:color w:val="auto"/>
                </w:rPr>
                <w:t>Collaboration Agreement, by and between</w:t>
              </w:r>
            </w:hyperlink>
          </w:p>
        </w:tc>
        <w:tc>
          <w:tcPr>
            <w:tcW w:w="2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29">
              <w:r>
                <w:rPr>
                  <w:rFonts w:ascii="Times New Roman" w:cs="Times New Roman" w:eastAsia="Times New Roman" w:hAnsi="Times New Roman"/>
                  <w:sz w:val="18"/>
                  <w:szCs w:val="18"/>
                  <w:color w:val="auto"/>
                </w:rPr>
                <w:t>FibroGen, Inc. and Astellas Pharma Inc.,</w:t>
              </w:r>
            </w:hyperlink>
          </w:p>
        </w:tc>
        <w:tc>
          <w:tcPr>
            <w:tcW w:w="36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9"/>
              </w:rPr>
            </w:pPr>
            <w:hyperlink r:id="rId429">
              <w:r>
                <w:rPr>
                  <w:rFonts w:ascii="Times New Roman" w:cs="Times New Roman" w:eastAsia="Times New Roman" w:hAnsi="Times New Roman"/>
                  <w:sz w:val="18"/>
                  <w:szCs w:val="18"/>
                  <w:color w:val="auto"/>
                  <w:w w:val="99"/>
                </w:rPr>
                <w:t>dated as of May 10, 2012.</w:t>
              </w:r>
            </w:hyperlink>
          </w:p>
        </w:tc>
        <w:tc>
          <w:tcPr>
            <w:tcW w:w="1460" w:type="dxa"/>
            <w:vAlign w:val="bottom"/>
            <w:gridSpan w:val="2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78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30">
              <w:r>
                <w:rPr>
                  <w:rFonts w:ascii="Times New Roman" w:cs="Times New Roman" w:eastAsia="Times New Roman" w:hAnsi="Times New Roman"/>
                  <w:sz w:val="18"/>
                  <w:szCs w:val="18"/>
                  <w:color w:val="auto"/>
                </w:rPr>
                <w:t>Form of Indemnity Agreement by and</w:t>
              </w:r>
            </w:hyperlink>
          </w:p>
        </w:tc>
        <w:tc>
          <w:tcPr>
            <w:tcW w:w="560" w:type="dxa"/>
            <w:vAlign w:val="bottom"/>
            <w:gridSpan w:val="13"/>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S-1/A</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333-199069</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10.27</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196"/>
        </w:trPr>
        <w:tc>
          <w:tcPr>
            <w:tcW w:w="1300" w:type="dxa"/>
            <w:vAlign w:val="bottom"/>
          </w:tcPr>
          <w:p>
            <w:pPr>
              <w:spacing w:after="0"/>
              <w:rPr>
                <w:sz w:val="17"/>
                <w:szCs w:val="17"/>
                <w:color w:val="auto"/>
              </w:rPr>
            </w:pPr>
          </w:p>
        </w:tc>
        <w:tc>
          <w:tcPr>
            <w:tcW w:w="32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430">
              <w:r>
                <w:rPr>
                  <w:rFonts w:ascii="Times New Roman" w:cs="Times New Roman" w:eastAsia="Times New Roman" w:hAnsi="Times New Roman"/>
                  <w:sz w:val="18"/>
                  <w:szCs w:val="18"/>
                  <w:color w:val="auto"/>
                </w:rPr>
                <w:t>between FibroGen, Inc. and its directors and</w:t>
              </w:r>
            </w:hyperlink>
          </w:p>
        </w:tc>
        <w:tc>
          <w:tcPr>
            <w:tcW w:w="10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430">
              <w:r>
                <w:rPr>
                  <w:rFonts w:ascii="Times New Roman" w:cs="Times New Roman" w:eastAsia="Times New Roman" w:hAnsi="Times New Roman"/>
                  <w:sz w:val="18"/>
                  <w:szCs w:val="18"/>
                  <w:color w:val="auto"/>
                  <w:w w:val="97"/>
                </w:rPr>
                <w:t>officers.</w:t>
              </w:r>
            </w:hyperlink>
          </w:p>
        </w:tc>
        <w:tc>
          <w:tcPr>
            <w:tcW w:w="2740" w:type="dxa"/>
            <w:vAlign w:val="bottom"/>
            <w:gridSpan w:val="25"/>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86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431">
              <w:r>
                <w:rPr>
                  <w:rFonts w:ascii="Times New Roman" w:cs="Times New Roman" w:eastAsia="Times New Roman" w:hAnsi="Times New Roman"/>
                  <w:sz w:val="18"/>
                  <w:szCs w:val="18"/>
                  <w:color w:val="auto"/>
                </w:rPr>
                <w:t>Commercial Supply Agreement by and</w:t>
              </w:r>
            </w:hyperlink>
          </w:p>
        </w:tc>
        <w:tc>
          <w:tcPr>
            <w:tcW w:w="480" w:type="dxa"/>
            <w:vAlign w:val="bottom"/>
            <w:gridSpan w:val="12"/>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10-K</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10.28</w:t>
            </w:r>
          </w:p>
        </w:tc>
        <w:tc>
          <w:tcPr>
            <w:tcW w:w="13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431">
              <w:r>
                <w:rPr>
                  <w:rFonts w:ascii="Times New Roman" w:cs="Times New Roman" w:eastAsia="Times New Roman" w:hAnsi="Times New Roman"/>
                  <w:sz w:val="18"/>
                  <w:szCs w:val="18"/>
                  <w:color w:val="auto"/>
                </w:rPr>
                <w:t>between FibroGen, Inc. and Catalent Pharma</w:t>
              </w:r>
            </w:hyperlink>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7"/>
          </w:tcPr>
          <w:p>
            <w:pPr>
              <w:spacing w:after="0" w:line="196" w:lineRule="exact"/>
              <w:rPr>
                <w:rFonts w:ascii="Times New Roman" w:cs="Times New Roman" w:eastAsia="Times New Roman" w:hAnsi="Times New Roman"/>
                <w:sz w:val="18"/>
                <w:szCs w:val="18"/>
                <w:color w:val="auto"/>
              </w:rPr>
            </w:pPr>
            <w:hyperlink r:id="rId431">
              <w:r>
                <w:rPr>
                  <w:rFonts w:ascii="Times New Roman" w:cs="Times New Roman" w:eastAsia="Times New Roman" w:hAnsi="Times New Roman"/>
                  <w:sz w:val="18"/>
                  <w:szCs w:val="18"/>
                  <w:color w:val="auto"/>
                </w:rPr>
                <w:t>Solutions, LLC, effective as of January 1,</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auto"/>
              </w:rPr>
            </w:pPr>
            <w:hyperlink r:id="rId431">
              <w:r>
                <w:rPr>
                  <w:rFonts w:ascii="Times New Roman" w:cs="Times New Roman" w:eastAsia="Times New Roman" w:hAnsi="Times New Roman"/>
                  <w:sz w:val="18"/>
                  <w:szCs w:val="18"/>
                  <w:color w:val="auto"/>
                </w:rPr>
                <w:t>2020.</w:t>
              </w:r>
            </w:hyperlink>
          </w:p>
        </w:tc>
        <w:tc>
          <w:tcPr>
            <w:tcW w:w="4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0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32">
              <w:r>
                <w:rPr>
                  <w:rFonts w:ascii="Times New Roman" w:cs="Times New Roman" w:eastAsia="Times New Roman" w:hAnsi="Times New Roman"/>
                  <w:sz w:val="18"/>
                  <w:szCs w:val="18"/>
                  <w:color w:val="auto"/>
                </w:rPr>
                <w:t>Master Supply Agreement by and among</w:t>
              </w:r>
            </w:hyperlink>
          </w:p>
        </w:tc>
        <w:tc>
          <w:tcPr>
            <w:tcW w:w="340" w:type="dxa"/>
            <w:vAlign w:val="bottom"/>
            <w:gridSpan w:val="8"/>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99.1</w:t>
            </w: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3/24/2020</w:t>
            </w:r>
          </w:p>
        </w:tc>
      </w:tr>
      <w:tr>
        <w:trPr>
          <w:trHeight w:val="196"/>
        </w:trPr>
        <w:tc>
          <w:tcPr>
            <w:tcW w:w="1300" w:type="dxa"/>
            <w:vAlign w:val="bottom"/>
          </w:tcPr>
          <w:p>
            <w:pPr>
              <w:spacing w:after="0"/>
              <w:rPr>
                <w:sz w:val="17"/>
                <w:szCs w:val="17"/>
                <w:color w:val="auto"/>
              </w:rPr>
            </w:pPr>
          </w:p>
        </w:tc>
        <w:tc>
          <w:tcPr>
            <w:tcW w:w="2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32">
              <w:r>
                <w:rPr>
                  <w:rFonts w:ascii="Times New Roman" w:cs="Times New Roman" w:eastAsia="Times New Roman" w:hAnsi="Times New Roman"/>
                  <w:sz w:val="18"/>
                  <w:szCs w:val="18"/>
                  <w:color w:val="auto"/>
                </w:rPr>
                <w:t>FibroGen, Inc., Shanghai SynTheAll</w:t>
              </w:r>
            </w:hyperlink>
          </w:p>
        </w:tc>
        <w:tc>
          <w:tcPr>
            <w:tcW w:w="640" w:type="dxa"/>
            <w:vAlign w:val="bottom"/>
            <w:gridSpan w:val="15"/>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rPr>
            </w:pPr>
            <w:hyperlink r:id="rId432">
              <w:r>
                <w:rPr>
                  <w:rFonts w:ascii="Times New Roman" w:cs="Times New Roman" w:eastAsia="Times New Roman" w:hAnsi="Times New Roman"/>
                  <w:sz w:val="18"/>
                  <w:szCs w:val="18"/>
                  <w:color w:val="auto"/>
                </w:rPr>
                <w:t>Pharmaceutical Co., Ltd. and STA</w:t>
              </w:r>
            </w:hyperlink>
          </w:p>
        </w:tc>
        <w:tc>
          <w:tcPr>
            <w:tcW w:w="820" w:type="dxa"/>
            <w:vAlign w:val="bottom"/>
            <w:gridSpan w:val="18"/>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w w:val="99"/>
              </w:rPr>
            </w:pPr>
            <w:hyperlink r:id="rId432">
              <w:r>
                <w:rPr>
                  <w:rFonts w:ascii="Times New Roman" w:cs="Times New Roman" w:eastAsia="Times New Roman" w:hAnsi="Times New Roman"/>
                  <w:sz w:val="18"/>
                  <w:szCs w:val="18"/>
                  <w:color w:val="auto"/>
                  <w:w w:val="99"/>
                </w:rPr>
                <w:t>Pharmaceutical Hong Kong Limited, effective</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7"/>
          </w:tcPr>
          <w:p>
            <w:pPr>
              <w:spacing w:after="0" w:line="196" w:lineRule="exact"/>
              <w:rPr>
                <w:rFonts w:ascii="Times New Roman" w:cs="Times New Roman" w:eastAsia="Times New Roman" w:hAnsi="Times New Roman"/>
                <w:sz w:val="18"/>
                <w:szCs w:val="18"/>
                <w:color w:val="auto"/>
              </w:rPr>
            </w:pPr>
            <w:hyperlink r:id="rId432">
              <w:r>
                <w:rPr>
                  <w:rFonts w:ascii="Times New Roman" w:cs="Times New Roman" w:eastAsia="Times New Roman" w:hAnsi="Times New Roman"/>
                  <w:sz w:val="18"/>
                  <w:szCs w:val="18"/>
                  <w:color w:val="auto"/>
                </w:rPr>
                <w:t>March 2, 2020.</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62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433">
              <w:r>
                <w:rPr>
                  <w:rFonts w:ascii="Times New Roman" w:cs="Times New Roman" w:eastAsia="Times New Roman" w:hAnsi="Times New Roman"/>
                  <w:sz w:val="18"/>
                  <w:szCs w:val="18"/>
                  <w:color w:val="auto"/>
                </w:rPr>
                <w:t>Amendment No.1 to Master Supply</w:t>
              </w:r>
            </w:hyperlink>
          </w:p>
        </w:tc>
        <w:tc>
          <w:tcPr>
            <w:tcW w:w="720" w:type="dxa"/>
            <w:vAlign w:val="bottom"/>
            <w:gridSpan w:val="17"/>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10-Q</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8/6/2020</w:t>
            </w: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rPr>
            </w:pPr>
            <w:hyperlink r:id="rId433">
              <w:r>
                <w:rPr>
                  <w:rFonts w:ascii="Times New Roman" w:cs="Times New Roman" w:eastAsia="Times New Roman" w:hAnsi="Times New Roman"/>
                  <w:sz w:val="18"/>
                  <w:szCs w:val="18"/>
                  <w:color w:val="auto"/>
                </w:rPr>
                <w:t>Agreement by and among FibroGen, Inc.,</w:t>
              </w:r>
            </w:hyperlink>
          </w:p>
        </w:tc>
        <w:tc>
          <w:tcPr>
            <w:tcW w:w="28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433">
              <w:r>
                <w:rPr>
                  <w:rFonts w:ascii="Times New Roman" w:cs="Times New Roman" w:eastAsia="Times New Roman" w:hAnsi="Times New Roman"/>
                  <w:sz w:val="18"/>
                  <w:szCs w:val="18"/>
                  <w:color w:val="auto"/>
                </w:rPr>
                <w:t>Shanghai SynTheAll Pharmaceutical Co.,</w:t>
              </w:r>
            </w:hyperlink>
          </w:p>
        </w:tc>
        <w:tc>
          <w:tcPr>
            <w:tcW w:w="30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433">
              <w:r>
                <w:rPr>
                  <w:rFonts w:ascii="Times New Roman" w:cs="Times New Roman" w:eastAsia="Times New Roman" w:hAnsi="Times New Roman"/>
                  <w:sz w:val="18"/>
                  <w:szCs w:val="18"/>
                  <w:color w:val="auto"/>
                </w:rPr>
                <w:t>Ltd. and STA Pharmaceutical Hong Kong</w:t>
              </w:r>
            </w:hyperlink>
          </w:p>
        </w:tc>
        <w:tc>
          <w:tcPr>
            <w:tcW w:w="26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7"/>
          </w:tcPr>
          <w:p>
            <w:pPr>
              <w:spacing w:after="0" w:line="196" w:lineRule="exact"/>
              <w:rPr>
                <w:rFonts w:ascii="Times New Roman" w:cs="Times New Roman" w:eastAsia="Times New Roman" w:hAnsi="Times New Roman"/>
                <w:sz w:val="18"/>
                <w:szCs w:val="18"/>
                <w:color w:val="auto"/>
              </w:rPr>
            </w:pPr>
            <w:hyperlink r:id="rId433">
              <w:r>
                <w:rPr>
                  <w:rFonts w:ascii="Times New Roman" w:cs="Times New Roman" w:eastAsia="Times New Roman" w:hAnsi="Times New Roman"/>
                  <w:sz w:val="18"/>
                  <w:szCs w:val="18"/>
                  <w:color w:val="auto"/>
                </w:rPr>
                <w:t>Limited, effective May 11, 2020.</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94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Second Amended and Restated License,</w:t>
              </w:r>
            </w:hyperlink>
          </w:p>
        </w:tc>
        <w:tc>
          <w:tcPr>
            <w:tcW w:w="400" w:type="dxa"/>
            <w:vAlign w:val="bottom"/>
            <w:gridSpan w:val="11"/>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10-Q</w:t>
            </w: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8/6/2020</w:t>
            </w:r>
          </w:p>
        </w:tc>
      </w:tr>
      <w:tr>
        <w:trPr>
          <w:trHeight w:val="196"/>
        </w:trPr>
        <w:tc>
          <w:tcPr>
            <w:tcW w:w="1300" w:type="dxa"/>
            <w:vAlign w:val="bottom"/>
          </w:tcPr>
          <w:p>
            <w:pPr>
              <w:spacing w:after="0"/>
              <w:rPr>
                <w:sz w:val="17"/>
                <w:szCs w:val="17"/>
                <w:color w:val="auto"/>
              </w:rPr>
            </w:pPr>
          </w:p>
        </w:tc>
        <w:tc>
          <w:tcPr>
            <w:tcW w:w="27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Development and Commercialization</w:t>
              </w:r>
            </w:hyperlink>
          </w:p>
        </w:tc>
        <w:tc>
          <w:tcPr>
            <w:tcW w:w="600" w:type="dxa"/>
            <w:vAlign w:val="bottom"/>
            <w:gridSpan w:val="14"/>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Agreement by and among FibroGen China</w:t>
              </w:r>
            </w:hyperlink>
          </w:p>
        </w:tc>
        <w:tc>
          <w:tcPr>
            <w:tcW w:w="2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Anemia Holdings, Ltd., FibroGen China</w:t>
              </w:r>
            </w:hyperlink>
          </w:p>
        </w:tc>
        <w:tc>
          <w:tcPr>
            <w:tcW w:w="38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9"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Medical Technology Development Co.,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-7620</wp:posOffset>
            </wp:positionV>
            <wp:extent cx="20847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2084705" cy="8890"/>
                    </a:xfrm>
                    <a:prstGeom prst="rect">
                      <a:avLst/>
                    </a:prstGeom>
                    <a:noFill/>
                  </pic:spPr>
                </pic:pic>
              </a:graphicData>
            </a:graphic>
          </wp:anchor>
        </w:drawing>
      </w:r>
    </w:p>
    <w:p>
      <w:pPr>
        <w:spacing w:after="0" w:line="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FibroGen International (Hong Kong)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117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ind w:left="1300"/>
        <w:spacing w:after="0"/>
        <w:rPr>
          <w:rFonts w:ascii="Times New Roman" w:cs="Times New Roman" w:eastAsia="Times New Roman" w:hAnsi="Times New Roman"/>
          <w:sz w:val="18"/>
          <w:szCs w:val="18"/>
          <w:color w:val="auto"/>
        </w:rPr>
      </w:pPr>
      <w:hyperlink r:id="rId434">
        <w:r>
          <w:rPr>
            <w:rFonts w:ascii="Times New Roman" w:cs="Times New Roman" w:eastAsia="Times New Roman" w:hAnsi="Times New Roman"/>
            <w:sz w:val="18"/>
            <w:szCs w:val="18"/>
            <w:color w:val="auto"/>
          </w:rPr>
          <w:t>and AstraZeneca AB, effective July 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00533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972" w:right="5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660" w:type="dxa"/>
            <w:vAlign w:val="bottom"/>
            <w:tcBorders>
              <w:bottom w:val="single" w:sz="8" w:color="0000EE"/>
            </w:tcBorders>
            <w:gridSpan w:val="5"/>
          </w:tcPr>
          <w:p>
            <w:pPr>
              <w:spacing w:after="0"/>
              <w:rPr>
                <w:rFonts w:ascii="Times New Roman" w:cs="Times New Roman" w:eastAsia="Times New Roman" w:hAnsi="Times New Roman"/>
                <w:sz w:val="18"/>
                <w:szCs w:val="18"/>
                <w:color w:val="auto"/>
              </w:rPr>
            </w:pPr>
            <w:hyperlink r:id="rId439">
              <w:r>
                <w:rPr>
                  <w:rFonts w:ascii="Times New Roman" w:cs="Times New Roman" w:eastAsia="Times New Roman" w:hAnsi="Times New Roman"/>
                  <w:sz w:val="18"/>
                  <w:szCs w:val="18"/>
                  <w:color w:val="auto"/>
                </w:rPr>
                <w:t>Amendment No. 2 to Master Supply</w:t>
              </w:r>
            </w:hyperlink>
          </w:p>
        </w:tc>
        <w:tc>
          <w:tcPr>
            <w:tcW w:w="680" w:type="dxa"/>
            <w:vAlign w:val="bottom"/>
            <w:gridSpan w:val="20"/>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10.8</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11/5/2020</w:t>
            </w:r>
          </w:p>
        </w:tc>
      </w:tr>
      <w:tr>
        <w:trPr>
          <w:trHeight w:val="196"/>
        </w:trPr>
        <w:tc>
          <w:tcPr>
            <w:tcW w:w="1320" w:type="dxa"/>
            <w:vAlign w:val="bottom"/>
          </w:tcPr>
          <w:p>
            <w:pPr>
              <w:spacing w:after="0"/>
              <w:rPr>
                <w:sz w:val="17"/>
                <w:szCs w:val="17"/>
                <w:color w:val="auto"/>
              </w:rPr>
            </w:pPr>
          </w:p>
        </w:tc>
        <w:tc>
          <w:tcPr>
            <w:tcW w:w="3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39">
              <w:r>
                <w:rPr>
                  <w:rFonts w:ascii="Times New Roman" w:cs="Times New Roman" w:eastAsia="Times New Roman" w:hAnsi="Times New Roman"/>
                  <w:sz w:val="18"/>
                  <w:szCs w:val="18"/>
                  <w:color w:val="auto"/>
                </w:rPr>
                <w:t>Agreement by and among FibroGen, Inc.,</w:t>
              </w:r>
            </w:hyperlink>
          </w:p>
        </w:tc>
        <w:tc>
          <w:tcPr>
            <w:tcW w:w="280" w:type="dxa"/>
            <w:vAlign w:val="bottom"/>
            <w:gridSpan w:val="12"/>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39">
              <w:r>
                <w:rPr>
                  <w:rFonts w:ascii="Times New Roman" w:cs="Times New Roman" w:eastAsia="Times New Roman" w:hAnsi="Times New Roman"/>
                  <w:sz w:val="18"/>
                  <w:szCs w:val="18"/>
                  <w:color w:val="auto"/>
                </w:rPr>
                <w:t>Shanghai SynTheAll Pharmaceutical Co.,</w:t>
              </w:r>
            </w:hyperlink>
          </w:p>
        </w:tc>
        <w:tc>
          <w:tcPr>
            <w:tcW w:w="300" w:type="dxa"/>
            <w:vAlign w:val="bottom"/>
            <w:gridSpan w:val="13"/>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439">
              <w:r>
                <w:rPr>
                  <w:rFonts w:ascii="Times New Roman" w:cs="Times New Roman" w:eastAsia="Times New Roman" w:hAnsi="Times New Roman"/>
                  <w:sz w:val="18"/>
                  <w:szCs w:val="18"/>
                  <w:color w:val="auto"/>
                </w:rPr>
                <w:t>Ltd. and STA Pharmaceutical Hong Kong</w:t>
              </w:r>
            </w:hyperlink>
          </w:p>
        </w:tc>
        <w:tc>
          <w:tcPr>
            <w:tcW w:w="260" w:type="dxa"/>
            <w:vAlign w:val="bottom"/>
            <w:gridSpan w:val="11"/>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39">
              <w:r>
                <w:rPr>
                  <w:rFonts w:ascii="Times New Roman" w:cs="Times New Roman" w:eastAsia="Times New Roman" w:hAnsi="Times New Roman"/>
                  <w:sz w:val="18"/>
                  <w:szCs w:val="18"/>
                  <w:color w:val="auto"/>
                </w:rPr>
                <w:t>Limited, effective July 24, 2020.</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284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440">
              <w:r>
                <w:rPr>
                  <w:rFonts w:ascii="Times New Roman" w:cs="Times New Roman" w:eastAsia="Times New Roman" w:hAnsi="Times New Roman"/>
                  <w:sz w:val="18"/>
                  <w:szCs w:val="18"/>
                  <w:color w:val="auto"/>
                </w:rPr>
                <w:t>Astellas EU Supply Agreement by and</w:t>
              </w:r>
            </w:hyperlink>
          </w:p>
        </w:tc>
        <w:tc>
          <w:tcPr>
            <w:tcW w:w="500" w:type="dxa"/>
            <w:vAlign w:val="bottom"/>
            <w:gridSpan w:val="16"/>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5/10/2021</w:t>
            </w:r>
          </w:p>
        </w:tc>
      </w:tr>
      <w:tr>
        <w:trPr>
          <w:trHeight w:val="196"/>
        </w:trPr>
        <w:tc>
          <w:tcPr>
            <w:tcW w:w="132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440">
              <w:r>
                <w:rPr>
                  <w:rFonts w:ascii="Times New Roman" w:cs="Times New Roman" w:eastAsia="Times New Roman" w:hAnsi="Times New Roman"/>
                  <w:sz w:val="18"/>
                  <w:szCs w:val="18"/>
                  <w:color w:val="auto"/>
                </w:rPr>
                <w:t>between FibroGen, Inc. and Astellas Pharma</w:t>
              </w:r>
            </w:hyperlink>
          </w:p>
        </w:tc>
        <w:tc>
          <w:tcPr>
            <w:tcW w:w="6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w w:val="99"/>
              </w:rPr>
            </w:pPr>
            <w:hyperlink r:id="rId440">
              <w:r>
                <w:rPr>
                  <w:rFonts w:ascii="Times New Roman" w:cs="Times New Roman" w:eastAsia="Times New Roman" w:hAnsi="Times New Roman"/>
                  <w:sz w:val="18"/>
                  <w:szCs w:val="18"/>
                  <w:color w:val="auto"/>
                  <w:w w:val="99"/>
                </w:rPr>
                <w:t>Europe Ltd, effective as of January 1, 2021.</w:t>
              </w:r>
            </w:hyperlink>
          </w:p>
        </w:tc>
        <w:tc>
          <w:tcPr>
            <w:tcW w:w="180" w:type="dxa"/>
            <w:vAlign w:val="bottom"/>
            <w:gridSpan w:val="7"/>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660" w:type="dxa"/>
            <w:vAlign w:val="bottom"/>
            <w:tcBorders>
              <w:bottom w:val="single" w:sz="8" w:color="0000EE"/>
            </w:tcBorders>
            <w:gridSpan w:val="5"/>
          </w:tcPr>
          <w:p>
            <w:pPr>
              <w:spacing w:after="0"/>
              <w:rPr>
                <w:rFonts w:ascii="Times New Roman" w:cs="Times New Roman" w:eastAsia="Times New Roman" w:hAnsi="Times New Roman"/>
                <w:sz w:val="18"/>
                <w:szCs w:val="18"/>
                <w:color w:val="auto"/>
              </w:rPr>
            </w:pPr>
            <w:hyperlink r:id="rId441">
              <w:r>
                <w:rPr>
                  <w:rFonts w:ascii="Times New Roman" w:cs="Times New Roman" w:eastAsia="Times New Roman" w:hAnsi="Times New Roman"/>
                  <w:sz w:val="18"/>
                  <w:szCs w:val="18"/>
                  <w:color w:val="auto"/>
                </w:rPr>
                <w:t>Amendment No. 3 to Master Supply</w:t>
              </w:r>
            </w:hyperlink>
          </w:p>
        </w:tc>
        <w:tc>
          <w:tcPr>
            <w:tcW w:w="680" w:type="dxa"/>
            <w:vAlign w:val="bottom"/>
            <w:gridSpan w:val="20"/>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5/10/2021</w:t>
            </w:r>
          </w:p>
        </w:tc>
      </w:tr>
      <w:tr>
        <w:trPr>
          <w:trHeight w:val="196"/>
        </w:trPr>
        <w:tc>
          <w:tcPr>
            <w:tcW w:w="1320" w:type="dxa"/>
            <w:vAlign w:val="bottom"/>
          </w:tcPr>
          <w:p>
            <w:pPr>
              <w:spacing w:after="0"/>
              <w:rPr>
                <w:sz w:val="17"/>
                <w:szCs w:val="17"/>
                <w:color w:val="auto"/>
              </w:rPr>
            </w:pPr>
          </w:p>
        </w:tc>
        <w:tc>
          <w:tcPr>
            <w:tcW w:w="3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41">
              <w:r>
                <w:rPr>
                  <w:rFonts w:ascii="Times New Roman" w:cs="Times New Roman" w:eastAsia="Times New Roman" w:hAnsi="Times New Roman"/>
                  <w:sz w:val="18"/>
                  <w:szCs w:val="18"/>
                  <w:color w:val="auto"/>
                </w:rPr>
                <w:t>Agreement by and among FibroGen, Inc.,</w:t>
              </w:r>
            </w:hyperlink>
          </w:p>
        </w:tc>
        <w:tc>
          <w:tcPr>
            <w:tcW w:w="280" w:type="dxa"/>
            <w:vAlign w:val="bottom"/>
            <w:gridSpan w:val="12"/>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41">
              <w:r>
                <w:rPr>
                  <w:rFonts w:ascii="Times New Roman" w:cs="Times New Roman" w:eastAsia="Times New Roman" w:hAnsi="Times New Roman"/>
                  <w:sz w:val="18"/>
                  <w:szCs w:val="18"/>
                  <w:color w:val="auto"/>
                </w:rPr>
                <w:t>Shanghai SynTheAll Pharmaceutical Co.,</w:t>
              </w:r>
            </w:hyperlink>
          </w:p>
        </w:tc>
        <w:tc>
          <w:tcPr>
            <w:tcW w:w="300" w:type="dxa"/>
            <w:vAlign w:val="bottom"/>
            <w:gridSpan w:val="13"/>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41">
              <w:r>
                <w:rPr>
                  <w:rFonts w:ascii="Times New Roman" w:cs="Times New Roman" w:eastAsia="Times New Roman" w:hAnsi="Times New Roman"/>
                  <w:sz w:val="18"/>
                  <w:szCs w:val="18"/>
                  <w:color w:val="auto"/>
                </w:rPr>
                <w:t>Ltd., and STA Pharmaceutical Hong Kong</w:t>
              </w:r>
            </w:hyperlink>
          </w:p>
        </w:tc>
        <w:tc>
          <w:tcPr>
            <w:tcW w:w="22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41">
              <w:r>
                <w:rPr>
                  <w:rFonts w:ascii="Times New Roman" w:cs="Times New Roman" w:eastAsia="Times New Roman" w:hAnsi="Times New Roman"/>
                  <w:sz w:val="18"/>
                  <w:szCs w:val="18"/>
                  <w:color w:val="auto"/>
                </w:rPr>
                <w:t>Limited, dated as of January 12, 2021.</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28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442">
              <w:r>
                <w:rPr>
                  <w:rFonts w:ascii="Times New Roman" w:cs="Times New Roman" w:eastAsia="Times New Roman" w:hAnsi="Times New Roman"/>
                  <w:sz w:val="18"/>
                  <w:szCs w:val="18"/>
                  <w:color w:val="auto"/>
                </w:rPr>
                <w:t>Exclusive License and Option Agreement by</w:t>
              </w:r>
            </w:hyperlink>
          </w:p>
        </w:tc>
        <w:tc>
          <w:tcPr>
            <w:tcW w:w="60" w:type="dxa"/>
            <w:vAlign w:val="bottom"/>
            <w:gridSpan w:val="2"/>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8/9/2021</w:t>
            </w:r>
          </w:p>
        </w:tc>
      </w:tr>
      <w:tr>
        <w:trPr>
          <w:trHeight w:val="196"/>
        </w:trPr>
        <w:tc>
          <w:tcPr>
            <w:tcW w:w="1320" w:type="dxa"/>
            <w:vAlign w:val="bottom"/>
          </w:tcPr>
          <w:p>
            <w:pPr>
              <w:spacing w:after="0"/>
              <w:rPr>
                <w:sz w:val="17"/>
                <w:szCs w:val="17"/>
                <w:color w:val="auto"/>
              </w:rPr>
            </w:pPr>
          </w:p>
        </w:tc>
        <w:tc>
          <w:tcPr>
            <w:tcW w:w="30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442">
              <w:r>
                <w:rPr>
                  <w:rFonts w:ascii="Times New Roman" w:cs="Times New Roman" w:eastAsia="Times New Roman" w:hAnsi="Times New Roman"/>
                  <w:sz w:val="18"/>
                  <w:szCs w:val="18"/>
                  <w:color w:val="auto"/>
                </w:rPr>
                <w:t>and between FibroGen, Inc. and HiFiBiO</w:t>
              </w:r>
            </w:hyperlink>
          </w:p>
        </w:tc>
        <w:tc>
          <w:tcPr>
            <w:tcW w:w="320" w:type="dxa"/>
            <w:vAlign w:val="bottom"/>
            <w:gridSpan w:val="14"/>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rPr>
            </w:pPr>
            <w:hyperlink r:id="rId442">
              <w:r>
                <w:rPr>
                  <w:rFonts w:ascii="Times New Roman" w:cs="Times New Roman" w:eastAsia="Times New Roman" w:hAnsi="Times New Roman"/>
                  <w:sz w:val="18"/>
                  <w:szCs w:val="18"/>
                  <w:color w:val="auto"/>
                </w:rPr>
                <w:t>(HK) Limited (D.B.A. HiFiBiO</w:t>
              </w:r>
            </w:hyperlink>
          </w:p>
        </w:tc>
        <w:tc>
          <w:tcPr>
            <w:tcW w:w="1000" w:type="dxa"/>
            <w:vAlign w:val="bottom"/>
            <w:gridSpan w:val="21"/>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442">
              <w:r>
                <w:rPr>
                  <w:rFonts w:ascii="Times New Roman" w:cs="Times New Roman" w:eastAsia="Times New Roman" w:hAnsi="Times New Roman"/>
                  <w:sz w:val="18"/>
                  <w:szCs w:val="18"/>
                  <w:color w:val="auto"/>
                  <w:w w:val="99"/>
                </w:rPr>
                <w:t>Therapeutics), dated as of June 16, 2021.</w:t>
              </w:r>
            </w:hyperlink>
          </w:p>
        </w:tc>
        <w:tc>
          <w:tcPr>
            <w:tcW w:w="380" w:type="dxa"/>
            <w:vAlign w:val="bottom"/>
            <w:gridSpan w:val="15"/>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660" w:type="dxa"/>
            <w:vAlign w:val="bottom"/>
            <w:tcBorders>
              <w:bottom w:val="single" w:sz="8" w:color="0000EE"/>
            </w:tcBorders>
            <w:gridSpan w:val="5"/>
          </w:tcPr>
          <w:p>
            <w:pPr>
              <w:spacing w:after="0"/>
              <w:rPr>
                <w:rFonts w:ascii="Times New Roman" w:cs="Times New Roman" w:eastAsia="Times New Roman" w:hAnsi="Times New Roman"/>
                <w:sz w:val="18"/>
                <w:szCs w:val="18"/>
                <w:color w:val="auto"/>
              </w:rPr>
            </w:pPr>
            <w:hyperlink r:id="rId443">
              <w:r>
                <w:rPr>
                  <w:rFonts w:ascii="Times New Roman" w:cs="Times New Roman" w:eastAsia="Times New Roman" w:hAnsi="Times New Roman"/>
                  <w:sz w:val="18"/>
                  <w:szCs w:val="18"/>
                  <w:color w:val="auto"/>
                </w:rPr>
                <w:t>Amendment No. 4 to Master Supply</w:t>
              </w:r>
            </w:hyperlink>
          </w:p>
        </w:tc>
        <w:tc>
          <w:tcPr>
            <w:tcW w:w="680" w:type="dxa"/>
            <w:vAlign w:val="bottom"/>
            <w:gridSpan w:val="20"/>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10.36</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2/28/2022</w:t>
            </w:r>
          </w:p>
        </w:tc>
      </w:tr>
      <w:tr>
        <w:trPr>
          <w:trHeight w:val="196"/>
        </w:trPr>
        <w:tc>
          <w:tcPr>
            <w:tcW w:w="1320" w:type="dxa"/>
            <w:vAlign w:val="bottom"/>
          </w:tcPr>
          <w:p>
            <w:pPr>
              <w:spacing w:after="0"/>
              <w:rPr>
                <w:sz w:val="17"/>
                <w:szCs w:val="17"/>
                <w:color w:val="auto"/>
              </w:rPr>
            </w:pPr>
          </w:p>
        </w:tc>
        <w:tc>
          <w:tcPr>
            <w:tcW w:w="3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43">
              <w:r>
                <w:rPr>
                  <w:rFonts w:ascii="Times New Roman" w:cs="Times New Roman" w:eastAsia="Times New Roman" w:hAnsi="Times New Roman"/>
                  <w:sz w:val="18"/>
                  <w:szCs w:val="18"/>
                  <w:color w:val="auto"/>
                </w:rPr>
                <w:t>Agreement by and among FibroGen, Inc.,</w:t>
              </w:r>
            </w:hyperlink>
          </w:p>
        </w:tc>
        <w:tc>
          <w:tcPr>
            <w:tcW w:w="280" w:type="dxa"/>
            <w:vAlign w:val="bottom"/>
            <w:gridSpan w:val="12"/>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43">
              <w:r>
                <w:rPr>
                  <w:rFonts w:ascii="Times New Roman" w:cs="Times New Roman" w:eastAsia="Times New Roman" w:hAnsi="Times New Roman"/>
                  <w:sz w:val="18"/>
                  <w:szCs w:val="18"/>
                  <w:color w:val="auto"/>
                </w:rPr>
                <w:t>Shanghai SynTheAll Pharmaceutical Co.,</w:t>
              </w:r>
            </w:hyperlink>
          </w:p>
        </w:tc>
        <w:tc>
          <w:tcPr>
            <w:tcW w:w="300" w:type="dxa"/>
            <w:vAlign w:val="bottom"/>
            <w:gridSpan w:val="13"/>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43">
              <w:r>
                <w:rPr>
                  <w:rFonts w:ascii="Times New Roman" w:cs="Times New Roman" w:eastAsia="Times New Roman" w:hAnsi="Times New Roman"/>
                  <w:sz w:val="18"/>
                  <w:szCs w:val="18"/>
                  <w:color w:val="auto"/>
                </w:rPr>
                <w:t>Ltd., and STA Pharmaceutical Hong Kong</w:t>
              </w:r>
            </w:hyperlink>
          </w:p>
        </w:tc>
        <w:tc>
          <w:tcPr>
            <w:tcW w:w="22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43">
              <w:r>
                <w:rPr>
                  <w:rFonts w:ascii="Times New Roman" w:cs="Times New Roman" w:eastAsia="Times New Roman" w:hAnsi="Times New Roman"/>
                  <w:sz w:val="18"/>
                  <w:szCs w:val="18"/>
                  <w:color w:val="auto"/>
                </w:rPr>
                <w:t>Limited, dated as of October 29, 2021.</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24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444">
              <w:r>
                <w:rPr>
                  <w:rFonts w:ascii="Times New Roman" w:cs="Times New Roman" w:eastAsia="Times New Roman" w:hAnsi="Times New Roman"/>
                  <w:sz w:val="18"/>
                  <w:szCs w:val="18"/>
                  <w:color w:val="auto"/>
                </w:rPr>
                <w:t>Offer Letter, by and between FibroGen, Inc.</w:t>
              </w:r>
            </w:hyperlink>
          </w:p>
        </w:tc>
        <w:tc>
          <w:tcPr>
            <w:tcW w:w="100" w:type="dxa"/>
            <w:vAlign w:val="bottom"/>
            <w:gridSpan w:val="4"/>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10.32</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44">
              <w:r>
                <w:rPr>
                  <w:rFonts w:ascii="Times New Roman" w:cs="Times New Roman" w:eastAsia="Times New Roman" w:hAnsi="Times New Roman"/>
                  <w:sz w:val="18"/>
                  <w:szCs w:val="18"/>
                  <w:color w:val="auto"/>
                </w:rPr>
                <w:t>and Christine Chung, dated as of June 17,</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3"/>
              </w:rPr>
            </w:pPr>
            <w:hyperlink r:id="rId444">
              <w:r>
                <w:rPr>
                  <w:rFonts w:ascii="Times New Roman" w:cs="Times New Roman" w:eastAsia="Times New Roman" w:hAnsi="Times New Roman"/>
                  <w:sz w:val="18"/>
                  <w:szCs w:val="18"/>
                  <w:color w:val="auto"/>
                  <w:w w:val="93"/>
                </w:rPr>
                <w:t>2008.</w:t>
              </w:r>
            </w:hyperlink>
          </w:p>
        </w:tc>
        <w:tc>
          <w:tcPr>
            <w:tcW w:w="14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14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445">
              <w:r>
                <w:rPr>
                  <w:rFonts w:ascii="Times New Roman" w:cs="Times New Roman" w:eastAsia="Times New Roman" w:hAnsi="Times New Roman"/>
                  <w:sz w:val="18"/>
                  <w:szCs w:val="18"/>
                  <w:color w:val="auto"/>
                </w:rPr>
                <w:t>Amendment No.1 to the Exclusive License</w:t>
              </w:r>
            </w:hyperlink>
          </w:p>
        </w:tc>
        <w:tc>
          <w:tcPr>
            <w:tcW w:w="200" w:type="dxa"/>
            <w:vAlign w:val="bottom"/>
            <w:gridSpan w:val="8"/>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5/6/2024</w:t>
            </w:r>
          </w:p>
        </w:tc>
      </w:tr>
      <w:tr>
        <w:trPr>
          <w:trHeight w:val="196"/>
        </w:trPr>
        <w:tc>
          <w:tcPr>
            <w:tcW w:w="1320" w:type="dxa"/>
            <w:vAlign w:val="bottom"/>
          </w:tcPr>
          <w:p>
            <w:pPr>
              <w:spacing w:after="0"/>
              <w:rPr>
                <w:sz w:val="17"/>
                <w:szCs w:val="17"/>
                <w:color w:val="auto"/>
              </w:rPr>
            </w:pPr>
          </w:p>
        </w:tc>
        <w:tc>
          <w:tcPr>
            <w:tcW w:w="33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w w:val="99"/>
              </w:rPr>
            </w:pPr>
            <w:hyperlink r:id="rId445">
              <w:r>
                <w:rPr>
                  <w:rFonts w:ascii="Times New Roman" w:cs="Times New Roman" w:eastAsia="Times New Roman" w:hAnsi="Times New Roman"/>
                  <w:sz w:val="18"/>
                  <w:szCs w:val="18"/>
                  <w:color w:val="auto"/>
                  <w:w w:val="99"/>
                </w:rPr>
                <w:t>and Option Agreement, between HiFiBiO Inc.</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w w:val="99"/>
              </w:rPr>
            </w:pPr>
            <w:hyperlink r:id="rId445">
              <w:r>
                <w:rPr>
                  <w:rFonts w:ascii="Times New Roman" w:cs="Times New Roman" w:eastAsia="Times New Roman" w:hAnsi="Times New Roman"/>
                  <w:sz w:val="18"/>
                  <w:szCs w:val="18"/>
                  <w:color w:val="auto"/>
                  <w:w w:val="99"/>
                </w:rPr>
                <w:t>and FibroGen, Inc., dated February 14, 2024.</w:t>
              </w:r>
            </w:hyperlink>
          </w:p>
        </w:tc>
        <w:tc>
          <w:tcPr>
            <w:tcW w:w="8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34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446">
              <w:r>
                <w:rPr>
                  <w:rFonts w:ascii="Times New Roman" w:cs="Times New Roman" w:eastAsia="Times New Roman" w:hAnsi="Times New Roman"/>
                  <w:sz w:val="18"/>
                  <w:szCs w:val="18"/>
                  <w:color w:val="auto"/>
                </w:rPr>
                <w:t>Form of Executive Officer Change in Control</w:t>
              </w:r>
            </w:hyperlink>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10.35</w:t>
            </w:r>
          </w:p>
        </w:tc>
        <w:tc>
          <w:tcPr>
            <w:tcW w:w="1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46">
              <w:r>
                <w:rPr>
                  <w:rFonts w:ascii="Times New Roman" w:cs="Times New Roman" w:eastAsia="Times New Roman" w:hAnsi="Times New Roman"/>
                  <w:sz w:val="18"/>
                  <w:szCs w:val="18"/>
                  <w:color w:val="auto"/>
                </w:rPr>
                <w:t>and Severance Agreement.</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18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47">
              <w:r>
                <w:rPr>
                  <w:rFonts w:ascii="Times New Roman" w:cs="Times New Roman" w:eastAsia="Times New Roman" w:hAnsi="Times New Roman"/>
                  <w:sz w:val="18"/>
                  <w:szCs w:val="18"/>
                  <w:color w:val="auto"/>
                </w:rPr>
                <w:t>ATM Equity Offering Sales Agreement, by</w:t>
              </w:r>
            </w:hyperlink>
          </w:p>
        </w:tc>
        <w:tc>
          <w:tcPr>
            <w:tcW w:w="160" w:type="dxa"/>
            <w:vAlign w:val="bottom"/>
            <w:gridSpan w:val="6"/>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2/24/2025</w:t>
            </w:r>
          </w:p>
        </w:tc>
      </w:tr>
      <w:tr>
        <w:trPr>
          <w:trHeight w:val="196"/>
        </w:trPr>
        <w:tc>
          <w:tcPr>
            <w:tcW w:w="132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rPr>
            </w:pPr>
            <w:hyperlink r:id="rId447">
              <w:r>
                <w:rPr>
                  <w:rFonts w:ascii="Times New Roman" w:cs="Times New Roman" w:eastAsia="Times New Roman" w:hAnsi="Times New Roman"/>
                  <w:sz w:val="18"/>
                  <w:szCs w:val="18"/>
                  <w:color w:val="auto"/>
                </w:rPr>
                <w:t>and between FibroGen, Inc. and BofA</w:t>
              </w:r>
            </w:hyperlink>
          </w:p>
        </w:tc>
        <w:tc>
          <w:tcPr>
            <w:tcW w:w="540" w:type="dxa"/>
            <w:vAlign w:val="bottom"/>
            <w:gridSpan w:val="17"/>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47">
              <w:r>
                <w:rPr>
                  <w:rFonts w:ascii="Times New Roman" w:cs="Times New Roman" w:eastAsia="Times New Roman" w:hAnsi="Times New Roman"/>
                  <w:sz w:val="18"/>
                  <w:szCs w:val="18"/>
                  <w:color w:val="auto"/>
                </w:rPr>
                <w:t>Securities, Inc., dated as of February 24,</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3"/>
              </w:rPr>
            </w:pPr>
            <w:hyperlink r:id="rId447">
              <w:r>
                <w:rPr>
                  <w:rFonts w:ascii="Times New Roman" w:cs="Times New Roman" w:eastAsia="Times New Roman" w:hAnsi="Times New Roman"/>
                  <w:sz w:val="18"/>
                  <w:szCs w:val="18"/>
                  <w:color w:val="auto"/>
                  <w:w w:val="93"/>
                </w:rPr>
                <w:t>2025.</w:t>
              </w:r>
            </w:hyperlink>
          </w:p>
        </w:tc>
        <w:tc>
          <w:tcPr>
            <w:tcW w:w="14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1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448">
              <w:r>
                <w:rPr>
                  <w:rFonts w:ascii="Times New Roman" w:cs="Times New Roman" w:eastAsia="Times New Roman" w:hAnsi="Times New Roman"/>
                  <w:sz w:val="18"/>
                  <w:szCs w:val="18"/>
                  <w:color w:val="auto"/>
                </w:rPr>
                <w:t>Revenue Interest Financing Agreement by</w:t>
              </w:r>
            </w:hyperlink>
          </w:p>
        </w:tc>
        <w:tc>
          <w:tcPr>
            <w:tcW w:w="240" w:type="dxa"/>
            <w:vAlign w:val="bottom"/>
            <w:gridSpan w:val="10"/>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10.46</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2/27/2023</w:t>
            </w:r>
          </w:p>
        </w:tc>
      </w:tr>
      <w:tr>
        <w:trPr>
          <w:trHeight w:val="196"/>
        </w:trPr>
        <w:tc>
          <w:tcPr>
            <w:tcW w:w="1320" w:type="dxa"/>
            <w:vAlign w:val="bottom"/>
          </w:tcPr>
          <w:p>
            <w:pPr>
              <w:spacing w:after="0"/>
              <w:rPr>
                <w:sz w:val="17"/>
                <w:szCs w:val="17"/>
                <w:color w:val="auto"/>
              </w:rPr>
            </w:pPr>
          </w:p>
        </w:tc>
        <w:tc>
          <w:tcPr>
            <w:tcW w:w="3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448">
              <w:r>
                <w:rPr>
                  <w:rFonts w:ascii="Times New Roman" w:cs="Times New Roman" w:eastAsia="Times New Roman" w:hAnsi="Times New Roman"/>
                  <w:sz w:val="18"/>
                  <w:szCs w:val="18"/>
                  <w:color w:val="auto"/>
                </w:rPr>
                <w:t>and between FibroGen, Inc. and NQ Project</w:t>
              </w:r>
            </w:hyperlink>
          </w:p>
        </w:tc>
        <w:tc>
          <w:tcPr>
            <w:tcW w:w="12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5"/>
          </w:tcPr>
          <w:p>
            <w:pPr>
              <w:spacing w:after="0" w:line="196" w:lineRule="exact"/>
              <w:rPr>
                <w:rFonts w:ascii="Times New Roman" w:cs="Times New Roman" w:eastAsia="Times New Roman" w:hAnsi="Times New Roman"/>
                <w:sz w:val="18"/>
                <w:szCs w:val="18"/>
                <w:color w:val="auto"/>
              </w:rPr>
            </w:pPr>
            <w:hyperlink r:id="rId448">
              <w:r>
                <w:rPr>
                  <w:rFonts w:ascii="Times New Roman" w:cs="Times New Roman" w:eastAsia="Times New Roman" w:hAnsi="Times New Roman"/>
                  <w:sz w:val="18"/>
                  <w:szCs w:val="18"/>
                  <w:color w:val="auto"/>
                </w:rPr>
                <w:t>Phoebus, L.P., dated as of November 4, 2022.</w:t>
              </w:r>
            </w:hyperlink>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561"/>
        </w:trPr>
        <w:tc>
          <w:tcPr>
            <w:tcW w:w="13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143</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63"/>
        </w:trPr>
        <w:tc>
          <w:tcPr>
            <w:tcW w:w="1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30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451">
              <w:r>
                <w:rPr>
                  <w:rFonts w:ascii="Times New Roman" w:cs="Times New Roman" w:eastAsia="Times New Roman" w:hAnsi="Times New Roman"/>
                  <w:sz w:val="18"/>
                  <w:szCs w:val="18"/>
                  <w:color w:val="auto"/>
                </w:rPr>
                <w:t>Letter Agreement by and among Astellas</w:t>
              </w:r>
            </w:hyperlink>
          </w:p>
        </w:tc>
        <w:tc>
          <w:tcPr>
            <w:tcW w:w="3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10-K</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10.47</w:t>
            </w:r>
          </w:p>
        </w:tc>
        <w:tc>
          <w:tcPr>
            <w:tcW w:w="12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2/27/2023</w:t>
            </w: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451">
              <w:r>
                <w:rPr>
                  <w:rFonts w:ascii="Times New Roman" w:cs="Times New Roman" w:eastAsia="Times New Roman" w:hAnsi="Times New Roman"/>
                  <w:sz w:val="18"/>
                  <w:szCs w:val="18"/>
                  <w:color w:val="auto"/>
                </w:rPr>
                <w:t>Pharma Inc., Astellas Pharma Europe Ltd.,</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451">
              <w:r>
                <w:rPr>
                  <w:rFonts w:ascii="Times New Roman" w:cs="Times New Roman" w:eastAsia="Times New Roman" w:hAnsi="Times New Roman"/>
                  <w:sz w:val="18"/>
                  <w:szCs w:val="18"/>
                  <w:color w:val="auto"/>
                </w:rPr>
                <w:t>and FibroGen, Inc., effective as of November</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5"/>
              </w:rPr>
            </w:pPr>
            <w:hyperlink r:id="rId451">
              <w:r>
                <w:rPr>
                  <w:rFonts w:ascii="Times New Roman" w:cs="Times New Roman" w:eastAsia="Times New Roman" w:hAnsi="Times New Roman"/>
                  <w:sz w:val="18"/>
                  <w:szCs w:val="18"/>
                  <w:color w:val="auto"/>
                  <w:w w:val="95"/>
                </w:rPr>
                <w:t>4, 2022.</w:t>
              </w:r>
            </w:hyperlink>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30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452">
              <w:r>
                <w:rPr>
                  <w:rFonts w:ascii="Times New Roman" w:cs="Times New Roman" w:eastAsia="Times New Roman" w:hAnsi="Times New Roman"/>
                  <w:sz w:val="18"/>
                  <w:szCs w:val="18"/>
                  <w:color w:val="auto"/>
                </w:rPr>
                <w:t>Amendment No.1 to Commercial Supply</w:t>
              </w:r>
            </w:hyperlink>
          </w:p>
        </w:tc>
        <w:tc>
          <w:tcPr>
            <w:tcW w:w="3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5/8/2023</w:t>
            </w: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52">
              <w:r>
                <w:rPr>
                  <w:rFonts w:ascii="Times New Roman" w:cs="Times New Roman" w:eastAsia="Times New Roman" w:hAnsi="Times New Roman"/>
                  <w:sz w:val="18"/>
                  <w:szCs w:val="18"/>
                  <w:color w:val="auto"/>
                </w:rPr>
                <w:t>Agreement (Roxadustat) by and between</w:t>
              </w:r>
            </w:hyperlink>
          </w:p>
        </w:tc>
        <w:tc>
          <w:tcPr>
            <w:tcW w:w="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452">
              <w:r>
                <w:rPr>
                  <w:rFonts w:ascii="Times New Roman" w:cs="Times New Roman" w:eastAsia="Times New Roman" w:hAnsi="Times New Roman"/>
                  <w:sz w:val="18"/>
                  <w:szCs w:val="18"/>
                  <w:color w:val="auto"/>
                </w:rPr>
                <w:t>FibroGen, Inc. and its Affiliates and Catalent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52">
              <w:r>
                <w:rPr>
                  <w:rFonts w:ascii="Times New Roman" w:cs="Times New Roman" w:eastAsia="Times New Roman" w:hAnsi="Times New Roman"/>
                  <w:sz w:val="18"/>
                  <w:szCs w:val="18"/>
                  <w:color w:val="auto"/>
                </w:rPr>
                <w:t>Pharma Solutions, LLC, effective as of</w:t>
              </w:r>
            </w:hyperlink>
          </w:p>
        </w:tc>
        <w:tc>
          <w:tcPr>
            <w:tcW w:w="4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7"/>
          </w:tcPr>
          <w:p>
            <w:pPr>
              <w:spacing w:after="0" w:line="196" w:lineRule="exact"/>
              <w:rPr>
                <w:rFonts w:ascii="Times New Roman" w:cs="Times New Roman" w:eastAsia="Times New Roman" w:hAnsi="Times New Roman"/>
                <w:sz w:val="18"/>
                <w:szCs w:val="18"/>
                <w:color w:val="auto"/>
              </w:rPr>
            </w:pPr>
            <w:hyperlink r:id="rId452">
              <w:r>
                <w:rPr>
                  <w:rFonts w:ascii="Times New Roman" w:cs="Times New Roman" w:eastAsia="Times New Roman" w:hAnsi="Times New Roman"/>
                  <w:sz w:val="18"/>
                  <w:szCs w:val="18"/>
                  <w:color w:val="auto"/>
                </w:rPr>
                <w:t>January 1, 2023.</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32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453">
              <w:r>
                <w:rPr>
                  <w:rFonts w:ascii="Times New Roman" w:cs="Times New Roman" w:eastAsia="Times New Roman" w:hAnsi="Times New Roman"/>
                  <w:sz w:val="18"/>
                  <w:szCs w:val="18"/>
                  <w:color w:val="auto"/>
                </w:rPr>
                <w:t>Form of Executive Officer Change in Control</w:t>
              </w:r>
            </w:hyperlink>
          </w:p>
        </w:tc>
        <w:tc>
          <w:tcPr>
            <w:tcW w:w="20" w:type="dxa"/>
            <w:vAlign w:val="bottom"/>
            <w:tcBorders>
              <w:bottom w:val="single" w:sz="8" w:color="0000EE"/>
            </w:tcBorders>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5/8/2023</w:t>
            </w:r>
          </w:p>
        </w:tc>
      </w:tr>
      <w:tr>
        <w:trPr>
          <w:trHeight w:val="196"/>
        </w:trPr>
        <w:tc>
          <w:tcPr>
            <w:tcW w:w="1300" w:type="dxa"/>
            <w:vAlign w:val="bottom"/>
          </w:tcPr>
          <w:p>
            <w:pPr>
              <w:spacing w:after="0"/>
              <w:rPr>
                <w:sz w:val="17"/>
                <w:szCs w:val="17"/>
                <w:color w:val="auto"/>
              </w:rPr>
            </w:pPr>
          </w:p>
        </w:tc>
        <w:tc>
          <w:tcPr>
            <w:tcW w:w="1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453">
              <w:r>
                <w:rPr>
                  <w:rFonts w:ascii="Times New Roman" w:cs="Times New Roman" w:eastAsia="Times New Roman" w:hAnsi="Times New Roman"/>
                  <w:sz w:val="18"/>
                  <w:szCs w:val="18"/>
                  <w:color w:val="auto"/>
                  <w:w w:val="99"/>
                </w:rPr>
                <w:t>and Severance Agreement.</w:t>
              </w:r>
            </w:hyperlink>
          </w:p>
        </w:tc>
        <w:tc>
          <w:tcPr>
            <w:tcW w:w="13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310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454">
              <w:r>
                <w:rPr>
                  <w:rFonts w:ascii="Times New Roman" w:cs="Times New Roman" w:eastAsia="Times New Roman" w:hAnsi="Times New Roman"/>
                  <w:sz w:val="18"/>
                  <w:szCs w:val="18"/>
                  <w:color w:val="auto"/>
                </w:rPr>
                <w:t>Offer Letter, dated July 23, 2023, between</w:t>
              </w:r>
            </w:hyperlink>
          </w:p>
        </w:tc>
        <w:tc>
          <w:tcPr>
            <w:tcW w:w="2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8-K</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7/25/2023</w:t>
            </w:r>
          </w:p>
        </w:tc>
      </w:tr>
      <w:tr>
        <w:trPr>
          <w:trHeight w:val="196"/>
        </w:trPr>
        <w:tc>
          <w:tcPr>
            <w:tcW w:w="130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454">
              <w:r>
                <w:rPr>
                  <w:rFonts w:ascii="Times New Roman" w:cs="Times New Roman" w:eastAsia="Times New Roman" w:hAnsi="Times New Roman"/>
                  <w:sz w:val="18"/>
                  <w:szCs w:val="18"/>
                  <w:color w:val="auto"/>
                  <w:w w:val="99"/>
                </w:rPr>
                <w:t>FibroGen, Inc. and Thane Wettig.</w:t>
              </w:r>
            </w:hyperlink>
          </w:p>
        </w:tc>
        <w:tc>
          <w:tcPr>
            <w:tcW w:w="88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30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55">
              <w:r>
                <w:rPr>
                  <w:rFonts w:ascii="Times New Roman" w:cs="Times New Roman" w:eastAsia="Times New Roman" w:hAnsi="Times New Roman"/>
                  <w:sz w:val="18"/>
                  <w:szCs w:val="18"/>
                  <w:color w:val="auto"/>
                </w:rPr>
                <w:t>Amended and Restated Exclusive License</w:t>
              </w:r>
            </w:hyperlink>
          </w:p>
        </w:tc>
        <w:tc>
          <w:tcPr>
            <w:tcW w:w="2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8/7/2023</w:t>
            </w: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auto"/>
              </w:rPr>
            </w:pPr>
            <w:hyperlink r:id="rId455">
              <w:r>
                <w:rPr>
                  <w:rFonts w:ascii="Times New Roman" w:cs="Times New Roman" w:eastAsia="Times New Roman" w:hAnsi="Times New Roman"/>
                  <w:sz w:val="18"/>
                  <w:szCs w:val="18"/>
                  <w:color w:val="auto"/>
                </w:rPr>
                <w:t>Agreement by and among FibroGen, Inc.,</w:t>
              </w:r>
            </w:hyperlink>
          </w:p>
        </w:tc>
        <w:tc>
          <w:tcPr>
            <w:tcW w:w="2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rPr>
            </w:pPr>
            <w:hyperlink r:id="rId455">
              <w:r>
                <w:rPr>
                  <w:rFonts w:ascii="Times New Roman" w:cs="Times New Roman" w:eastAsia="Times New Roman" w:hAnsi="Times New Roman"/>
                  <w:sz w:val="18"/>
                  <w:szCs w:val="18"/>
                  <w:color w:val="auto"/>
                </w:rPr>
                <w:t>FibroGen (China) Medical Technology</w:t>
              </w:r>
            </w:hyperlink>
          </w:p>
        </w:tc>
        <w:tc>
          <w:tcPr>
            <w:tcW w:w="46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455">
              <w:r>
                <w:rPr>
                  <w:rFonts w:ascii="Times New Roman" w:cs="Times New Roman" w:eastAsia="Times New Roman" w:hAnsi="Times New Roman"/>
                  <w:sz w:val="18"/>
                  <w:szCs w:val="18"/>
                  <w:color w:val="auto"/>
                </w:rPr>
                <w:t>Development Co., Ltd., and Eluminex</w:t>
              </w:r>
            </w:hyperlink>
          </w:p>
        </w:tc>
        <w:tc>
          <w:tcPr>
            <w:tcW w:w="5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7"/>
          </w:tcPr>
          <w:p>
            <w:pPr>
              <w:spacing w:after="0" w:line="196" w:lineRule="exact"/>
              <w:rPr>
                <w:rFonts w:ascii="Times New Roman" w:cs="Times New Roman" w:eastAsia="Times New Roman" w:hAnsi="Times New Roman"/>
                <w:sz w:val="18"/>
                <w:szCs w:val="18"/>
                <w:color w:val="auto"/>
              </w:rPr>
            </w:pPr>
            <w:hyperlink r:id="rId455">
              <w:r>
                <w:rPr>
                  <w:rFonts w:ascii="Times New Roman" w:cs="Times New Roman" w:eastAsia="Times New Roman" w:hAnsi="Times New Roman"/>
                  <w:sz w:val="18"/>
                  <w:szCs w:val="18"/>
                  <w:color w:val="auto"/>
                </w:rPr>
                <w:t>Biosciences (Suzhou) Limited, dated April</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auto"/>
                <w:w w:val="97"/>
              </w:rPr>
            </w:pPr>
            <w:hyperlink r:id="rId455">
              <w:r>
                <w:rPr>
                  <w:rFonts w:ascii="Times New Roman" w:cs="Times New Roman" w:eastAsia="Times New Roman" w:hAnsi="Times New Roman"/>
                  <w:sz w:val="18"/>
                  <w:szCs w:val="18"/>
                  <w:color w:val="auto"/>
                  <w:w w:val="97"/>
                </w:rPr>
                <w:t>19, 2023.</w:t>
              </w:r>
            </w:hyperlink>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268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Financing Agreement by and among</w:t>
              </w:r>
            </w:hyperlink>
          </w:p>
        </w:tc>
        <w:tc>
          <w:tcPr>
            <w:tcW w:w="64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10.5</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8/7/2023</w:t>
            </w:r>
          </w:p>
        </w:tc>
      </w:tr>
      <w:tr>
        <w:trPr>
          <w:trHeight w:val="196"/>
        </w:trPr>
        <w:tc>
          <w:tcPr>
            <w:tcW w:w="1300" w:type="dxa"/>
            <w:vAlign w:val="bottom"/>
          </w:tcPr>
          <w:p>
            <w:pPr>
              <w:spacing w:after="0"/>
              <w:rPr>
                <w:sz w:val="17"/>
                <w:szCs w:val="17"/>
                <w:color w:val="auto"/>
              </w:rPr>
            </w:pPr>
          </w:p>
        </w:tc>
        <w:tc>
          <w:tcPr>
            <w:tcW w:w="30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FibroGen, Inc., certain of its subsidiaries,</w:t>
              </w:r>
            </w:hyperlink>
          </w:p>
        </w:tc>
        <w:tc>
          <w:tcPr>
            <w:tcW w:w="3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NHTV Fairview Holding LLC, NHTV II</w:t>
              </w:r>
            </w:hyperlink>
          </w:p>
        </w:tc>
        <w:tc>
          <w:tcPr>
            <w:tcW w:w="3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Fairview Holding LLC, MSTV Fund II</w:t>
              </w:r>
            </w:hyperlink>
          </w:p>
        </w:tc>
        <w:tc>
          <w:tcPr>
            <w:tcW w:w="4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Employees Fairview Holding LLC, and</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Wilmington Trust, National Association,</w:t>
              </w:r>
            </w:hyperlink>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7"/>
          </w:tcPr>
          <w:p>
            <w:pPr>
              <w:spacing w:after="0" w:line="196" w:lineRule="exact"/>
              <w:rPr>
                <w:rFonts w:ascii="Times New Roman" w:cs="Times New Roman" w:eastAsia="Times New Roman" w:hAnsi="Times New Roman"/>
                <w:sz w:val="18"/>
                <w:szCs w:val="18"/>
                <w:color w:val="auto"/>
              </w:rPr>
            </w:pPr>
            <w:hyperlink r:id="rId456">
              <w:r>
                <w:rPr>
                  <w:rFonts w:ascii="Times New Roman" w:cs="Times New Roman" w:eastAsia="Times New Roman" w:hAnsi="Times New Roman"/>
                  <w:sz w:val="18"/>
                  <w:szCs w:val="18"/>
                  <w:color w:val="auto"/>
                </w:rPr>
                <w:t>dated as of April 29, 2023.</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29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457">
              <w:r>
                <w:rPr>
                  <w:rFonts w:ascii="Times New Roman" w:cs="Times New Roman" w:eastAsia="Times New Roman" w:hAnsi="Times New Roman"/>
                  <w:sz w:val="18"/>
                  <w:szCs w:val="18"/>
                  <w:color w:val="auto"/>
                </w:rPr>
                <w:t>First Amended and Restated Evaluation</w:t>
              </w:r>
            </w:hyperlink>
          </w:p>
        </w:tc>
        <w:tc>
          <w:tcPr>
            <w:tcW w:w="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8/6/2024</w:t>
            </w: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457">
              <w:r>
                <w:rPr>
                  <w:rFonts w:ascii="Times New Roman" w:cs="Times New Roman" w:eastAsia="Times New Roman" w:hAnsi="Times New Roman"/>
                  <w:sz w:val="18"/>
                  <w:szCs w:val="18"/>
                  <w:color w:val="auto"/>
                </w:rPr>
                <w:t>Agreement by and between FibroGen, Inc.</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gridSpan w:val="27"/>
          </w:tcPr>
          <w:p>
            <w:pPr>
              <w:spacing w:after="0" w:line="196" w:lineRule="exact"/>
              <w:rPr>
                <w:rFonts w:ascii="Times New Roman" w:cs="Times New Roman" w:eastAsia="Times New Roman" w:hAnsi="Times New Roman"/>
                <w:sz w:val="18"/>
                <w:szCs w:val="18"/>
                <w:color w:val="auto"/>
              </w:rPr>
            </w:pPr>
            <w:hyperlink r:id="rId457">
              <w:r>
                <w:rPr>
                  <w:rFonts w:ascii="Times New Roman" w:cs="Times New Roman" w:eastAsia="Times New Roman" w:hAnsi="Times New Roman"/>
                  <w:sz w:val="18"/>
                  <w:szCs w:val="18"/>
                  <w:color w:val="auto"/>
                </w:rPr>
                <w:t>and Fortis Therapeutics, Inc., dated June 6,</w:t>
              </w:r>
            </w:hyperlink>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3"/>
              </w:rPr>
            </w:pPr>
            <w:hyperlink r:id="rId457">
              <w:r>
                <w:rPr>
                  <w:rFonts w:ascii="Times New Roman" w:cs="Times New Roman" w:eastAsia="Times New Roman" w:hAnsi="Times New Roman"/>
                  <w:sz w:val="18"/>
                  <w:szCs w:val="18"/>
                  <w:color w:val="auto"/>
                  <w:w w:val="93"/>
                </w:rPr>
                <w:t>2024.</w:t>
              </w:r>
            </w:hyperlink>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264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458">
              <w:r>
                <w:rPr>
                  <w:rFonts w:ascii="Times New Roman" w:cs="Times New Roman" w:eastAsia="Times New Roman" w:hAnsi="Times New Roman"/>
                  <w:sz w:val="18"/>
                  <w:szCs w:val="18"/>
                  <w:color w:val="auto"/>
                </w:rPr>
                <w:t>First Amended and Restated Option</w:t>
              </w:r>
            </w:hyperlink>
          </w:p>
        </w:tc>
        <w:tc>
          <w:tcPr>
            <w:tcW w:w="68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10-Q</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8/6/2024</w:t>
            </w: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w w:val="99"/>
              </w:rPr>
            </w:pPr>
            <w:hyperlink r:id="rId458">
              <w:r>
                <w:rPr>
                  <w:rFonts w:ascii="Times New Roman" w:cs="Times New Roman" w:eastAsia="Times New Roman" w:hAnsi="Times New Roman"/>
                  <w:sz w:val="18"/>
                  <w:szCs w:val="18"/>
                  <w:color w:val="auto"/>
                  <w:w w:val="99"/>
                </w:rPr>
                <w:t>Agreement and Plan of Merger by and among</w:t>
              </w:r>
            </w:hyperlink>
          </w:p>
        </w:tc>
        <w:tc>
          <w:tcPr>
            <w:tcW w:w="20" w:type="dxa"/>
            <w:vAlign w:val="bottom"/>
            <w:tcBorders>
              <w:bottom w:val="single" w:sz="8" w:color="0000EE"/>
            </w:tcBorders>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auto"/>
              </w:rPr>
            </w:pPr>
            <w:hyperlink r:id="rId458">
              <w:r>
                <w:rPr>
                  <w:rFonts w:ascii="Times New Roman" w:cs="Times New Roman" w:eastAsia="Times New Roman" w:hAnsi="Times New Roman"/>
                  <w:sz w:val="18"/>
                  <w:szCs w:val="18"/>
                  <w:color w:val="auto"/>
                </w:rPr>
                <w:t>FibroGen, Inc., Fortis Therapeutics, Inc., and</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458">
              <w:r>
                <w:rPr>
                  <w:rFonts w:ascii="Times New Roman" w:cs="Times New Roman" w:eastAsia="Times New Roman" w:hAnsi="Times New Roman"/>
                  <w:sz w:val="18"/>
                  <w:szCs w:val="18"/>
                  <w:color w:val="auto"/>
                </w:rPr>
                <w:t>Shareholder Representative Services LLC,</w:t>
              </w:r>
            </w:hyperlink>
          </w:p>
        </w:tc>
        <w:tc>
          <w:tcPr>
            <w:tcW w:w="2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8"/>
              </w:rPr>
            </w:pPr>
            <w:hyperlink r:id="rId458">
              <w:r>
                <w:rPr>
                  <w:rFonts w:ascii="Times New Roman" w:cs="Times New Roman" w:eastAsia="Times New Roman" w:hAnsi="Times New Roman"/>
                  <w:sz w:val="18"/>
                  <w:szCs w:val="18"/>
                  <w:color w:val="auto"/>
                  <w:w w:val="98"/>
                </w:rPr>
                <w:t>dated June 6, 2024.</w:t>
              </w:r>
            </w:hyperlink>
          </w:p>
        </w:tc>
        <w:tc>
          <w:tcPr>
            <w:tcW w:w="192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16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Amendment No. 1 to the Second Amended</w:t>
              </w:r>
            </w:hyperlink>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10-K</w:t>
            </w:r>
          </w:p>
        </w:tc>
        <w:tc>
          <w:tcPr>
            <w:tcW w:w="19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001-36740</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10.53</w:t>
            </w:r>
          </w:p>
        </w:tc>
        <w:tc>
          <w:tcPr>
            <w:tcW w:w="12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2/26/2024</w:t>
            </w:r>
          </w:p>
        </w:tc>
      </w:tr>
      <w:tr>
        <w:trPr>
          <w:trHeight w:val="196"/>
        </w:trPr>
        <w:tc>
          <w:tcPr>
            <w:tcW w:w="1300" w:type="dxa"/>
            <w:vAlign w:val="bottom"/>
          </w:tcPr>
          <w:p>
            <w:pPr>
              <w:spacing w:after="0"/>
              <w:rPr>
                <w:sz w:val="17"/>
                <w:szCs w:val="17"/>
                <w:color w:val="auto"/>
              </w:rPr>
            </w:pPr>
          </w:p>
        </w:tc>
        <w:tc>
          <w:tcPr>
            <w:tcW w:w="32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and Restated Exclusive License Agreement,</w:t>
              </w:r>
            </w:hyperlink>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by and between FibroGen (China) Medical</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Technology Development Co., Ltd. and</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9"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Eluminex Biosciences (Suzhou)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-7620</wp:posOffset>
            </wp:positionV>
            <wp:extent cx="1913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0">
                      <a:extLst>
                        <a:ext uri="{28A0092B-C50C-407E-A947-70E740481C1C}"/>
                      </a:extLst>
                    </a:blip>
                    <a:srcRect/>
                    <a:stretch>
                      <a:fillRect/>
                    </a:stretch>
                  </pic:blipFill>
                  <pic:spPr bwMode="auto">
                    <a:xfrm>
                      <a:off x="0" y="0"/>
                      <a:ext cx="1913255" cy="8255"/>
                    </a:xfrm>
                    <a:prstGeom prst="rect">
                      <a:avLst/>
                    </a:prstGeom>
                    <a:noFill/>
                  </pic:spPr>
                </pic:pic>
              </a:graphicData>
            </a:graphic>
          </wp:anchor>
        </w:drawing>
      </w:r>
    </w:p>
    <w:p>
      <w:pPr>
        <w:spacing w:after="0" w:line="7" w:lineRule="exact"/>
        <w:rPr>
          <w:sz w:val="20"/>
          <w:szCs w:val="20"/>
          <w:color w:val="auto"/>
        </w:rPr>
      </w:pPr>
    </w:p>
    <w:p>
      <w:pPr>
        <w:ind w:left="1300"/>
        <w:spacing w:after="0"/>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dated as of November 16,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4624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1">
                      <a:extLst>
                        <a:ext uri="{28A0092B-C50C-407E-A947-70E740481C1C}"/>
                      </a:extLst>
                    </a:blip>
                    <a:srcRect/>
                    <a:stretch>
                      <a:fillRect/>
                    </a:stretch>
                  </pic:blipFill>
                  <pic:spPr bwMode="auto">
                    <a:xfrm>
                      <a:off x="0" y="0"/>
                      <a:ext cx="1462405" cy="8890"/>
                    </a:xfrm>
                    <a:prstGeom prst="rect">
                      <a:avLst/>
                    </a:prstGeom>
                    <a:noFill/>
                  </pic:spPr>
                </pic:pic>
              </a:graphicData>
            </a:graphic>
          </wp:anchor>
        </w:drawing>
      </w:r>
    </w:p>
    <w:p>
      <w:pPr>
        <w:spacing w:after="0" w:line="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972" w:right="579" w:bottom="1440" w:gutter="0" w:footer="0" w:header="0"/>
        </w:sectPr>
      </w:pPr>
    </w:p>
    <w:bookmarkStart w:id="146" w:name="page147"/>
    <w:bookmarkEnd w:id="146"/>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306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Termination and Transition Agreement to</w:t>
              </w:r>
            </w:hyperlink>
          </w:p>
        </w:tc>
        <w:tc>
          <w:tcPr>
            <w:tcW w:w="600" w:type="dxa"/>
            <w:vAlign w:val="bottom"/>
            <w:gridSpan w:val="8"/>
          </w:tcPr>
          <w:p>
            <w:pPr>
              <w:spacing w:after="0"/>
              <w:rPr>
                <w:sz w:val="17"/>
                <w:szCs w:val="17"/>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5/6/2024</w:t>
            </w:r>
          </w:p>
        </w:tc>
      </w:tr>
      <w:tr>
        <w:trPr>
          <w:trHeight w:val="196"/>
        </w:trPr>
        <w:tc>
          <w:tcPr>
            <w:tcW w:w="130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Development and Commercialization</w:t>
              </w:r>
            </w:hyperlink>
          </w:p>
        </w:tc>
        <w:tc>
          <w:tcPr>
            <w:tcW w:w="920" w:type="dxa"/>
            <w:vAlign w:val="bottom"/>
            <w:gridSpan w:val="12"/>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Agreement (for the U.S. and Certain Other</w:t>
              </w:r>
            </w:hyperlink>
          </w:p>
        </w:tc>
        <w:tc>
          <w:tcPr>
            <w:tcW w:w="52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Territories), by and between AstraZeneca AB</w:t>
              </w:r>
            </w:hyperlink>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9"/>
              </w:rPr>
            </w:pPr>
            <w:hyperlink r:id="rId463">
              <w:r>
                <w:rPr>
                  <w:rFonts w:ascii="Times New Roman" w:cs="Times New Roman" w:eastAsia="Times New Roman" w:hAnsi="Times New Roman"/>
                  <w:sz w:val="18"/>
                  <w:szCs w:val="18"/>
                  <w:color w:val="auto"/>
                  <w:w w:val="99"/>
                </w:rPr>
                <w:t>and FibroGen, Inc., dated February 25, 2024.</w:t>
              </w:r>
            </w:hyperlink>
          </w:p>
        </w:tc>
        <w:tc>
          <w:tcPr>
            <w:tcW w:w="40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bottom w:val="single" w:sz="8" w:color="0000EE"/>
            </w:tcBorders>
            <w:gridSpan w:val="3"/>
          </w:tcPr>
          <w:p>
            <w:pPr>
              <w:spacing w:after="0"/>
              <w:rPr>
                <w:rFonts w:ascii="Times New Roman" w:cs="Times New Roman" w:eastAsia="Times New Roman" w:hAnsi="Times New Roman"/>
                <w:sz w:val="18"/>
                <w:szCs w:val="18"/>
                <w:color w:val="auto"/>
                <w:w w:val="99"/>
              </w:rPr>
            </w:pPr>
            <w:hyperlink r:id="rId464">
              <w:r>
                <w:rPr>
                  <w:rFonts w:ascii="Times New Roman" w:cs="Times New Roman" w:eastAsia="Times New Roman" w:hAnsi="Times New Roman"/>
                  <w:sz w:val="18"/>
                  <w:szCs w:val="18"/>
                  <w:color w:val="auto"/>
                  <w:w w:val="99"/>
                </w:rPr>
                <w:t>Subsidiaries of FibroGen, Inc.</w:t>
              </w:r>
            </w:hyperlink>
          </w:p>
        </w:tc>
        <w:tc>
          <w:tcPr>
            <w:tcW w:w="1480" w:type="dxa"/>
            <w:vAlign w:val="bottom"/>
            <w:gridSpan w:val="14"/>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21.1</w:t>
            </w: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8/9/2021</w:t>
            </w: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Consent of PricewaterhouseCoopers LLP.</w:t>
            </w:r>
          </w:p>
        </w:tc>
        <w:tc>
          <w:tcPr>
            <w:tcW w:w="620" w:type="dxa"/>
            <w:vAlign w:val="bottom"/>
            <w:gridSpan w:val="9"/>
          </w:tcPr>
          <w:p>
            <w:pPr>
              <w:spacing w:after="0"/>
              <w:rPr>
                <w:sz w:val="24"/>
                <w:szCs w:val="24"/>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Power of Attorney (included in signature</w:t>
            </w:r>
          </w:p>
        </w:tc>
        <w:tc>
          <w:tcPr>
            <w:tcW w:w="660" w:type="dxa"/>
            <w:vAlign w:val="bottom"/>
            <w:gridSpan w:val="11"/>
          </w:tcPr>
          <w:p>
            <w:pPr>
              <w:spacing w:after="0"/>
              <w:rPr>
                <w:sz w:val="24"/>
                <w:szCs w:val="24"/>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pages).</w:t>
            </w:r>
          </w:p>
        </w:tc>
        <w:tc>
          <w:tcPr>
            <w:tcW w:w="3140" w:type="dxa"/>
            <w:vAlign w:val="bottom"/>
            <w:gridSpan w:val="16"/>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as</w:t>
            </w:r>
          </w:p>
        </w:tc>
        <w:tc>
          <w:tcPr>
            <w:tcW w:w="500" w:type="dxa"/>
            <w:vAlign w:val="bottom"/>
            <w:gridSpan w:val="5"/>
          </w:tcPr>
          <w:p>
            <w:pPr>
              <w:spacing w:after="0"/>
              <w:rPr>
                <w:sz w:val="24"/>
                <w:szCs w:val="24"/>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required by Rule 13a-14(a) or Rule 15d-14(a).</w:t>
            </w: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1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Certification of Chief Financial Officer, as</w:t>
            </w:r>
          </w:p>
        </w:tc>
        <w:tc>
          <w:tcPr>
            <w:tcW w:w="200" w:type="dxa"/>
            <w:vAlign w:val="bottom"/>
            <w:tcBorders>
              <w:top w:val="single" w:sz="8" w:color="0000EE"/>
            </w:tcBorders>
            <w:gridSpan w:val="6"/>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auto"/>
              </w:rPr>
              <w:t>required by Rule 13a-14(a) or Rule 15d-14(a).</w:t>
            </w: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18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14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and Principal Financial Officer, as required</w:t>
            </w:r>
          </w:p>
        </w:tc>
        <w:tc>
          <w:tcPr>
            <w:tcW w:w="500" w:type="dxa"/>
            <w:vAlign w:val="bottom"/>
            <w:gridSpan w:val="5"/>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by Rule 13a-14(b) or Rule 15d-14(b) and</w:t>
            </w:r>
          </w:p>
        </w:tc>
        <w:tc>
          <w:tcPr>
            <w:tcW w:w="640" w:type="dxa"/>
            <w:vAlign w:val="bottom"/>
            <w:gridSpan w:val="10"/>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Section 1350 of Chapter 63 of Title 18 of the</w:t>
            </w:r>
          </w:p>
        </w:tc>
        <w:tc>
          <w:tcPr>
            <w:tcW w:w="38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United States Code (18 U.S.C. §1350)(1).</w:t>
            </w:r>
          </w:p>
        </w:tc>
        <w:tc>
          <w:tcPr>
            <w:tcW w:w="640" w:type="dxa"/>
            <w:vAlign w:val="bottom"/>
            <w:gridSpan w:val="10"/>
          </w:tcPr>
          <w:p>
            <w:pPr>
              <w:spacing w:after="0"/>
              <w:rPr>
                <w:sz w:val="17"/>
                <w:szCs w:val="17"/>
                <w:color w:val="auto"/>
              </w:rPr>
            </w:pPr>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620" w:type="dxa"/>
            <w:vAlign w:val="bottom"/>
            <w:tcBorders>
              <w:bottom w:val="single" w:sz="8" w:color="0000EE"/>
            </w:tcBorders>
            <w:gridSpan w:val="4"/>
          </w:tcPr>
          <w:p>
            <w:pPr>
              <w:spacing w:after="0"/>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Policy for Recoupment of Incentive</w:t>
              </w:r>
            </w:hyperlink>
          </w:p>
        </w:tc>
        <w:tc>
          <w:tcPr>
            <w:tcW w:w="1040" w:type="dxa"/>
            <w:vAlign w:val="bottom"/>
            <w:gridSpan w:val="13"/>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001-36740</w:t>
            </w:r>
          </w:p>
        </w:tc>
        <w:tc>
          <w:tcPr>
            <w:tcW w:w="1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97.1</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2/26/2024</w:t>
            </w:r>
          </w:p>
        </w:tc>
      </w:tr>
      <w:tr>
        <w:trPr>
          <w:trHeight w:val="196"/>
        </w:trPr>
        <w:tc>
          <w:tcPr>
            <w:tcW w:w="1300" w:type="dxa"/>
            <w:vAlign w:val="bottom"/>
          </w:tcPr>
          <w:p>
            <w:pPr>
              <w:spacing w:after="0"/>
              <w:rPr>
                <w:sz w:val="17"/>
                <w:szCs w:val="17"/>
                <w:color w:val="auto"/>
              </w:rPr>
            </w:pPr>
          </w:p>
        </w:tc>
        <w:tc>
          <w:tcPr>
            <w:tcW w:w="3660" w:type="dxa"/>
            <w:vAlign w:val="bottom"/>
            <w:gridSpan w:val="17"/>
          </w:tcPr>
          <w:p>
            <w:pPr>
              <w:spacing w:after="0" w:line="196" w:lineRule="exact"/>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Compensation.</w:t>
              </w:r>
            </w:hyperlink>
          </w:p>
        </w:tc>
        <w:tc>
          <w:tcPr>
            <w:tcW w:w="1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580" w:type="dxa"/>
            <w:vAlign w:val="bottom"/>
            <w:gridSpan w:val="1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300" w:type="dxa"/>
            <w:vAlign w:val="bottom"/>
          </w:tcPr>
          <w:p>
            <w:pPr>
              <w:spacing w:after="0"/>
              <w:rPr>
                <w:sz w:val="18"/>
                <w:szCs w:val="18"/>
                <w:color w:val="auto"/>
              </w:rPr>
            </w:pP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Data File because its XBRL tags are</w:t>
            </w:r>
          </w:p>
        </w:tc>
        <w:tc>
          <w:tcPr>
            <w:tcW w:w="1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Schema Linkbase</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30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1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w:t>
            </w:r>
          </w:p>
        </w:tc>
        <w:tc>
          <w:tcPr>
            <w:tcW w:w="12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130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912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firstLine="8"/>
        <w:spacing w:after="0" w:line="250" w:lineRule="auto"/>
        <w:tabs>
          <w:tab w:leader="none" w:pos="1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8" w:right="439" w:bottom="1440" w:gutter="0" w:footer="0" w:header="0"/>
        </w:sectPr>
      </w:pPr>
    </w:p>
    <w:bookmarkStart w:id="147" w:name="page148"/>
    <w:bookmarkEnd w:id="147"/>
    <w:p>
      <w:pPr>
        <w:jc w:val="both"/>
        <w:ind w:left="52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172" w:lineRule="exact"/>
        <w:rPr>
          <w:sz w:val="20"/>
          <w:szCs w:val="20"/>
          <w:color w:val="auto"/>
        </w:rPr>
      </w:pPr>
    </w:p>
    <w:p>
      <w:pPr>
        <w:ind w:right="420" w:firstLine="8"/>
        <w:spacing w:after="0" w:line="286" w:lineRule="auto"/>
        <w:tabs>
          <w:tab w:leader="none" w:pos="24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 Schedules</w:t>
      </w:r>
      <w:r>
        <w:rPr>
          <w:rFonts w:ascii="Times New Roman" w:cs="Times New Roman" w:eastAsia="Times New Roman" w:hAnsi="Times New Roman"/>
          <w:sz w:val="18"/>
          <w:szCs w:val="18"/>
          <w:color w:val="auto"/>
        </w:rPr>
        <w:t>—See (a) 2 above. All other financial statement schedules are omitted because they are not applicable because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requested information is included in the consolidated financial statements or notes thereto.</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 in the City of San Francisco, State of California.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FIBROGEN, INC.</w:t>
            </w:r>
          </w:p>
        </w:tc>
      </w:tr>
      <w:tr>
        <w:trPr>
          <w:trHeight w:val="43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27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Thane Wettig</w:t>
            </w:r>
          </w:p>
        </w:tc>
      </w:tr>
      <w:tr>
        <w:trPr>
          <w:trHeight w:val="191"/>
        </w:trPr>
        <w:tc>
          <w:tcPr>
            <w:tcW w:w="3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Thane Wettig</w:t>
            </w:r>
          </w:p>
        </w:tc>
      </w:tr>
      <w:tr>
        <w:trPr>
          <w:trHeight w:val="214"/>
        </w:trPr>
        <w:tc>
          <w:tcPr>
            <w:tcW w:w="3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27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DeLucia</w:t>
            </w:r>
          </w:p>
        </w:tc>
      </w:tr>
      <w:tr>
        <w:trPr>
          <w:trHeight w:val="191"/>
        </w:trPr>
        <w:tc>
          <w:tcPr>
            <w:tcW w:w="3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14"/>
        </w:trPr>
        <w:tc>
          <w:tcPr>
            <w:tcW w:w="3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6"/>
        </w:trPr>
        <w:tc>
          <w:tcPr>
            <w:tcW w:w="3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40"/>
        </w:trPr>
        <w:tc>
          <w:tcPr>
            <w:tcW w:w="3440" w:type="dxa"/>
            <w:vAlign w:val="bottom"/>
          </w:tcPr>
          <w:p>
            <w:pPr>
              <w:spacing w:after="0"/>
              <w:rPr>
                <w:sz w:val="24"/>
                <w:szCs w:val="24"/>
                <w:color w:val="auto"/>
              </w:rPr>
            </w:pPr>
          </w:p>
        </w:tc>
        <w:tc>
          <w:tcPr>
            <w:tcW w:w="2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147</w:t>
            </w:r>
          </w:p>
        </w:tc>
        <w:tc>
          <w:tcPr>
            <w:tcW w:w="50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9" w:name="page150"/>
    <w:bookmarkEnd w:id="14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Thane Wettig and David DeLucia, jointly and severally, his or her attorneys-in-fact, each with the power of substitution, for him or her in any and all capacities, to sign any amendments to this Annual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981" w:right="539" w:bottom="1440" w:gutter="0" w:footer="0" w:header="0"/>
        </w:sectPr>
      </w:pP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Thane Wettig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Thane Wettig</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DeLucia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David DeLucia</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James A. Schoeneck</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Aoife Brennan, M.B., B.Ch.</w:t>
      </w:r>
    </w:p>
    <w:p>
      <w:pPr>
        <w:spacing w:after="0" w:line="200" w:lineRule="exact"/>
        <w:rPr>
          <w:sz w:val="20"/>
          <w:szCs w:val="20"/>
          <w:color w:val="auto"/>
        </w:rPr>
      </w:pPr>
    </w:p>
    <w:p>
      <w:pPr>
        <w:spacing w:after="0" w:line="2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 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Jeffrey L. Edwards</w:t>
      </w:r>
    </w:p>
    <w:p>
      <w:pPr>
        <w:spacing w:after="0" w:line="200" w:lineRule="exact"/>
        <w:rPr>
          <w:sz w:val="20"/>
          <w:szCs w:val="20"/>
          <w:color w:val="auto"/>
        </w:rPr>
      </w:pPr>
    </w:p>
    <w:p>
      <w:pPr>
        <w:spacing w:after="0" w:line="2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Maykin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Maykin Ho, Ph.D.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Senior Vice President and Chief Financial Officer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and Accounting Officer)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326" w:lineRule="exact"/>
        <w:rPr>
          <w:sz w:val="20"/>
          <w:szCs w:val="20"/>
          <w:color w:val="auto"/>
        </w:rPr>
      </w:pPr>
    </w:p>
    <w:p>
      <w:pPr>
        <w:sectPr>
          <w:pgSz w:w="11900" w:h="16838" w:orient="portrait"/>
          <w:cols w:equalWidth="0" w:num="3">
            <w:col w:w="3920" w:space="720"/>
            <w:col w:w="4380" w:space="220"/>
            <w:col w:w="1800"/>
          </w:cols>
          <w:pgMar w:left="320" w:top="981" w:right="5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type w:val="continuous"/>
        </w:sectPr>
      </w:pPr>
    </w:p>
    <w:bookmarkStart w:id="150" w:name="page151"/>
    <w:bookmarkEnd w:id="150"/>
    <w:p>
      <w:pPr>
        <w:ind w:left="980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1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BONUS PLAN</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FibroGen, Inc. (“FibroGen” or the “Company”) Bonus Plan (the “Plan”) is a discretionary plan, designed to reward eligible participants for the achievement of corporate goals, as well as individual goals that are consistent with the company’s objectives and organizational priorities on an annual basis.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Plan will govern bonuses paid to eligible participants for work performed during the period from January 1 to December 31 of a calendar year (“Plan Year”), with assessments and bonuses to be paid in the following calendar year (“Review Year”).</w:t>
      </w:r>
    </w:p>
    <w:p>
      <w:pPr>
        <w:spacing w:after="0" w:line="158"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 of the Plan</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Plan is designed to:</w:t>
      </w:r>
    </w:p>
    <w:p>
      <w:pPr>
        <w:spacing w:after="0" w:line="252" w:lineRule="exact"/>
        <w:rPr>
          <w:sz w:val="20"/>
          <w:szCs w:val="20"/>
          <w:color w:val="auto"/>
        </w:rPr>
      </w:pPr>
    </w:p>
    <w:p>
      <w:pPr>
        <w:ind w:left="1140" w:hanging="383"/>
        <w:spacing w:after="0"/>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bonus program that helps achieve overall corporate goals and enhances shareholder value;</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individuals for achievement of corporate and individual goals;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teamwork among all disciplines within the Company;</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attractive bonus program to help attract and retain key employees.</w:t>
      </w:r>
    </w:p>
    <w:p>
      <w:pPr>
        <w:spacing w:after="0" w:line="20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or such other committee as the Board of Directors may determine (any such committee, the “Committee”) is responsible for reviewing and approving the Plan and any proposed modifications to the Plan.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CEO of FibroGen is responsible for administration of the Plan, provided that the Committee is responsible for reviewing and approving all compensation for the executive officers of FibroGen. All interpretations and determinations of the Committee under the Plan will be final and binding.</w:t>
      </w:r>
    </w:p>
    <w:p>
      <w:pPr>
        <w:spacing w:after="0" w:line="185"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Plan applies solely to employees of FibroGen whom the Company, in its sole discretion, determines meet the eligibility requirements set forth below (“Participant”).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eligible to receive a discretionary bonus award under this Plan, a Participant must satisfy each of the following eligibility conditions:</w:t>
      </w:r>
    </w:p>
    <w:p>
      <w:pPr>
        <w:spacing w:after="0" w:line="252" w:lineRule="exact"/>
        <w:rPr>
          <w:sz w:val="20"/>
          <w:szCs w:val="20"/>
          <w:color w:val="auto"/>
        </w:rPr>
      </w:pPr>
    </w:p>
    <w:p>
      <w:pPr>
        <w:ind w:left="1140" w:hanging="38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a regular status employee as such status is determined by FibroGen in its sole discretion;</w:t>
      </w:r>
    </w:p>
    <w:p>
      <w:pPr>
        <w:spacing w:after="0" w:line="27" w:lineRule="exact"/>
        <w:rPr>
          <w:rFonts w:ascii="Times New Roman" w:cs="Times New Roman" w:eastAsia="Times New Roman" w:hAnsi="Times New Roman"/>
          <w:sz w:val="18"/>
          <w:szCs w:val="18"/>
          <w:color w:val="auto"/>
        </w:rPr>
      </w:pPr>
    </w:p>
    <w:p>
      <w:pPr>
        <w:ind w:left="1140" w:hanging="383"/>
        <w:spacing w:after="0" w:line="212"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hired on or before September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Plan Year;</w:t>
      </w:r>
    </w:p>
    <w:p>
      <w:pPr>
        <w:ind w:left="1140" w:hanging="38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attain achievement of performance goals at the end of the Plan Year,</w:t>
      </w:r>
    </w:p>
    <w:p>
      <w:pPr>
        <w:spacing w:after="0" w:line="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been continuously employed during the Plan Year and on the actual date of bonus payment distribution;</w:t>
      </w:r>
    </w:p>
    <w:p>
      <w:pPr>
        <w:spacing w:after="0" w:line="9" w:lineRule="exact"/>
        <w:rPr>
          <w:rFonts w:ascii="Times New Roman" w:cs="Times New Roman" w:eastAsia="Times New Roman" w:hAnsi="Times New Roman"/>
          <w:sz w:val="18"/>
          <w:szCs w:val="18"/>
          <w:color w:val="auto"/>
        </w:rPr>
      </w:pPr>
    </w:p>
    <w:p>
      <w:pPr>
        <w:ind w:left="1140" w:right="220" w:hanging="383"/>
        <w:spacing w:after="0" w:line="265" w:lineRule="auto"/>
        <w:tabs>
          <w:tab w:leader="none" w:pos="11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Must not be providing services to FibroGen as, or classified as (whether or not such classification is upheld upon review by an applicable legal authority), a temporary employee or intern or as an independent contractor, consultant, or agent, under a written or oral contract;</w:t>
      </w:r>
    </w:p>
    <w:p>
      <w:pPr>
        <w:ind w:left="1140" w:right="140" w:hanging="383"/>
        <w:spacing w:after="0" w:line="253"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have at any time until the date that bonuses are paid under the Plan, (a) violated any provision of FibroGen’s Code of Conduct or any other written Company policy, or (ii) entered into an employment termination or separation agreement (not including agreements entered into in connection with the commencement or continuation of employment), or (iii) been subject to a performance improvement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Participant will have no right to receive and will not have been deemed to have earned any Bonus if the preceding conditions are not met.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1" w:name="page152"/>
    <w:bookmarkEnd w:id="151"/>
    <w:p>
      <w:pPr>
        <w:ind w:left="380" w:hanging="372"/>
        <w:spacing w:after="0"/>
        <w:tabs>
          <w:tab w:leader="none" w:pos="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and Individual Performance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CEO will present to the Committee a list of the overall corporate goals (Corporate Goals”) for the Plan year, which is subject to approval by the Committee February 28. All Participants in the Plan will then develop a list of key individual goals (“Individual Goals”) no later than March 31 which will be subject to approval by their manager no later than April 15 and will be used as the basis of the performance review and individual performance rating (“Individual Performance Rating”).</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bonus pool for the Plan will be based on achievement of the Plan Year Corporate Goals and, where applicable, the Individual Performance Rating.</w:t>
      </w:r>
    </w:p>
    <w:p>
      <w:pPr>
        <w:spacing w:after="0" w:line="185"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Awards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Bonus awards are based on achievement of the Plan Year Corporate Goals and, where applicable, the Individual Performance Rating. The Bonus will be calculated by using the actual base salary earned during the Plan Year for exempt employees, and using the actual earnings during the Plan Year for non-exempt employees as defined by law, and further include weighting factor, target bonus percentage, and goal multipliers as identified below.</w:t>
      </w:r>
    </w:p>
    <w:p>
      <w:pPr>
        <w:spacing w:after="0" w:line="199"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Weighting Factor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weight between the Plan Year Corporate Goals and, where applicable, the Individual Performance Rating components will vary based on levels within the organization as determined by and in the sole discretion of the Committee. The weighting factors will be reviewed annually and adjusted, as necessary or appropriate, by and in the sole discretion of the Committee.</w:t>
      </w:r>
    </w:p>
    <w:p>
      <w:pPr>
        <w:spacing w:after="0" w:line="199"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Target Bonus Percentages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Bonus payout amount will be determined by applying a “target bonus percentage” to the actual base salary earned during the Plan Year, as determined by and in the sole discretion of the Committee.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base salary earned during the Plan Year multiplied by the target bonus percentage will be used to establish the target Bonus for the Plan Year.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case of any promotion, such employee will have a weighted average target bonus percentage (with each target bonus percentage used for the amount of time such percentage would be applicable based on such employee’s title).</w:t>
      </w:r>
    </w:p>
    <w:p>
      <w:pPr>
        <w:spacing w:after="0" w:line="306" w:lineRule="exact"/>
        <w:rPr>
          <w:sz w:val="20"/>
          <w:szCs w:val="20"/>
          <w:color w:val="auto"/>
        </w:rPr>
      </w:pPr>
    </w:p>
    <w:p>
      <w:pPr>
        <w:ind w:right="9020" w:firstLine="8"/>
        <w:spacing w:after="0" w:line="534" w:lineRule="auto"/>
        <w:tabs>
          <w:tab w:leader="none" w:pos="37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GOAL MULTIPLIERS </w:t>
      </w:r>
      <w:r>
        <w:rPr>
          <w:rFonts w:ascii="Times New Roman" w:cs="Times New Roman" w:eastAsia="Times New Roman" w:hAnsi="Times New Roman"/>
          <w:sz w:val="18"/>
          <w:szCs w:val="18"/>
          <w:b w:val="1"/>
          <w:bCs w:val="1"/>
          <w:u w:val="single" w:color="auto"/>
          <w:color w:val="auto"/>
        </w:rPr>
        <w:t>Corporate Goal Multiplier</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sole discretion, the Committee will determine the “total corporate goal multiplier” based upon measurement of corporate performance versus the pre-established corporate goals. The Committee will evaluate each corporate goal and shall provide a goal multiplier for such goal based on the achievement of the goal with a range of 0% for goals for which the performance was unacceptable to 150% for goals for which the performance significantly exceeded the goal or was excellent in view of prevailing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Individual Goal Multiplier</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“individual goal multiplier” will be determined by taking into account the Participant’s achievement of their individual goals, utilizing the same metrics as used for the corporate goal evaluation.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Goals under the Plan will be set based on performance criteria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48" w:lineRule="exact"/>
        <w:rPr>
          <w:sz w:val="20"/>
          <w:szCs w:val="20"/>
          <w:color w:val="auto"/>
        </w:rPr>
      </w:pPr>
    </w:p>
    <w:p>
      <w:pPr>
        <w:ind w:left="380" w:hanging="372"/>
        <w:spacing w:after="0"/>
        <w:tabs>
          <w:tab w:leader="none" w:pos="3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Calculation of Bonus Amount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example below shows a sample Bonus amount calculation under the Plan. First, a target Bonus amount is calculated for each Plan participant by multiplying the Participant’s actual base salary earned during the Plan Year by the target bonus percentage. This dollar figure is then divided between the corporate component and the individual component based on the weighting factor for that position. This calculation establishes specific dollar target Bonus amounts for the performance period for each of the corporate and individual components.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end of the Plan Year, the corporate and individual goal multipliers will be established using the criteria described above. The corporate goal multiplier, which is based on overall corporate performance, is used to calculate the corporate component of the Bonus amount for all Plan participants. This is accomplished by multiplying the target corporate Bonus amount established for each individual by the total corporate goal multiplier. The individual goal multiplier, which is based on an individual’s performance rating, is used in the same way to calculate the actual individual component of the Bonus amount.</w:t>
      </w:r>
    </w:p>
    <w:p>
      <w:pPr>
        <w:spacing w:after="0" w:line="170"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Example: Actual Bonus Amount Calculation</w:t>
            </w:r>
          </w:p>
        </w:tc>
        <w:tc>
          <w:tcPr>
            <w:tcW w:w="3420" w:type="dxa"/>
            <w:vAlign w:val="bottom"/>
          </w:tcPr>
          <w:p>
            <w:pPr>
              <w:spacing w:after="0"/>
              <w:rPr>
                <w:sz w:val="17"/>
                <w:szCs w:val="17"/>
                <w:color w:val="auto"/>
              </w:rPr>
            </w:pPr>
          </w:p>
        </w:tc>
      </w:tr>
      <w:tr>
        <w:trPr>
          <w:trHeight w:val="385"/>
        </w:trPr>
        <w:tc>
          <w:tcPr>
            <w:tcW w:w="3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Salary Paid During Plan Year</w:t>
            </w:r>
          </w:p>
        </w:tc>
        <w:tc>
          <w:tcPr>
            <w:tcW w:w="310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364"/>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Target Bonus Percentage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65"/>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Target Bonus Amount</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729"/>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Target Bonus Components:</w:t>
            </w:r>
          </w:p>
        </w:tc>
        <w:tc>
          <w:tcPr>
            <w:tcW w:w="3420" w:type="dxa"/>
            <w:vAlign w:val="bottom"/>
          </w:tcPr>
          <w:p>
            <w:pPr>
              <w:spacing w:after="0"/>
              <w:rPr>
                <w:sz w:val="24"/>
                <w:szCs w:val="24"/>
                <w:color w:val="auto"/>
              </w:rPr>
            </w:pPr>
          </w:p>
        </w:tc>
      </w:tr>
      <w:tr>
        <w:trPr>
          <w:trHeight w:val="365"/>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Target Bonus Amount based on corporate performance (50%)</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365"/>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Target Bonus Amount based on individual performance (50%)</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729"/>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Corporate Goal Multiplier</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65"/>
        </w:trPr>
        <w:tc>
          <w:tcPr>
            <w:tcW w:w="6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Individual Goal Multiplier</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688"/>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Bonus Amount Calculation:</w:t>
            </w:r>
          </w:p>
        </w:tc>
        <w:tc>
          <w:tcPr>
            <w:tcW w:w="3420" w:type="dxa"/>
            <w:vAlign w:val="bottom"/>
          </w:tcPr>
          <w:p>
            <w:pPr>
              <w:spacing w:after="0"/>
              <w:rPr>
                <w:sz w:val="24"/>
                <w:szCs w:val="24"/>
                <w:color w:val="auto"/>
              </w:rPr>
            </w:pPr>
          </w:p>
        </w:tc>
      </w:tr>
      <w:tr>
        <w:trPr>
          <w:trHeight w:val="385"/>
        </w:trPr>
        <w:tc>
          <w:tcPr>
            <w:tcW w:w="2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 Bonus Amount</w:t>
            </w:r>
          </w:p>
        </w:tc>
        <w:tc>
          <w:tcPr>
            <w:tcW w:w="3780" w:type="dxa"/>
            <w:vAlign w:val="bottom"/>
            <w:gridSpan w:val="2"/>
          </w:tcPr>
          <w:p>
            <w:pPr>
              <w:spacing w:after="0"/>
              <w:rPr>
                <w:sz w:val="24"/>
                <w:szCs w:val="24"/>
                <w:color w:val="auto"/>
              </w:rPr>
            </w:pP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 ($5,000 x 80%)</w:t>
            </w:r>
          </w:p>
        </w:tc>
      </w:tr>
      <w:tr>
        <w:trPr>
          <w:trHeight w:val="365"/>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Individual Bonus Amount</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 ($5,000 x 105%)</w:t>
            </w:r>
          </w:p>
        </w:tc>
      </w:tr>
      <w:tr>
        <w:trPr>
          <w:trHeight w:val="364"/>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Cash Bonus Amount (prior to taxes)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3" w:name="page154"/>
    <w:bookmarkEnd w:id="153"/>
    <w:p>
      <w:pPr>
        <w:ind w:left="380" w:hanging="372"/>
        <w:spacing w:after="0"/>
        <w:tabs>
          <w:tab w:leader="none" w:pos="3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Bonus Payments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performance reviews for Plan participants will be completed by January 31 of the Review Year or as soon thereafter as practicable. Payments of actual Bonus amounts (less applicable taxes) will be made as soon as practical, but no later than March 15 of the Review Year. The calculation and payment of bonus awards under this Plan will occur as soon as administratively practicable following the completion of the applicable Plan Year and the Committee’s determination and approval of any applicable bonus awards, but no later than March 15 of the Review Year.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Bonus payments shall be paid in accordance with the Company’s usual payroll procedures in effect from time to time and shall be subject to state and federal income taxes, social security taxes, deductions authorized by Employee, and such other deductions as laws in force may require.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Bonus payments for Participants hired by FibroGen after January 1 of a Plan Year will be subject to proration in the sole discretion of FibroGen based on the number of full months (rounded to the nearest full month) that a Participant worked in the Plan Year, however, FibroGen reserves the right to, in its sole discretion, pro-rate bonuses based on days or on any other basis. For example, the pro-ration factor for a Participant who is eligible to participate in the Plan for the entire applicable Plan Year will be 1.00; for a Participant who is eligible to participate in the Plan for one-half of the Plan Year, the pro-ration factor will be .50. Participants in the following situations may have a pro-ration factor less than 1.00: (a) new hires and individuals who become eligible Participants during the applicable Plan Year; (b) individuals who transfer between an exempt and non-exempt position within FibroGen; (c) Participants who work less than the applicable full-time standard work week of forty (40) hours; and (d) Participants who take unpaid time off or a leave of absence beyond the maximum leave of absence period protected under federal or state law or local ordinance.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bonus payment provided for under the Plan is completely discretionary, and is not considered earned or accrued by a Participant until it is actually paid.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employment with FibroGen terminates, for any reason, prior to the date a bonus payment is made, an individual will not be eligible to receive any bonus payment</w:t>
      </w:r>
    </w:p>
    <w:p>
      <w:pPr>
        <w:spacing w:after="0" w:line="185"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Maximum Bonus Payout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a bonus is paid under this Plan, the maximum bonus payable to any individual shall be one hundred fifty percent (150%) of the individual’s target bonus. The CEO may recommend to the Committee (other than for the CEO), and the Committee may determine in its sole discretion to increase or decrease any individual’s bonus based on individual performance.</w:t>
      </w:r>
    </w:p>
    <w:p>
      <w:pPr>
        <w:spacing w:after="0" w:line="199" w:lineRule="exact"/>
        <w:rPr>
          <w:sz w:val="20"/>
          <w:szCs w:val="20"/>
          <w:color w:val="auto"/>
        </w:rPr>
      </w:pPr>
    </w:p>
    <w:p>
      <w:pPr>
        <w:ind w:left="380" w:hanging="372"/>
        <w:spacing w:after="0"/>
        <w:tabs>
          <w:tab w:leader="none" w:pos="3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Company’s Absolute Right to Alter or Abolish the Plan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reserves the right in its absolute discretion to terminate and/or abolish all or any portion of the Plan at any time or to alter the terms and conditions under which a Bonus will be paid. In the event of the Plan’s termination prior to the payment of a Bonus, such Bonus will not be payable under this Plan. Such discretion may be exercised any time before, during, and after the Plan year is completed. No participant shall have any right to receive any payment until actual delivery of such compensation.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generality of the foregoing, at FibroGen’s discretion, and subject to compliance in all events with, and if and only if permitted by applicable federal and state securities laws and the listing rules and requirements of any stock exchange or trading market on which the Company’s common stock is listed or traded, all or a portion of a Bonus payment may be made in vested shares of the Company’s common stock. Any such issuance of shares will be made pursuant to an award granted under the Company’s 2014 Equity Incentive Plan, or a successor plan thereto. No payment in stock or other equity under this Plan may be made if such issuance or payment would conflict with any such securities laws or listing rules or requirements.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in its sole discretion, may also determine whether to increase the payout under the Plan for extraordinary achievement or to reduce payout if economic and business conditions warrant such 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4" w:name="page155"/>
    <w:bookmarkEnd w:id="154"/>
    <w:p>
      <w:pPr>
        <w:ind w:left="380" w:hanging="372"/>
        <w:spacing w:after="0"/>
        <w:tabs>
          <w:tab w:leader="none" w:pos="3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 Subject to Clawback Policy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compensation received pursuant to this policy is subject to any clawback policy adopted by FibroGen.</w:t>
      </w:r>
    </w:p>
    <w:p>
      <w:pPr>
        <w:spacing w:after="0" w:line="248" w:lineRule="exact"/>
        <w:rPr>
          <w:sz w:val="20"/>
          <w:szCs w:val="20"/>
          <w:color w:val="auto"/>
        </w:rPr>
      </w:pPr>
    </w:p>
    <w:p>
      <w:pPr>
        <w:ind w:left="380" w:hanging="372"/>
        <w:spacing w:after="0"/>
        <w:tabs>
          <w:tab w:leader="none" w:pos="3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Guidelines, Terms and Conditions of the Plan</w:t>
      </w:r>
    </w:p>
    <w:p>
      <w:pPr>
        <w:spacing w:after="0" w:line="229" w:lineRule="exact"/>
        <w:rPr>
          <w:rFonts w:ascii="Times New Roman" w:cs="Times New Roman" w:eastAsia="Times New Roman" w:hAnsi="Times New Roman"/>
          <w:sz w:val="18"/>
          <w:szCs w:val="18"/>
          <w:b w:val="1"/>
          <w:bCs w:val="1"/>
          <w:color w:val="auto"/>
        </w:rPr>
      </w:pPr>
    </w:p>
    <w:p>
      <w:pPr>
        <w:jc w:val="both"/>
        <w:ind w:left="1140" w:hanging="383"/>
        <w:spacing w:after="0" w:line="254"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this Plan during any Plan Year: (a) does not create any right or entitlement to participate in this Plan in the future or other bonus plans that may be established or maintained by FibroGen, (b) does not constitute a guarantee or establish an obligation for the Company to maintain a similar plan, award similar bonus benefits, or calculate bonuses according to the same or similar formulas in the future, and (c) does not guarantee that any bonus will actually be paid for that Plan Year and in some cases a Participant may not receive a bonus under the Plan.</w:t>
      </w:r>
    </w:p>
    <w:p>
      <w:pPr>
        <w:spacing w:after="0" w:line="3"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payment awarded under this Plan is a discretionary form of compensation that is outside a Participant’s normal, regular or expected compensation, and in no way represents any portion of a Participant’s salary, compensation, or other remuneration for the purpose of calculating any of the following payments: termination, severance, bonuses, long-service awards, overtime premiums, pension or retirement benefits, and any other similar payments and extra benefits.</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65" w:lineRule="auto"/>
        <w:tabs>
          <w:tab w:leader="none" w:pos="114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bonus payment made under this Plan shall be counted as compensation for purposes of any other employee benefit plan, Plan or agreement sponsored, maintained or contributed by the Company unless expressly provided for in such employee benefit plan or agreement.</w:t>
      </w:r>
    </w:p>
    <w:p>
      <w:pPr>
        <w:jc w:val="both"/>
        <w:ind w:left="114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who are not actively employed by FibroGen at the time that the payment would otherwise be made under this Plan shall not receive such payment unless and until the Participant returns to active service with FibroGen. This term does not apply to any person on a legally protected leave of absence at the time bonuses are paid.</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reserves the right to interpret this Plan on a fully discretionary basis and to take any action, or to decline to take any action, in relation to the administration or interpretation of the Plan including but not limited to determining eligibility for participation in the Plan, and to determine the amount, if any, to be paid under the Plan. The Committee or its designee shall be the ultimate sole and final arbiter of any disputes under the Plan, in its sole and absolute discretion.</w:t>
      </w:r>
    </w:p>
    <w:p>
      <w:pPr>
        <w:spacing w:after="0" w:line="1"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FibroGen’s authority as set forth herein shall be exercised by the Committee, except to the extent the Committee delegates all or some of that authority to FibroGen management.</w:t>
      </w:r>
    </w:p>
    <w:p>
      <w:pPr>
        <w:ind w:left="114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has adopted this Plan voluntarily and reserves the right to change, deviate from, suspend or discontinue this Plan, or any individual’s participation in this Plan, at any time, with or without cause and with or without prior written notice.</w:t>
      </w:r>
    </w:p>
    <w:p>
      <w:pPr>
        <w:ind w:left="1140" w:right="8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unfunded and no provision of the Plan shall require FibroGen, for purpose of satisfying any Plan obligations, to purchase assets or place any assets in a trust or other entity or otherwise to segregate any assets for such purposes. Nothing contained in this Plan nor any action taken pursuant to its provisions shall create or be construed to create a fiduciary relationship between FibroGen and any Participant or other person.</w:t>
      </w:r>
    </w:p>
    <w:p>
      <w:pPr>
        <w:spacing w:after="0" w:line="1" w:lineRule="exact"/>
        <w:rPr>
          <w:rFonts w:ascii="Times New Roman" w:cs="Times New Roman" w:eastAsia="Times New Roman" w:hAnsi="Times New Roman"/>
          <w:sz w:val="18"/>
          <w:szCs w:val="18"/>
          <w:color w:val="auto"/>
        </w:rPr>
      </w:pPr>
    </w:p>
    <w:p>
      <w:pPr>
        <w:ind w:left="1140" w:right="80" w:hanging="383"/>
        <w:spacing w:after="0" w:line="250" w:lineRule="auto"/>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Plan or FibroGen’s policies and practices in administering this Plan constitutes an express or implied contract or other agreement concerning the duration of any participant’s employment with the Company. The employment relationship of each participant is “at will” and may be terminated at any time by the Company or by the participant with or without cause, and with or without notice.</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is not intended to be subject to Section 409A of the Internal Revenue Code of 1986, as amended.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Performance Criteria that will be used to establish goals under the Plan may be based on any one of, or combination of, the following as determined by the Committee: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operating income after taxes; (12) pre-tax profit; (13) operating cash flow; (14) sales or revenue targets; (15) increases in revenue or product revenue; (16) expenses and cost reduction goals; (17) improvement in or attainment of working capital levels; (18) economic value added (or an equivalent metric); (19) market share; (20) cash flow; (21) cash flow per share; (22) share price performance; (23) debt reduction; (24) customer satisfaction; (25) stockholders’ equity; (26) capital expenditures; (27) 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 (36) corporate governance and compliance; (37) product commercialization; (38) intellectual property; (39) personnel matters; (40) progress of internal research or clinical programs; (41) progress of partnered programs; (42) partner satisfaction; (43) 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w:t>
      </w:r>
    </w:p>
    <w:p>
      <w:pPr>
        <w:spacing w:after="0" w:line="11" w:lineRule="exact"/>
        <w:rPr>
          <w:sz w:val="20"/>
          <w:szCs w:val="20"/>
          <w:color w:val="auto"/>
        </w:rPr>
      </w:pPr>
    </w:p>
    <w:p>
      <w:pPr>
        <w:jc w:val="both"/>
        <w:ind w:firstLine="8"/>
        <w:spacing w:after="0" w:line="252" w:lineRule="auto"/>
        <w:tabs>
          <w:tab w:leader="none" w:pos="38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(58) individual performance goals; (59) corporate development and planning goals; and (60) other measures of performance selected by the Committee (as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indow</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as of November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Because our stock is publicly traded, you must comply with the provisions of U.S. federal and state securities laws and our policies. During the course of your relationship with FibroGen, Inc. (“</w:t>
      </w:r>
      <w:r>
        <w:rPr>
          <w:rFonts w:ascii="Times New Roman" w:cs="Times New Roman" w:eastAsia="Times New Roman" w:hAnsi="Times New Roman"/>
          <w:sz w:val="18"/>
          <w:szCs w:val="18"/>
          <w:b w:val="1"/>
          <w:bCs w:val="1"/>
          <w:i w:val="1"/>
          <w:iCs w:val="1"/>
          <w:color w:val="auto"/>
        </w:rPr>
        <w:t>FibroGen</w:t>
      </w:r>
      <w:r>
        <w:rPr>
          <w:rFonts w:ascii="Times New Roman" w:cs="Times New Roman" w:eastAsia="Times New Roman" w:hAnsi="Times New Roman"/>
          <w:sz w:val="18"/>
          <w:szCs w:val="18"/>
          <w:color w:val="auto"/>
        </w:rPr>
        <w:t xml:space="preserve">”), you will learn information about us that is not publicly known. </w:t>
      </w:r>
      <w:r>
        <w:rPr>
          <w:rFonts w:ascii="Times New Roman" w:cs="Times New Roman" w:eastAsia="Times New Roman" w:hAnsi="Times New Roman"/>
          <w:sz w:val="18"/>
          <w:szCs w:val="18"/>
          <w:b w:val="1"/>
          <w:bCs w:val="1"/>
          <w:color w:val="auto"/>
        </w:rPr>
        <w:t>It is illegal for you to buy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sell our stock or the stock of companies working with FibroGen on the basis of material, non-public information. It is also illegal for you to pass such information on to others who use it to buy or sell our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policy applies to all directors, officers, employees, consultants, and contractors of FibroGen. This policy also applies to all family members and other household members of those covered by this policy and all companies controlled by those covered by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policy prohibits not only illegal activities but also other trading activities that may not be illegal. These additional restrictions are designed to protect both you and us from even the appearance of improper activity. Our policy is as follows:</w:t>
      </w:r>
    </w:p>
    <w:p>
      <w:pPr>
        <w:spacing w:after="0" w:line="158" w:lineRule="exact"/>
        <w:rPr>
          <w:sz w:val="20"/>
          <w:szCs w:val="20"/>
          <w:color w:val="auto"/>
        </w:rPr>
      </w:pPr>
    </w:p>
    <w:p>
      <w:pPr>
        <w:jc w:val="both"/>
        <w:ind w:left="760" w:hanging="752"/>
        <w:spacing w:after="0" w:line="254" w:lineRule="auto"/>
        <w:tabs>
          <w:tab w:leader="none" w:pos="7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may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trade our stock while you possess information about FibroGen that is both material and non-public. Material information is information that a reasonable person would consider important in deciding whether to buy or sell our stock. For example, material information may include (but is not limited to) financial results, merger or acquisition news, regulatory approval, clinical data, joint venture developments, litigation filings or results, governmental actions, or key personnel hires or departures. Non-public information is information that has not been announced publicly, such as by press release, conference call, public filing, or similar means of public dissemination. You must wait until after two full trading days have elapsed after the information is publicly announced before you can trade. For the purposes of this policy, one “full trading day” is the entire period of time, during a calendar day, in which the stock exchange (on which FibroGen’s capital stock is then listed) is open for trading. For example, if the information is publicly announced late on a Tuesday, you cannot trade until Friday. In addition, you are not allowed to buy or sell stock during any “blackout” period announced by FibroGen.</w:t>
      </w:r>
    </w:p>
    <w:p>
      <w:pPr>
        <w:spacing w:after="0" w:line="192" w:lineRule="exact"/>
        <w:rPr>
          <w:rFonts w:ascii="Times New Roman" w:cs="Times New Roman" w:eastAsia="Times New Roman" w:hAnsi="Times New Roman"/>
          <w:sz w:val="18"/>
          <w:szCs w:val="18"/>
          <w:b w:val="1"/>
          <w:bCs w:val="1"/>
          <w:color w:val="auto"/>
        </w:rPr>
      </w:pPr>
    </w:p>
    <w:p>
      <w:pPr>
        <w:jc w:val="both"/>
        <w:ind w:left="760" w:hanging="752"/>
        <w:spacing w:after="0" w:line="266" w:lineRule="auto"/>
        <w:tabs>
          <w:tab w:leader="none" w:pos="7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discuss material, non-public information about FibroGen with anyone outside FibroGen. This prohibition covers spouses, family members, friends, business associates, or persons with whom we are doing business (except to the extent that such persons are covered by a non-disclosure agreement and the discussion is necessary to accomplish a business purpose of FibroGen).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both"/>
        <w:ind w:left="760" w:hanging="752"/>
        <w:spacing w:after="0" w:line="254" w:lineRule="auto"/>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may buy or sell our stock only when the trading window period is open and when you do not possess material, non-public information about FibroGen. If you are a FibroGen director, officer, or employee with a title of Executive Director or higher, or are otherwise so informed by FibroGen, you must also receive approval prior to engaging in transactions in FibroGen’s stock, as described in paragraph 4 below. Trading window periods are those periods of time during which directors, officers, employees, contractors, and consultants can potentially trade our stock, so long as they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in possession of material, non-public information. At these times, the “window” is said to be “open.” Our “window period” opens after two full trading days have elapsed after the public dissemination of FibroGen’s annual or quarterly financial results and closes after the last trading day of the quarter. In addition, from time to time we may inform personnel that the window is “closed.” This type of announcement is generally made via email. You may not trade when the trading window is closed, even if you don’t possess any material, non-public information.</w:t>
      </w:r>
    </w:p>
    <w:p>
      <w:pPr>
        <w:spacing w:after="0" w:line="188" w:lineRule="exact"/>
        <w:rPr>
          <w:rFonts w:ascii="Times New Roman" w:cs="Times New Roman" w:eastAsia="Times New Roman" w:hAnsi="Times New Roman"/>
          <w:sz w:val="18"/>
          <w:szCs w:val="18"/>
          <w:b w:val="1"/>
          <w:bCs w:val="1"/>
          <w:color w:val="auto"/>
        </w:rPr>
      </w:pPr>
    </w:p>
    <w:p>
      <w:pPr>
        <w:jc w:val="both"/>
        <w:ind w:left="760" w:hanging="752"/>
        <w:spacing w:after="0" w:line="253" w:lineRule="auto"/>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requirements of paragraph 3 above, if you are a FibroGen director, officer, or employee with a title of Executive Director or higher, or are otherwise so informed by FibroGen, you may not engage in any transaction in FibroGen’s securities, including any purchase or sale in the open market or other transfer of beneficial ownership, but not including an exercise of options (which does not include a simultaneous sale of stock or cancellation of options), without first obtaining pre-clearance of the transaction from the head of Legal (a “Clearing Officer.”) Furthermore, no person subject to this policy may hold FibroGen securities in a margin account or engage in any transaction in FibroGen securities that would constitute a loan or pledge without first obtaining pre-clearance of the transaction from a Clearing Officer. In the event that a Clearing Officer is unable or unavailable to act in this capacity, the responsibility may be temporarily delegated to another senior person in legal or finance designated in writing by such Clearing Officer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You must submit your transaction(s) for pre-clearance at least two full trading days in advance of the proposed transaction. The Clearing Officer or his delegate will then determine whether the transaction may proceed and the time period for which such pre-clearance applies, and, if required, will coordinate FibroGen’s assistance in complying with the reporting requirements under Section 16(a) of the Exchange Act, if any, in compliance with any Section 16 policy that FibroGen has in place at that time. Pre-cleared transaction(s) not completed prior to pre-clearance expiration must be canceled and new pre-clearance shall be required to subsequently complete such transaction(s) under the provisions of this paragraph. FibroGen may, at its discretion, shorten such period of time.</w:t>
      </w:r>
    </w:p>
    <w:p>
      <w:pPr>
        <w:spacing w:after="0" w:line="187" w:lineRule="exact"/>
        <w:rPr>
          <w:rFonts w:ascii="Times New Roman" w:cs="Times New Roman" w:eastAsia="Times New Roman" w:hAnsi="Times New Roman"/>
          <w:sz w:val="18"/>
          <w:szCs w:val="18"/>
          <w:b w:val="1"/>
          <w:bCs w:val="1"/>
          <w:color w:val="auto"/>
        </w:rPr>
      </w:pPr>
    </w:p>
    <w:p>
      <w:pPr>
        <w:jc w:val="both"/>
        <w:ind w:left="760" w:hanging="752"/>
        <w:spacing w:after="0" w:line="261" w:lineRule="auto"/>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trade derivative securities of FibroGen at any time. 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spacing w:after="0" w:line="179" w:lineRule="exact"/>
        <w:rPr>
          <w:rFonts w:ascii="Times New Roman" w:cs="Times New Roman" w:eastAsia="Times New Roman" w:hAnsi="Times New Roman"/>
          <w:sz w:val="18"/>
          <w:szCs w:val="18"/>
          <w:b w:val="1"/>
          <w:bCs w:val="1"/>
          <w:color w:val="auto"/>
        </w:rPr>
      </w:pPr>
    </w:p>
    <w:p>
      <w:pPr>
        <w:jc w:val="both"/>
        <w:ind w:left="760" w:hanging="752"/>
        <w:spacing w:after="0" w:line="258" w:lineRule="auto"/>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Section 4 of this policy, you may not engage in hedging or short selling of our securities. Selling short includes transactions in which you borrow stock from a broker, sell it, and eventually buy it back on the market to return the borrowed shares to the broker. Profit is made through the expectation that the stock price will decrease during the period of borrowing. Purchasing our securities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83" w:lineRule="exact"/>
        <w:rPr>
          <w:rFonts w:ascii="Times New Roman" w:cs="Times New Roman" w:eastAsia="Times New Roman" w:hAnsi="Times New Roman"/>
          <w:sz w:val="18"/>
          <w:szCs w:val="18"/>
          <w:b w:val="1"/>
          <w:bCs w:val="1"/>
          <w:color w:val="auto"/>
        </w:rPr>
      </w:pPr>
    </w:p>
    <w:p>
      <w:pPr>
        <w:jc w:val="both"/>
        <w:ind w:left="760" w:hanging="752"/>
        <w:spacing w:after="0" w:line="266" w:lineRule="auto"/>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participate in “chat rooms” or other electronic discussion groups or contribute to blogs, bulletin boards, or social media forums on the Internet concerning the activities of FibroGen or other companies with which FibroGen does business, even if you do so anonymously, unless doing so is part of your job responsibilities and you have explicit authorization from the Legal department and Finance department.</w:t>
      </w:r>
    </w:p>
    <w:p>
      <w:pPr>
        <w:spacing w:after="0" w:line="175"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never recommend to another person that he or she buy, hold, or sell our stock.</w:t>
      </w:r>
    </w:p>
    <w:p>
      <w:pPr>
        <w:spacing w:after="0" w:line="225" w:lineRule="exact"/>
        <w:rPr>
          <w:rFonts w:ascii="Times New Roman" w:cs="Times New Roman" w:eastAsia="Times New Roman" w:hAnsi="Times New Roman"/>
          <w:sz w:val="18"/>
          <w:szCs w:val="18"/>
          <w:b w:val="1"/>
          <w:bCs w:val="1"/>
          <w:color w:val="auto"/>
        </w:rPr>
      </w:pPr>
    </w:p>
    <w:p>
      <w:pPr>
        <w:ind w:left="760" w:right="20" w:hanging="752"/>
        <w:spacing w:after="0" w:line="282" w:lineRule="auto"/>
        <w:tabs>
          <w:tab w:leader="none" w:pos="7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restrictions above also apply to transactions in the stock of other companies, to the extent you have learned material, non-public information about these companies as a result of your role with FibroGen.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8" w:name="page159"/>
    <w:bookmarkEnd w:id="158"/>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only exceptions to this policy are specifically noted below. Trading activities that may be necessary or justifiable for independent reasons (such as the need to raise money for an emergency expenditure) or that are small transactions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exempted from this policy. The insider trading laws do not recognize any mitigating circumstances and, in any event, even the appearance of an improper transaction must be avoided to preserve our reputation for adhering to the highest standards of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10</w:t>
      </w: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18"/>
          <w:szCs w:val="18"/>
          <w:b w:val="1"/>
          <w:bCs w:val="1"/>
          <w:color w:val="auto"/>
        </w:rPr>
        <w:t>5-1 P</w:t>
      </w:r>
      <w:r>
        <w:rPr>
          <w:rFonts w:ascii="Times New Roman" w:cs="Times New Roman" w:eastAsia="Times New Roman" w:hAnsi="Times New Roman"/>
          <w:sz w:val="12"/>
          <w:szCs w:val="12"/>
          <w:b w:val="1"/>
          <w:bCs w:val="1"/>
          <w:color w:val="auto"/>
        </w:rPr>
        <w:t>lans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Notwithstanding the prohibitions above, directors, officers, and employees may establish written programs pursuant to Rule 10b5-1(c) of the Securities Exchange Act of 1934, which permit (a) automatic trading of our stock according to set criteria or (b) trading of our stock by an independent person (such as an investment bank) who is not aware of material, non-public information. So long as the program is properly established, trading pursuant to a program may occur even at a time outside of our “window period” or when the plan participant is aware of material, non-public information. Each form of the program must be reviewed and approved by the Legal department and Finance department on behalf of FibroGen, solely to confirm compliance with the guidelines set forth herein. FibroGen will not review or pre-approve the trading specifics of any program, only the form of the program itself. These programs may only be established and subsequently amended at a time when the plan participant is not aware of material, non-public information.</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Once the program is prepared and becomes effective, it cannot be changed or deviated from except (a) with notice to our Legal department and Finance department, (b) in full compliance with the requirements of the program guidelines, and (c) at a time when the plan participant is permitted to trade in our stock under the guidelines set forth herein. Furthermore, at the discretion of FibroGen, the terms of such a program may be disclosed to the public through a press release, by placement on our website, or through other means to be determined by FibroGen.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onsequences of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iolations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Violations of either the insider trading laws or this policy are extremely serious matters. The U.S. Securities and Exchange Commission and the stock exchanges monitor stock trading and routinely investigate suspicious activity. The penalties for violating the insider trading laws are severe (including fines and imprisonment), and even having to respond to an investigation can result in significant legal expenses and unwanted negative publicity for both you and FibroGen.</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violation of this policy may result in severe personnel action, up to and including termination of your employment or other relationship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2"/>
          <w:szCs w:val="12"/>
          <w:b w:val="1"/>
          <w:bCs w:val="1"/>
          <w:color w:val="auto"/>
        </w:rPr>
        <w:t>uestions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you have any questions about any aspect of this policy, you are encouraged to contact our head of Legal. You may also refer to the “Frequently Asked Questions” attached to this policy.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9" w:name="page160"/>
    <w:bookmarkEnd w:id="15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indow</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225" w:lineRule="exact"/>
        <w:rPr>
          <w:sz w:val="20"/>
          <w:szCs w:val="20"/>
          <w:color w:val="auto"/>
        </w:rPr>
      </w:pPr>
    </w:p>
    <w:p>
      <w:pPr>
        <w:ind w:left="512" w:hanging="512"/>
        <w:spacing w:after="0"/>
        <w:tabs>
          <w:tab w:leader="none" w:pos="5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insider trading?</w:t>
      </w:r>
    </w:p>
    <w:p>
      <w:pPr>
        <w:spacing w:after="0" w:line="229" w:lineRule="exact"/>
        <w:rPr>
          <w:rFonts w:ascii="Times New Roman" w:cs="Times New Roman" w:eastAsia="Times New Roman" w:hAnsi="Times New Roman"/>
          <w:sz w:val="18"/>
          <w:szCs w:val="18"/>
          <w:b w:val="1"/>
          <w:bCs w:val="1"/>
          <w:color w:val="auto"/>
        </w:rPr>
      </w:pPr>
    </w:p>
    <w:p>
      <w:pPr>
        <w:jc w:val="both"/>
        <w:ind w:left="752" w:hanging="3"/>
        <w:spacing w:after="0" w:line="261" w:lineRule="auto"/>
        <w:tabs>
          <w:tab w:leader="none" w:pos="1014"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spacing w:after="0" w:line="175"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Why is insider trading illegal?</w:t>
      </w:r>
    </w:p>
    <w:p>
      <w:pPr>
        <w:spacing w:after="0" w:line="229" w:lineRule="exact"/>
        <w:rPr>
          <w:rFonts w:ascii="Times New Roman" w:cs="Times New Roman" w:eastAsia="Times New Roman" w:hAnsi="Times New Roman"/>
          <w:sz w:val="18"/>
          <w:szCs w:val="18"/>
          <w:b w:val="1"/>
          <w:bCs w:val="1"/>
          <w:color w:val="auto"/>
        </w:rPr>
      </w:pPr>
    </w:p>
    <w:p>
      <w:pPr>
        <w:jc w:val="both"/>
        <w:ind w:left="752" w:hanging="3"/>
        <w:spacing w:after="0" w:line="266" w:lineRule="auto"/>
        <w:tabs>
          <w:tab w:leader="none" w:pos="987"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spacing w:after="0" w:line="17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material, nonpublic information?</w:t>
      </w:r>
    </w:p>
    <w:p>
      <w:pPr>
        <w:spacing w:after="0" w:line="229" w:lineRule="exact"/>
        <w:rPr>
          <w:rFonts w:ascii="Times New Roman" w:cs="Times New Roman" w:eastAsia="Times New Roman" w:hAnsi="Times New Roman"/>
          <w:sz w:val="18"/>
          <w:szCs w:val="18"/>
          <w:b w:val="1"/>
          <w:bCs w:val="1"/>
          <w:color w:val="auto"/>
        </w:rPr>
      </w:pPr>
    </w:p>
    <w:p>
      <w:pPr>
        <w:ind w:left="992" w:hanging="243"/>
        <w:spacing w:after="0"/>
        <w:tabs>
          <w:tab w:leader="none" w:pos="992"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is material if it would influence a reasonable investor to buy or sell a stock, bond, or other security. This could mean many things</w:t>
      </w:r>
    </w:p>
    <w:p>
      <w:pPr>
        <w:spacing w:after="0" w:line="27" w:lineRule="exact"/>
        <w:rPr>
          <w:rFonts w:ascii="Times New Roman" w:cs="Times New Roman" w:eastAsia="Times New Roman" w:hAnsi="Times New Roman"/>
          <w:sz w:val="18"/>
          <w:szCs w:val="18"/>
          <w:b w:val="1"/>
          <w:bCs w:val="1"/>
          <w:color w:val="auto"/>
        </w:rPr>
      </w:pPr>
    </w:p>
    <w:p>
      <w:pPr>
        <w:ind w:left="7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financial results, potential mergers, major contracts, etc. Information is nonpublic if it has not yet been released and disseminated to the public.</w:t>
      </w:r>
    </w:p>
    <w:p>
      <w:pPr>
        <w:spacing w:after="0" w:line="202"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Who can be guilty of insider trading?</w:t>
      </w:r>
    </w:p>
    <w:p>
      <w:pPr>
        <w:spacing w:after="0" w:line="229" w:lineRule="exact"/>
        <w:rPr>
          <w:rFonts w:ascii="Times New Roman" w:cs="Times New Roman" w:eastAsia="Times New Roman" w:hAnsi="Times New Roman"/>
          <w:sz w:val="18"/>
          <w:szCs w:val="18"/>
          <w:b w:val="1"/>
          <w:bCs w:val="1"/>
          <w:color w:val="auto"/>
        </w:rPr>
      </w:pPr>
    </w:p>
    <w:p>
      <w:pPr>
        <w:jc w:val="both"/>
        <w:ind w:left="752" w:hanging="3"/>
        <w:spacing w:after="0" w:line="266" w:lineRule="auto"/>
        <w:tabs>
          <w:tab w:leader="none" w:pos="100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Anyone who buys or sells a security while in possession of material, nonpublic information. It does not matter if you are not an executive officer or director, or even if you do not work at FibroGen; if you know something material about the value of a security that not everyone else knows, regardless of who you are, you can be found guilty of insider trading.</w:t>
      </w:r>
    </w:p>
    <w:p>
      <w:pPr>
        <w:spacing w:after="0" w:line="17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Does FibroGen have an insider trading policy?</w:t>
      </w:r>
    </w:p>
    <w:p>
      <w:pPr>
        <w:spacing w:after="0" w:line="229" w:lineRule="exact"/>
        <w:rPr>
          <w:rFonts w:ascii="Times New Roman" w:cs="Times New Roman" w:eastAsia="Times New Roman" w:hAnsi="Times New Roman"/>
          <w:sz w:val="18"/>
          <w:szCs w:val="18"/>
          <w:b w:val="1"/>
          <w:bCs w:val="1"/>
          <w:color w:val="auto"/>
        </w:rPr>
      </w:pPr>
    </w:p>
    <w:p>
      <w:pPr>
        <w:ind w:left="992" w:hanging="243"/>
        <w:spacing w:after="0"/>
        <w:tabs>
          <w:tab w:leader="none" w:pos="992"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policy is attached to this FAQ.</w:t>
      </w:r>
    </w:p>
    <w:p>
      <w:pPr>
        <w:spacing w:after="0" w:line="22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work in a foreign office?</w:t>
      </w:r>
    </w:p>
    <w:p>
      <w:pPr>
        <w:spacing w:after="0" w:line="229" w:lineRule="exact"/>
        <w:rPr>
          <w:rFonts w:ascii="Times New Roman" w:cs="Times New Roman" w:eastAsia="Times New Roman" w:hAnsi="Times New Roman"/>
          <w:sz w:val="18"/>
          <w:szCs w:val="18"/>
          <w:b w:val="1"/>
          <w:bCs w:val="1"/>
          <w:color w:val="auto"/>
        </w:rPr>
      </w:pPr>
    </w:p>
    <w:p>
      <w:pPr>
        <w:jc w:val="both"/>
        <w:ind w:left="752" w:hanging="3"/>
        <w:spacing w:after="0" w:line="258" w:lineRule="auto"/>
        <w:tabs>
          <w:tab w:leader="none" w:pos="100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no difference. The Insider Trading and Trading Window Policy and the law apply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 FibroGen employee, our policies apply to you no matter where in the world you work.</w:t>
      </w:r>
    </w:p>
    <w:p>
      <w:pPr>
        <w:spacing w:after="0" w:line="3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60" w:name="page161"/>
    <w:bookmarkEnd w:id="160"/>
    <w:p>
      <w:pPr>
        <w:ind w:left="760" w:hanging="752"/>
        <w:spacing w:after="0"/>
        <w:tabs>
          <w:tab w:leader="none" w:pos="7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don’t buy or sell anything, but I tell someone else the information and they buy or sell?</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58" w:lineRule="auto"/>
        <w:tabs>
          <w:tab w:leader="none" w:pos="99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FibroGen with anyone outside FibroGen, including spouses, family members, friends, or business associates. This includes anonymous discussions on the Internet about FibroGen or companies with which FibroGen does business.</w:t>
      </w:r>
    </w:p>
    <w:p>
      <w:pPr>
        <w:spacing w:after="0" w:line="179"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don’t tell them the information itself, but I just tell them whether they should buy or sell?</w:t>
      </w:r>
    </w:p>
    <w:p>
      <w:pPr>
        <w:spacing w:after="0" w:line="229" w:lineRule="exact"/>
        <w:rPr>
          <w:rFonts w:ascii="Times New Roman" w:cs="Times New Roman" w:eastAsia="Times New Roman" w:hAnsi="Times New Roman"/>
          <w:sz w:val="18"/>
          <w:szCs w:val="18"/>
          <w:b w:val="1"/>
          <w:bCs w:val="1"/>
          <w:color w:val="auto"/>
        </w:rPr>
      </w:pPr>
    </w:p>
    <w:p>
      <w:pPr>
        <w:ind w:left="760" w:hanging="3"/>
        <w:spacing w:after="0" w:line="282" w:lineRule="auto"/>
        <w:tabs>
          <w:tab w:leader="none" w:pos="1008"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is still tipping, and you can still be found guilty of insider trading. According to our policies, you may never recommend to another person that they buy, hold, or sell our common stock or any derivative security related to our common stock.</w:t>
      </w:r>
    </w:p>
    <w:p>
      <w:pPr>
        <w:spacing w:after="0" w:line="15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are the penalties if I trade on inside information or tip off someone else?</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61" w:lineRule="auto"/>
        <w:tabs>
          <w:tab w:leader="none" w:pos="1008"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spacing w:after="0" w:line="17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“loss avoided?”</w:t>
      </w:r>
    </w:p>
    <w:p>
      <w:pPr>
        <w:spacing w:after="0" w:line="229" w:lineRule="exact"/>
        <w:rPr>
          <w:rFonts w:ascii="Times New Roman" w:cs="Times New Roman" w:eastAsia="Times New Roman" w:hAnsi="Times New Roman"/>
          <w:sz w:val="18"/>
          <w:szCs w:val="18"/>
          <w:b w:val="1"/>
          <w:bCs w:val="1"/>
          <w:color w:val="auto"/>
        </w:rPr>
      </w:pPr>
    </w:p>
    <w:p>
      <w:pPr>
        <w:ind w:left="760" w:hanging="3"/>
        <w:spacing w:after="0" w:line="282" w:lineRule="auto"/>
        <w:tabs>
          <w:tab w:leader="none" w:pos="99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sell a common stock or related derivative security before the negative news is publicly announced and as a result of the announcement, the stock price declines, you have avoided the loss caused by the negative news.</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 I restricted from trading securities of any companies except FibroGen (for example a customer or competitor of FibroGen)?</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58" w:lineRule="auto"/>
        <w:tabs>
          <w:tab w:leader="none" w:pos="99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FibroGen, you sometimes obtain sensitive, material information about other companies and their business dealings with FibroGen.</w:t>
      </w:r>
    </w:p>
    <w:p>
      <w:pPr>
        <w:spacing w:after="0" w:line="179"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So if I don’t trade FibroGen securities when I have material, nonpublic information, and I don’t “tip” other people, I am in the clear, right?</w:t>
      </w:r>
    </w:p>
    <w:p>
      <w:pPr>
        <w:spacing w:after="0" w:line="229" w:lineRule="exact"/>
        <w:rPr>
          <w:rFonts w:ascii="Times New Roman" w:cs="Times New Roman" w:eastAsia="Times New Roman" w:hAnsi="Times New Roman"/>
          <w:sz w:val="18"/>
          <w:szCs w:val="18"/>
          <w:b w:val="1"/>
          <w:bCs w:val="1"/>
          <w:color w:val="auto"/>
        </w:rPr>
      </w:pPr>
    </w:p>
    <w:p>
      <w:pPr>
        <w:ind w:left="760" w:hanging="3"/>
        <w:spacing w:after="0" w:line="282" w:lineRule="auto"/>
        <w:tabs>
          <w:tab w:leader="none" w:pos="995"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necessarily. Even if you do not violate U.S. law, you may still violate our policies. Our policies are stricter than the law requires so that we and our employees can avoid even the appearance of wrongdoing. Therefore, please review the entire policy carefully.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ind w:left="760" w:right="20" w:hanging="752"/>
        <w:spacing w:after="0" w:line="286" w:lineRule="auto"/>
        <w:tabs>
          <w:tab w:leader="none" w:pos="7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If I am aware of new product or service developments that have not been announced to the public, do I possess material, non-public information?</w:t>
      </w:r>
    </w:p>
    <w:p>
      <w:pPr>
        <w:spacing w:after="0" w:line="158" w:lineRule="exact"/>
        <w:rPr>
          <w:rFonts w:ascii="Times New Roman" w:cs="Times New Roman" w:eastAsia="Times New Roman" w:hAnsi="Times New Roman"/>
          <w:sz w:val="18"/>
          <w:szCs w:val="18"/>
          <w:b w:val="1"/>
          <w:bCs w:val="1"/>
          <w:color w:val="auto"/>
        </w:rPr>
      </w:pPr>
    </w:p>
    <w:p>
      <w:pPr>
        <w:jc w:val="both"/>
        <w:ind w:left="760" w:hanging="3"/>
        <w:spacing w:after="0" w:line="261" w:lineRule="auto"/>
        <w:tabs>
          <w:tab w:leader="none" w:pos="99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most circumstances, FibroGen does not consider new product and service developments to be material information that would require the closing of the trading window with respect to those individuals who are aware of these developments. However, there are circumstances where a new product or service in development or issues with respect to current or past products or services could be so significant that it constitutes material, non-public information. In these circumstances, you will be notified by email if the trading window is closed for you.</w:t>
      </w:r>
    </w:p>
    <w:p>
      <w:pPr>
        <w:spacing w:after="0" w:line="17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So when can I buy or sell my FibroGen securities?</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61" w:lineRule="auto"/>
        <w:tabs>
          <w:tab w:leader="none" w:pos="99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According to our policies, if you have material, nonpublic information, you may not buy or sell our common stock until the third trading day after that information is released or announced to the public. At that point, the information is considered public. </w:t>
      </w:r>
      <w:r>
        <w:rPr>
          <w:rFonts w:ascii="Times New Roman" w:cs="Times New Roman" w:eastAsia="Times New Roman" w:hAnsi="Times New Roman"/>
          <w:sz w:val="18"/>
          <w:szCs w:val="18"/>
          <w:b w:val="1"/>
          <w:bCs w:val="1"/>
          <w:u w:val="single" w:color="auto"/>
          <w:color w:val="auto"/>
        </w:rPr>
        <w:t>Even if you do not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b w:val="1"/>
          <w:bCs w:val="1"/>
          <w:color w:val="auto"/>
        </w:rPr>
        <w:t>, you may not trade in our common stock during any trading “blackout” period</w:t>
      </w:r>
      <w:r>
        <w:rPr>
          <w:rFonts w:ascii="Times New Roman" w:cs="Times New Roman" w:eastAsia="Times New Roman" w:hAnsi="Times New Roman"/>
          <w:sz w:val="18"/>
          <w:szCs w:val="18"/>
          <w:color w:val="auto"/>
        </w:rPr>
        <w:t>. Trading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announced by email.</w:t>
      </w:r>
    </w:p>
    <w:p>
      <w:pPr>
        <w:spacing w:after="0" w:line="175" w:lineRule="exact"/>
        <w:rPr>
          <w:rFonts w:ascii="Times New Roman" w:cs="Times New Roman" w:eastAsia="Times New Roman" w:hAnsi="Times New Roman"/>
          <w:sz w:val="18"/>
          <w:szCs w:val="18"/>
          <w:b w:val="1"/>
          <w:bCs w:val="1"/>
          <w:color w:val="auto"/>
        </w:rPr>
      </w:pPr>
    </w:p>
    <w:p>
      <w:pPr>
        <w:ind w:left="760" w:hanging="752"/>
        <w:spacing w:after="0" w:line="286" w:lineRule="auto"/>
        <w:tabs>
          <w:tab w:leader="none" w:pos="7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steps do I need to follow before engaging in any transaction in FibroGen securities if I am an officer, director, or employee of FibroGen?</w:t>
      </w:r>
    </w:p>
    <w:p>
      <w:pPr>
        <w:spacing w:after="0" w:line="158" w:lineRule="exact"/>
        <w:rPr>
          <w:rFonts w:ascii="Times New Roman" w:cs="Times New Roman" w:eastAsia="Times New Roman" w:hAnsi="Times New Roman"/>
          <w:sz w:val="18"/>
          <w:szCs w:val="18"/>
          <w:b w:val="1"/>
          <w:bCs w:val="1"/>
          <w:color w:val="auto"/>
        </w:rPr>
      </w:pPr>
    </w:p>
    <w:p>
      <w:pPr>
        <w:jc w:val="both"/>
        <w:ind w:left="760" w:hanging="3"/>
        <w:spacing w:after="0" w:line="256" w:lineRule="auto"/>
        <w:tabs>
          <w:tab w:leader="none" w:pos="1094"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 to our policies, all officers, directors, and employees with a title of Executive Director or higher, and employees who are otherwise so informed by FibroGen, must obtain pre-clearance of any transaction from FibroGen’s head of Legal (a “Clearing Officer”) two trading days in advance of the proposed transaction. The Clearing Officer or his delegate will then determine whether the transaction may proceed, the time period for which such clearance applies and, if required, will coordinate FibroGen’s assistance in complying with the reporting requirements under Section 16(a) of the Exchange Act, if any. Pre-cleared transactions not completed prior to pre-clearance expiration shall require new pre-clearance under the provisions of this paragraph. FibroGen may, at its discretion, shorten such period of time.</w:t>
      </w:r>
    </w:p>
    <w:p>
      <w:pPr>
        <w:spacing w:after="0" w:line="183" w:lineRule="exact"/>
        <w:rPr>
          <w:rFonts w:ascii="Times New Roman" w:cs="Times New Roman" w:eastAsia="Times New Roman" w:hAnsi="Times New Roman"/>
          <w:sz w:val="18"/>
          <w:szCs w:val="18"/>
          <w:b w:val="1"/>
          <w:bCs w:val="1"/>
          <w:color w:val="auto"/>
        </w:rPr>
      </w:pPr>
    </w:p>
    <w:p>
      <w:pPr>
        <w:ind w:left="760" w:right="20" w:hanging="752"/>
        <w:spacing w:after="0" w:line="286" w:lineRule="auto"/>
        <w:tabs>
          <w:tab w:leader="none" w:pos="7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If I have an open order to buy or sell FibroGen securities on the date the trading window closes, my broker will cancel the open order and won’t execute the trade, right?</w:t>
      </w:r>
    </w:p>
    <w:p>
      <w:pPr>
        <w:spacing w:after="0" w:line="158" w:lineRule="exact"/>
        <w:rPr>
          <w:rFonts w:ascii="Times New Roman" w:cs="Times New Roman" w:eastAsia="Times New Roman" w:hAnsi="Times New Roman"/>
          <w:sz w:val="18"/>
          <w:szCs w:val="18"/>
          <w:b w:val="1"/>
          <w:bCs w:val="1"/>
          <w:color w:val="auto"/>
        </w:rPr>
      </w:pPr>
    </w:p>
    <w:p>
      <w:pPr>
        <w:jc w:val="both"/>
        <w:ind w:left="760" w:hanging="3"/>
        <w:spacing w:after="0" w:line="266" w:lineRule="auto"/>
        <w:tabs>
          <w:tab w:leader="none" w:pos="99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spacing w:after="0" w:line="17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 I allowed to trade derivative securities of FibroGen? Or short FibroGen common stock?</w:t>
      </w:r>
    </w:p>
    <w:p>
      <w:pPr>
        <w:spacing w:after="0" w:line="229" w:lineRule="exact"/>
        <w:rPr>
          <w:rFonts w:ascii="Times New Roman" w:cs="Times New Roman" w:eastAsia="Times New Roman" w:hAnsi="Times New Roman"/>
          <w:sz w:val="18"/>
          <w:szCs w:val="18"/>
          <w:b w:val="1"/>
          <w:bCs w:val="1"/>
          <w:color w:val="auto"/>
        </w:rPr>
      </w:pPr>
    </w:p>
    <w:p>
      <w:pPr>
        <w:ind w:left="760" w:hanging="3"/>
        <w:spacing w:after="0" w:line="282" w:lineRule="auto"/>
        <w:tabs>
          <w:tab w:leader="none" w:pos="995"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Why does FibroGen prohibit trading in derivative securities and short selling?</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61" w:lineRule="auto"/>
        <w:tabs>
          <w:tab w:leader="none" w:pos="102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spacing w:after="0" w:line="175"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purchase FibroGen securities on margin or hold them in a margin account?</w:t>
      </w:r>
    </w:p>
    <w:p>
      <w:pPr>
        <w:spacing w:after="0" w:line="229" w:lineRule="exact"/>
        <w:rPr>
          <w:rFonts w:ascii="Times New Roman" w:cs="Times New Roman" w:eastAsia="Times New Roman" w:hAnsi="Times New Roman"/>
          <w:sz w:val="18"/>
          <w:szCs w:val="18"/>
          <w:b w:val="1"/>
          <w:bCs w:val="1"/>
          <w:color w:val="auto"/>
        </w:rPr>
      </w:pPr>
    </w:p>
    <w:p>
      <w:pPr>
        <w:ind w:left="1000" w:hanging="243"/>
        <w:spacing w:after="0"/>
        <w:tabs>
          <w:tab w:leader="none" w:pos="100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our policies, you may not purchase our common stock on margin.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You may not hold our common stock in a margin account without advance approval from a Clearing Officer.</w:t>
      </w:r>
    </w:p>
    <w:p>
      <w:pPr>
        <w:spacing w:after="0" w:line="22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58"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Why does FibroGen prohibit me from purchasing FibroGen securities on margin or, potentially, from holding them in a margin account?</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77" w:lineRule="auto"/>
        <w:tabs>
          <w:tab w:leader="none" w:pos="995" w:val="left"/>
        </w:tabs>
        <w:numPr>
          <w:ilvl w:val="1"/>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Margin loans are subject to a margin call whether or not you possess insider information at the time of the call. If your margin call were called at a time when you had insider information and you could not or did not supply other collateral, you and FibroGen could be subject to litigation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are therefore responsible for the sale.</w:t>
      </w:r>
    </w:p>
    <w:p>
      <w:pPr>
        <w:spacing w:after="0" w:line="163" w:lineRule="exact"/>
        <w:rPr>
          <w:rFonts w:ascii="Times New Roman" w:cs="Times New Roman" w:eastAsia="Times New Roman" w:hAnsi="Times New Roman"/>
          <w:sz w:val="17"/>
          <w:szCs w:val="17"/>
          <w:b w:val="1"/>
          <w:bCs w:val="1"/>
          <w:color w:val="auto"/>
        </w:rPr>
      </w:pPr>
    </w:p>
    <w:p>
      <w:pPr>
        <w:ind w:left="760" w:hanging="752"/>
        <w:spacing w:after="0"/>
        <w:tabs>
          <w:tab w:leader="none" w:pos="7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exercise stock options during a trading blackout period or when I possess material nonpublic information?</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66" w:lineRule="auto"/>
        <w:tabs>
          <w:tab w:leader="none" w:pos="1008"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you will be responsible at that time for any taxes due.</w:t>
      </w:r>
    </w:p>
    <w:p>
      <w:pPr>
        <w:spacing w:after="0" w:line="17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 I subject to the trading blackout period if I am no longer an employee of FibroGen?</w:t>
      </w:r>
    </w:p>
    <w:p>
      <w:pPr>
        <w:spacing w:after="0" w:line="229" w:lineRule="exact"/>
        <w:rPr>
          <w:rFonts w:ascii="Times New Roman" w:cs="Times New Roman" w:eastAsia="Times New Roman" w:hAnsi="Times New Roman"/>
          <w:sz w:val="18"/>
          <w:szCs w:val="18"/>
          <w:b w:val="1"/>
          <w:bCs w:val="1"/>
          <w:color w:val="auto"/>
        </w:rPr>
      </w:pPr>
    </w:p>
    <w:p>
      <w:pPr>
        <w:jc w:val="both"/>
        <w:ind w:left="760" w:hanging="3"/>
        <w:spacing w:after="0" w:line="258" w:lineRule="auto"/>
        <w:tabs>
          <w:tab w:leader="none" w:pos="99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depends. If your employment with FibroGen ends on a day that the trading window is closed, you will be subject to the trading blackout period then in effect. If your employment with FibroGen ends on a day that the trading window is open, you will not be subject to the next trading blackout period. However, even if you are not subject to our trading blackout period after you leave FibroGen, you should not trade in FibroGen securities if you possess material, non-public information. That restriction stays with you as long as the information you possess is material and not released by FibroGen.</w:t>
      </w:r>
    </w:p>
    <w:p>
      <w:pPr>
        <w:spacing w:after="0" w:line="179"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gift stock while I possess material, nonpublic information or during a trading blackout period?</w:t>
      </w:r>
    </w:p>
    <w:p>
      <w:pPr>
        <w:spacing w:after="0" w:line="229" w:lineRule="exact"/>
        <w:rPr>
          <w:rFonts w:ascii="Times New Roman" w:cs="Times New Roman" w:eastAsia="Times New Roman" w:hAnsi="Times New Roman"/>
          <w:sz w:val="18"/>
          <w:szCs w:val="18"/>
          <w:b w:val="1"/>
          <w:bCs w:val="1"/>
          <w:color w:val="auto"/>
        </w:rPr>
      </w:pPr>
    </w:p>
    <w:p>
      <w:pPr>
        <w:ind w:left="760" w:hanging="3"/>
        <w:spacing w:after="0" w:line="282" w:lineRule="auto"/>
        <w:tabs>
          <w:tab w:leader="none" w:pos="99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make gifts of our securities to persons or entities not under your control, whether to charities, to a trust, or otherwise when you possess material, nonpublic information or during a trading blackout period.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ind w:left="752" w:hanging="752"/>
        <w:spacing w:after="0" w:line="286" w:lineRule="auto"/>
        <w:tabs>
          <w:tab w:leader="none" w:pos="75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purchased publicly-traded options or other derivative securities before I became a FibroGen employee (or contractor or consultant)?</w:t>
      </w:r>
    </w:p>
    <w:p>
      <w:pPr>
        <w:spacing w:after="0" w:line="158" w:lineRule="exact"/>
        <w:rPr>
          <w:rFonts w:ascii="Times New Roman" w:cs="Times New Roman" w:eastAsia="Times New Roman" w:hAnsi="Times New Roman"/>
          <w:sz w:val="18"/>
          <w:szCs w:val="18"/>
          <w:b w:val="1"/>
          <w:bCs w:val="1"/>
          <w:color w:val="auto"/>
        </w:rPr>
      </w:pPr>
    </w:p>
    <w:p>
      <w:pPr>
        <w:jc w:val="both"/>
        <w:ind w:left="752" w:hanging="3"/>
        <w:spacing w:after="0" w:line="266" w:lineRule="auto"/>
        <w:tabs>
          <w:tab w:leader="none" w:pos="100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same rules apply as for employee stock options. You may exercise the publicly-traded options at any time, but you may not sell such securities during a trading blackout period or at any time that you have material, nonpublic information. When you become a FibroGen employee, you must report to our Finance department that you hold such publicly traded options or other derivative securities.</w:t>
      </w:r>
    </w:p>
    <w:p>
      <w:pPr>
        <w:spacing w:after="0" w:line="17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May I own shares of a mutual fund that invests in FibroGen?</w:t>
      </w:r>
    </w:p>
    <w:p>
      <w:pPr>
        <w:spacing w:after="0" w:line="229" w:lineRule="exact"/>
        <w:rPr>
          <w:rFonts w:ascii="Times New Roman" w:cs="Times New Roman" w:eastAsia="Times New Roman" w:hAnsi="Times New Roman"/>
          <w:sz w:val="18"/>
          <w:szCs w:val="18"/>
          <w:b w:val="1"/>
          <w:bCs w:val="1"/>
          <w:color w:val="auto"/>
        </w:rPr>
      </w:pPr>
    </w:p>
    <w:p>
      <w:pPr>
        <w:ind w:left="992" w:hanging="243"/>
        <w:spacing w:after="0"/>
        <w:tabs>
          <w:tab w:leader="none" w:pos="992"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w:t>
      </w:r>
    </w:p>
    <w:p>
      <w:pPr>
        <w:spacing w:after="0" w:line="22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Are mutual fund shares holding FibroGen subject to the trading blackout periods?</w:t>
      </w:r>
    </w:p>
    <w:p>
      <w:pPr>
        <w:spacing w:after="0" w:line="229" w:lineRule="exact"/>
        <w:rPr>
          <w:rFonts w:ascii="Times New Roman" w:cs="Times New Roman" w:eastAsia="Times New Roman" w:hAnsi="Times New Roman"/>
          <w:sz w:val="18"/>
          <w:szCs w:val="18"/>
          <w:b w:val="1"/>
          <w:bCs w:val="1"/>
          <w:color w:val="auto"/>
        </w:rPr>
      </w:pPr>
    </w:p>
    <w:p>
      <w:pPr>
        <w:ind w:left="992" w:hanging="243"/>
        <w:spacing w:after="0"/>
        <w:tabs>
          <w:tab w:leader="none" w:pos="992"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 may trade in mutual funds holding our common stock at any time.</w:t>
      </w:r>
    </w:p>
    <w:p>
      <w:pPr>
        <w:spacing w:after="0" w:line="22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May I use a “routine trading program” or “10b5-1 plan”?</w:t>
      </w:r>
    </w:p>
    <w:p>
      <w:pPr>
        <w:spacing w:after="0" w:line="229" w:lineRule="exact"/>
        <w:rPr>
          <w:rFonts w:ascii="Times New Roman" w:cs="Times New Roman" w:eastAsia="Times New Roman" w:hAnsi="Times New Roman"/>
          <w:sz w:val="18"/>
          <w:szCs w:val="18"/>
          <w:b w:val="1"/>
          <w:bCs w:val="1"/>
          <w:color w:val="auto"/>
        </w:rPr>
      </w:pPr>
    </w:p>
    <w:p>
      <w:pPr>
        <w:jc w:val="both"/>
        <w:ind w:left="752" w:hanging="3"/>
        <w:spacing w:after="0" w:line="261" w:lineRule="auto"/>
        <w:tabs>
          <w:tab w:leader="none" w:pos="987"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the Legal department and Finance department for approval.</w:t>
      </w:r>
    </w:p>
    <w:p>
      <w:pPr>
        <w:spacing w:after="0" w:line="175"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happens if I violate our insider trading policy?</w:t>
      </w:r>
    </w:p>
    <w:p>
      <w:pPr>
        <w:spacing w:after="0" w:line="229" w:lineRule="exact"/>
        <w:rPr>
          <w:rFonts w:ascii="Times New Roman" w:cs="Times New Roman" w:eastAsia="Times New Roman" w:hAnsi="Times New Roman"/>
          <w:sz w:val="18"/>
          <w:szCs w:val="18"/>
          <w:b w:val="1"/>
          <w:bCs w:val="1"/>
          <w:color w:val="auto"/>
        </w:rPr>
      </w:pPr>
    </w:p>
    <w:p>
      <w:pPr>
        <w:jc w:val="both"/>
        <w:ind w:left="752" w:hanging="3"/>
        <w:spacing w:after="0" w:line="266" w:lineRule="auto"/>
        <w:tabs>
          <w:tab w:leader="none" w:pos="987"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Violation of our policies may result in severe personnel action, including a memo to your personnel file and up to and including termination of your employment or other relationship with FibroGen. In addition, you may be subject to criminal and civil enforcement actions by the government.</w:t>
      </w:r>
    </w:p>
    <w:p>
      <w:pPr>
        <w:spacing w:after="0" w:line="171"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Who should I contact if I have questions about our insider trading policy?</w:t>
      </w:r>
    </w:p>
    <w:p>
      <w:pPr>
        <w:spacing w:after="0" w:line="229" w:lineRule="exact"/>
        <w:rPr>
          <w:rFonts w:ascii="Times New Roman" w:cs="Times New Roman" w:eastAsia="Times New Roman" w:hAnsi="Times New Roman"/>
          <w:sz w:val="18"/>
          <w:szCs w:val="18"/>
          <w:b w:val="1"/>
          <w:bCs w:val="1"/>
          <w:color w:val="auto"/>
        </w:rPr>
      </w:pPr>
    </w:p>
    <w:p>
      <w:pPr>
        <w:ind w:left="992" w:hanging="243"/>
        <w:spacing w:after="0"/>
        <w:tabs>
          <w:tab w:leader="none" w:pos="992"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contact our Legal department or Finance department.</w:t>
      </w: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333-280597) and Form S-8 (No. 333-281342) of FibroGen, Inc. of our report dated March 17, 2025 relating to the financial statements, financial statement schedule and the effectiveness of internal control over financial reporting, which appears in this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Thane Wettig, certify that;</w:t>
      </w:r>
    </w:p>
    <w:p>
      <w:pPr>
        <w:spacing w:after="0" w:line="225"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FibroGen,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17,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Thane Wettig</w:t>
            </w:r>
          </w:p>
        </w:tc>
      </w:tr>
      <w:tr>
        <w:trPr>
          <w:trHeight w:val="191"/>
        </w:trPr>
        <w:tc>
          <w:tcPr>
            <w:tcW w:w="6200" w:type="dxa"/>
            <w:vAlign w:val="bottom"/>
          </w:tcPr>
          <w:p>
            <w:pPr>
              <w:spacing w:after="0"/>
              <w:rPr>
                <w:sz w:val="16"/>
                <w:szCs w:val="16"/>
                <w:color w:val="auto"/>
              </w:rPr>
            </w:pPr>
          </w:p>
        </w:tc>
        <w:tc>
          <w:tcPr>
            <w:tcW w:w="50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Thane Wettig</w:t>
            </w:r>
          </w:p>
        </w:tc>
      </w:tr>
      <w:tr>
        <w:trPr>
          <w:trHeight w:val="216"/>
        </w:trPr>
        <w:tc>
          <w:tcPr>
            <w:tcW w:w="6200" w:type="dxa"/>
            <w:vAlign w:val="bottom"/>
          </w:tcPr>
          <w:p>
            <w:pPr>
              <w:spacing w:after="0"/>
              <w:rPr>
                <w:sz w:val="18"/>
                <w:szCs w:val="18"/>
                <w:color w:val="auto"/>
              </w:rPr>
            </w:pPr>
          </w:p>
        </w:tc>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3"/>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DeLucia, certify that;</w:t>
      </w:r>
    </w:p>
    <w:p>
      <w:pPr>
        <w:spacing w:after="0" w:line="225" w:lineRule="exact"/>
        <w:rPr>
          <w:sz w:val="20"/>
          <w:szCs w:val="20"/>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FibroGen,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March 17, 2025</w:t>
      </w:r>
      <w:r>
        <w:rPr>
          <w:sz w:val="20"/>
          <w:szCs w:val="20"/>
          <w:color w:val="auto"/>
        </w:rPr>
        <w:tab/>
      </w:r>
      <w:r>
        <w:rPr>
          <w:rFonts w:ascii="Times New Roman" w:cs="Times New Roman" w:eastAsia="Times New Roman" w:hAnsi="Times New Roman"/>
          <w:sz w:val="17"/>
          <w:szCs w:val="17"/>
          <w:color w:val="auto"/>
        </w:rPr>
        <w:t>/s/ David DeLucia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David DeLucia</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Thane Wettig, Chief Executive Officer of FibroGen, Inc. (the “Company”), and David DeLucia, Chief Financial Officer of the Company, each hereby certifies that, to the best of his knowledge:</w:t>
      </w:r>
    </w:p>
    <w:p>
      <w:pPr>
        <w:spacing w:after="0" w:line="68" w:lineRule="exact"/>
        <w:rPr>
          <w:sz w:val="20"/>
          <w:szCs w:val="20"/>
          <w:color w:val="auto"/>
        </w:rPr>
      </w:pPr>
    </w:p>
    <w:p>
      <w:pPr>
        <w:ind w:left="520" w:right="140" w:hanging="512"/>
        <w:spacing w:after="0" w:line="282"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(the “Annual Report”), to which this Certification is attached as Exhibit 32.1,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80" w:hanging="512"/>
        <w:spacing w:after="0" w:line="282"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Thane Wettig</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DeLucia</w:t>
            </w:r>
          </w:p>
        </w:tc>
      </w:tr>
      <w:tr>
        <w:trPr>
          <w:trHeight w:val="191"/>
        </w:trPr>
        <w:tc>
          <w:tcPr>
            <w:tcW w:w="5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Thane Wettig</w:t>
            </w:r>
          </w:p>
        </w:tc>
        <w:tc>
          <w:tcPr>
            <w:tcW w:w="220" w:type="dxa"/>
            <w:vAlign w:val="bottom"/>
          </w:tcPr>
          <w:p>
            <w:pPr>
              <w:spacing w:after="0"/>
              <w:rPr>
                <w:sz w:val="16"/>
                <w:szCs w:val="16"/>
                <w:color w:val="auto"/>
              </w:rPr>
            </w:pPr>
          </w:p>
        </w:tc>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David DeLucia</w:t>
            </w: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1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upperLetter"/>
      <w:start w:val="6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decimal"/>
      <w:start w:val="2"/>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1."/>
      <w:numFmt w:val="decimal"/>
      <w:start w:val="3"/>
    </w:lvl>
  </w:abstractNum>
  <w:abstractNum w:abstractNumId="45">
    <w:nsid w:val="6B94764"/>
    <w:multiLevelType w:val="hybridMultilevel"/>
    <w:lvl w:ilvl="0">
      <w:lvlJc w:val="left"/>
      <w:lvlText w:val="%1."/>
      <w:numFmt w:val="decimal"/>
      <w:start w:val="4"/>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3"/>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1"/>
      <w:numFmt w:val="upperLetter"/>
      <w:start w:val="61"/>
    </w:lvl>
  </w:abstractNum>
  <w:abstractNum w:abstractNumId="52">
    <w:nsid w:val="7BD3EE7B"/>
    <w:multiLevelType w:val="hybridMultilevel"/>
    <w:lvl w:ilvl="0">
      <w:lvlJc w:val="left"/>
      <w:lvlText w:val="%1."/>
      <w:numFmt w:val="decimal"/>
      <w:start w:val="5"/>
    </w:lvl>
  </w:abstractNum>
  <w:abstractNum w:abstractNumId="53">
    <w:nsid w:val="51D9C564"/>
    <w:multiLevelType w:val="hybridMultilevel"/>
    <w:lvl w:ilvl="0">
      <w:lvlJc w:val="left"/>
      <w:lvlText w:val="%1."/>
      <w:numFmt w:val="decimal"/>
      <w:start w:val="6"/>
    </w:lvl>
  </w:abstractNum>
  <w:abstractNum w:abstractNumId="54">
    <w:nsid w:val="613EFDC5"/>
    <w:multiLevelType w:val="hybridMultilevel"/>
    <w:lvl w:ilvl="0">
      <w:lvlJc w:val="left"/>
      <w:lvlText w:val="%1."/>
      <w:numFmt w:val="decimal"/>
      <w:start w:val="7"/>
    </w:lvl>
  </w:abstractNum>
  <w:abstractNum w:abstractNumId="55">
    <w:nsid w:val="BF72B14"/>
    <w:multiLevelType w:val="hybridMultilevel"/>
    <w:lvl w:ilvl="0">
      <w:lvlJc w:val="left"/>
      <w:lvlText w:val="%1."/>
      <w:numFmt w:val="decimal"/>
      <w:start w:val="8"/>
    </w:lvl>
  </w:abstractNum>
  <w:abstractNum w:abstractNumId="56">
    <w:nsid w:val="11447B73"/>
    <w:multiLevelType w:val="hybridMultilevel"/>
    <w:lvl w:ilvl="0">
      <w:lvlJc w:val="left"/>
      <w:lvlText w:val="%1."/>
      <w:numFmt w:val="decimal"/>
      <w:start w:val="9"/>
    </w:lvl>
  </w:abstractNum>
  <w:abstractNum w:abstractNumId="57">
    <w:nsid w:val="42963E5A"/>
    <w:multiLevelType w:val="hybridMultilevel"/>
    <w:lvl w:ilvl="0">
      <w:lvlJc w:val="left"/>
      <w:lvlText w:val="%1."/>
      <w:numFmt w:val="decimal"/>
      <w:start w:val="12"/>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1."/>
      <w:numFmt w:val="decimal"/>
      <w:start w:val="13"/>
    </w:lvl>
  </w:abstractNum>
  <w:abstractNum w:abstractNumId="60">
    <w:nsid w:val="1A32234B"/>
    <w:multiLevelType w:val="hybridMultilevel"/>
    <w:lvl w:ilvl="0">
      <w:lvlJc w:val="left"/>
      <w:lvlText w:val="&amp;"/>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lowerLetter"/>
      <w:start w:val="2"/>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lowerLetter"/>
      <w:start w:val="3"/>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1"/>
    </w:lvl>
    <w:lvl w:ilvl="1">
      <w:lvlJc w:val="left"/>
      <w:lvlText w:val="•"/>
      <w:numFmt w:val="bullet"/>
      <w:start w:val="1"/>
    </w:lvl>
  </w:abstractNum>
  <w:abstractNum w:abstractNumId="72">
    <w:nsid w:val="6EB5BD4"/>
    <w:multiLevelType w:val="hybridMultilevel"/>
    <w:lvl w:ilvl="0">
      <w:lvlJc w:val="left"/>
      <w:lvlText w:val="%1."/>
      <w:numFmt w:val="decimal"/>
      <w:start w:val="3"/>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decimal"/>
      <w:start w:val="4"/>
    </w:lvl>
  </w:abstractNum>
  <w:abstractNum w:abstractNumId="75">
    <w:nsid w:val="885E1B"/>
    <w:multiLevelType w:val="hybridMultilevel"/>
    <w:lvl w:ilvl="0">
      <w:lvlJc w:val="left"/>
      <w:lvlText w:val="%1."/>
      <w:numFmt w:val="decimal"/>
      <w:start w:val="5"/>
    </w:lvl>
  </w:abstractNum>
  <w:abstractNum w:abstractNumId="76">
    <w:nsid w:val="76272110"/>
    <w:multiLevelType w:val="hybridMultilevel"/>
    <w:lvl w:ilvl="0">
      <w:lvlJc w:val="left"/>
      <w:lvlText w:val="%1."/>
      <w:numFmt w:val="decimal"/>
      <w:start w:val="6"/>
    </w:lvl>
  </w:abstractNum>
  <w:abstractNum w:abstractNumId="77">
    <w:nsid w:val="4C04A8AF"/>
    <w:multiLevelType w:val="hybridMultilevel"/>
    <w:lvl w:ilvl="0">
      <w:lvlJc w:val="left"/>
      <w:lvlText w:val="%1."/>
      <w:numFmt w:val="decimal"/>
      <w:start w:val="7"/>
    </w:lvl>
  </w:abstractNum>
  <w:abstractNum w:abstractNumId="78">
    <w:nsid w:val="1716703B"/>
    <w:multiLevelType w:val="hybridMultilevel"/>
    <w:lvl w:ilvl="0">
      <w:lvlJc w:val="left"/>
      <w:lvlText w:val="%1."/>
      <w:numFmt w:val="decimal"/>
      <w:start w:val="8"/>
    </w:lvl>
  </w:abstractNum>
  <w:abstractNum w:abstractNumId="79">
    <w:nsid w:val="14E17E33"/>
    <w:multiLevelType w:val="hybridMultilevel"/>
    <w:lvl w:ilvl="0">
      <w:lvlJc w:val="left"/>
      <w:lvlText w:val="%1."/>
      <w:numFmt w:val="decimal"/>
      <w:start w:val="9"/>
    </w:lvl>
  </w:abstractNum>
  <w:abstractNum w:abstractNumId="80">
    <w:nsid w:val="3222E7CD"/>
    <w:multiLevelType w:val="hybridMultilevel"/>
    <w:lvl w:ilvl="0">
      <w:lvlJc w:val="left"/>
      <w:lvlText w:val="%1."/>
      <w:numFmt w:val="decimal"/>
      <w:start w:val="10"/>
    </w:lvl>
  </w:abstractNum>
  <w:abstractNum w:abstractNumId="81">
    <w:nsid w:val="74DE0EE3"/>
    <w:multiLevelType w:val="hybridMultilevel"/>
    <w:lvl w:ilvl="0">
      <w:lvlJc w:val="left"/>
      <w:lvlText w:val="%1."/>
      <w:numFmt w:val="decimal"/>
      <w:start w:val="11"/>
    </w:lvl>
  </w:abstractNum>
  <w:abstractNum w:abstractNumId="82">
    <w:nsid w:val="68EBC550"/>
    <w:multiLevelType w:val="hybridMultilevel"/>
    <w:lvl w:ilvl="0">
      <w:lvlJc w:val="left"/>
      <w:lvlText w:val="%1."/>
      <w:numFmt w:val="decimal"/>
      <w:start w:val="12"/>
    </w:lvl>
  </w:abstractNum>
  <w:abstractNum w:abstractNumId="83">
    <w:nsid w:val="2DF6D648"/>
    <w:multiLevelType w:val="hybridMultilevel"/>
    <w:lvl w:ilvl="0">
      <w:lvlJc w:val="left"/>
      <w:lvlText w:val="%1."/>
      <w:numFmt w:val="decimal"/>
      <w:start w:val="13"/>
    </w:lvl>
  </w:abstractNum>
  <w:abstractNum w:abstractNumId="84">
    <w:nsid w:val="46B7D447"/>
    <w:multiLevelType w:val="hybridMultilevel"/>
    <w:lvl w:ilvl="0">
      <w:lvlJc w:val="left"/>
      <w:lvlText w:val="%1."/>
      <w:numFmt w:val="decimal"/>
      <w:start w:val="14"/>
    </w:lvl>
    <w:lvl w:ilvl="1">
      <w:lvlJc w:val="left"/>
      <w:lvlText w:val="%2."/>
      <w:numFmt w:val="lowerLetter"/>
      <w:start w:val="1"/>
    </w:lvl>
  </w:abstractNum>
  <w:abstractNum w:abstractNumId="85">
    <w:nsid w:val="4A2AC315"/>
    <w:multiLevelType w:val="hybridMultilevel"/>
    <w:lvl w:ilvl="0">
      <w:lvlJc w:val="left"/>
      <w:lvlText w:val="(%1)"/>
      <w:numFmt w:val="decimal"/>
      <w:start w:val="53"/>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3"/>
    </w:lvl>
  </w:abstractNum>
  <w:abstractNum w:abstractNumId="88">
    <w:nsid w:val="CC1016F"/>
    <w:multiLevelType w:val="hybridMultilevel"/>
    <w:lvl w:ilvl="0">
      <w:lvlJc w:val="left"/>
      <w:lvlText w:val="%1."/>
      <w:numFmt w:val="decimal"/>
      <w:start w:val="10"/>
    </w:lvl>
    <w:lvl w:ilvl="1">
      <w:lvlJc w:val="left"/>
      <w:lvlText w:val="%2:"/>
      <w:numFmt w:val="upperLetter"/>
      <w:start w:val="1"/>
    </w:lvl>
  </w:abstractNum>
  <w:abstractNum w:abstractNumId="89">
    <w:nsid w:val="43F18422"/>
    <w:multiLevelType w:val="hybridMultilevel"/>
    <w:lvl w:ilvl="0">
      <w:lvlJc w:val="left"/>
      <w:lvlText w:val="%1."/>
      <w:numFmt w:val="decimal"/>
      <w:start w:val="16"/>
    </w:lvl>
    <w:lvl w:ilvl="1">
      <w:lvlJc w:val="left"/>
      <w:lvlText w:val="%2:"/>
      <w:numFmt w:val="upperLetter"/>
      <w:start w:val="1"/>
    </w:lvl>
  </w:abstractNum>
  <w:abstractNum w:abstractNumId="90">
    <w:nsid w:val="60EF0119"/>
    <w:multiLevelType w:val="hybridMultilevel"/>
    <w:lvl w:ilvl="0">
      <w:lvlJc w:val="left"/>
      <w:lvlText w:val="%1."/>
      <w:numFmt w:val="decimal"/>
      <w:start w:val="22"/>
    </w:lvl>
    <w:lvl w:ilvl="1">
      <w:lvlJc w:val="left"/>
      <w:lvlText w:val="%2:"/>
      <w:numFmt w:val="upperLetter"/>
      <w:start w:val="1"/>
    </w:lvl>
  </w:abstractNum>
  <w:abstractNum w:abstractNumId="91">
    <w:nsid w:val="26F324BA"/>
    <w:multiLevelType w:val="hybridMultilevel"/>
    <w:lvl w:ilvl="0">
      <w:lvlJc w:val="left"/>
      <w:lvlText w:val="%1."/>
      <w:numFmt w:val="decimal"/>
      <w:start w:val="27"/>
    </w:lvl>
    <w:lvl w:ilvl="1">
      <w:lvlJc w:val="left"/>
      <w:lvlText w:val="%2:"/>
      <w:numFmt w:val="upperLetter"/>
      <w:start w:val="1"/>
    </w:lvl>
  </w:abstractNum>
  <w:abstractNum w:abstractNumId="92">
    <w:nsid w:val="7F01579B"/>
    <w:multiLevelType w:val="hybridMultilevel"/>
    <w:lvl w:ilvl="0">
      <w:lvlJc w:val="left"/>
      <w:lvlText w:val="%1."/>
      <w:numFmt w:val="decimal"/>
      <w:start w:val="29"/>
    </w:lvl>
    <w:lvl w:ilvl="1">
      <w:lvlJc w:val="left"/>
      <w:lvlText w:val="%2:"/>
      <w:numFmt w:val="upperLetter"/>
      <w:start w:val="1"/>
    </w:lvl>
  </w:abstractNum>
  <w:abstractNum w:abstractNumId="93">
    <w:nsid w:val="49DA307D"/>
    <w:multiLevelType w:val="hybridMultilevel"/>
    <w:lvl w:ilvl="0">
      <w:lvlJc w:val="left"/>
      <w:lvlText w:val="%1."/>
      <w:numFmt w:val="decimal"/>
      <w:start w:val="33"/>
    </w:lvl>
    <w:lvl w:ilvl="1">
      <w:lvlJc w:val="left"/>
      <w:lvlText w:val="%2:"/>
      <w:numFmt w:val="upp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60" Type="http://schemas.openxmlformats.org/officeDocument/2006/relationships/image" Target="media/image408.png"/><Relationship Id="rId461" Type="http://schemas.openxmlformats.org/officeDocument/2006/relationships/image" Target="media/image409.png"/><Relationship Id="rId462"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png"/><Relationship Id="rId488" Type="http://schemas.openxmlformats.org/officeDocument/2006/relationships/image" Target="media/image433.png"/><Relationship Id="rId489" Type="http://schemas.openxmlformats.org/officeDocument/2006/relationships/image" Target="media/image434.png"/><Relationship Id="rId490" Type="http://schemas.openxmlformats.org/officeDocument/2006/relationships/image" Target="media/image435.png"/><Relationship Id="rId491" Type="http://schemas.openxmlformats.org/officeDocument/2006/relationships/image" Target="media/image436.png"/><Relationship Id="rId492" Type="http://schemas.openxmlformats.org/officeDocument/2006/relationships/image" Target="media/image437.png"/><Relationship Id="rId493" Type="http://schemas.openxmlformats.org/officeDocument/2006/relationships/image" Target="media/image438.png"/><Relationship Id="rId494" Type="http://schemas.openxmlformats.org/officeDocument/2006/relationships/image" Target="media/image439.png"/><Relationship Id="rId495"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04" Type="http://schemas.openxmlformats.org/officeDocument/2006/relationships/hyperlink" Target="https://www.sec.gov/Archives/edgar/data/921299/000119312514420380/d824859dex31.htm" TargetMode="External"/><Relationship Id="rId405" Type="http://schemas.openxmlformats.org/officeDocument/2006/relationships/hyperlink" Target="https://www.sec.gov/Archives/edgar/data/921299/000119312514380087/d720189dex34.htm" TargetMode="External"/><Relationship Id="rId406" Type="http://schemas.openxmlformats.org/officeDocument/2006/relationships/hyperlink" Target="https://www.sec.gov/Archives/edgar/data/921299/000119312514420380/d824859dex41.htm" TargetMode="External"/><Relationship Id="rId407" Type="http://schemas.openxmlformats.org/officeDocument/2006/relationships/hyperlink" Target="https://www.sec.gov/Archives/edgar/data/921299/000156459017022738/fgen-ex46_97.htm" TargetMode="External"/><Relationship Id="rId408" Type="http://schemas.openxmlformats.org/officeDocument/2006/relationships/hyperlink" Target="https://www.sec.gov/Archives/edgar/data/921299/000119312514381669/d720189dex417.htm" TargetMode="External"/><Relationship Id="rId409" Type="http://schemas.openxmlformats.org/officeDocument/2006/relationships/hyperlink" Target="https://www.sec.gov/Archives/edgar/data/0000921299/000156459020008161/fgen-ex44_244.htm" TargetMode="External"/><Relationship Id="rId410" Type="http://schemas.openxmlformats.org/officeDocument/2006/relationships/hyperlink" Target="https://www.sec.gov/Archives/edgar/data/921299/000095017024070636/fgen-ex10_1.htm" TargetMode="External"/><Relationship Id="rId411" Type="http://schemas.openxmlformats.org/officeDocument/2006/relationships/hyperlink" Target="https://www.sec.gov/Archives/edgar/data/921299/000095017024091808/fgen-ex10_4.htm" TargetMode="External"/><Relationship Id="rId412" Type="http://schemas.openxmlformats.org/officeDocument/2006/relationships/hyperlink" Target="https://www.sec.gov/Archives/edgar/data/921299/000095017024091808/fgen-ex10_5.htm" TargetMode="External"/><Relationship Id="rId413" Type="http://schemas.openxmlformats.org/officeDocument/2006/relationships/hyperlink" Target="https://www.sec.gov/Archives/edgar/data/921299/000119312514406755/d808943dex104.htm" TargetMode="External"/><Relationship Id="rId416" Type="http://schemas.openxmlformats.org/officeDocument/2006/relationships/hyperlink" Target="https://www.sec.gov/Archives/edgar/data/921299/000119312514406755/d808943dex105.htm" TargetMode="External"/><Relationship Id="rId417" Type="http://schemas.openxmlformats.org/officeDocument/2006/relationships/hyperlink" Target="https://www.sec.gov/Archives/edgar/data/921299/000095017023018814/fgen-ex10_3.htm" TargetMode="External"/><Relationship Id="rId418" Type="http://schemas.openxmlformats.org/officeDocument/2006/relationships/hyperlink" Target="https://www.sec.gov/Archives/edgar/data/921299/000119312514359619/d720189dex109.htm" TargetMode="External"/><Relationship Id="rId419" Type="http://schemas.openxmlformats.org/officeDocument/2006/relationships/hyperlink" Target="https://www.sec.gov/Archives/edgar/data/921299/000119312514359619/d720189dex1010.htm" TargetMode="External"/><Relationship Id="rId420" Type="http://schemas.openxmlformats.org/officeDocument/2006/relationships/hyperlink" Target="https://www.sec.gov/Archives/edgar/data/0000921299/000156459020051315/fgen-ex101_102.htm" TargetMode="External"/><Relationship Id="rId421" Type="http://schemas.openxmlformats.org/officeDocument/2006/relationships/hyperlink" Target="https://www.sec.gov/Archives/edgar/data/0000921299/000156459019004979/fgen-ex109i_141.htm" TargetMode="External"/><Relationship Id="rId422" Type="http://schemas.openxmlformats.org/officeDocument/2006/relationships/hyperlink" Target="https://www.sec.gov/Archives/edgar/data/921299/000119312514359619/d720189dex1012.htm" TargetMode="External"/><Relationship Id="rId426" Type="http://schemas.openxmlformats.org/officeDocument/2006/relationships/hyperlink" Target="https://www.sec.gov/Archives/edgar/data/921299/000119312514359619/d720189dex1013.htm" TargetMode="External"/><Relationship Id="rId427" Type="http://schemas.openxmlformats.org/officeDocument/2006/relationships/hyperlink" Target="https://www.sec.gov/Archives/edgar/data/921299/000119312514359619/d720189dex1014.htm" TargetMode="External"/><Relationship Id="rId428" Type="http://schemas.openxmlformats.org/officeDocument/2006/relationships/hyperlink" Target="https://www.sec.gov/Archives/edgar/data/921299/000119312514359619/d720189dex1015.htm" TargetMode="External"/><Relationship Id="rId429" Type="http://schemas.openxmlformats.org/officeDocument/2006/relationships/hyperlink" Target="https://www.sec.gov/Archives/edgar/data/921299/000119312514359619/d720189dex1016.htm" TargetMode="External"/><Relationship Id="rId430" Type="http://schemas.openxmlformats.org/officeDocument/2006/relationships/hyperlink" Target="https://www.sec.gov/Archives/edgar/data/921299/000119312514380087/d720189dex1027.htm" TargetMode="External"/><Relationship Id="rId431" Type="http://schemas.openxmlformats.org/officeDocument/2006/relationships/hyperlink" Target="https://www.sec.gov/Archives/edgar/data/0000921299/000156459020008161/fgen-ex1028_711.htm" TargetMode="External"/><Relationship Id="rId432" Type="http://schemas.openxmlformats.org/officeDocument/2006/relationships/hyperlink" Target="https://www.sec.gov/Archives/edgar/data/0000921299/000156459020012585/fgen-ex991_15.htm" TargetMode="External"/><Relationship Id="rId433" Type="http://schemas.openxmlformats.org/officeDocument/2006/relationships/hyperlink" Target="https://www.sec.gov/Archives/edgar/data/0000921299/000156459020037760/fgen-ex102_89.htm" TargetMode="External"/><Relationship Id="rId434" Type="http://schemas.openxmlformats.org/officeDocument/2006/relationships/hyperlink" Target="https://www.sec.gov/Archives/edgar/data/0000921299/000156459020037760/fgen-ex103_247.htm" TargetMode="External"/><Relationship Id="rId439" Type="http://schemas.openxmlformats.org/officeDocument/2006/relationships/hyperlink" Target="https://www.sec.gov/Archives/edgar/data/0000921299/000156459020051315/fgen-ex108_100.htm" TargetMode="External"/><Relationship Id="rId440" Type="http://schemas.openxmlformats.org/officeDocument/2006/relationships/hyperlink" Target="https://www.sec.gov/Archives/edgar/data/0000921299/000156459021026053/fgen-ex102_228.htm" TargetMode="External"/><Relationship Id="rId441" Type="http://schemas.openxmlformats.org/officeDocument/2006/relationships/hyperlink" Target="https://www.sec.gov/Archives/edgar/data/0000921299/000156459021026053/fgen-ex103_249.htm" TargetMode="External"/><Relationship Id="rId442" Type="http://schemas.openxmlformats.org/officeDocument/2006/relationships/hyperlink" Target="https://www.sec.gov/Archives/edgar/data/0000921299/000156459021042639/fgen-ex102_408.htm" TargetMode="External"/><Relationship Id="rId443" Type="http://schemas.openxmlformats.org/officeDocument/2006/relationships/hyperlink" Target="https://www.sec.gov/Archives/edgar/data/921299/000156459022007632/fgen-ex1036_220.htm" TargetMode="External"/><Relationship Id="rId444" Type="http://schemas.openxmlformats.org/officeDocument/2006/relationships/hyperlink" Target="https://www.sec.gov/Archives/edgar/data/0000921299/000156459020008161/fgen-ex1032_243.htm" TargetMode="External"/><Relationship Id="rId445" Type="http://schemas.openxmlformats.org/officeDocument/2006/relationships/hyperlink" Target="https://www.sec.gov/Archives/edgar/data/921299/000095017024053554/fgen-ex10_1.htm" TargetMode="External"/><Relationship Id="rId446" Type="http://schemas.openxmlformats.org/officeDocument/2006/relationships/hyperlink" Target="https://www.sec.gov/Archives/edgar/data/0000921299/000156459020008161/fgen-ex1035_673.htm" TargetMode="External"/><Relationship Id="rId447" Type="http://schemas.openxmlformats.org/officeDocument/2006/relationships/hyperlink" Target="https://www.sec.gov/Archives/edgar/data/921299/000119312525033539/d921088dex11.htm" TargetMode="External"/><Relationship Id="rId448" Type="http://schemas.openxmlformats.org/officeDocument/2006/relationships/hyperlink" Target="https://www.sec.gov/Archives/edgar/data/921299/000095017023004668/fgen-ex10_46.htm" TargetMode="External"/><Relationship Id="rId451" Type="http://schemas.openxmlformats.org/officeDocument/2006/relationships/hyperlink" Target="https://www.sec.gov/Archives/edgar/data/921299/000095017023004668/fgen-ex10_47.htm" TargetMode="External"/><Relationship Id="rId452" Type="http://schemas.openxmlformats.org/officeDocument/2006/relationships/hyperlink" Target="https://www.sec.gov/Archives/edgar/data/921299/000095017023018814/fgen-ex10_2.htm" TargetMode="External"/><Relationship Id="rId453" Type="http://schemas.openxmlformats.org/officeDocument/2006/relationships/hyperlink" Target="https://www.sec.gov/Archives/edgar/data/921299/000095017023018814/fgen-ex10_4.htm" TargetMode="External"/><Relationship Id="rId454" Type="http://schemas.openxmlformats.org/officeDocument/2006/relationships/hyperlink" Target="https://www.sec.gov/Archives/edgar/data/921299/000095017023034234/fgen-ex10_1.htm" TargetMode="External"/><Relationship Id="rId455" Type="http://schemas.openxmlformats.org/officeDocument/2006/relationships/hyperlink" Target="https://www.sec.gov/Archives/edgar/data/921299/000095017023039070/fgen-ex10_4.htm" TargetMode="External"/><Relationship Id="rId456" Type="http://schemas.openxmlformats.org/officeDocument/2006/relationships/hyperlink" Target="https://www.sec.gov/Archives/edgar/data/921299/000095017023039070/fgen-ex10_5.htm" TargetMode="External"/><Relationship Id="rId457" Type="http://schemas.openxmlformats.org/officeDocument/2006/relationships/hyperlink" Target="https://www.sec.gov/Archives/edgar/data/921299/000095017024091808/fgen-ex10_2.htm" TargetMode="External"/><Relationship Id="rId458" Type="http://schemas.openxmlformats.org/officeDocument/2006/relationships/hyperlink" Target="https://www.sec.gov/Archives/edgar/data/921299/000095017024091808/fgen-ex10_3.htm" TargetMode="External"/><Relationship Id="rId459" Type="http://schemas.openxmlformats.org/officeDocument/2006/relationships/hyperlink" Target="https://www.sec.gov/Archives/edgar/data/921299/000095017024020161/fgen-ex10_53.htm" TargetMode="External"/><Relationship Id="rId463" Type="http://schemas.openxmlformats.org/officeDocument/2006/relationships/hyperlink" Target="https://www.sec.gov/Archives/edgar/data/921299/000095017024053554/fgen-ex10_2.htm" TargetMode="External"/><Relationship Id="rId464" Type="http://schemas.openxmlformats.org/officeDocument/2006/relationships/hyperlink" Target="https://www.sec.gov/Archives/edgar/data/0000921299/000156459021042639/fgen-ex211_16.htm" TargetMode="External"/><Relationship Id="rId465" Type="http://schemas.openxmlformats.org/officeDocument/2006/relationships/hyperlink" Target="https://www.sec.gov/Archives/edgar/data/921299/000095017024020161/fge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2025-03-17T15:36:34Z</dcterms:created>
  <dcterms:modified xsi:type="dcterms:W3CDTF">2025-03-17T15:36:34Z</dcterms:modified>
</cp:coreProperties>
</file>