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40" w:after="0"/>
        <w:jc w:val="center"/>
        <w:rPr/>
      </w:pPr>
      <w:bookmarkStart w:id="0" w:name="fgen-10k_20211231.htm"/>
      <w:bookmarkStart w:id="1" w:name="ksfgen10k_20211231"/>
      <w:bookmarkEnd w:id="0"/>
      <w:bookmarkEnd w:id="1"/>
      <w:r>
        <w:rPr/>
        <w:t> </w:t>
      </w:r>
    </w:p>
    <w:p>
      <w:pPr>
        <w:pStyle w:val="TextBody"/>
        <w:pBdr>
          <w:top w:val="double" w:sz="6" w:space="1" w:color="000000"/>
        </w:pBdr>
        <w:spacing w:before="40" w:after="0"/>
        <w:jc w:val="center"/>
        <w:rPr>
          <w:rFonts w:ascii="Times New Roman" w:hAnsi="Times New Roman"/>
          <w:b/>
          <w:i w:val="false"/>
          <w:caps w:val="false"/>
          <w:smallCaps w:val="false"/>
          <w:sz w:val="34"/>
        </w:rPr>
      </w:pPr>
      <w:r>
        <w:rPr>
          <w:rFonts w:ascii="Times New Roman" w:hAnsi="Times New Roman"/>
          <w:b/>
          <w:i w:val="false"/>
          <w:caps w:val="false"/>
          <w:smallCaps w:val="false"/>
          <w:sz w:val="34"/>
        </w:rPr>
        <w:t>UNITED STATES</w:t>
      </w:r>
    </w:p>
    <w:p>
      <w:pPr>
        <w:pStyle w:val="TextBody"/>
        <w:spacing w:before="0" w:after="0"/>
        <w:jc w:val="center"/>
        <w:rPr>
          <w:rFonts w:ascii="Times New Roman" w:hAnsi="Times New Roman"/>
          <w:b/>
          <w:i w:val="false"/>
          <w:caps w:val="false"/>
          <w:smallCaps w:val="false"/>
          <w:sz w:val="34"/>
        </w:rPr>
      </w:pPr>
      <w:r>
        <w:rPr>
          <w:rFonts w:ascii="Times New Roman" w:hAnsi="Times New Roman"/>
          <w:b/>
          <w:i w:val="false"/>
          <w:caps w:val="false"/>
          <w:smallCaps w:val="false"/>
          <w:sz w:val="34"/>
        </w:rPr>
        <w:t>SECURITIES AND EXCHANGE COMMISSION</w:t>
      </w:r>
    </w:p>
    <w:p>
      <w:pPr>
        <w:pStyle w:val="TextBody"/>
        <w:spacing w:before="0" w:after="0"/>
        <w:jc w:val="center"/>
        <w:rPr>
          <w:rFonts w:ascii="Times New Roman" w:hAnsi="Times New Roman"/>
          <w:b/>
          <w:i w:val="false"/>
          <w:caps w:val="false"/>
          <w:smallCaps w:val="false"/>
          <w:sz w:val="22"/>
        </w:rPr>
      </w:pPr>
      <w:r>
        <w:rPr>
          <w:rFonts w:ascii="Times New Roman" w:hAnsi="Times New Roman"/>
          <w:b/>
          <w:i w:val="false"/>
          <w:caps w:val="false"/>
          <w:smallCaps w:val="false"/>
          <w:sz w:val="22"/>
        </w:rPr>
        <w:t>Washington, D.C. 20549</w:t>
      </w:r>
    </w:p>
    <w:p>
      <w:pPr>
        <w:pStyle w:val="TextBody"/>
        <w:pBdr>
          <w:bottom w:val="single" w:sz="6" w:space="1" w:color="000000"/>
        </w:pBdr>
        <w:spacing w:before="0" w:after="0"/>
        <w:jc w:val="center"/>
        <w:rPr/>
      </w:pPr>
      <w:r>
        <w:rPr/>
        <w:t> </w:t>
      </w:r>
    </w:p>
    <w:p>
      <w:pPr>
        <w:pStyle w:val="TextBody"/>
        <w:spacing w:before="60" w:after="0"/>
        <w:jc w:val="center"/>
        <w:rPr>
          <w:rFonts w:ascii="Times New Roman" w:hAnsi="Times New Roman"/>
          <w:b/>
          <w:i w:val="false"/>
          <w:caps w:val="false"/>
          <w:smallCaps w:val="false"/>
          <w:sz w:val="34"/>
        </w:rPr>
      </w:pPr>
      <w:r>
        <w:rPr>
          <w:rFonts w:ascii="Times New Roman" w:hAnsi="Times New Roman"/>
          <w:b/>
          <w:i w:val="false"/>
          <w:caps w:val="false"/>
          <w:smallCaps w:val="false"/>
          <w:sz w:val="34"/>
        </w:rPr>
        <w:t>Form 10-K </w:t>
      </w:r>
    </w:p>
    <w:p>
      <w:pPr>
        <w:pStyle w:val="TextBody"/>
        <w:pBdr>
          <w:bottom w:val="single" w:sz="6" w:space="1" w:color="000000"/>
        </w:pBdr>
        <w:spacing w:before="0" w:after="0"/>
        <w:jc w:val="center"/>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(Mark One)</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9975" w:type="dxa"/>
            <w:tcBorders/>
            <w:shd w:fill="auto" w:val="clear"/>
          </w:tcPr>
          <w:p>
            <w:pPr>
              <w:pStyle w:val="TableContents"/>
              <w:spacing w:before="0" w:after="0"/>
              <w:rPr>
                <w:rFonts w:ascii="Times New Roman" w:hAnsi="Times New Roman"/>
                <w:b/>
                <w:i w:val="false"/>
                <w:caps w:val="false"/>
                <w:smallCaps w:val="false"/>
                <w:sz w:val="24"/>
              </w:rPr>
            </w:pPr>
            <w:r>
              <w:rPr>
                <w:rFonts w:ascii="Times New Roman" w:hAnsi="Times New Roman"/>
                <w:b/>
                <w:i w:val="false"/>
                <w:caps w:val="false"/>
                <w:smallCaps w:val="false"/>
                <w:sz w:val="24"/>
              </w:rPr>
              <w:t>ANNUAL REPORT PURSUANT TO SECTION 13 OR 15(d) OF THE SECURITIES EXCHANGE ACT OF 1934</w:t>
            </w:r>
          </w:p>
        </w:tc>
      </w:tr>
    </w:tbl>
    <w:p>
      <w:pPr>
        <w:pStyle w:val="TextBody"/>
        <w:spacing w:before="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fiscal year ended December 31, 2021</w:t>
      </w:r>
    </w:p>
    <w:p>
      <w:pPr>
        <w:pStyle w:val="TextBody"/>
        <w:spacing w:before="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9975" w:type="dxa"/>
            <w:tcBorders/>
            <w:shd w:fill="auto" w:val="clear"/>
          </w:tcPr>
          <w:p>
            <w:pPr>
              <w:pStyle w:val="TableContents"/>
              <w:spacing w:before="0" w:after="0"/>
              <w:rPr>
                <w:rFonts w:ascii="Times New Roman" w:hAnsi="Times New Roman"/>
                <w:b/>
                <w:i w:val="false"/>
                <w:caps w:val="false"/>
                <w:smallCaps w:val="false"/>
                <w:sz w:val="24"/>
              </w:rPr>
            </w:pPr>
            <w:r>
              <w:rPr>
                <w:rFonts w:ascii="Times New Roman" w:hAnsi="Times New Roman"/>
                <w:b/>
                <w:i w:val="false"/>
                <w:caps w:val="false"/>
                <w:smallCaps w:val="false"/>
                <w:sz w:val="24"/>
              </w:rPr>
              <w:t>TRANSITION REPORT PURSUANT TO SECTION 13 OR 15(d) OF THE SECURITIES EXCHANGE ACT OF 1934</w:t>
            </w:r>
          </w:p>
        </w:tc>
      </w:tr>
    </w:tbl>
    <w:p>
      <w:pPr>
        <w:pStyle w:val="TextBody"/>
        <w:spacing w:before="6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For the transition period from </w:t>
      </w:r>
      <w:r>
        <w:rPr>
          <w:rFonts w:ascii="Times New Roman" w:hAnsi="Times New Roman"/>
          <w:b/>
          <w:i w:val="false"/>
          <w:caps w:val="false"/>
          <w:smallCaps w:val="false"/>
          <w:sz w:val="18"/>
          <w:u w:val="single"/>
        </w:rPr>
        <w:t>          </w:t>
      </w:r>
      <w:r>
        <w:rPr>
          <w:rFonts w:ascii="Times New Roman" w:hAnsi="Times New Roman"/>
          <w:b/>
          <w:i w:val="false"/>
          <w:caps w:val="false"/>
          <w:smallCaps w:val="false"/>
          <w:sz w:val="18"/>
        </w:rPr>
        <w:t xml:space="preserve"> to </w:t>
      </w:r>
      <w:r>
        <w:rPr>
          <w:rFonts w:ascii="Times New Roman" w:hAnsi="Times New Roman"/>
          <w:b/>
          <w:i w:val="false"/>
          <w:caps w:val="false"/>
          <w:smallCaps w:val="false"/>
          <w:sz w:val="18"/>
          <w:u w:val="single"/>
        </w:rPr>
        <w:t>          </w:t>
      </w:r>
      <w:r>
        <w:rPr>
          <w:rFonts w:ascii="Times New Roman" w:hAnsi="Times New Roman"/>
          <w:b/>
          <w:i w:val="false"/>
          <w:caps w:val="false"/>
          <w:smallCaps w:val="false"/>
          <w:sz w:val="18"/>
        </w:rPr>
        <w:t>.</w:t>
      </w:r>
    </w:p>
    <w:p>
      <w:pPr>
        <w:pStyle w:val="TextBody"/>
        <w:spacing w:before="6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Commission file number: 001-36740 </w:t>
      </w:r>
    </w:p>
    <w:p>
      <w:pPr>
        <w:pStyle w:val="TextBody"/>
        <w:pBdr>
          <w:bottom w:val="single" w:sz="6" w:space="1" w:color="000000"/>
        </w:pBdr>
        <w:spacing w:before="0" w:after="0"/>
        <w:jc w:val="center"/>
        <w:rPr/>
      </w:pPr>
      <w:r>
        <w:rPr/>
        <w:t> </w:t>
      </w:r>
    </w:p>
    <w:p>
      <w:pPr>
        <w:pStyle w:val="TextBody"/>
        <w:spacing w:before="60" w:after="0"/>
        <w:jc w:val="center"/>
        <w:rPr>
          <w:rFonts w:ascii="Times New Roman" w:hAnsi="Times New Roman"/>
          <w:b/>
          <w:i w:val="false"/>
          <w:caps w:val="false"/>
          <w:smallCaps w:val="false"/>
          <w:sz w:val="44"/>
        </w:rPr>
      </w:pPr>
      <w:r>
        <w:rPr>
          <w:rFonts w:ascii="Times New Roman" w:hAnsi="Times New Roman"/>
          <w:b/>
          <w:i w:val="false"/>
          <w:caps w:val="false"/>
          <w:smallCaps w:val="false"/>
          <w:sz w:val="44"/>
        </w:rPr>
        <w:t>FIBROGEN, INC.</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(Exact name of registrant as specified in its charter) </w:t>
      </w:r>
    </w:p>
    <w:p>
      <w:pPr>
        <w:pStyle w:val="TextBody"/>
        <w:pBdr>
          <w:bottom w:val="single" w:sz="6" w:space="1" w:color="000000"/>
        </w:pBdr>
        <w:spacing w:before="0" w:after="0"/>
        <w:jc w:val="center"/>
        <w:rPr/>
      </w:pPr>
      <w:r>
        <w:rPr/>
        <w:t> </w:t>
      </w:r>
    </w:p>
    <w:p>
      <w:pPr>
        <w:pStyle w:val="TextBody"/>
        <w:spacing w:before="0" w:after="0"/>
        <w:rPr/>
      </w:pPr>
      <w:r>
        <w:rPr/>
        <w:t> </w:t>
      </w:r>
    </w:p>
    <w:tbl>
      <w:tblPr>
        <w:tblW w:w="7135" w:type="dxa"/>
        <w:jc w:val="left"/>
        <w:tblInd w:w="0" w:type="dxa"/>
        <w:tblCellMar>
          <w:top w:w="0" w:type="dxa"/>
          <w:left w:w="0" w:type="dxa"/>
          <w:bottom w:w="0" w:type="dxa"/>
          <w:right w:w="0" w:type="dxa"/>
        </w:tblCellMar>
      </w:tblPr>
      <w:tblGrid>
        <w:gridCol w:w="4460"/>
        <w:gridCol w:w="60"/>
        <w:gridCol w:w="2615"/>
      </w:tblGrid>
      <w:tr>
        <w:trPr/>
        <w:tc>
          <w:tcPr>
            <w:tcW w:w="446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Delaware</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1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77-0357827</w:t>
            </w:r>
          </w:p>
        </w:tc>
      </w:tr>
      <w:tr>
        <w:trPr/>
        <w:tc>
          <w:tcPr>
            <w:tcW w:w="446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(State or other jurisdiction of incorporation or organization)</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1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(I.R.S. Employer Identification No.)</w:t>
            </w:r>
          </w:p>
        </w:tc>
      </w:tr>
      <w:tr>
        <w:trPr/>
        <w:tc>
          <w:tcPr>
            <w:tcW w:w="4460" w:type="dxa"/>
            <w:tcBorders/>
            <w:shd w:fill="auto" w:val="clear"/>
          </w:tcPr>
          <w:p>
            <w:pPr>
              <w:pStyle w:val="TableContents"/>
              <w:spacing w:before="6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409 Illinois Street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San Francisco, CA</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94158</w:t>
            </w:r>
          </w:p>
        </w:tc>
      </w:tr>
      <w:tr>
        <w:trPr/>
        <w:tc>
          <w:tcPr>
            <w:tcW w:w="446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(Address of principal executive offices)</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1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(zip code)</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Registrant’s telephone number, including area code:</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(415) 978-1200 </w:t>
      </w:r>
    </w:p>
    <w:p>
      <w:pPr>
        <w:pStyle w:val="TextBody"/>
        <w:spacing w:before="60" w:after="0"/>
        <w:rPr>
          <w:rFonts w:ascii="Times New Roman" w:hAnsi="Times New Roman"/>
          <w:b/>
          <w:i w:val="false"/>
          <w:caps w:val="false"/>
          <w:smallCaps w:val="false"/>
          <w:sz w:val="18"/>
        </w:rPr>
      </w:pPr>
      <w:r>
        <w:rPr>
          <w:rFonts w:ascii="Times New Roman" w:hAnsi="Times New Roman"/>
          <w:b/>
          <w:i w:val="false"/>
          <w:caps w:val="false"/>
          <w:smallCaps w:val="false"/>
          <w:sz w:val="18"/>
        </w:rPr>
        <w:t>Securities registered pursuant to Section 12(b) of the Act:</w:t>
      </w:r>
    </w:p>
    <w:p>
      <w:pPr>
        <w:pStyle w:val="TextBody"/>
        <w:spacing w:before="0" w:after="0"/>
        <w:rPr/>
      </w:pPr>
      <w:r>
        <w:rPr/>
        <w:t> </w:t>
      </w:r>
    </w:p>
    <w:tbl>
      <w:tblPr>
        <w:tblW w:w="7740" w:type="dxa"/>
        <w:jc w:val="left"/>
        <w:tblInd w:w="0" w:type="dxa"/>
        <w:tblCellMar>
          <w:top w:w="0" w:type="dxa"/>
          <w:left w:w="0" w:type="dxa"/>
          <w:bottom w:w="0" w:type="dxa"/>
          <w:right w:w="0" w:type="dxa"/>
        </w:tblCellMar>
      </w:tblPr>
      <w:tblGrid>
        <w:gridCol w:w="2630"/>
        <w:gridCol w:w="1415"/>
        <w:gridCol w:w="3695"/>
      </w:tblGrid>
      <w:tr>
        <w:trPr/>
        <w:tc>
          <w:tcPr>
            <w:tcW w:w="2630"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3695" w:type="dxa"/>
            <w:tcBorders/>
            <w:shd w:fill="auto" w:val="clear"/>
            <w:vAlign w:val="center"/>
          </w:tcPr>
          <w:p>
            <w:pPr>
              <w:pStyle w:val="TableContents"/>
              <w:spacing w:before="0" w:after="283"/>
              <w:rPr>
                <w:sz w:val="4"/>
                <w:szCs w:val="4"/>
              </w:rPr>
            </w:pPr>
            <w:r>
              <w:rPr>
                <w:sz w:val="4"/>
                <w:szCs w:val="4"/>
              </w:rPr>
            </w:r>
          </w:p>
        </w:tc>
      </w:tr>
      <w:tr>
        <w:trPr/>
        <w:tc>
          <w:tcPr>
            <w:tcW w:w="26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Title of each class</w:t>
            </w:r>
          </w:p>
        </w:tc>
        <w:tc>
          <w:tcPr>
            <w:tcW w:w="141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Trading Symbol</w:t>
            </w:r>
          </w:p>
        </w:tc>
        <w:tc>
          <w:tcPr>
            <w:tcW w:w="369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Name of each exchange on which registered</w:t>
            </w:r>
          </w:p>
        </w:tc>
      </w:tr>
      <w:tr>
        <w:trPr/>
        <w:tc>
          <w:tcPr>
            <w:tcW w:w="263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Common Stock, $0.01 par value</w:t>
            </w:r>
          </w:p>
        </w:tc>
        <w:tc>
          <w:tcPr>
            <w:tcW w:w="141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FGEN</w:t>
            </w:r>
          </w:p>
        </w:tc>
        <w:tc>
          <w:tcPr>
            <w:tcW w:w="3695"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Nasdaq Global Select Market</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Securities </w:t>
      </w:r>
      <w:r>
        <w:rPr>
          <w:rFonts w:ascii="Times New Roman" w:hAnsi="Times New Roman"/>
          <w:b/>
          <w:i w:val="false"/>
          <w:caps w:val="false"/>
          <w:smallCaps w:val="false"/>
          <w:sz w:val="20"/>
        </w:rPr>
        <w:t>registered pursuant to Section 12(g) of the Act:</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None</w:t>
      </w:r>
    </w:p>
    <w:p>
      <w:pPr>
        <w:pStyle w:val="TextBody"/>
        <w:pBdr>
          <w:bottom w:val="single" w:sz="6" w:space="1" w:color="000000"/>
        </w:pBdr>
        <w:spacing w:before="0" w:after="0"/>
        <w:jc w:val="center"/>
        <w:rPr/>
      </w:pPr>
      <w:r>
        <w:rPr/>
        <w: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if the registrant is a well-known seasoned issuer, as defined in Rule 405 of the Securities Act.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if the registrant is not required to file reports pursuant to Section 13 or Section 15(d) of the Act.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685" w:type="dxa"/>
        <w:jc w:val="left"/>
        <w:tblInd w:w="0" w:type="dxa"/>
        <w:tblCellMar>
          <w:top w:w="0" w:type="dxa"/>
          <w:left w:w="0" w:type="dxa"/>
          <w:bottom w:w="0" w:type="dxa"/>
          <w:right w:w="0" w:type="dxa"/>
        </w:tblCellMar>
      </w:tblPr>
      <w:tblGrid>
        <w:gridCol w:w="1940"/>
        <w:gridCol w:w="60"/>
        <w:gridCol w:w="350"/>
        <w:gridCol w:w="120"/>
        <w:gridCol w:w="1925"/>
        <w:gridCol w:w="60"/>
        <w:gridCol w:w="230"/>
      </w:tblGrid>
      <w:tr>
        <w:trPr/>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Large accelerated filer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Accelerated filer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r>
        <w:trPr/>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Non-accelerated filer</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auto" w:val="clear"/>
            <w:vAlign w:val="bottom"/>
          </w:tcPr>
          <w:p>
            <w:pPr>
              <w:pStyle w:val="TableContents"/>
              <w:spacing w:before="0" w:after="0"/>
              <w:ind w:left="0" w:right="0" w:hanging="0"/>
              <w:rPr>
                <w:caps w:val="false"/>
                <w:smallCaps w:val="false"/>
              </w:rPr>
            </w:pPr>
            <w:r>
              <w:rPr>
                <w:caps w:val="false"/>
                <w:smallCaps w:val="false"/>
              </w:rPr>
              <w:t>☐</w:t>
            </w:r>
            <w:r>
              <w:rPr>
                <w:caps w:val="false"/>
                <w:smallCaps w:val="false"/>
                <w:color w:val="000000"/>
              </w:rPr>
              <w:t>  </w:t>
            </w:r>
          </w:p>
        </w:tc>
        <w:tc>
          <w:tcPr>
            <w:tcW w:w="12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Smaller reporting company</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r>
      <w:tr>
        <w:trPr/>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Emerging growth company</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c>
          <w:tcPr>
            <w:tcW w:w="12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vAlign w:val="bottom"/>
          </w:tcPr>
          <w:p>
            <w:pPr>
              <w:pStyle w:val="TableContents"/>
              <w:spacing w:before="0" w:after="0"/>
              <w:ind w:left="0" w:right="0" w:hanging="0"/>
              <w:rPr/>
            </w:pPr>
            <w:r>
              <w:rPr/>
              <w:t> </w:t>
            </w:r>
          </w:p>
        </w:tc>
      </w:tr>
    </w:tbl>
    <w:p>
      <w:pPr>
        <w:pStyle w:val="TextBody"/>
        <w:spacing w:before="12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is a shell company (as defined in Rule 12b-2 of the Act).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The aggregate market value of the voting and non-voting common equity held by non-affiliates of the registrant, computed by reference to the closing price as of the last business day of the registrant’s most recently completed second fiscal quarter, June 30, 2021, was approximately $1,446.8 million. Shares of Common Stock held by each executive officer and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The number of shares of common stock outstanding as of January 31, 2022 was 93,001,968.</w:t>
      </w:r>
    </w:p>
    <w:p>
      <w:pPr>
        <w:pStyle w:val="TextBody"/>
        <w:spacing w:before="18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DOCUMENTS INCORPORATED BY REFERENCE</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Items 10, 11, 12, 13 and 14 of Part III of this Annual Report on Form 10-K for the year ended December 31, 2021 (the “Annual Report”) incorporate information by reference from the definitive proxy statement for the registrant’s 2022 Annual Meeting of Stockholders to be filed with the Securities and Exchange Commission pursuant to Regulation 14A not later than after 120 days after the end of the fiscal year covered by this Annual Report.</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TABLE OF CONTENTS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814"/>
        <w:gridCol w:w="60"/>
        <w:gridCol w:w="8860"/>
        <w:gridCol w:w="120"/>
        <w:gridCol w:w="351"/>
      </w:tblGrid>
      <w:tr>
        <w:trPr/>
        <w:tc>
          <w:tcPr>
            <w:tcW w:w="814" w:type="dxa"/>
            <w:tcBorders>
              <w:bottom w:val="single" w:sz="6" w:space="0" w:color="000000"/>
            </w:tcBorders>
            <w:shd w:fill="auto" w:val="clear"/>
            <w:vAlign w:val="bottom"/>
          </w:tcPr>
          <w:p>
            <w:pPr>
              <w:pStyle w:val="TableContents"/>
              <w:spacing w:before="0" w:after="0"/>
              <w:ind w:left="176" w:right="0" w:hanging="176"/>
              <w:rPr/>
            </w:pPr>
            <w:r>
              <w:rPr/>
              <w:t> </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8860" w:type="dxa"/>
            <w:tcBorders>
              <w:bottom w:val="single" w:sz="6" w:space="0" w:color="000000"/>
            </w:tcBorders>
            <w:shd w:fill="auto" w:val="clear"/>
            <w:vAlign w:val="bottom"/>
          </w:tcPr>
          <w:p>
            <w:pPr>
              <w:pStyle w:val="TableContents"/>
              <w:spacing w:before="0" w:after="0"/>
              <w:ind w:left="176" w:right="0" w:hanging="0"/>
              <w:rPr/>
            </w:pPr>
            <w:r>
              <w:rPr/>
              <w:t> </w:t>
            </w:r>
          </w:p>
        </w:tc>
        <w:tc>
          <w:tcPr>
            <w:tcW w:w="120" w:type="dxa"/>
            <w:tcBorders>
              <w:bottom w:val="single" w:sz="6" w:space="0" w:color="000000"/>
            </w:tcBorders>
            <w:shd w:fill="auto" w:val="clear"/>
            <w:vAlign w:val="bottom"/>
          </w:tcPr>
          <w:p>
            <w:pPr>
              <w:pStyle w:val="TableContents"/>
              <w:spacing w:before="0" w:after="0"/>
              <w:ind w:left="0" w:right="0" w:hanging="0"/>
              <w:rPr/>
            </w:pPr>
            <w:r>
              <w:rPr/>
              <w:t> </w:t>
            </w:r>
          </w:p>
        </w:tc>
        <w:tc>
          <w:tcPr>
            <w:tcW w:w="351"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w:t>
            </w:r>
          </w:p>
        </w:tc>
      </w:tr>
      <w:tr>
        <w:trPr/>
        <w:tc>
          <w:tcPr>
            <w:tcW w:w="814" w:type="dxa"/>
            <w:tcBorders/>
            <w:shd w:fill="auto" w:val="clear"/>
            <w:tcMar>
              <w:bottom w:w="0" w:type="dxa"/>
            </w:tcMar>
            <w:vAlign w:val="bottom"/>
          </w:tcPr>
          <w:p>
            <w:pPr>
              <w:pStyle w:val="TableContents"/>
              <w:spacing w:before="0" w:after="0"/>
              <w:ind w:left="176" w:right="0" w:hanging="176"/>
              <w:rPr/>
            </w:pPr>
            <w:hyperlink w:anchor="PART_I">
              <w:r>
                <w:rPr>
                  <w:rStyle w:val="InternetLink"/>
                  <w:rFonts w:ascii="Times New Roman" w:hAnsi="Times New Roman"/>
                  <w:b/>
                  <w:i w:val="false"/>
                  <w:caps w:val="false"/>
                  <w:smallCaps w:val="false"/>
                  <w:strike w:val="false"/>
                  <w:dstrike w:val="false"/>
                  <w:sz w:val="20"/>
                  <w:u w:val="none"/>
                  <w:effect w:val="none"/>
                </w:rPr>
                <w:t>PART I</w:t>
              </w:r>
            </w:hyperlink>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176"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top w:val="single" w:sz="6" w:space="0" w:color="000000"/>
            </w:tcBorders>
            <w:shd w:fill="auto"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r>
      <w:tr>
        <w:trPr/>
        <w:tc>
          <w:tcPr>
            <w:tcW w:w="814" w:type="dxa"/>
            <w:tcBorders/>
            <w:shd w:fill="auto" w:val="clear"/>
            <w:tcMar>
              <w:bottom w:w="0" w:type="dxa"/>
            </w:tcMar>
            <w:vAlign w:val="bottom"/>
          </w:tcPr>
          <w:p>
            <w:pPr>
              <w:pStyle w:val="TableContents"/>
              <w:spacing w:before="0" w:after="0"/>
              <w:ind w:left="176" w:right="0" w:hanging="176"/>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176"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pPr>
            <w:r>
              <w:rPr/>
              <w:t> </w:t>
            </w:r>
          </w:p>
        </w:tc>
      </w:tr>
      <w:tr>
        <w:trPr/>
        <w:tc>
          <w:tcPr>
            <w:tcW w:w="814" w:type="dxa"/>
            <w:tcBorders/>
            <w:shd w:fill="auto" w:val="clear"/>
            <w:tcMar>
              <w:bottom w:w="0" w:type="dxa"/>
            </w:tcMar>
            <w:vAlign w:val="bottom"/>
          </w:tcPr>
          <w:p>
            <w:pPr>
              <w:pStyle w:val="TableContents"/>
              <w:spacing w:before="0" w:after="0"/>
              <w:ind w:left="176" w:right="0" w:hanging="176"/>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hyperlink w:anchor="SUMMARY_RF">
              <w:r>
                <w:rPr>
                  <w:rStyle w:val="InternetLink"/>
                  <w:rFonts w:ascii="Times New Roman" w:hAnsi="Times New Roman"/>
                  <w:b w:val="false"/>
                  <w:i w:val="false"/>
                  <w:caps w:val="false"/>
                  <w:smallCaps w:val="false"/>
                  <w:strike w:val="false"/>
                  <w:dstrike w:val="false"/>
                  <w:sz w:val="20"/>
                  <w:u w:val="none"/>
                  <w:effect w:val="none"/>
                </w:rPr>
                <w:t>Summary Risk Factor</w:t>
              </w:r>
            </w:hyperlink>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r>
      <w:tr>
        <w:trPr/>
        <w:tc>
          <w:tcPr>
            <w:tcW w:w="814" w:type="dxa"/>
            <w:tcBorders/>
            <w:shd w:fill="auto" w:val="clear"/>
            <w:tcMar>
              <w:bottom w:w="0" w:type="dxa"/>
            </w:tcMar>
            <w:vAlign w:val="bottom"/>
          </w:tcPr>
          <w:p>
            <w:pPr>
              <w:pStyle w:val="TableContents"/>
              <w:spacing w:before="0" w:after="0"/>
              <w:ind w:left="176" w:right="0" w:hanging="176"/>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hyperlink w:anchor="CHINA_OP_RF">
              <w:r>
                <w:rPr>
                  <w:rStyle w:val="InternetLink"/>
                  <w:rFonts w:ascii="Times New Roman" w:hAnsi="Times New Roman"/>
                  <w:b w:val="false"/>
                  <w:i w:val="false"/>
                  <w:caps w:val="false"/>
                  <w:smallCaps w:val="false"/>
                  <w:strike w:val="false"/>
                  <w:dstrike w:val="false"/>
                  <w:sz w:val="20"/>
                  <w:u w:val="none"/>
                  <w:effect w:val="none"/>
                </w:rPr>
                <w:t>China Operations and Related Risks</w:t>
              </w:r>
            </w:hyperlink>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1_BUSINESS">
              <w:r>
                <w:rPr>
                  <w:rStyle w:val="InternetLink"/>
                  <w:rFonts w:ascii="Times New Roman" w:hAnsi="Times New Roman"/>
                  <w:b w:val="false"/>
                  <w:i w:val="false"/>
                  <w:caps w:val="false"/>
                  <w:smallCaps w:val="false"/>
                  <w:strike w:val="false"/>
                  <w:dstrike w:val="false"/>
                  <w:sz w:val="20"/>
                  <w:u w:val="none"/>
                  <w:effect w:val="none"/>
                </w:rPr>
                <w:t>Business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1A.</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trike w:val="false"/>
                  <w:dstrike w:val="false"/>
                  <w:sz w:val="20"/>
                  <w:u w:val="none"/>
                  <w:effect w:val="none"/>
                </w:rPr>
                <w:t>Risk Factors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1B.</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1B_UNRESOLVED_STAFF_COMMENTS">
              <w:r>
                <w:rPr>
                  <w:rStyle w:val="InternetLink"/>
                  <w:rFonts w:ascii="Times New Roman" w:hAnsi="Times New Roman"/>
                  <w:b w:val="false"/>
                  <w:i w:val="false"/>
                  <w:caps w:val="false"/>
                  <w:smallCaps w:val="false"/>
                  <w:strike w:val="false"/>
                  <w:dstrike w:val="false"/>
                  <w:sz w:val="20"/>
                  <w:u w:val="none"/>
                  <w:effect w:val="none"/>
                </w:rPr>
                <w:t>Unresolved Staff Comments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2.</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2_PROPERTIES">
              <w:r>
                <w:rPr>
                  <w:rStyle w:val="InternetLink"/>
                  <w:rFonts w:ascii="Times New Roman" w:hAnsi="Times New Roman"/>
                  <w:b w:val="false"/>
                  <w:i w:val="false"/>
                  <w:caps w:val="false"/>
                  <w:smallCaps w:val="false"/>
                  <w:strike w:val="false"/>
                  <w:dstrike w:val="false"/>
                  <w:sz w:val="20"/>
                  <w:u w:val="none"/>
                  <w:effect w:val="none"/>
                </w:rPr>
                <w:t>Properties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3.</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3_LEGAL_PROCEEEDINGS">
              <w:r>
                <w:rPr>
                  <w:rStyle w:val="InternetLink"/>
                  <w:rFonts w:ascii="Times New Roman" w:hAnsi="Times New Roman"/>
                  <w:b w:val="false"/>
                  <w:i w:val="false"/>
                  <w:caps w:val="false"/>
                  <w:smallCaps w:val="false"/>
                  <w:strike w:val="false"/>
                  <w:dstrike w:val="false"/>
                  <w:sz w:val="20"/>
                  <w:u w:val="none"/>
                  <w:effect w:val="none"/>
                </w:rPr>
                <w:t>Legal Proceedings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4.</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4_MINE_SAFETY_DISCLOSURES">
              <w:r>
                <w:rPr>
                  <w:rStyle w:val="InternetLink"/>
                  <w:rFonts w:ascii="Times New Roman" w:hAnsi="Times New Roman"/>
                  <w:b w:val="false"/>
                  <w:i w:val="false"/>
                  <w:caps w:val="false"/>
                  <w:smallCaps w:val="false"/>
                  <w:strike w:val="false"/>
                  <w:dstrike w:val="false"/>
                  <w:sz w:val="20"/>
                  <w:u w:val="none"/>
                  <w:effect w:val="none"/>
                </w:rPr>
                <w:t>Mine Safety Disclosures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tc>
      </w:tr>
      <w:tr>
        <w:trPr/>
        <w:tc>
          <w:tcPr>
            <w:tcW w:w="814" w:type="dxa"/>
            <w:tcBorders/>
            <w:shd w:fill="auto" w:val="clear"/>
            <w:tcMar>
              <w:bottom w:w="0" w:type="dxa"/>
            </w:tcMar>
            <w:vAlign w:val="bottom"/>
          </w:tcPr>
          <w:p>
            <w:pPr>
              <w:pStyle w:val="TableContents"/>
              <w:spacing w:before="0" w:after="0"/>
              <w:ind w:left="176" w:right="0" w:hanging="176"/>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pPr>
            <w:r>
              <w:rPr/>
              <w:t> </w:t>
            </w:r>
          </w:p>
        </w:tc>
      </w:tr>
      <w:tr>
        <w:trPr/>
        <w:tc>
          <w:tcPr>
            <w:tcW w:w="814" w:type="dxa"/>
            <w:tcBorders/>
            <w:shd w:fill="auto" w:val="clear"/>
            <w:tcMar>
              <w:bottom w:w="0" w:type="dxa"/>
            </w:tcMar>
            <w:vAlign w:val="bottom"/>
          </w:tcPr>
          <w:p>
            <w:pPr>
              <w:pStyle w:val="TableContents"/>
              <w:spacing w:before="0" w:after="0"/>
              <w:ind w:left="176" w:right="0" w:hanging="176"/>
              <w:rPr/>
            </w:pPr>
            <w:hyperlink w:anchor="PART_II">
              <w:r>
                <w:rPr>
                  <w:rStyle w:val="InternetLink"/>
                  <w:rFonts w:ascii="Times New Roman" w:hAnsi="Times New Roman"/>
                  <w:b/>
                  <w:i w:val="false"/>
                  <w:caps w:val="false"/>
                  <w:smallCaps w:val="false"/>
                  <w:strike w:val="false"/>
                  <w:dstrike w:val="false"/>
                  <w:sz w:val="20"/>
                  <w:u w:val="none"/>
                  <w:effect w:val="none"/>
                </w:rPr>
                <w:t>PART II</w:t>
              </w:r>
            </w:hyperlink>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tc>
      </w:tr>
      <w:tr>
        <w:trPr/>
        <w:tc>
          <w:tcPr>
            <w:tcW w:w="814" w:type="dxa"/>
            <w:tcBorders/>
            <w:shd w:fill="auto" w:val="clear"/>
            <w:tcMar>
              <w:bottom w:w="0" w:type="dxa"/>
            </w:tcMar>
            <w:vAlign w:val="bottom"/>
          </w:tcPr>
          <w:p>
            <w:pPr>
              <w:pStyle w:val="TableContents"/>
              <w:spacing w:before="0" w:after="0"/>
              <w:ind w:left="176" w:right="0" w:hanging="176"/>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pPr>
            <w:r>
              <w:rPr/>
              <w:t> </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Item 5.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5_MARKET_FOR_REGISTRANTS_COMMON_EQU">
              <w:r>
                <w:rPr>
                  <w:rStyle w:val="InternetLink"/>
                  <w:rFonts w:ascii="Times New Roman" w:hAnsi="Times New Roman"/>
                  <w:b w:val="false"/>
                  <w:i w:val="false"/>
                  <w:caps w:val="false"/>
                  <w:smallCaps w:val="false"/>
                  <w:strike w:val="false"/>
                  <w:dstrike w:val="false"/>
                  <w:spacing w:val="-2"/>
                  <w:sz w:val="20"/>
                  <w:u w:val="none"/>
                  <w:effect w:val="none"/>
                </w:rPr>
                <w:t>Market for Registrant’s Common Equity, Related Stockholder Matters and Issuer Purchases of Equity Securities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6.</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6_RESERVED">
              <w:r>
                <w:rPr>
                  <w:rStyle w:val="InternetLink"/>
                  <w:rFonts w:ascii="Times New Roman" w:hAnsi="Times New Roman"/>
                  <w:b w:val="false"/>
                  <w:i w:val="false"/>
                  <w:caps w:val="false"/>
                  <w:smallCaps w:val="false"/>
                  <w:strike w:val="false"/>
                  <w:dstrike w:val="false"/>
                  <w:sz w:val="20"/>
                  <w:u w:val="none"/>
                  <w:effect w:val="none"/>
                </w:rPr>
                <w:t>Reserved</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7.</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7_MANAGEMENTS_DISCUSSION_ANALYSIS_F">
              <w:r>
                <w:rPr>
                  <w:rStyle w:val="InternetLink"/>
                  <w:rFonts w:ascii="Times New Roman" w:hAnsi="Times New Roman"/>
                  <w:b w:val="false"/>
                  <w:i w:val="false"/>
                  <w:caps w:val="false"/>
                  <w:smallCaps w:val="false"/>
                  <w:strike w:val="false"/>
                  <w:dstrike w:val="false"/>
                  <w:sz w:val="20"/>
                  <w:u w:val="none"/>
                  <w:effect w:val="none"/>
                </w:rPr>
                <w:t>Management’s Discussion and Analysis of Financial Condition and Results of Operations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7A.</w:t>
            </w:r>
          </w:p>
        </w:tc>
        <w:tc>
          <w:tcPr>
            <w:tcW w:w="60" w:type="dxa"/>
            <w:tcBorders/>
            <w:shd w:fill="auto"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860" w:type="dxa"/>
            <w:tcBorders/>
            <w:shd w:fill="auto" w:val="clear"/>
            <w:tcMar>
              <w:bottom w:w="0" w:type="dxa"/>
            </w:tcMar>
            <w:vAlign w:val="bottom"/>
          </w:tcPr>
          <w:p>
            <w:pPr>
              <w:pStyle w:val="TableContents"/>
              <w:spacing w:before="0" w:after="0"/>
              <w:ind w:left="0" w:right="0" w:hanging="0"/>
              <w:rPr/>
            </w:pPr>
            <w:hyperlink w:anchor="ITEM_7A_QUANTITATIVE_QUALITATIVE_DISCLOS">
              <w:r>
                <w:rPr>
                  <w:rStyle w:val="InternetLink"/>
                  <w:rFonts w:ascii="Times New Roman" w:hAnsi="Times New Roman"/>
                  <w:b w:val="false"/>
                  <w:i w:val="false"/>
                  <w:caps w:val="false"/>
                  <w:smallCaps w:val="false"/>
                  <w:strike w:val="false"/>
                  <w:dstrike w:val="false"/>
                  <w:sz w:val="20"/>
                  <w:u w:val="none"/>
                  <w:effect w:val="none"/>
                </w:rPr>
                <w:t>Quantitative and Qualitative Disclosure About Market Risk</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8.</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8_CONSOLIDATED_FINANCIAL_STATEMENTS">
              <w:r>
                <w:rPr>
                  <w:rStyle w:val="InternetLink"/>
                  <w:rFonts w:ascii="Times New Roman" w:hAnsi="Times New Roman"/>
                  <w:b w:val="false"/>
                  <w:i w:val="false"/>
                  <w:caps w:val="false"/>
                  <w:smallCaps w:val="false"/>
                  <w:strike w:val="false"/>
                  <w:dstrike w:val="false"/>
                  <w:sz w:val="20"/>
                  <w:u w:val="none"/>
                  <w:effect w:val="none"/>
                </w:rPr>
                <w:t>Consolidated Financial Statements and Supplementary Data</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9_CHANGES_IN_DISAGREEMENTS_WITH_ACC">
              <w:r>
                <w:rPr>
                  <w:rStyle w:val="InternetLink"/>
                  <w:rFonts w:ascii="Times New Roman" w:hAnsi="Times New Roman"/>
                  <w:b w:val="false"/>
                  <w:i w:val="false"/>
                  <w:caps w:val="false"/>
                  <w:smallCaps w:val="false"/>
                  <w:strike w:val="false"/>
                  <w:dstrike w:val="false"/>
                  <w:sz w:val="20"/>
                  <w:u w:val="none"/>
                  <w:effect w:val="none"/>
                </w:rPr>
                <w:t>Changes in and Disagreements with Accountants on Accounting and Financial Disclosure</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9A.</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9A_CONTROLS_PROCEDURES">
              <w:r>
                <w:rPr>
                  <w:rStyle w:val="InternetLink"/>
                  <w:rFonts w:ascii="Times New Roman" w:hAnsi="Times New Roman"/>
                  <w:b w:val="false"/>
                  <w:i w:val="false"/>
                  <w:caps w:val="false"/>
                  <w:smallCaps w:val="false"/>
                  <w:strike w:val="false"/>
                  <w:dstrike w:val="false"/>
                  <w:sz w:val="20"/>
                  <w:u w:val="none"/>
                  <w:effect w:val="none"/>
                </w:rPr>
                <w:t>Controls and Procedures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9B.</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9B_OR_INFORMATION">
              <w:r>
                <w:rPr>
                  <w:rStyle w:val="InternetLink"/>
                  <w:rFonts w:ascii="Times New Roman" w:hAnsi="Times New Roman"/>
                  <w:b w:val="false"/>
                  <w:i w:val="false"/>
                  <w:caps w:val="false"/>
                  <w:smallCaps w:val="false"/>
                  <w:strike w:val="false"/>
                  <w:dstrike w:val="false"/>
                  <w:sz w:val="20"/>
                  <w:u w:val="none"/>
                  <w:effect w:val="none"/>
                </w:rPr>
                <w:t>Other Information</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9C.</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9C_FRGN_JURI">
              <w:r>
                <w:rPr>
                  <w:rStyle w:val="InternetLink"/>
                  <w:rFonts w:ascii="Times New Roman" w:hAnsi="Times New Roman"/>
                  <w:b w:val="false"/>
                  <w:i w:val="false"/>
                  <w:caps w:val="false"/>
                  <w:smallCaps w:val="false"/>
                  <w:strike w:val="false"/>
                  <w:dstrike w:val="false"/>
                  <w:sz w:val="20"/>
                  <w:u w:val="none"/>
                  <w:effect w:val="none"/>
                </w:rPr>
                <w:t>Disclosure Regarding Foreign Jurisdictions that Prevent Inspections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w:t>
            </w:r>
          </w:p>
        </w:tc>
      </w:tr>
      <w:tr>
        <w:trPr/>
        <w:tc>
          <w:tcPr>
            <w:tcW w:w="814" w:type="dxa"/>
            <w:tcBorders/>
            <w:shd w:fill="auto" w:val="clear"/>
            <w:tcMar>
              <w:bottom w:w="0" w:type="dxa"/>
            </w:tcMar>
            <w:vAlign w:val="bottom"/>
          </w:tcPr>
          <w:p>
            <w:pPr>
              <w:pStyle w:val="TableContents"/>
              <w:spacing w:before="0" w:after="0"/>
              <w:ind w:left="176" w:right="0" w:hanging="176"/>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pPr>
            <w:r>
              <w:rPr/>
              <w:t> </w:t>
            </w:r>
          </w:p>
        </w:tc>
      </w:tr>
      <w:tr>
        <w:trPr/>
        <w:tc>
          <w:tcPr>
            <w:tcW w:w="814" w:type="dxa"/>
            <w:tcBorders/>
            <w:shd w:fill="auto" w:val="clear"/>
            <w:tcMar>
              <w:bottom w:w="0" w:type="dxa"/>
            </w:tcMar>
            <w:vAlign w:val="bottom"/>
          </w:tcPr>
          <w:p>
            <w:pPr>
              <w:pStyle w:val="TableContents"/>
              <w:spacing w:before="0" w:after="0"/>
              <w:ind w:left="176" w:right="0" w:hanging="176"/>
              <w:rPr/>
            </w:pPr>
            <w:hyperlink w:anchor="PART_III">
              <w:r>
                <w:rPr>
                  <w:rStyle w:val="InternetLink"/>
                  <w:rFonts w:ascii="Times New Roman" w:hAnsi="Times New Roman"/>
                  <w:b/>
                  <w:i w:val="false"/>
                  <w:caps w:val="false"/>
                  <w:smallCaps w:val="false"/>
                  <w:strike w:val="false"/>
                  <w:dstrike w:val="false"/>
                  <w:sz w:val="20"/>
                  <w:u w:val="none"/>
                  <w:effect w:val="none"/>
                </w:rPr>
                <w:t>PART III</w:t>
              </w:r>
            </w:hyperlink>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r>
      <w:tr>
        <w:trPr/>
        <w:tc>
          <w:tcPr>
            <w:tcW w:w="814" w:type="dxa"/>
            <w:tcBorders/>
            <w:shd w:fill="auto" w:val="clear"/>
            <w:tcMar>
              <w:bottom w:w="0" w:type="dxa"/>
            </w:tcMar>
            <w:vAlign w:val="bottom"/>
          </w:tcPr>
          <w:p>
            <w:pPr>
              <w:pStyle w:val="TableContents"/>
              <w:spacing w:before="0" w:after="0"/>
              <w:ind w:left="176" w:right="0" w:hanging="176"/>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pPr>
            <w:r>
              <w:rPr/>
              <w:t> </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10.</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10_DIRECTORS_EXECUTIVE_FICERS_CORPO">
              <w:r>
                <w:rPr>
                  <w:rStyle w:val="InternetLink"/>
                  <w:rFonts w:ascii="Times New Roman" w:hAnsi="Times New Roman"/>
                  <w:b w:val="false"/>
                  <w:i w:val="false"/>
                  <w:caps w:val="false"/>
                  <w:smallCaps w:val="false"/>
                  <w:strike w:val="false"/>
                  <w:dstrike w:val="false"/>
                  <w:sz w:val="20"/>
                  <w:u w:val="none"/>
                  <w:effect w:val="none"/>
                </w:rPr>
                <w:t>Directors, Executive Officers and Corporate Governance</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11.</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11_EXECUTIVE_COMPENSATION">
              <w:r>
                <w:rPr>
                  <w:rStyle w:val="InternetLink"/>
                  <w:rFonts w:ascii="Times New Roman" w:hAnsi="Times New Roman"/>
                  <w:b w:val="false"/>
                  <w:i w:val="false"/>
                  <w:caps w:val="false"/>
                  <w:smallCaps w:val="false"/>
                  <w:strike w:val="false"/>
                  <w:dstrike w:val="false"/>
                  <w:sz w:val="20"/>
                  <w:u w:val="none"/>
                  <w:effect w:val="none"/>
                </w:rPr>
                <w:t>Executive Compensation</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r>
      <w:tr>
        <w:trPr/>
        <w:tc>
          <w:tcPr>
            <w:tcW w:w="814" w:type="dxa"/>
            <w:tcBorders/>
            <w:shd w:fill="auto" w:val="clear"/>
            <w:tcMar>
              <w:bottom w:w="0" w:type="dxa"/>
            </w:tcMar>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12.</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12_SECURITY_OWNERSHIP_CERTAIN_BENEF">
              <w:r>
                <w:rPr>
                  <w:rStyle w:val="InternetLink"/>
                  <w:rFonts w:ascii="Times New Roman" w:hAnsi="Times New Roman"/>
                  <w:b w:val="false"/>
                  <w:i w:val="false"/>
                  <w:caps w:val="false"/>
                  <w:smallCaps w:val="false"/>
                  <w:strike w:val="false"/>
                  <w:dstrike w:val="false"/>
                  <w:sz w:val="20"/>
                  <w:u w:val="none"/>
                  <w:effect w:val="none"/>
                </w:rPr>
                <w:t>Security Ownership of Certain Beneficial Owners and Management and Related Stockholder Matters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13.</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13_CERTAIN_RELATIONSHIPS_RELATED_TR">
              <w:r>
                <w:rPr>
                  <w:rStyle w:val="InternetLink"/>
                  <w:rFonts w:ascii="Times New Roman" w:hAnsi="Times New Roman"/>
                  <w:b w:val="false"/>
                  <w:i w:val="false"/>
                  <w:caps w:val="false"/>
                  <w:smallCaps w:val="false"/>
                  <w:strike w:val="false"/>
                  <w:dstrike w:val="false"/>
                  <w:sz w:val="20"/>
                  <w:u w:val="none"/>
                  <w:effect w:val="none"/>
                </w:rPr>
                <w:t>Certain Relationships and Related Transactions, and Director Independence</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14.</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14_PRINCIPAL_ACCOUNTING_FEES_SERVIC">
              <w:r>
                <w:rPr>
                  <w:rStyle w:val="InternetLink"/>
                  <w:rFonts w:ascii="Times New Roman" w:hAnsi="Times New Roman"/>
                  <w:b w:val="false"/>
                  <w:i w:val="false"/>
                  <w:caps w:val="false"/>
                  <w:smallCaps w:val="false"/>
                  <w:strike w:val="false"/>
                  <w:dstrike w:val="false"/>
                  <w:sz w:val="20"/>
                  <w:u w:val="none"/>
                  <w:effect w:val="none"/>
                </w:rPr>
                <w:t>Principal Accounting Fees and Services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r>
      <w:tr>
        <w:trPr/>
        <w:tc>
          <w:tcPr>
            <w:tcW w:w="814" w:type="dxa"/>
            <w:tcBorders/>
            <w:shd w:fill="auto" w:val="clear"/>
            <w:tcMar>
              <w:bottom w:w="0" w:type="dxa"/>
            </w:tcMar>
            <w:vAlign w:val="bottom"/>
          </w:tcPr>
          <w:p>
            <w:pPr>
              <w:pStyle w:val="TableContents"/>
              <w:spacing w:before="0" w:after="0"/>
              <w:ind w:left="176" w:right="0" w:hanging="176"/>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pPr>
            <w:r>
              <w:rPr/>
              <w:t> </w:t>
            </w:r>
          </w:p>
        </w:tc>
      </w:tr>
      <w:tr>
        <w:trPr/>
        <w:tc>
          <w:tcPr>
            <w:tcW w:w="814" w:type="dxa"/>
            <w:tcBorders/>
            <w:shd w:fill="auto" w:val="clear"/>
            <w:tcMar>
              <w:bottom w:w="0" w:type="dxa"/>
            </w:tcMar>
            <w:vAlign w:val="bottom"/>
          </w:tcPr>
          <w:p>
            <w:pPr>
              <w:pStyle w:val="TableContents"/>
              <w:spacing w:before="0" w:after="0"/>
              <w:ind w:left="176" w:right="0" w:hanging="176"/>
              <w:rPr/>
            </w:pPr>
            <w:hyperlink w:anchor="PART_IV">
              <w:r>
                <w:rPr>
                  <w:rStyle w:val="InternetLink"/>
                  <w:rFonts w:ascii="Times New Roman" w:hAnsi="Times New Roman"/>
                  <w:b/>
                  <w:i w:val="false"/>
                  <w:caps w:val="false"/>
                  <w:smallCaps w:val="false"/>
                  <w:strike w:val="false"/>
                  <w:dstrike w:val="false"/>
                  <w:sz w:val="20"/>
                  <w:u w:val="none"/>
                  <w:effect w:val="none"/>
                </w:rPr>
                <w:t>PART IV</w:t>
              </w:r>
            </w:hyperlink>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w:t>
            </w:r>
          </w:p>
        </w:tc>
      </w:tr>
      <w:tr>
        <w:trPr/>
        <w:tc>
          <w:tcPr>
            <w:tcW w:w="814" w:type="dxa"/>
            <w:tcBorders/>
            <w:shd w:fill="auto" w:val="clear"/>
            <w:tcMar>
              <w:bottom w:w="0" w:type="dxa"/>
            </w:tcMar>
            <w:vAlign w:val="bottom"/>
          </w:tcPr>
          <w:p>
            <w:pPr>
              <w:pStyle w:val="TableContents"/>
              <w:spacing w:before="0" w:after="0"/>
              <w:ind w:left="176" w:right="0" w:hanging="176"/>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pPr>
            <w:r>
              <w:rPr/>
              <w:t> </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15.</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ITEM_15_EXHIBITS_FINANCIAL_STATEMENT_SCH">
              <w:r>
                <w:rPr>
                  <w:rStyle w:val="InternetLink"/>
                  <w:rFonts w:ascii="Times New Roman" w:hAnsi="Times New Roman"/>
                  <w:b w:val="false"/>
                  <w:i w:val="false"/>
                  <w:caps w:val="false"/>
                  <w:smallCaps w:val="false"/>
                  <w:strike w:val="false"/>
                  <w:dstrike w:val="false"/>
                  <w:sz w:val="20"/>
                  <w:u w:val="none"/>
                  <w:effect w:val="none"/>
                </w:rPr>
                <w:t>Exhibits and Financial Statement Schedules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w:t>
            </w:r>
          </w:p>
        </w:tc>
      </w:tr>
      <w:tr>
        <w:trPr/>
        <w:tc>
          <w:tcPr>
            <w:tcW w:w="814" w:type="dxa"/>
            <w:tcBorders/>
            <w:shd w:fill="auto" w:val="clear"/>
            <w:tcMar>
              <w:bottom w:w="0" w:type="dxa"/>
            </w:tcMar>
            <w:vAlign w:val="bottom"/>
          </w:tcPr>
          <w:p>
            <w:pPr>
              <w:pStyle w:val="TableContents"/>
              <w:spacing w:before="0" w:after="0"/>
              <w:ind w:left="176" w:right="0" w:hanging="176"/>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16.</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860" w:type="dxa"/>
            <w:tcBorders/>
            <w:shd w:fill="auto" w:val="clear"/>
            <w:tcMar>
              <w:bottom w:w="0" w:type="dxa"/>
            </w:tcMar>
            <w:vAlign w:val="bottom"/>
          </w:tcPr>
          <w:p>
            <w:pPr>
              <w:pStyle w:val="TableContents"/>
              <w:spacing w:before="0" w:after="0"/>
              <w:ind w:left="0" w:right="0" w:hanging="0"/>
              <w:rPr/>
            </w:pPr>
            <w:hyperlink w:anchor="ITEM_16_FORM_10K_SUMMARY">
              <w:r>
                <w:rPr>
                  <w:rStyle w:val="InternetLink"/>
                  <w:rFonts w:ascii="Times New Roman" w:hAnsi="Times New Roman"/>
                  <w:b w:val="false"/>
                  <w:i w:val="false"/>
                  <w:caps w:val="false"/>
                  <w:smallCaps w:val="false"/>
                  <w:strike w:val="false"/>
                  <w:dstrike w:val="false"/>
                  <w:sz w:val="20"/>
                  <w:u w:val="none"/>
                  <w:effect w:val="none"/>
                </w:rPr>
                <w:t>Form 10-K Summary</w:t>
              </w:r>
            </w:hyperlink>
          </w:p>
        </w:tc>
        <w:tc>
          <w:tcPr>
            <w:tcW w:w="120" w:type="dxa"/>
            <w:tcBorders/>
            <w:shd w:fill="auto" w:val="clear"/>
            <w:tcMar>
              <w:bottom w:w="0" w:type="dxa"/>
            </w:tcMar>
            <w:vAlign w:val="bottom"/>
          </w:tcPr>
          <w:p>
            <w:pPr>
              <w:pStyle w:val="TableContents"/>
              <w:spacing w:before="0" w:after="0"/>
              <w:ind w:left="0" w:right="0" w:hanging="0"/>
              <w:rPr/>
            </w:pPr>
            <w:r>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w:t>
            </w:r>
          </w:p>
        </w:tc>
      </w:tr>
      <w:tr>
        <w:trPr/>
        <w:tc>
          <w:tcPr>
            <w:tcW w:w="814" w:type="dxa"/>
            <w:tcBorders/>
            <w:shd w:fill="auto"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0" w:type="dxa"/>
            <w:tcBorders/>
            <w:shd w:fill="auto" w:val="clear"/>
            <w:tcMar>
              <w:bottom w:w="0" w:type="dxa"/>
            </w:tcMar>
            <w:vAlign w:val="bottom"/>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trike w:val="false"/>
                  <w:dstrike w:val="false"/>
                  <w:sz w:val="20"/>
                  <w:u w:val="none"/>
                  <w:effect w:val="none"/>
                </w:rPr>
                <w:t>Signatures</w:t>
              </w:r>
            </w:hyperlink>
          </w:p>
        </w:tc>
        <w:tc>
          <w:tcPr>
            <w:tcW w:w="12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FORWARD-LOOKING STATEMENTS</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This Annual Report on Form 10-K for the year ended December 31, 2021 (“Annual Report”)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roxadustat, pamrevlumab and our other product candidates, our intellectual property position, the potential safety, efficacy, reimbursement, convenience clinical and pharmaco-economic benefits of our product candidates, the potential markets for any of our product candidates, our ability to develop commercial functions, our ability to operate in the People’s Republic of China (“China”), expectations regarding clinical trial data, our results of operations, cash needs, spending of the proceeds from our initial public offering,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These forward-looking statements are subject to a number of risks, uncertainties and assumptions described in the section of this Annual Report captioned “Risk Factors” and elsewhere in this Annual Report. A summary of these risk factors can be found in the following section, however, please refer to the full risk factors in Item 1A “Risk Factors.” 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360" w:after="0"/>
        <w:jc w:val="center"/>
        <w:rPr>
          <w:rFonts w:ascii="Times New Roman" w:hAnsi="Times New Roman"/>
          <w:b/>
          <w:i w:val="false"/>
          <w:caps w:val="false"/>
          <w:smallCaps w:val="false"/>
          <w:sz w:val="20"/>
        </w:rPr>
      </w:pPr>
      <w:bookmarkStart w:id="2" w:name="PART_I"/>
      <w:bookmarkEnd w:id="2"/>
      <w:r>
        <w:rPr>
          <w:rFonts w:ascii="Times New Roman" w:hAnsi="Times New Roman"/>
          <w:b/>
          <w:i w:val="false"/>
          <w:caps w:val="false"/>
          <w:smallCaps w:val="false"/>
          <w:sz w:val="20"/>
        </w:rPr>
        <w:t xml:space="preserve">PART I </w:t>
      </w:r>
    </w:p>
    <w:p>
      <w:pPr>
        <w:pStyle w:val="TextBody"/>
        <w:spacing w:before="120" w:after="0"/>
        <w:jc w:val="center"/>
        <w:rPr>
          <w:rFonts w:ascii="Times New Roman" w:hAnsi="Times New Roman"/>
          <w:b/>
          <w:i w:val="false"/>
          <w:caps w:val="false"/>
          <w:smallCaps w:val="false"/>
          <w:sz w:val="20"/>
        </w:rPr>
      </w:pPr>
      <w:bookmarkStart w:id="3" w:name="SUMMARY_RF"/>
      <w:bookmarkEnd w:id="3"/>
      <w:r>
        <w:rPr>
          <w:rFonts w:ascii="Times New Roman" w:hAnsi="Times New Roman"/>
          <w:b/>
          <w:i w:val="false"/>
          <w:caps w:val="false"/>
          <w:smallCaps w:val="false"/>
          <w:sz w:val="20"/>
        </w:rPr>
        <w:t>SUMMARY RISK FACTOR</w:t>
      </w:r>
    </w:p>
    <w:p>
      <w:pPr>
        <w:pStyle w:val="TextBody"/>
        <w:spacing w:before="12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The success of FibroGen will depend on a number of factors, many of which are beyond our control and involve risks, including but not limited to the following:</w:t>
      </w:r>
    </w:p>
    <w:p>
      <w:pPr>
        <w:pStyle w:val="TextBody"/>
        <w:spacing w:before="180" w:after="0"/>
        <w:rPr>
          <w:rFonts w:ascii="Times New Roman" w:hAnsi="Times New Roman"/>
          <w:b/>
          <w:i w:val="false"/>
          <w:caps w:val="false"/>
          <w:smallCaps w:val="false"/>
          <w:sz w:val="18"/>
        </w:rPr>
      </w:pPr>
      <w:r>
        <w:rPr>
          <w:rFonts w:ascii="Times New Roman" w:hAnsi="Times New Roman"/>
          <w:b/>
          <w:i w:val="false"/>
          <w:caps w:val="false"/>
          <w:smallCaps w:val="false"/>
          <w:sz w:val="18"/>
        </w:rPr>
        <w:t>Risks Related to the Development and Commercialization of Our Product Candidates</w:t>
      </w:r>
    </w:p>
    <w:tbl>
      <w:tblPr>
        <w:tblW w:w="9790" w:type="dxa"/>
        <w:jc w:val="left"/>
        <w:tblInd w:w="0" w:type="dxa"/>
        <w:tblCellMar>
          <w:top w:w="0" w:type="dxa"/>
          <w:left w:w="0" w:type="dxa"/>
          <w:bottom w:w="0" w:type="dxa"/>
          <w:right w:w="0" w:type="dxa"/>
        </w:tblCellMar>
      </w:tblPr>
      <w:tblGrid>
        <w:gridCol w:w="110"/>
        <w:gridCol w:w="96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680" w:type="dxa"/>
            <w:tcBorders/>
            <w:shd w:fill="auto" w:val="clear"/>
          </w:tcPr>
          <w:p>
            <w:pPr>
              <w:pStyle w:val="TableContents"/>
              <w:spacing w:before="120" w:after="0"/>
              <w:jc w:val="left"/>
              <w:rPr>
                <w:b w:val="false"/>
                <w:i w:val="false"/>
                <w:caps w:val="false"/>
                <w:smallCaps w:val="false"/>
                <w:color w:val="000000"/>
                <w:sz w:val="18"/>
              </w:rPr>
            </w:pPr>
            <w:r>
              <w:rPr>
                <w:b w:val="false"/>
                <w:i w:val="false"/>
                <w:caps w:val="false"/>
                <w:smallCaps w:val="false"/>
                <w:color w:val="000000"/>
                <w:sz w:val="18"/>
              </w:rPr>
              <w:t>We are substantially dependent on the success of our lead product, roxadustat, and our second compound in development, pamrevlumab.</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As a company, we have limited commercialization experience, and the time and resources to develop such experience are significant. If we fail to achieve and sustain commercial success for roxadustat with our collaboration partners, our business would be harmed.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Drug development and obtaining marketing authorization is a very difficult endeavor and we may ultimately be unable to obtain regulatory approval for our various product candidates in one or more jurisdictions and in one or more indications.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complete response letter we received from the FDA for roxadustat has decreased the likelihood of approval and successful commercialization of roxadustat in the U.S. and potentially other markets. This will decrease and/or delay expected revenue, and may increase the possibility that our Collaboration Agreement with AstraZeneca could be amended or terminated.</w:t>
            </w:r>
          </w:p>
        </w:tc>
      </w:tr>
    </w:tbl>
    <w:tbl>
      <w:tblPr>
        <w:tblW w:w="9385" w:type="dxa"/>
        <w:jc w:val="left"/>
        <w:tblInd w:w="0" w:type="dxa"/>
        <w:tblCellMar>
          <w:top w:w="0" w:type="dxa"/>
          <w:left w:w="0" w:type="dxa"/>
          <w:bottom w:w="0" w:type="dxa"/>
          <w:right w:w="0" w:type="dxa"/>
        </w:tblCellMar>
      </w:tblPr>
      <w:tblGrid>
        <w:gridCol w:w="110"/>
        <w:gridCol w:w="927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927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Preclinical, Phase 1 and Phase 2 clinical trial results may not be indicative of the results that may be obtained in larger clinical trials.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do not know whether our ongoing or planned clinical trials of roxadustat or pamrevlumab will need to be redesigned based on interim results or if we will be able to achieve sufficient patient enrollment or complete planned clinical trials on schedule.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Our product candidates may cause or have attributed to them undesirable side effects or have other properties that delay or prevent their regulatory approval or limit their commercial potential.</w:t>
            </w:r>
          </w:p>
        </w:tc>
      </w:tr>
    </w:tbl>
    <w:tbl>
      <w:tblPr>
        <w:tblW w:w="8140" w:type="dxa"/>
        <w:jc w:val="left"/>
        <w:tblInd w:w="0" w:type="dxa"/>
        <w:tblCellMar>
          <w:top w:w="0" w:type="dxa"/>
          <w:left w:w="0" w:type="dxa"/>
          <w:bottom w:w="0" w:type="dxa"/>
          <w:right w:w="0" w:type="dxa"/>
        </w:tblCellMar>
      </w:tblPr>
      <w:tblGrid>
        <w:gridCol w:w="110"/>
        <w:gridCol w:w="803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03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Clinical trials of our product candidates may not uncover all possible adverse effects that patients may experience.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If our manufacturers or we cannot properly manufacture the appropriate volume of product, we may experience delays in development, regulatory approval, launch or successful commercialization.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Regulatory authorities will do their own benefit risk analysis and may reach a different conclusion than we or our partners have, and these regulatory authorities may base their approval decision on different analyses, data, and statistical methods than ours.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Even if we are able to obtain regulatory approval of our product candidates, the label we obtain may limit the indicated uses for which our product candidates may be marketed.</w:t>
            </w:r>
          </w:p>
        </w:tc>
      </w:tr>
    </w:tbl>
    <w:tbl>
      <w:tblPr>
        <w:tblW w:w="7750" w:type="dxa"/>
        <w:jc w:val="left"/>
        <w:tblInd w:w="0" w:type="dxa"/>
        <w:tblCellMar>
          <w:top w:w="0" w:type="dxa"/>
          <w:left w:w="0" w:type="dxa"/>
          <w:bottom w:w="0" w:type="dxa"/>
          <w:right w:w="0" w:type="dxa"/>
        </w:tblCellMar>
      </w:tblPr>
      <w:tblGrid>
        <w:gridCol w:w="110"/>
        <w:gridCol w:w="764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764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face substantial competition in the discovery, development and commercialization of product candidates.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Our product candidates may not achieve adequate market acceptance among physicians, patients, healthcare payors, and others in the medical community necessary for commercial success.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No or limited reimbursement or insurance coverage of our approved products, if any, by third-party payors may render our products less attractive to patients and healthcare providers.</w:t>
            </w:r>
          </w:p>
        </w:tc>
      </w:tr>
    </w:tbl>
    <w:p>
      <w:pPr>
        <w:pStyle w:val="TextBody"/>
        <w:spacing w:before="180" w:after="0"/>
        <w:rPr>
          <w:rFonts w:ascii="Times New Roman" w:hAnsi="Times New Roman"/>
          <w:b/>
          <w:i w:val="false"/>
          <w:caps w:val="false"/>
          <w:smallCaps w:val="false"/>
          <w:sz w:val="18"/>
        </w:rPr>
      </w:pPr>
      <w:r>
        <w:rPr>
          <w:rFonts w:ascii="Times New Roman" w:hAnsi="Times New Roman"/>
          <w:b/>
          <w:i w:val="false"/>
          <w:caps w:val="false"/>
          <w:smallCaps w:val="false"/>
          <w:sz w:val="18"/>
        </w:rPr>
        <w:t>Risks Related to Our Reliance on Third Parties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sz w:val="18"/>
              </w:rPr>
            </w:pPr>
            <w:r>
              <w:rPr>
                <w:b w:val="false"/>
                <w:i w:val="false"/>
                <w:caps w:val="false"/>
                <w:smallCaps w:val="false"/>
                <w:color w:val="000000"/>
                <w:sz w:val="18"/>
              </w:rPr>
              <w:t>If our collaborations were terminated or if Astellas or AstraZeneca were to prioritize other initiatives over their collaborations with us, our ability to successfully develop and commercialize our product candidates would suffer.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If our preclinical and clinical trial contractors do not properly perform their agreed upon obligations, we may not be able to obtain or may be delayed in receiving regulatory approvals for our product candidates.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currently rely, and expect to continue to rely, on third parties to conduct many aspects of our product manufacturing and distribution, and these third parties may terminate these agreements or not perform satisfactorily.</w:t>
            </w:r>
          </w:p>
        </w:tc>
      </w:tr>
    </w:tbl>
    <w:tbl>
      <w:tblPr>
        <w:tblW w:w="10030" w:type="dxa"/>
        <w:jc w:val="left"/>
        <w:tblInd w:w="0" w:type="dxa"/>
        <w:tblCellMar>
          <w:top w:w="0" w:type="dxa"/>
          <w:left w:w="0" w:type="dxa"/>
          <w:bottom w:w="0" w:type="dxa"/>
          <w:right w:w="0" w:type="dxa"/>
        </w:tblCellMar>
      </w:tblPr>
      <w:tblGrid>
        <w:gridCol w:w="110"/>
        <w:gridCol w:w="992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992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may experience delays or technical problems associated with technology transfer, scale-up, or validation of our biologics manufacturing.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Certain components of our products are acquired from single-source suppliers or without long-term supply agreements. The loss of these suppliers, or their failure to supply, would materially and adversely affect our business.</w:t>
            </w:r>
          </w:p>
        </w:tc>
      </w:tr>
    </w:tbl>
    <w:p>
      <w:pPr>
        <w:pStyle w:val="TextBody"/>
        <w:spacing w:before="180" w:after="0"/>
        <w:rPr>
          <w:rFonts w:ascii="Times New Roman" w:hAnsi="Times New Roman"/>
          <w:b/>
          <w:i w:val="false"/>
          <w:caps w:val="false"/>
          <w:smallCaps w:val="false"/>
          <w:sz w:val="18"/>
        </w:rPr>
      </w:pPr>
      <w:r>
        <w:rPr>
          <w:rFonts w:ascii="Times New Roman" w:hAnsi="Times New Roman"/>
          <w:b/>
          <w:i w:val="false"/>
          <w:caps w:val="false"/>
          <w:smallCaps w:val="false"/>
          <w:sz w:val="18"/>
        </w:rPr>
        <w:t>Risks Related to Our Intellectual Property</w:t>
      </w:r>
    </w:p>
    <w:tbl>
      <w:tblPr>
        <w:tblW w:w="9055" w:type="dxa"/>
        <w:jc w:val="left"/>
        <w:tblInd w:w="0" w:type="dxa"/>
        <w:tblCellMar>
          <w:top w:w="0" w:type="dxa"/>
          <w:left w:w="0" w:type="dxa"/>
          <w:bottom w:w="0" w:type="dxa"/>
          <w:right w:w="0" w:type="dxa"/>
        </w:tblCellMar>
      </w:tblPr>
      <w:tblGrid>
        <w:gridCol w:w="110"/>
        <w:gridCol w:w="89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45" w:type="dxa"/>
            <w:tcBorders/>
            <w:shd w:fill="auto" w:val="clear"/>
          </w:tcPr>
          <w:p>
            <w:pPr>
              <w:pStyle w:val="TableContents"/>
              <w:spacing w:before="120" w:after="0"/>
              <w:jc w:val="left"/>
              <w:rPr>
                <w:b w:val="false"/>
                <w:i w:val="false"/>
                <w:caps w:val="false"/>
                <w:smallCaps w:val="false"/>
                <w:color w:val="000000"/>
                <w:sz w:val="18"/>
              </w:rPr>
            </w:pPr>
            <w:r>
              <w:rPr>
                <w:b w:val="false"/>
                <w:i w:val="false"/>
                <w:caps w:val="false"/>
                <w:smallCaps w:val="false"/>
                <w:color w:val="000000"/>
                <w:sz w:val="18"/>
              </w:rPr>
              <w:t>If our efforts to protect our proprietary technologies are not adequate, we may not be able to compete effectively in our market.</w:t>
            </w:r>
          </w:p>
        </w:tc>
      </w:tr>
    </w:tbl>
    <w:tbl>
      <w:tblPr>
        <w:tblW w:w="8095" w:type="dxa"/>
        <w:jc w:val="left"/>
        <w:tblInd w:w="0" w:type="dxa"/>
        <w:tblCellMar>
          <w:top w:w="0" w:type="dxa"/>
          <w:left w:w="0" w:type="dxa"/>
          <w:bottom w:w="0" w:type="dxa"/>
          <w:right w:w="0" w:type="dxa"/>
        </w:tblCellMar>
      </w:tblPr>
      <w:tblGrid>
        <w:gridCol w:w="110"/>
        <w:gridCol w:w="798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798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Intellectual property disputes may be costly, time consuming, and may negatively affect our competitive position.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Our reliance on third parties and agreements with collaboration partners requires us to share our trade secrets, which increases the possibility that a competitor may discover them or that our trade secrets will be misappropriated or disclosed.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cost of maintaining our patent protection is high and requires continuous review and diligence. We may not be able to effectively maintain our intellectual property position throughout the major markets of the world.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laws of some foreign countries do not protect proprietary rights to the same extent as do the laws of the U.S., and we may encounter significant problems in securing and defending our intellectual property rights outside the U.S.</w:t>
            </w:r>
          </w:p>
        </w:tc>
      </w:tr>
    </w:tbl>
    <w:tbl>
      <w:tblPr>
        <w:tblW w:w="7540" w:type="dxa"/>
        <w:jc w:val="left"/>
        <w:tblInd w:w="0" w:type="dxa"/>
        <w:tblCellMar>
          <w:top w:w="0" w:type="dxa"/>
          <w:left w:w="0" w:type="dxa"/>
          <w:bottom w:w="0" w:type="dxa"/>
          <w:right w:w="0" w:type="dxa"/>
        </w:tblCellMar>
      </w:tblPr>
      <w:tblGrid>
        <w:gridCol w:w="110"/>
        <w:gridCol w:w="743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743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Intellectual property rights do not address all potential threats to any competitive advantage we may have.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existence of counterfeit pharmaceutical products in pharmaceutical markets may compromise our brand and reputation and have a material adverse effect on our business, operations and prospects.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180" w:after="0"/>
        <w:rPr>
          <w:rFonts w:ascii="Times New Roman" w:hAnsi="Times New Roman"/>
          <w:b/>
          <w:i w:val="false"/>
          <w:caps w:val="false"/>
          <w:smallCaps w:val="false"/>
          <w:sz w:val="18"/>
        </w:rPr>
      </w:pPr>
      <w:r>
        <w:rPr>
          <w:rFonts w:ascii="Times New Roman" w:hAnsi="Times New Roman"/>
          <w:b/>
          <w:i w:val="false"/>
          <w:caps w:val="false"/>
          <w:smallCaps w:val="false"/>
          <w:sz w:val="18"/>
        </w:rPr>
        <w:t>Risks Related to Government Regulation</w:t>
      </w:r>
    </w:p>
    <w:tbl>
      <w:tblPr>
        <w:tblW w:w="8785" w:type="dxa"/>
        <w:jc w:val="left"/>
        <w:tblInd w:w="0" w:type="dxa"/>
        <w:tblCellMar>
          <w:top w:w="0" w:type="dxa"/>
          <w:left w:w="0" w:type="dxa"/>
          <w:bottom w:w="0" w:type="dxa"/>
          <w:right w:w="0" w:type="dxa"/>
        </w:tblCellMar>
      </w:tblPr>
      <w:tblGrid>
        <w:gridCol w:w="110"/>
        <w:gridCol w:w="86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75" w:type="dxa"/>
            <w:tcBorders/>
            <w:shd w:fill="auto" w:val="clear"/>
          </w:tcPr>
          <w:p>
            <w:pPr>
              <w:pStyle w:val="TableContents"/>
              <w:spacing w:before="120" w:after="0"/>
              <w:jc w:val="left"/>
              <w:rPr>
                <w:b w:val="false"/>
                <w:i w:val="false"/>
                <w:caps w:val="false"/>
                <w:smallCaps w:val="false"/>
                <w:color w:val="000000"/>
                <w:sz w:val="18"/>
              </w:rPr>
            </w:pPr>
            <w:r>
              <w:rPr>
                <w:b w:val="false"/>
                <w:i w:val="false"/>
                <w:caps w:val="false"/>
                <w:smallCaps w:val="false"/>
                <w:color w:val="000000"/>
                <w:sz w:val="18"/>
              </w:rPr>
              <w:t>The regulatory approval process is highly uncertain and we may not obtain regulatory approval for our product candidates.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tc>
      </w:tr>
    </w:tbl>
    <w:tbl>
      <w:tblPr>
        <w:tblW w:w="8875" w:type="dxa"/>
        <w:jc w:val="left"/>
        <w:tblInd w:w="0" w:type="dxa"/>
        <w:tblCellMar>
          <w:top w:w="0" w:type="dxa"/>
          <w:left w:w="0" w:type="dxa"/>
          <w:bottom w:w="0" w:type="dxa"/>
          <w:right w:w="0" w:type="dxa"/>
        </w:tblCellMar>
      </w:tblPr>
      <w:tblGrid>
        <w:gridCol w:w="110"/>
        <w:gridCol w:w="876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76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are subject to laws and regulations governing corruption, which will require us to maintain costly compliance programs.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identified material weaknesses in our internal control over financial reporting as of December 31, 2020, which have been remediated. If we otherwise fail to maintain an effective system of internal control, it may result in material misstatements in our financial statements.</w:t>
            </w:r>
          </w:p>
        </w:tc>
      </w:tr>
    </w:tbl>
    <w:tbl>
      <w:tblPr>
        <w:tblW w:w="5725" w:type="dxa"/>
        <w:jc w:val="left"/>
        <w:tblInd w:w="0" w:type="dxa"/>
        <w:tblCellMar>
          <w:top w:w="0" w:type="dxa"/>
          <w:left w:w="0" w:type="dxa"/>
          <w:bottom w:w="0" w:type="dxa"/>
          <w:right w:w="0" w:type="dxa"/>
        </w:tblCellMar>
      </w:tblPr>
      <w:tblGrid>
        <w:gridCol w:w="110"/>
        <w:gridCol w:w="561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561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impact of U.S. healthcare reform may adversely affect our business model.</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Roxadustat is considered a Class 2 substance on the 2019 World Anti-Doping Agency Prohibited List that could limit sales and increase security and distribution costs for our partners and us.</w:t>
            </w:r>
          </w:p>
        </w:tc>
      </w:tr>
    </w:tbl>
    <w:tbl>
      <w:tblPr>
        <w:tblW w:w="9280" w:type="dxa"/>
        <w:jc w:val="left"/>
        <w:tblInd w:w="0" w:type="dxa"/>
        <w:tblCellMar>
          <w:top w:w="0" w:type="dxa"/>
          <w:left w:w="0" w:type="dxa"/>
          <w:bottom w:w="0" w:type="dxa"/>
          <w:right w:w="0" w:type="dxa"/>
        </w:tblCellMar>
      </w:tblPr>
      <w:tblGrid>
        <w:gridCol w:w="110"/>
        <w:gridCol w:w="917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917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Our employees may engage in misconduct or improper activities, which could result in significant liability or harm our reputation.</w:t>
            </w:r>
          </w:p>
        </w:tc>
      </w:tr>
    </w:tbl>
    <w:tbl>
      <w:tblPr>
        <w:tblW w:w="8890" w:type="dxa"/>
        <w:jc w:val="left"/>
        <w:tblInd w:w="0" w:type="dxa"/>
        <w:tblCellMar>
          <w:top w:w="0" w:type="dxa"/>
          <w:left w:w="0" w:type="dxa"/>
          <w:bottom w:w="0" w:type="dxa"/>
          <w:right w:w="0" w:type="dxa"/>
        </w:tblCellMar>
      </w:tblPr>
      <w:tblGrid>
        <w:gridCol w:w="110"/>
        <w:gridCol w:w="878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78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If we fail to comply with environmental, health or safety laws and regulations, we could incur fines, penalties or other costs.</w:t>
            </w:r>
          </w:p>
        </w:tc>
      </w:tr>
    </w:tbl>
    <w:p>
      <w:pPr>
        <w:pStyle w:val="TextBody"/>
        <w:spacing w:before="180" w:after="0"/>
        <w:rPr>
          <w:rFonts w:ascii="Times New Roman" w:hAnsi="Times New Roman"/>
          <w:b/>
          <w:i w:val="false"/>
          <w:caps w:val="false"/>
          <w:smallCaps w:val="false"/>
          <w:sz w:val="18"/>
        </w:rPr>
      </w:pPr>
      <w:r>
        <w:rPr>
          <w:rFonts w:ascii="Times New Roman" w:hAnsi="Times New Roman"/>
          <w:b/>
          <w:i w:val="false"/>
          <w:caps w:val="false"/>
          <w:smallCaps w:val="false"/>
          <w:sz w:val="18"/>
        </w:rPr>
        <w:t>Risks Related to Our International Operations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sz w:val="18"/>
              </w:rPr>
            </w:pPr>
            <w:r>
              <w:rPr>
                <w:b w:val="false"/>
                <w:i w:val="false"/>
                <w:caps w:val="false"/>
                <w:smallCaps w:val="false"/>
                <w:color w:val="000000"/>
                <w:sz w:val="18"/>
              </w:rPr>
              <w:t>We have established operations in China and are seeking approval to commercialize our product candidates outside of the U.S., and a number of risks associated with international operations could materially and adversely affect our business.</w:t>
            </w:r>
          </w:p>
        </w:tc>
      </w:tr>
    </w:tbl>
    <w:tbl>
      <w:tblPr>
        <w:tblW w:w="7180" w:type="dxa"/>
        <w:jc w:val="left"/>
        <w:tblInd w:w="0" w:type="dxa"/>
        <w:tblCellMar>
          <w:top w:w="0" w:type="dxa"/>
          <w:left w:w="0" w:type="dxa"/>
          <w:bottom w:w="0" w:type="dxa"/>
          <w:right w:w="0" w:type="dxa"/>
        </w:tblCellMar>
      </w:tblPr>
      <w:tblGrid>
        <w:gridCol w:w="110"/>
        <w:gridCol w:w="707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707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pharmaceutical industry in China is highly regulated and such regulations are subject to change.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rPr>
            </w:pPr>
            <w:r>
              <w:rPr>
                <w:b w:val="false"/>
                <w:i w:val="false"/>
                <w:caps w:val="false"/>
                <w:smallCaps w:val="false"/>
                <w:color w:val="000000"/>
                <w:sz w:val="18"/>
              </w:rPr>
              <w:t xml:space="preserve">The China-operations portion of our audit is conducted by an independent registered public accounting firm that is not subject to inspection by the </w:t>
            </w:r>
            <w:r>
              <w:rPr>
                <w:b w:val="false"/>
                <w:i w:val="false"/>
                <w:caps w:val="false"/>
                <w:smallCaps w:val="false"/>
                <w:color w:val="000000"/>
              </w:rPr>
              <w:t>Public Company Accounting Oversight Board</w:t>
            </w:r>
            <w:r>
              <w:rPr>
                <w:b w:val="false"/>
                <w:i w:val="false"/>
                <w:caps w:val="false"/>
                <w:smallCaps w:val="false"/>
                <w:color w:val="000000"/>
                <w:sz w:val="18"/>
              </w:rPr>
              <w:t>, which may negatively impact investor sentiment towards FibroGen or our China operations, which could adversely affect the market price of our common stock.</w:t>
            </w:r>
          </w:p>
        </w:tc>
      </w:tr>
    </w:tbl>
    <w:tbl>
      <w:tblPr>
        <w:tblW w:w="8875" w:type="dxa"/>
        <w:jc w:val="left"/>
        <w:tblInd w:w="0" w:type="dxa"/>
        <w:tblCellMar>
          <w:top w:w="0" w:type="dxa"/>
          <w:left w:w="0" w:type="dxa"/>
          <w:bottom w:w="0" w:type="dxa"/>
          <w:right w:w="0" w:type="dxa"/>
        </w:tblCellMar>
      </w:tblPr>
      <w:tblGrid>
        <w:gridCol w:w="110"/>
        <w:gridCol w:w="876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76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Changes in U.S. and China relations, as well as with other countries, and/or regulations may adversely impact our business.</w:t>
            </w:r>
          </w:p>
        </w:tc>
      </w:tr>
    </w:tbl>
    <w:tbl>
      <w:tblPr>
        <w:tblW w:w="4060" w:type="dxa"/>
        <w:jc w:val="left"/>
        <w:tblInd w:w="0" w:type="dxa"/>
        <w:tblCellMar>
          <w:top w:w="0" w:type="dxa"/>
          <w:left w:w="0" w:type="dxa"/>
          <w:bottom w:w="0" w:type="dxa"/>
          <w:right w:w="0" w:type="dxa"/>
        </w:tblCellMar>
      </w:tblPr>
      <w:tblGrid>
        <w:gridCol w:w="110"/>
        <w:gridCol w:w="395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395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have limited experience distributing drugs in China.</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As a company, we have limited experience in pharmacovigilance, medical affairs, and management of the third-party distribution logistics, and cannot assure you we will be able to meet regulatory requirements or operate in these capacities successfully.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Our collaboration partner in China, AstraZeneca, and we may experience difficulties in successfully growing and sustaining sales of roxadustat in China.</w:t>
            </w:r>
          </w:p>
        </w:tc>
      </w:tr>
    </w:tbl>
    <w:tbl>
      <w:tblPr>
        <w:tblW w:w="8365" w:type="dxa"/>
        <w:jc w:val="left"/>
        <w:tblInd w:w="0" w:type="dxa"/>
        <w:tblCellMar>
          <w:top w:w="0" w:type="dxa"/>
          <w:left w:w="0" w:type="dxa"/>
          <w:bottom w:w="0" w:type="dxa"/>
          <w:right w:w="0" w:type="dxa"/>
        </w:tblCellMar>
      </w:tblPr>
      <w:tblGrid>
        <w:gridCol w:w="110"/>
        <w:gridCol w:w="825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25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The retail prices of any product candidates that we develop may be subject to pricing control in China and elsewhere.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FibroGen Beijing would be subject to restrictions on paying dividends or making other payments to us, which may restrict our ability to satisfy our liquidity requirements.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Any capital contributions from us to FibroGen Beijing must be approved by the Ministry of Commerce in China, and failure to obtain such approval may materially and adversely affect the liquidity position of FibroGen Beijing.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may be subject to currency exchange rate fluctuations and currency exchange restrictions with respect to our operations in China, which could adversely affect our financial performance.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Because FibroGen Beijing’s funds are held in banks that do not provide insurance, the failure of any bank in which FibroGen Beijing deposits its funds could adversely affect our business.</w:t>
            </w:r>
          </w:p>
        </w:tc>
      </w:tr>
    </w:tbl>
    <w:tbl>
      <w:tblPr>
        <w:tblW w:w="6340" w:type="dxa"/>
        <w:jc w:val="left"/>
        <w:tblInd w:w="0" w:type="dxa"/>
        <w:tblCellMar>
          <w:top w:w="0" w:type="dxa"/>
          <w:left w:w="0" w:type="dxa"/>
          <w:bottom w:w="0" w:type="dxa"/>
          <w:right w:w="0" w:type="dxa"/>
        </w:tblCellMar>
      </w:tblPr>
      <w:tblGrid>
        <w:gridCol w:w="110"/>
        <w:gridCol w:w="623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623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may be subject to tax inefficiencies associated with our offshore corporate structure.</w:t>
            </w:r>
          </w:p>
        </w:tc>
      </w:tr>
    </w:tbl>
    <w:tbl>
      <w:tblPr>
        <w:tblW w:w="9295" w:type="dxa"/>
        <w:jc w:val="left"/>
        <w:tblInd w:w="0" w:type="dxa"/>
        <w:tblCellMar>
          <w:top w:w="0" w:type="dxa"/>
          <w:left w:w="0" w:type="dxa"/>
          <w:bottom w:w="0" w:type="dxa"/>
          <w:right w:w="0" w:type="dxa"/>
        </w:tblCellMar>
      </w:tblPr>
      <w:tblGrid>
        <w:gridCol w:w="110"/>
        <w:gridCol w:w="918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918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Our foreign operations, particularly those in China, are subject to significant risks involving the protection of intellectual property.</w:t>
            </w:r>
          </w:p>
        </w:tc>
      </w:tr>
    </w:tbl>
    <w:tbl>
      <w:tblPr>
        <w:tblW w:w="7930" w:type="dxa"/>
        <w:jc w:val="left"/>
        <w:tblInd w:w="0" w:type="dxa"/>
        <w:tblCellMar>
          <w:top w:w="0" w:type="dxa"/>
          <w:left w:w="0" w:type="dxa"/>
          <w:bottom w:w="0" w:type="dxa"/>
          <w:right w:w="0" w:type="dxa"/>
        </w:tblCellMar>
      </w:tblPr>
      <w:tblGrid>
        <w:gridCol w:w="110"/>
        <w:gridCol w:w="782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782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Uncertainties with respect to the China legal system and regulations could have a material adverse effect on us.</w:t>
            </w:r>
          </w:p>
        </w:tc>
      </w:tr>
    </w:tbl>
    <w:tbl>
      <w:tblPr>
        <w:tblW w:w="8530" w:type="dxa"/>
        <w:jc w:val="left"/>
        <w:tblInd w:w="0" w:type="dxa"/>
        <w:tblCellMar>
          <w:top w:w="0" w:type="dxa"/>
          <w:left w:w="0" w:type="dxa"/>
          <w:bottom w:w="0" w:type="dxa"/>
          <w:right w:w="0" w:type="dxa"/>
        </w:tblCellMar>
      </w:tblPr>
      <w:tblGrid>
        <w:gridCol w:w="110"/>
        <w:gridCol w:w="8420"/>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420"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Changes in China’s economic, governmental, or social conditions could have a material adverse effect on our business.</w:t>
            </w:r>
          </w:p>
        </w:tc>
      </w:tr>
    </w:tbl>
    <w:tbl>
      <w:tblPr>
        <w:tblW w:w="6775" w:type="dxa"/>
        <w:jc w:val="left"/>
        <w:tblInd w:w="0" w:type="dxa"/>
        <w:tblCellMar>
          <w:top w:w="0" w:type="dxa"/>
          <w:left w:w="0" w:type="dxa"/>
          <w:bottom w:w="0" w:type="dxa"/>
          <w:right w:w="0" w:type="dxa"/>
        </w:tblCellMar>
      </w:tblPr>
      <w:tblGrid>
        <w:gridCol w:w="110"/>
        <w:gridCol w:w="666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666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We may be subject to additional Chinese requirements, approvals or permissions in the future.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If the Chinese government determines that our corporate structure does not comply with Chinese regulations, or if Chinese regulations change or are interpreted differently in the future, the value of our common stock may decline.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Our operations in China subject us to various Chinese labor and social insurance laws, and our failure to comply with such laws may materially and adversely affect our business, financial condition and results of operations.</w:t>
            </w:r>
          </w:p>
        </w:tc>
      </w:tr>
    </w:tbl>
    <w:p>
      <w:pPr>
        <w:pStyle w:val="TextBody"/>
        <w:spacing w:before="180" w:after="0"/>
        <w:rPr>
          <w:rFonts w:ascii="Times New Roman" w:hAnsi="Times New Roman"/>
          <w:b/>
          <w:i w:val="false"/>
          <w:caps w:val="false"/>
          <w:smallCaps w:val="false"/>
          <w:sz w:val="18"/>
        </w:rPr>
      </w:pPr>
      <w:r>
        <w:rPr>
          <w:rFonts w:ascii="Times New Roman" w:hAnsi="Times New Roman"/>
          <w:b/>
          <w:i w:val="false"/>
          <w:caps w:val="false"/>
          <w:smallCaps w:val="false"/>
          <w:sz w:val="18"/>
        </w:rPr>
        <w:t>Risks Related to COVID-19</w:t>
      </w:r>
    </w:p>
    <w:tbl>
      <w:tblPr>
        <w:tblW w:w="7090" w:type="dxa"/>
        <w:jc w:val="left"/>
        <w:tblInd w:w="0" w:type="dxa"/>
        <w:tblCellMar>
          <w:top w:w="0" w:type="dxa"/>
          <w:left w:w="0" w:type="dxa"/>
          <w:bottom w:w="0" w:type="dxa"/>
          <w:right w:w="0" w:type="dxa"/>
        </w:tblCellMar>
      </w:tblPr>
      <w:tblGrid>
        <w:gridCol w:w="110"/>
        <w:gridCol w:w="69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80" w:type="dxa"/>
            <w:tcBorders/>
            <w:shd w:fill="auto" w:val="clear"/>
          </w:tcPr>
          <w:p>
            <w:pPr>
              <w:pStyle w:val="TableContents"/>
              <w:spacing w:before="120" w:after="0"/>
              <w:jc w:val="left"/>
              <w:rPr>
                <w:b w:val="false"/>
                <w:i w:val="false"/>
                <w:caps w:val="false"/>
                <w:smallCaps w:val="false"/>
                <w:color w:val="000000"/>
                <w:sz w:val="18"/>
              </w:rPr>
            </w:pPr>
            <w:r>
              <w:rPr>
                <w:b w:val="false"/>
                <w:i w:val="false"/>
                <w:caps w:val="false"/>
                <w:smallCaps w:val="false"/>
                <w:color w:val="000000"/>
                <w:sz w:val="18"/>
              </w:rPr>
              <w:t>Our business could continue to be adversely affected by the ongoing COVID-19 global pandemic.</w:t>
            </w:r>
          </w:p>
        </w:tc>
      </w:tr>
    </w:tbl>
    <w:p>
      <w:pPr>
        <w:pStyle w:val="TextBody"/>
        <w:spacing w:before="240" w:after="0"/>
        <w:rPr>
          <w:rFonts w:ascii="Times New Roman" w:hAnsi="Times New Roman"/>
          <w:b/>
          <w:i w:val="false"/>
          <w:caps w:val="false"/>
          <w:smallCaps w:val="false"/>
          <w:sz w:val="18"/>
        </w:rPr>
      </w:pPr>
      <w:r>
        <w:rPr>
          <w:rFonts w:ascii="Times New Roman" w:hAnsi="Times New Roman"/>
          <w:b/>
          <w:i w:val="false"/>
          <w:caps w:val="false"/>
          <w:smallCaps w:val="false"/>
          <w:sz w:val="18"/>
        </w:rPr>
        <w:t>Risks Related to the Operation of Our Business</w:t>
      </w:r>
    </w:p>
    <w:tbl>
      <w:tblPr>
        <w:tblW w:w="7840" w:type="dxa"/>
        <w:jc w:val="left"/>
        <w:tblInd w:w="0" w:type="dxa"/>
        <w:tblCellMar>
          <w:top w:w="0" w:type="dxa"/>
          <w:left w:w="0" w:type="dxa"/>
          <w:bottom w:w="0" w:type="dxa"/>
          <w:right w:w="0" w:type="dxa"/>
        </w:tblCellMar>
      </w:tblPr>
      <w:tblGrid>
        <w:gridCol w:w="110"/>
        <w:gridCol w:w="77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30"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sz w:val="18"/>
              </w:rPr>
              <w:t xml:space="preserve">Please see </w:t>
            </w:r>
            <w:r>
              <w:rPr>
                <w:b w:val="false"/>
                <w:i/>
                <w:caps w:val="false"/>
                <w:smallCaps w:val="false"/>
                <w:color w:val="000000"/>
                <w:sz w:val="18"/>
              </w:rPr>
              <w:t>Part I – Item 1A. Risk Factors</w:t>
            </w:r>
            <w:r>
              <w:rPr>
                <w:b w:val="false"/>
                <w:i w:val="false"/>
                <w:caps w:val="false"/>
                <w:smallCaps w:val="false"/>
                <w:color w:val="000000"/>
              </w:rPr>
              <w:t xml:space="preserve"> </w:t>
            </w:r>
            <w:r>
              <w:rPr>
                <w:b w:val="false"/>
                <w:i w:val="false"/>
                <w:caps w:val="false"/>
                <w:smallCaps w:val="false"/>
                <w:color w:val="000000"/>
                <w:sz w:val="18"/>
              </w:rPr>
              <w:t>for additional risk factors related to the operation of our Business.  </w:t>
            </w:r>
          </w:p>
        </w:tc>
      </w:tr>
    </w:tbl>
    <w:p>
      <w:pPr>
        <w:pStyle w:val="TextBody"/>
        <w:spacing w:before="240" w:after="0"/>
        <w:ind w:left="6480" w:right="0" w:hanging="0"/>
        <w:rPr>
          <w:rFonts w:ascii="Times New Roman" w:hAnsi="Times New Roman"/>
          <w:b/>
          <w:i w:val="false"/>
          <w:caps w:val="false"/>
          <w:smallCaps w:val="false"/>
          <w:sz w:val="18"/>
        </w:rPr>
      </w:pPr>
      <w:r>
        <w:rPr>
          <w:rFonts w:ascii="Times New Roman" w:hAnsi="Times New Roman"/>
          <w:b/>
          <w:i w:val="false"/>
          <w:caps w:val="false"/>
          <w:smallCaps w:val="false"/>
          <w:sz w:val="18"/>
        </w:rPr>
        <w:t>There are also a variety of Risks Related to Our Common Stock</w:t>
      </w:r>
    </w:p>
    <w:tbl>
      <w:tblPr>
        <w:tblW w:w="7105" w:type="dxa"/>
        <w:jc w:val="left"/>
        <w:tblInd w:w="0" w:type="dxa"/>
        <w:tblCellMar>
          <w:top w:w="0" w:type="dxa"/>
          <w:left w:w="0" w:type="dxa"/>
          <w:bottom w:w="0" w:type="dxa"/>
          <w:right w:w="0" w:type="dxa"/>
        </w:tblCellMar>
      </w:tblPr>
      <w:tblGrid>
        <w:gridCol w:w="110"/>
        <w:gridCol w:w="69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9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sz w:val="18"/>
              </w:rPr>
              <w:t xml:space="preserve">Please see </w:t>
            </w:r>
            <w:r>
              <w:rPr>
                <w:b w:val="false"/>
                <w:i/>
                <w:caps w:val="false"/>
                <w:smallCaps w:val="false"/>
                <w:color w:val="000000"/>
                <w:sz w:val="18"/>
              </w:rPr>
              <w:t>Part I – Item 1A. Risk Factors</w:t>
            </w:r>
            <w:r>
              <w:rPr>
                <w:b w:val="false"/>
                <w:i w:val="false"/>
                <w:caps w:val="false"/>
                <w:smallCaps w:val="false"/>
                <w:color w:val="000000"/>
              </w:rPr>
              <w:t xml:space="preserve"> </w:t>
            </w:r>
            <w:r>
              <w:rPr>
                <w:b w:val="false"/>
                <w:i w:val="false"/>
                <w:caps w:val="false"/>
                <w:smallCaps w:val="false"/>
                <w:color w:val="000000"/>
                <w:sz w:val="18"/>
              </w:rPr>
              <w:t xml:space="preserve">for additional risk factors related to our Common Stock.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4" w:name="CHINA_OP_RF"/>
      <w:bookmarkEnd w:id="4"/>
      <w:r>
        <w:rPr>
          <w:rFonts w:ascii="Times New Roman" w:hAnsi="Times New Roman"/>
          <w:b/>
          <w:i w:val="false"/>
          <w:caps w:val="false"/>
          <w:smallCaps w:val="false"/>
          <w:sz w:val="20"/>
        </w:rPr>
        <w:t>CHINA OPERATIONS AND RELATED RISKS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incorporated in the state of Delaware. We operate within the Chinese market through FibroGen (China) Medical Technology Development Co., Ltd. (“FibroGen Beijing”), a wholly-owned subsidiary established in Beijing. FibroGen Beijing consists of development and commercialization operations as well as a drug product manufacturing facility. FibroGen Beijing holds the regulatory licenses issued by the Chinese regulatory authorities in respect of roxadustat.  FibroGen Beijing has two branch offices located in Shanghai and Cangzhou, China. The branch office in Cangzhou operates a drug substance manufacturing facility. FibroGen Beijing also owns 51.1% of Beijing Falikang Pharmaceutical Co. Ltd. (“Falikang”), a joint venture established by FibroGen and operated in conjunction with AstraZeneca Investment (China) Co., Ltd. (“AZ China”) for the purpose of distributing our sole drug product approved for sale in China, roxadustat. Falikang conducts distribution activities for roxadustat within China while AZ China, AstraZeneca AB (PUBL) (“AstraZeneca”) and AstraZeneca (Wuxi) Trading Co., Ltd. provide sales and marketing services in support of roxadustat. Thus, stockholders of FibroGen, Inc. have an ownership interest in the joint venture, Falikang, through the FibroGen, Inc. equity ownership in our subsidiaries, including FibroGen Beijing.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a full discussion of our business in China, please see the section below titled “ROXADUSTAT FOR THE TREATMENT OF ANEMIA IN CHRONIC KIDNEY DISEASE IN CHINA” as well as the section titled “ROXADUSTAT FOR THE TREATMENT OF CHEMOTHERAPY-INDUCED ANEMIA AND ANEMIA ASSOCIATED WITH MYELODYSPLASTIC SYNDROMES.” We summarize certain risks associated with our operations in China in this section, however, please refer also to the section of this Annual Report captioned “Item 1A. Risk Factors” for additional risks related to our international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operate our business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 Due to China’s regulatory framework in general and for the pharmaceutical industry specifically, we are required to apply for and maintain many approvals or permits specific to many of our business activities, including but not limited to manufacturing, distribution, environmental protection, workplace safety and cybersecurity, from both national and local government agencies. For certain of our clinical trials conducted in China, we need to obtain, through the clinical sites, permits from the Human Genetic Resource Administrative Commission to collect samples that include human genetic resources, such as blood samples. We may also be required to obtain certain approvals from Chinese authorities before transferring certain scientific data abroad or to foreign parties or entities established or actually controlled by them. If we are unable to obtain the necessary approvals or permissions in order to operate our business in China, or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our operations in China and the United States (“U.S.”), any unfavorable government policies on cross-border relations and/or international trade (including increased scrutiny on companies with significant China-based operations, capital controls or tariffs) may affect the competitive position of our drug products, the hiring of personnel, the demand for our drug products, the import or export of products and product components, our ability to raise capital, the market price of our common stock, or prevent us from selling our drug products in certain countries. 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flows from Falikang and cash flows into FibroGen Beijing are currently intended to remain onshore in China. Our long-term plans for distributing cash flows from FibroGen Beijing may involve any number of scenarios including keeping the money onshore to fund future expansion of our China operations and paying down certain debt obligations. To date, no such debt repayments have occurred, nor have there been any other payments or distributions from FibroGen Beijing to entities or investors outside of China. Our capital contributions to FibroGen Beijing and the liquidity position of FibroGen Beijing depend on many factors, including those set forth under Part I, Item 1A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in this Annual Report.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independent registered public accounting firm, PricewaterhouseCoopers LLP, is headquartered in the U.S. and was not identified in the Public Company Accounting Oversight Board (“PCAOB”) report dated December 16, 2021 as a firm that the PCAOB was unable to inspect. Therefore, the Holding Foreign Companies Accountable Act does not apply to us.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5" w:name="ITEM_1_BUSINESS"/>
      <w:bookmarkEnd w:id="5"/>
      <w:r>
        <w:rPr>
          <w:rFonts w:ascii="Times New Roman" w:hAnsi="Times New Roman"/>
          <w:b/>
          <w:i w:val="false"/>
          <w:caps w:val="false"/>
          <w:smallCaps w:val="false"/>
          <w:sz w:val="20"/>
        </w:rPr>
        <w:t>ITEM 1. BUSINESS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leading biopharmaceutical company discovering, developing and commercializing a pipeline of first-in-class therapeutics. We apply our pioneering expertise in hypoxia-inducible factor (“HIF”) biology, 2-oxoglutarate enzymology, and connective tissue growth factor (“CTGF”) biology to advance innovative medicines for the treatment of anemia, fibrotic disease, and cancer.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a pipeline of late-stage clinical programs as well as pre-clinical drug candidates at various stages of development that include both small molecules and biologics. We have leveraged our internally developed 2-oxoglutarate and CTGF biology expertise as well as in-licensing of additional programs, such as antibodies targeting Gal-9 and CCR8, to further enhance our late-stage preclinical pipeline. Our goal is to build a diversified pipeline with novel drugs that will address unmet patient needs in oncology, immunology, and fibrosis.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is an overview of our clinical and commercial programs, followed by a more extensive description of each of our drug candidates and the diseases in which we are studying them.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Roxadustat for the Treatment of Anemia in Chronic Kidney Disease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Roxadustat is our most advanced product, an oral small molecule inhibitor of HIF prolyl hydroxylase (“HIF-PH”) activity that acts by stimulating the body’s natural pathway of erythropoiesis, or red blood cell production.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Astellas Pharma Inc. (“Astellas”) and FibroGen are collaborating on the development and commercialization of roxadustat for the potential treatment of anemia in territories including Japan, Europe, Turkey, Russia and the Commonwealth of Independent States, the Middle East, and South Africa. FibroGen and AstraZeneca are collaborating on the development and commercialization of roxadustat for the potential treatment of anemia in the U.S., China, other markets in the Americas, Australia/New Zealand, and Southeast Asia.</w:t>
      </w:r>
    </w:p>
    <w:p>
      <w:pPr>
        <w:pStyle w:val="TextBody"/>
        <w:spacing w:before="240" w:after="0"/>
        <w:rPr>
          <w:caps w:val="false"/>
          <w:smallCaps w:val="false"/>
        </w:rPr>
      </w:pPr>
      <w:r>
        <w:rPr>
          <w:rFonts w:ascii="Times New Roman" w:hAnsi="Times New Roman"/>
          <w:b w:val="false"/>
          <w:i w:val="false"/>
          <w:caps w:val="false"/>
          <w:smallCaps w:val="false"/>
          <w:sz w:val="20"/>
        </w:rPr>
        <w:t xml:space="preserve">We and our collaboration partner, AstraZeneca, continue to expand the commercialization of roxadustat (tradename: </w:t>
      </w:r>
      <w:r>
        <w:rPr>
          <w:rFonts w:eastAsia="Times New Roman"/>
          <w:b w:val="false"/>
          <w:i w:val="false"/>
          <w:caps w:val="false"/>
          <w:smallCaps w:val="false"/>
          <w:sz w:val="20"/>
        </w:rPr>
        <w:t>爱瑞卓</w:t>
      </w:r>
      <w:r>
        <w:rPr>
          <w:rFonts w:ascii="Times New Roman" w:hAnsi="Times New Roman"/>
          <w:b w:val="false"/>
          <w:i w:val="false"/>
          <w:caps w:val="false"/>
          <w:smallCaps w:val="false"/>
          <w:sz w:val="20"/>
        </w:rPr>
        <w:t>®) in China where it is approved for the treatment of anemia caused by chronic kidney disease (“CKD”) in non-dialysis and dialysis patients. Roxadustat was included on the renewed 2021 National Reimbursement Drug List (“NRDL”) released by China’s National Healthcare Security Administration with a meaningful price reduction. We expect annual net sales growth in China for 2022, driven by an acceleration of volume growth that is largely offset by the impact of the reduced NRDL price. As of the fourth quarter 2021, roxadustat was the top CKD anemia brand in China with a 36% value share within the segment of erythropoiesis stimulating agents (“ESAs”) and HIF-PH inhibitors (roxadustat is the only HIF-PH inhibitor on the market in China).</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August 2021, EVRENZO® (roxadustat) was approved for the treatment of adult patients with symptomatic anemia associated with CKD in the European Union and Great Britain. Astellas has launched EVRENZO in Germany, the United Kingdom, the Netherlands, Austria, and the Nordic countries.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Japan, our partner Astellas continues to commercialize EVRENZO for the treatment of anemia associated with CKD in both non-dialysis and dialysis patients.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August 2021, the U.S. Food and Drug Administration (“FDA”) issued a complete response letter (“CRL”) regarding roxadustat’s New Drug Application (“NDA”) for the treatment of anemia due to CKD in adult patients, stating that it could not be approved in its present form. We and our partner, AstraZeneca, met with the FDA and discussed the design of an additional trial in CKD anemia. We continue to discuss the possible development options in the U.S. with AstraZeneca and the FDA.</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Roxadustat for the Treatment of Anemia in Myelodysplastic Syndromes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continue to enroll MATTERHORN, our Phase 2/3 placebo controlled, double-blind clinical trial to evaluate the safety and efficacy of roxadustat for treatment of anemia in myelodysplastic syndromes (“MDS”) in the U.S. and Europe. This 160-patient trial is studying roxadustat in transfusion-dependent, lower-risk MDS patients, in which subjects are randomized 3:2 to receive roxadustat or placebo three-times-weekly. The primary endpoint is the proportion of patients who achieve transfusion independence by 28 weeks with secondary endpoints and safety evaluated at 52 weeks. We expect topline data from this study between the second half of 2022 and the first half of 2023.</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China, we are enrolling the double-blind, placebo-controlled portion of our Phase 3 clinical trial to evaluate the safety and efficacy of roxadustat in non-transfusion dependent, lower-risk MDS patients with anemia. One hundred thirty-five subjects will be randomized 2:1 to receive roxadustat or placebo three-times weekly for 26 weeks. The primary endpoint for this study is the percentage of patients achieving a hemoglobin response.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Roxadustat for the Treatment of Chemotherapy-Induced Anemia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announced positive topline results from WHITNEY, our Phase 2 clinical trial of roxadustat in the U.S. in chemotherapy-induced anemia (“CIA”). It is a single-arm open label study investigating the efficacy and safety of roxadustat for the treatment of anemia in 92 patients receiving myelosuppressive chemotherapy for non-myeloid malignancies, with a treatment duration of 16 weeks. The primary efficacy endpoint of maximum change in hemoglobin within 16 weeks from baseline without red blood cell transfusion was met. We expect to release additional data from this study at an upcoming medical meeting.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plan to begin a randomized, active controlled Phase 3 clinical trial in China of roxadustat in CIA for non-myeloid malignancies. The study will enroll approximately 146 subjects and the primary efficacy endpoint is the mean change in hemoglobin level from baseline to the level averaged over Weeks 9-13.</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Monoclonal Antibody Targeting Connective Tissue Growth Factor (CTGF)</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Pamrevlumab is our first-in-class antibody developed to inhibit the activity of CTGF, a common factor in fibrotic and fibro-proliferative disorders characterized by persistent and excessive scarring that can lead to organ dysfunction and failure.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second quarter of 2021, the FDA granted both Rare Pediatric Disease designation and Fast Track designation for pamrevlumab for the treatment of patients with Duchenne Muscular Dystrophy (“DMD”). In addition, the FDA has previously granted Orphan Drug Designation to pamrevlumab for the treatment of idiopathic pulmonary fibrosis (“IPF”), locally advanced unresectable pancreatic cancer (“LAPC”), and DMD. Pamrevlumab has also received Fast Track designation from the FDA for the treatment of both IPF and LAPC.</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Pamrevlumab for the Treatment of Idiopathic Pulmonary Fibrosis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continue to enroll patients in our two Phase 3 trials of pamrevlumab in IPF patients – ZEPHYRUS-1 and ZEPHYRUS-2, each targeting approximately 340 patients. We expect topline data from ZEPHYRUS-1 in mid-2023.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Similar in design to PRAISE, our completed Phase 2 trial in 101 IPF patients, both of these Phase 3 studies are randomized, double-blind, placebo-controlled trials with a primary efficacy endpoint (for the U.S.) of change from baseline in forced vital capacity (“FVC”). For Europe, these trials have a primary efficacy endpoint of disease progression (defined by a decline in FVC percent predicted of greater than or equal to 10% or death). Secondary endpoints will include clinical outcomes of disease progression, acute IPF exacerbations, patient reported outcomes, and quantitative changes in lung fibrosis volume from baseline.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Pamrevlumab for the Treatment of Locally Advanced Unresectable Pancreatic Cancer</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completed enrollment of LAPIS, our double-blind placebo controlled Phase 3 clinical program for pamrevlumab as a neoadjuvant therapy for LAPC. We enrolled 284 patients, randomized at a 1:1 ratio to receive either pamrevlumab or placebo, in each case in combination with chemotherapy (either FOLFIRINOX or gemcitabine plus nab-paclitaxel). We currently expect topline overall survival data, the primary endpoint, in the first half of 2024. An interim analysis of event-free survival will be conducted in the second quarter of 2022.</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Pamrevlumab for the Treatment of Metastatic Pancreatic Cancer</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June 2021 the Pancreatic Cancer Action Network's (PanCAN) Precision PromiseSM adaptive trial platform included pamrevlumab, with standard of care chemotherapy treatments for pancreatic cancer (gemcitabine and Abraxane®), in its study for patients with metastatic pancreatic cancer. The combination therapy is offered to patients as either a first- or second-line treatment option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Pamrevlumab for the Treatment of Duchenne Muscular Dystrophy</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Non-Ambulatory Patients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completed enrollment of LELANTOS -1, our Phase 3 clinical trial evaluating pamrevlumab in combination with systemic corticosteroids as a treatment for DMD. LELANTOS-1 is a double-blind, placebo-controlled trial in 99 non-ambulatory DMD patients. Patients are randomized at a 1:1 ratio to pamrevlumab or placebo for a treatment period of 52 weeks. The primary endpoint will assess change in upper limb strength from baseline to Week 52 and additional endpoints will include pulmonary, cardiac, performance, and fibrosis assessments. We expect topline data from this study in the first half of 2023.</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Ambulatory Patients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continue to enroll our double-blind, placebo-controlled Phase 3 clinical trial, LELANTOS-2, evaluating pamrevlumab in combination with systemic corticosteroids in approximately 70 ambulatory DMD patients. Patients aged 6-12 will be randomized at a 1:1 ratio to pamrevlumab or placebo for a treatment period of 52 weeks. The primary efficacy endpoint will assess ambulatory function, measured by the change in North Star Ambulatory Assessment from baseline to Week 52.</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ROXADUSTAT FOR THE TREATMENT OF ANEMIA IN CHRONIC KIDNEY DISEASE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collaboration with our partners AstraZeneca and Astellas, we have completed 16 Phase 3 studies worldwide in over 11,000 patients to support our regulatory filings in the U.S., Europe, China, and Japan.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Roxadustat Mechanism of Action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Roxadustat is an orally administered reversible inhibitor of HIF-PH. Inhibition of prolyl hydroxylase stabilizes HIF, which then forms a complex that initiates transcription of a number of genes involved in the erythropoietic process. This in turn stimulates a coordinated response that includes the increase of plasma endogenous erythropoietin (“EPO”) levels and reduction of hepcidin, a key regulator of iron homeostasis, ultimately resulting in increased oxygen delivery to tissues.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anemia of CKD, roxadustat temporarily inhibits HIF-PH, stimulating a coordinated erythropoietic response.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Patients taking roxadustat typically have a transient increase in circulating endogenous EPO levels at peak concentration within or near the physiologic range naturally experienced by humans adapting to hypoxic conditions such as at high altitude, following blood donation, or impaired lung function, such as pulmonary edema.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contrast, ESAs act only to stimulate erythroid maturation without a corresponding increase in iron availability, and are typically dosed at well above the natural physiologic range of EPO. The sudden demand for iron stimulated by ESA-induced erythropoiesis can lead to functional or absolute iron deficiency. We believe these high doses of ESAs are a main cause of the significant safety issues that have been attributed to this class of drugs. In addition, the lack of a coordinated increase in iron availability with ESAs may explain the hyporesponsiveness of patients with inflammation to this class of drugs. It also explains why patients taking ESAs need more IV iron supplementation and red blood cell transfusions than patients taking roxadustat do. Not only are IV iron and blood transfusions more costly than oral iron, but both are also associated with increased risk of hospitalization and death.</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differentiated mechanism of action of roxadustat, which involves induction of the body’s own natural pathways to achieve a more complete erythropoiesis, has the potential to provide a safe and effective treatment for anemia, including in the presence of inflammation, which normally limits iron availability.</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Background of Anemia in Chronic Kidney Disease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CKD is a progressive disease characterized by gradual loss of kidney function that may eventually lead to kidney failure or end-stage renal disease requiring dialysis or a kidney transplant to survive. CKD affects 12% to 14% of the global adult population. CKD is more prevalent in developed countries but is also growing rapidly in emerging markets such as China.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Anemia is a complication of CKD and can be a serious medical condition in which patients have insufficient red blood cells and low levels of hemoglobin, a protein in red blood cells that carries oxygen to cells throughout the body. Anemia becomes increasingly common as kidney function declines and is associated with increased risk of hospitalization, cardiovascular complications and death, and frequently causes significant fatigue, cognitive dysfunction, and considerable reduction of quality of life.</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are approximately 39 million1 CKD patients in the U.S., an estimated 6 million of whom have anemia2.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When ESAs were introduced in 1989, they dramatically reduced the need for blood transfusions in CKD patients, which was a material development since transfusions reduce the patient’s opportunity for a kidney transplant and increase the risk of infections and complications such as heart failure and allergic reactions. However, multiple randomized clinical trials with ESAs suggested safety risks of ESA therapies, and as a result, the anemia guidelines and approved labels have changed to more restrictive use of ESAs.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dialysis-dependent population, most patients start receiving ESAs when the patient is transitioning to dialysis care. As of the end of 2018, there were over 550,000 CKD patients on dialysis in the U.S., a large majority of whom required anemia therapy.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were approximately 127,000 incident dialysis patients in 2018. Despite the higher risk of blood transfusions, cardiovascular events, and hospitalization in patients with anemia, only 14.6% of patients in 2018 were treated with ESAs prior to initiating dialysis notwithstanding a mean hemoglobin level of 9.3 g/dL at the time of dialysis initiation. These treatment figures at the time of dialysis initiation demonstrate how undertreated CKD anemia is currently in non-dialysis patients.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Regulatory Pathway in the United States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August 2021, the U.S. FDA issued a CRL regarding roxadustat’s NDA for the treatment of anemia due to CKD in adult patients, stating that it could not be approved in its present form.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our partner, AstraZeneca, met with the FDA and discussed the design of an additional trial in CKD anemia. We continue to discuss the possible development options in the U.S. with AstraZeneca and the FDA.</w:t>
      </w:r>
    </w:p>
    <w:tbl>
      <w:tblPr>
        <w:tblW w:w="60" w:type="dxa"/>
        <w:jc w:val="left"/>
        <w:tblInd w:w="0" w:type="dxa"/>
        <w:tblCellMar>
          <w:top w:w="0" w:type="dxa"/>
          <w:left w:w="0" w:type="dxa"/>
          <w:bottom w:w="0" w:type="dxa"/>
          <w:right w:w="0" w:type="dxa"/>
        </w:tblCellMar>
      </w:tblPr>
      <w:tblGrid>
        <w:gridCol w:w="60"/>
      </w:tblGrid>
      <w:tr>
        <w:trPr/>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lineRule="auto" w:line="288"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w:t>
            </w:r>
          </w:p>
        </w:tc>
        <w:tc>
          <w:tcPr>
            <w:tcW w:w="1003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Bikbov B et al. “Global regional and national burden of chronic kidney disease 1990-2017 - a systematic analysis for the Global Burden of Disease Study 2017.” The Lancet, 395 (2020): 709-33. Web. 13 Feb. 2020.</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lineRule="auto" w:line="288"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w:t>
            </w:r>
          </w:p>
        </w:tc>
        <w:tc>
          <w:tcPr>
            <w:tcW w:w="1003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15.4% of CKD patients having anemia, (where anemia is defined as hemoglobin levels of ≤ 12 g/dL in women and ≤ 13 g/dL in men.</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6" w:name="page33"/>
      <w:bookmarkEnd w:id="6"/>
      <w:r>
        <w:rPr>
          <w:rFonts w:ascii="Times New Roman" w:hAnsi="Times New Roman"/>
          <w:b/>
          <w:i w:val="false"/>
          <w:caps w:val="false"/>
          <w:smallCaps w:val="false"/>
          <w:sz w:val="20"/>
        </w:rPr>
        <w:t>ROXADUSTAT FOR THE TREATMENT OF ANEMIA IN CHRONIC KIDNEY DISEASE IN CHINA</w:t>
      </w:r>
    </w:p>
    <w:p>
      <w:pPr>
        <w:pStyle w:val="TextBody"/>
        <w:spacing w:lineRule="auto" w:line="288" w:before="120" w:after="0"/>
        <w:rPr>
          <w:caps w:val="false"/>
          <w:smallCaps w:val="false"/>
        </w:rPr>
      </w:pPr>
      <w:r>
        <w:rPr>
          <w:rFonts w:ascii="Times New Roman" w:hAnsi="Times New Roman"/>
          <w:b w:val="false"/>
          <w:i w:val="false"/>
          <w:caps w:val="false"/>
          <w:smallCaps w:val="false"/>
          <w:sz w:val="20"/>
        </w:rPr>
        <w:t xml:space="preserve">In August 2019, roxadustat (China tradename: </w:t>
      </w:r>
      <w:r>
        <w:rPr>
          <w:rFonts w:eastAsia="Times New Roman"/>
          <w:b w:val="false"/>
          <w:i w:val="false"/>
          <w:caps w:val="false"/>
          <w:smallCaps w:val="false"/>
          <w:sz w:val="20"/>
        </w:rPr>
        <w:t>爱瑞卓</w:t>
      </w:r>
      <w:r>
        <w:rPr>
          <w:rFonts w:ascii="Times New Roman" w:hAnsi="Times New Roman"/>
          <w:b w:val="false"/>
          <w:i w:val="false"/>
          <w:caps w:val="false"/>
          <w:smallCaps w:val="false"/>
          <w:sz w:val="18"/>
        </w:rPr>
        <w:t>®</w:t>
      </w:r>
      <w:r>
        <w:rPr>
          <w:rFonts w:ascii="Times New Roman" w:hAnsi="Times New Roman"/>
          <w:b w:val="false"/>
          <w:i w:val="false"/>
          <w:caps w:val="false"/>
          <w:smallCaps w:val="false"/>
          <w:sz w:val="20"/>
        </w:rPr>
        <w:t xml:space="preserve">) received marketing authorization in China for the treatment of anemia caused by CKD in non-dialysis-dependent patients. Treatment for anemia caused by CKD in dialysis-dependent patients was approved in December 2018.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2019, results from our two China Phase 3 clinical trials were published in the </w:t>
      </w:r>
      <w:r>
        <w:rPr>
          <w:rFonts w:ascii="Times New Roman" w:hAnsi="Times New Roman"/>
          <w:b w:val="false"/>
          <w:i/>
          <w:caps w:val="false"/>
          <w:smallCaps w:val="false"/>
          <w:sz w:val="20"/>
        </w:rPr>
        <w:t>New England Journal of Medicine</w:t>
      </w:r>
      <w:r>
        <w:rPr>
          <w:rFonts w:ascii="Times New Roman" w:hAnsi="Times New Roman"/>
          <w:b w:val="false"/>
          <w:i w:val="false"/>
          <w:caps w:val="false"/>
          <w:smallCaps w:val="false"/>
          <w:sz w:val="20"/>
        </w:rPr>
        <w:t>.3 4</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the launch of roxadustat in 2020, and its inclusion on the NRDL, the anemia of CKD market has expanded significantly. Roxadustat has captured a majority of this growth, with the ESA category also demonstrating growth since the launch of roxadustat.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fourth quarter of 2021, roxadustat was the top CKD anemia brand in China with a 36% value share within the segment of ESAs and HIF-PH inhibitors. Roxadustat remains the only HIF-PH inhibitor currently on the market in China and we have seen broad adoption across the three segments of hemodialysis, peritoneal dialysis, and non-dialysis.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there are two critical market access factors for commercialization success in China: hospital listings and reimbursement.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China is mostly a single-payor market with near universal healthcare provided by the government. Over 95% of the population receives healthcare coverage under one government-funded medical reimbursement plan or another, each with different levels of reimbursement. Roxadustat was first included in the 2019 National Reimbursement Drug List (“NRDL”) released by China’s National Healthcare Security Administration, for the treatment of anemia in CKD. The inclusion on the 2019 NRDL was a significant contributor to roxadustat adoption and revenue growth over the last 24 months. Roxadustat was subsequently included on the 2021 NRDL (for the period of January 1, 2022 through December 31, 2023) with a meaningful reduction in price.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the new NRDL price will translate into lower out-of-pocket costs and increased affordability for our patients. We expect annual net sales growth in China for 2022, driven by an acceleration of volume growth that is largely offset by the impact of the reduced NRDL price.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enjoyed rapid hospital listing in China, and as of the end of 2021, roxadustat was listed in hospitals that represent approximately 80% of the addressable CKD anemia market. Given that approximately 90% of the market in China is hospital-based, and listing in hospital formularies is a pre-requisite to physicians being able to prescribe roxadustat, listings have been another important growth driver for us.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a number of practice guidelines published in China by various medical societies and government entities will elevate awareness about the importance of treatment of anemia in chronic kidney disease, in particular, the importance of early initiation and treating to target. Among them:</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 2021, the Chinese Nephrologist Association published treatment guidelines for anemia associated with chronic kidney disease, and recommended that patients be treated to a target hemoglobin level above or equal to 11g/dL, but not above 13g/dL. This is the first guideline in the world that included roxadustat as a therapy, in addition to oral iron, intravenous iron, and ESAs.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The National Health Commission announced revised Blood Purification Standard Operating Procedures for 2021, which also recommended that patients be treated to a target hemoglobin level above or equal to 11g/dL, but not above 13g/dL.</w:t>
            </w:r>
          </w:p>
        </w:tc>
      </w:tr>
    </w:tbl>
    <w:tbl>
      <w:tblPr>
        <w:tblW w:w="60" w:type="dxa"/>
        <w:jc w:val="left"/>
        <w:tblInd w:w="0" w:type="dxa"/>
        <w:tblCellMar>
          <w:top w:w="0" w:type="dxa"/>
          <w:left w:w="0" w:type="dxa"/>
          <w:bottom w:w="0" w:type="dxa"/>
          <w:right w:w="0" w:type="dxa"/>
        </w:tblCellMar>
      </w:tblPr>
      <w:tblGrid>
        <w:gridCol w:w="60"/>
      </w:tblGrid>
      <w:tr>
        <w:trPr/>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tcPr>
          <w:p>
            <w:pPr>
              <w:pStyle w:val="TableContents"/>
              <w:spacing w:lineRule="auto" w:line="288"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3 </w:t>
            </w:r>
          </w:p>
        </w:tc>
        <w:tc>
          <w:tcPr>
            <w:tcW w:w="10050" w:type="dxa"/>
            <w:tcBorders/>
            <w:shd w:fill="auto" w:val="clear"/>
          </w:tcPr>
          <w:p>
            <w:pPr>
              <w:pStyle w:val="TableContents"/>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 Chen, et al. “Roxadustat Treatment for Anemia in Patients Undergoing Long-Term Dialysis” N Engl J Med 381 (2019): 1011-22. DOI: 10.1056/NEJMoa1901713</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tcPr>
          <w:p>
            <w:pPr>
              <w:pStyle w:val="TableContents"/>
              <w:spacing w:lineRule="auto" w:line="288"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4 </w:t>
            </w:r>
          </w:p>
        </w:tc>
        <w:tc>
          <w:tcPr>
            <w:tcW w:w="10050" w:type="dxa"/>
            <w:tcBorders/>
            <w:shd w:fill="auto" w:val="clear"/>
          </w:tcPr>
          <w:p>
            <w:pPr>
              <w:pStyle w:val="TableContents"/>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 Chen, et al. “Roxadustat for Anemia in Patients with Kidney Disease Not Receiving Dialysis” N Engl J Med 381 (2019): 1001-1010. DOI: 10.1056/NEJMoa1813599</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ROXADUSTAT FOR THE TREATMENT OF ANEMIA IN CHRONIC KIDNEY DISEASE IN JAPAN</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Japan, our partner Astellas continues the commercial launch of EVRENZO® (roxadustat), targeting healthcare providers that care for approximately 330,000 dialysis patients across Japan. EVRENZO is now approved for the treatment of anemia associated with CKD in both non-dialysis and dialysis patients. The supplemental NDA for the use of roxadustat in patients with anemia of CKD not on dialysis was approved in November 2020 by the Pharmaceuticals and Medical Devices Agency. EVRENZO is one of five HIF-PH inhibitors currently on the market in Japan.</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ROXADUSTAT FOR THE TREATMENT OF CHEMOTHERAPY-INDUCED ANEMIA AND ANEMIA ASSOCIATED WITH MYELODYSPLASTIC SYNDROMES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roxadustat’s mechanism of action and safety and efficacy profile to date, we believe it has the potential to treat anemia associated with many other conditions, including CIA and MDS.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Background of Chemotherapy-Induced Anemia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blood cell production in bone marrow is highly prolific, it is particularly vulnerable to the cytotoxic effects of chemotherapy used to treat cancer patients. Many chemotherapy agents directly impair hematopoiesis in bone marrow, including disruption of red blood cell production. The nephrotoxic effects of some cytotoxic agents, such as platinum-containing agents, can also result in decreased production of erythropoietin by the kidneys, further contributing to reduced red blood cell production. Radiation therapy has also been associated with hematologic toxicity.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Approximately 40% of total solid tumor cancer patients, or approximately 6.8 million people, undergo chemotherapy each year globally, including 1.7 million in the U.S. and 3.2 million in China. Between 60% and 80% of these patients develop anemia. The incidence and severity of CIA depend on a variety of factors, including the tumor type or the level of toxicity of the therapy, and further increases with each successive chemotherapy round. We believe the addressable population is approximately 600,000 in the U.S. and 500,000 in China.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ESAs have been recommended for patients experiencing CIA with the desirable goals of improvement in anemia-related symptoms and the avoidance of blood transfusion, which increases risk of infections and the risk of complications such as heart failure and allergic reactions. However, not all CIA patients respond to ESA therapy, which may be due to the etiology of their CIA or inflammatory comorbidity. ESA use also has associated toxicities, including increased thrombotic events, possible decreased survival and accelerated tumor progression, as published from randomized clinical trials and meta-analyses, that led to label restrictions and boxed warnings for ESAs in cancer populations in 2007, followed by the ESA Risk Evaluation and Mitigation Strategy (“REMS”) program.</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Market Opportunity for Roxadustat in Chemotherapy-Induced Anemia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ESA sales for CIA dropped significantly in the U.S. since the reported safety risks of ESA use in cancer patients in 2006, from estimated $2.5 billion in 2006 to less than $0.5 billion in 2019. During the same period, the prevalence of diagnosed CIA remained at similar levels, and is expected to grow slightly.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if our clinical program shows an acceptable safety and efficacy profile, roxadustat would have the potential to address anemia in this population of patients undergoing chemotherapy.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Clinical Development of Roxadustat in Chemotherapy-Induced Anemia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announced positive topline results from WHITNEY, our Phase 2 clinical trial of roxadustat in the U.S. in CIA. It is a single-arm open label study investigating the efficacy and safety of roxadustat for the treatment of anemia in 92 patients receiving myelosuppressive chemotherapy treatment for non-myeloid malignancies, with a treatment duration of 16 weeks. The primary efficacy endpoint of maximum change in hemoglobin within 16 weeks from baseline without red blood cell transfusion was met. We expect to release additional data from this study at an upcoming medical meeting.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plan to begin a randomized, active controlled Phase 3 clinical trial in China of roxadustat in CIA for non-myeloid malignancies. The study will enroll approximately 146 subjects and the primary efficacy endpoint is the mean change in hemoglobin level from baseline to the level averaged over Weeks 9-13.</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Background of Anemia in Myelodysplastic Syndromes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MDS are a diverse group of bone marrow disorders characterized by ineffective production of healthy blood cells and premature destruction of blood cells in the bone marrow, leading to anemia. In most MDS patients, the cause of the disease is unknown.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prevalence of MDS in the U.S. is estimated to be between 60,000 and 170,000, and continues to rise as more therapies become available and patients are living longer with MDS. Annual incidence rates are estimated to be 4.9/100,000 adults in the U.S., and 1.51/100,000 adults in China.</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Anemia is the most common clinical presentation in MDS, seen in approximately 80% of MDS patients, and producing symptoms, including fatigue, weakness, exercise intolerance, shortness of breath, dizziness, and cognitive impairment.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Limitations of the Current Standard of Care for Anemia in Myelodysplastic Syndromes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Stem cell transplant is the only potentially curative therapy for MDS, but it is not feasible in most patients due to their advanced age and frailty. The high rate of severe anemia leaves recurring red blood cell transfusions as the mainstay of care in MDS patients. Transfusion can result in direct organ damage through transfusional iron overload. Transfusion dependent MDS patients suffer higher rates of cardiac events, infections and transformation to acute leukemia, and a decreased overall survival rate when compared with non-transfused patients with MDS, and decreased survival compared to an age-matched elderly population. Patients receiving red blood cell transfusions may require an iron chelator in order to address toxic elements of iron overload such as lipid peroxidation and cell membrane, protein, DNA, and organ damage.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Lower-risk MDS patients represent approximately 77% of the total diagnosed MDS population. Most national and international guidelines recommend use of ESAs for anemia only in lower-risk MDS patients presenting with symptomatic anemia with serum EPO levels at or below 500 mU/mL.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among the eligible subpopulation, the effectiveness of ESAs in treating anemia in MDS remains limited, with the best clinical study results showing 40% to 60% erythroid response rates, in studies where significantly high doses of ESAs were used, enrolled patients had low serum EPO levels, and in lower-risk categories. New strategies to broaden the eligible population, improve anemia and maintain adequate iron balance, as well as avoidance of transfusions, are highly desired in managing patients with MDS.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Reblozyl®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 In addition, Geron Corporation is enrolling a Phase 3 clinical trial of imetelstat in lower risk MDS.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Market Opportunity for Roxadustat in Myelodysplastic Syndromes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there is a significant need for a safer, more effective, and more convenient option to address anemia in patients with lower-risk MDS. Roxadustat, our orally administered small molecule HIF-PH inhibitor, stimulates the body’s natural mechanism of red blood cell production and iron hemostasis based on cellular-level oxygen-sensing and iron-regulation mechanisms. Unlike ESAs which are limited to providing exogenous EPO, roxadustat activates a coordinated erythropoietic response in the body that includes the stimulation of red blood cell progenitors, an increase in the body’s production of endogenous EPO, and an increase in iron availability for hemoglobin synthesis, which we believe is important in a broad range of MDS patients. Moreover, in anemia of CKD, roxadustat has demonstrated the ability in clinical trials to increase and maintain hemoglobin levels in the presence of inflammation as measured by CRP, where ESAs have shown limited effect. We believe that roxadustat has the potential to replicate this result in MDS anemia patients, where it is not uncommon for patients to present with autoimmune and inflammatory conditions.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Clinical Development of Roxadustat in Myelodysplastic Syndromes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continue to enroll MATTERHORN, our Phase 2/3 placebo controlled, double-blind clinical trial to evaluate the safety and efficacy of roxadustat for treatment of anemia in MDS in the U.S. and Europe. This 160-patient trial is studying roxadustat in transfusion-dependent, lower-risk MDS patients, in which subjects are randomized 3:2 to receive roxadustat or placebo three-times-weekly. The primary endpoint is the proportion of patients who achieve transfusion independence by 28 weeks with secondary endpoints and safety evaluated at 52 weeks. We expect topline data from this study between the second half of 2022 and the first half of 2023.</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China, we are enrolling the randomized, double-blind, placebo-controlled portion of our Phase 3 clinical trial to evaluate the safety and efficacy of roxadustat in non-transfusion dependent, lower-risk MDS patients with anemia. One hundred thirty-five subjects will be randomized 2:1 to receive roxadustat or placebo three-times weekly for 26 weeks. The primary endpoint for this study is the percentage of patients achieving a hemoglobin response.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PAMREVLUMAB FOR THE TREATMENT OF FIBROSIS AND CANCER</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deep research and discovery expertise in fibrosis indicate that CTGF is a critical common element in the progression of serious diseases associated with fibrosis.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our library of human monoclonal antibodies that bind to different parts of the CTGF protein and block various aspects of CTGF biological activity, we selected pamrevlumab, for which we have exclusive worldwide rights. In preclinical studies we demonstrated that pamrevlumab disrupts the fibrosis-promoting activity of CTGF, and based on those data believe that it can inhibit the central role of CTGF in causing diseases associated with fibrosis. Our data to date indicate that pamrevlumab is a promising and highly differentiated product candidate with broad potential to treat a number of fibrotic diseases and cancers.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currently conducting Phase 3 studies in IPF, LAPC, metastatic pancreatic cancer, and DMD. In the U.S., the FDA has granted Orphan Drug Designation to pamrevlumab for the treatment of IPF, LAPC, and DMD. In addition, the European Medicines Agency (“EMA”) has granted Orphan Medicinal Product Designation to pamrevlumab for the treatment of DMD. Pamrevlumab has also received Fast Track designation from the FDA for the treatment of both IPF and LAPC.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Overview of Fibrosis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Fibrosis is an aberrant response of the body to tissue injury that may be caused by trauma, inflammation, infection, cell injury, or cancer. The normal response to injury involves the activation of cells that produce collagen and other components of the extracellular matrix (“ECM”) that are part of the healing process. This healing process helps to fill in tissue voids created by the injury or damage, segregate infections or cancer, and provide strength to the recovering tissue. Under normal circumstances, where the cause of the tissue injury is limited, the scarring process is self-limited and the scar resolves to approximate normal tissue architecture. However, in certain disease states, this process is prolonged and excessive and results in progressive tissue scarring, or fibrosis, which can cause organ dysfunction and failure as well as, in the case of certain cancers, promote cancer progression.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Excess CTGF levels are associated with fibrosis. CTGF increases the abundance of myofibroblasts, a cell type that drives wound healing, and stimulates them to deposit ECM proteins such as collagen at the site of tissue injury. In the case of normal healing of a limited tissue injury, myofibroblasts eventually die by programmed cell death, or apoptosis, and the fibrous scarring process recedes.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Multiple biological agents and pathways have been implicated in the fibrotic process, many of which converge on CTGF, a central mediator of fibrosis. In the case of cancer, the sustained tumor-associated fibrotic tissue promotes tumor cell survival and metastasis. CTGF is a secreted glycoprotein produced by fibroblasts, endothelium, mesangial cells and other cell types, including cancers, and is induced by a variety of regulatory modulators, including TGF-ß and VEGF. CTGF expression has been demonstrated to be up-regulated in fibrotic tissues. Thus, we  focused on targeting CTGF to block or inhibit its activity to mitigate, stop or reverse tissue fibrosis. In addition, since CTGF is implicated in nearly all forms of fibrosis, we believe pamrevlumab has the potential to provide clinical benefit in a wide range of clinical indications that are characterized by fibrosis.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Until recently, it was believed that fibrosis was an irreversible process. It is now generally understood that the process is dynamic and potentially amenable to reversal. Based on studies in animal models of fibrosis of the liver, kidney, muscle and cardiovascular system, it has been shown that fibrosis can be reversed. It has also been demonstrated in humans that fibrosis caused by hepatitis virus can be reversed (Chang et al. Hepatology (2010)). Additionally, we generated data in human and animal studies suggesting that lung fibrosis progression can be slowed, arrested, or possibly reversed in some instances upon treatment with pamrevlumab.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Clinical Development of Pamrevlumab — Overview</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performed clinical trials of pamrevlumab in IPF, pancreatic cancer, DMD, liver fibrosis, and diabetic kidney disease. In clinical studies involving pamrevlumab to date, including more than 800 patients who were treated with pamrevlumab (about half of patients dosed for more than six months), pamrevlumab has been well-tolerated across the range of doses studied, and there have been no dose-limiting toxicities seen thus far.</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Idiopathic Pulmonary Fibrosis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Understanding IPF and Current Therapies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IPF is a form of progressive pulmonary fibrosis, or abnormal scarring, which destroys the structure and function of the lungs. As tissue scarring progresses in the lungs, transfer of oxygen into the bloodstream is increasingly impaired. Average life expectancy at the time of confirmed diagnosis of IPF is estimated to be between three to five years, with approximately two-thirds of patients dying within five years of diagnosis. Thus, the survival rates are comparable to some of the most deadly cancers. The cause of IPF is unknown but is believed to be related to injury to the alveolar epithelial cells, inflammation and fibrosis.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Patients with IPF experience debilitating symptoms, including shortness of breath and difficulty performing routine functions, such as walking and talking. Other symptoms include chronic dry, hacking cough, fatigue, weakness, discomfort in the chest, loss of appetite, and weight loss. Over the last decade, refinements in diagnosis criteria and enhancements in high-resolution computed tomography imaging technology (“quantitative HRCT”) have enabled more reliable diagnosis of IPF without the need for a lung biopsy.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prevalence and incidence of IPF are estimated to be 44,000 to 135,000 cases, and 21,000 new cases per year, respectively, based on Raghu et al. (Am J Respir Crit Care Med (2006)) and on data from the United Nations Population Division. We believe that with the availability of technology to enable more accurate diagnoses, the number of individuals diagnosed per year with IPF will continue to increase.</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currently two anti-fibrotic therapies approved to treat IPF in Europe and the U.S., pirfenidone and nintedanib. The approvals and subsequent launches of Esbriet® (pirfenidone) and Ofev® (nintedanib) have clearly shown the commercial potential in IPF. Hoffmann-La Roche (“Roche”) reported worldwide sales of approximately $1.28 billion for 2020 and $1.12 billion for 2021 for Esbriet (pirfenidone). Boehringer Ingelheim Pharma GmbH &amp; Co. KG (“Boehringer Ingelheim”) reported total sales of approximately $1.7 billion for Ofev (nintedanib) in 2019 and approximately $2.35 billion in 2020.</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Phase 3 Clinical Development – Randomized, Double-Blind, Placebo-Controlled Trials of Pamrevlumab in IPF</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continue to enroll patients in our two Phase 3 trials of pamrevlumab in IPF patients, ZEPHYRUS-1 and ZEPHYRUS-2, each targeting approximately 340 patients.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Similar to PRAISE, our completed Phase 2 trial in 101 IPF patients, both of these Phase 3 studies are double-blind, placebo-controlled trials with a primary efficacy endpoint (for the U.S.) of change from baseline in FVC. We expect topline data from ZEPHYRUS-1 in mid-2023.</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primary efficacy endpoint for Europe for each study is disease progression (defined by a decline in FVC percent predicted of greater than or equal to 10% or death). Secondary endpoints will include clinical outcomes of disease progression, acute IPF exacerbation, patient reported outcomes, and quantitative changes in lung fibrosis volume from baseline.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near completion of enrollment for ZEPHYRUS-1. However, the COVID-19 pandemic has particularly affected enrollment in ZEPHYRUS-2, which we are primarily enrolling in Europe. In addition to efforts we are making in ensuring patient safety, we are also working to expand enrollment through a number of methods, including enrolling patients in China.</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PRAISE – Study 067 – Randomized, Double-Blind, Placebo-Controlled Phase 2 Trial of Pamrevlumab in IPF</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Positive results from PRAISE, our randomized, double-blind, placebo-controlled Phase 2 clinical trial (Study 067), were published in </w:t>
      </w:r>
      <w:r>
        <w:rPr>
          <w:rFonts w:ascii="Times New Roman" w:hAnsi="Times New Roman"/>
          <w:b w:val="false"/>
          <w:i/>
          <w:caps w:val="false"/>
          <w:smallCaps w:val="false"/>
          <w:sz w:val="20"/>
        </w:rPr>
        <w:t>The</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 xml:space="preserve">Lancet Respiratory Medicine (September 2019). </w:t>
      </w:r>
      <w:r>
        <w:rPr>
          <w:rFonts w:ascii="Times New Roman" w:hAnsi="Times New Roman"/>
          <w:b w:val="false"/>
          <w:i w:val="false"/>
          <w:caps w:val="false"/>
          <w:smallCaps w:val="false"/>
          <w:sz w:val="20"/>
        </w:rPr>
        <w:t>PRAISE was designed to evaluate the safety and efficacy of pamrevlumab in patients with mild-to-moderate IPF (baseline FVC percentage predicted of 55%), as well as topline results from two sub-studies that were added to evaluate the safety of combining pamrevlumab with approved IPF therapies.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double-blind, placebo-controlled 48-week portion of this study, 103 patients were randomized (1:1) to receive either 30mg/kg of pamrevlumab or placebo intravenously every three weeks. Lung function assessments were conducted at baseline and at Weeks 12, 24, 36 and 48. Quantitative HRCT assessments were performed at baseline and at Weeks 24 and 48.</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Pamrevlumab met the primary efficacy endpoint of change of FVC percent predicted, a measure of a patient’s lung volume as a percentage of what would be expected for such patient’s age, race, sex and height. The average decline (least squares mean) in FVC percent predicted from baseline to Week 48 was 2.9 in the pamrevlumab arm (n=50) as compared to an average decline of 7.2 in the placebo arm (n=51), a statistically significant difference of 4.33 (p=0.033).</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FVC Change by Visit</w:t>
      </w:r>
    </w:p>
    <w:p>
      <w:pPr>
        <w:pStyle w:val="TextBody"/>
        <w:spacing w:before="240" w:after="0"/>
        <w:jc w:val="center"/>
        <w:rPr>
          <w:caps w:val="false"/>
          <w:smallCaps w:val="false"/>
        </w:rPr>
      </w:pPr>
      <w:r>
        <w:rPr>
          <w:caps w:val="false"/>
          <w:smallCaps w:val="false"/>
        </w:rPr>
        <w:drawing>
          <wp:inline distT="0" distB="0" distL="0" distR="0">
            <wp:extent cx="4791075" cy="2343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91075" cy="2343150"/>
                    </a:xfrm>
                    <a:prstGeom prst="rect">
                      <a:avLst/>
                    </a:prstGeom>
                  </pic:spPr>
                </pic:pic>
              </a:graphicData>
            </a:graphic>
          </wp:inline>
        </w:drawing>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Pamrevlumab-treated patients had an average decrease (least squares mean) in FVC of 129 ml at Week 48 compared to an average decrease of 308 ml in patients receiving placebo, a statistically significant difference of 178 ml (p=0.0249, using a linear slope analysis in the intent-to-treat population). This represents a 57.9% relative difference. In addition, the pamrevlumab-treated arm had a lower proportion of patients (10%) who experienced disease progression (defined by a decline in FVC percent predicted of greater than or equal to 10% or death), than did the placebo arm (31.4%) at Week 48 (p=0.0103).</w:t>
      </w:r>
    </w:p>
    <w:p>
      <w:pPr>
        <w:pStyle w:val="TextBody"/>
        <w:spacing w:before="3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Proportion of Patients with Decline in Percentage of Predicted FVC of 10% or Greater, or Death, by Visit</w:t>
      </w:r>
    </w:p>
    <w:p>
      <w:pPr>
        <w:pStyle w:val="TextBody"/>
        <w:spacing w:before="240" w:after="0"/>
        <w:jc w:val="center"/>
        <w:rPr>
          <w:caps w:val="false"/>
          <w:smallCaps w:val="false"/>
        </w:rPr>
      </w:pPr>
      <w:r>
        <w:rPr>
          <w:caps w:val="false"/>
          <w:smallCaps w:val="false"/>
        </w:rPr>
        <w:drawing>
          <wp:inline distT="0" distB="0" distL="0" distR="0">
            <wp:extent cx="4448175" cy="2228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48175" cy="2228850"/>
                    </a:xfrm>
                    <a:prstGeom prst="rect">
                      <a:avLst/>
                    </a:prstGeom>
                  </pic:spPr>
                </pic:pic>
              </a:graphicData>
            </a:graphic>
          </wp:inline>
        </w:drawing>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this study, we measured change in quantitative lung fibrosis (“QLF”) from baseline to Week 24 and Week 48 using quantitative HRCT. The pamrevlumab arm achieved a statistically significant reduction in the rate of progression of lung fibrosis compared to placebo using HRCT to measure QLF. The change in QLF volume from baseline to Week 24 for pamrevlumab-treated patients was 24.8 ml vs. 86.4 ml for placebo, with a treatment difference of -61.6 ml (p=0.009). The change in QLF volume from baseline to 48 weeks was 75.4 ml in pamrevlumab-treated patients vs. 151.5 ml in patients on placebo, with a treatment difference of -76.2 ml (p=0.038).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 from Baseline in Volume of Quantitative Lung Fibrosis (mL) in the Intention-to-Treat Population</w:t>
      </w:r>
    </w:p>
    <w:p>
      <w:pPr>
        <w:pStyle w:val="TextBody"/>
        <w:spacing w:before="240" w:after="0"/>
        <w:jc w:val="center"/>
        <w:rPr>
          <w:caps w:val="false"/>
          <w:smallCaps w:val="false"/>
        </w:rPr>
      </w:pPr>
      <w:r>
        <w:rPr>
          <w:caps w:val="false"/>
          <w:smallCaps w:val="false"/>
        </w:rPr>
        <w:drawing>
          <wp:inline distT="0" distB="0" distL="0" distR="0">
            <wp:extent cx="4667250" cy="2305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67250" cy="2305050"/>
                    </a:xfrm>
                    <a:prstGeom prst="rect">
                      <a:avLst/>
                    </a:prstGeom>
                  </pic:spPr>
                </pic:pic>
              </a:graphicData>
            </a:graphic>
          </wp:inline>
        </w:drawing>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in our previous open label Phase 2 study, a correlation between FVC percent predicted and QLF was confirmed at both Week 24 and 48 in this study.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not aware of any other IPF therapies that have shown a statistically significant effect on lung fibrosis as measured by quantitative HRCT analysis.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treatment effects of pamrevlumab were demonstrated not only on change in FVC, a measure of pulmonary function and IPF disease progression, and change in fibrosis using quantitative HRCT, but pamrevlumab-treated patients also showed a trend of clinically meaningful improvement in a measure of health-related quality of life using the St. George’s Respiratory Questionnaire vs. a reduction in quality of life seen in placebo patients over the 48 weeks of treatment. The St. George’s Respiratory Questionnaire quality of life measurement has been validated in chronic obstructive pulmonary disease. In the subgroup of patients that were evaluated by the UCSD Shortness of Breath Questionnaire, pamrevlumab-treated patients had a significant attenuation of their worsening dyspnea in comparison to placebo patients.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Pamrevlumab was well-tolerated in the placebo-controlled study. The treatment-emergent adverse events were comparable between the pamrevlumab and placebo arms and the adverse events in the pamrevlumab arm were consistent with the known safety profile of pamrevlumab. In this study, as compared with the placebo group, fewer pamrevlumab patients were hospitalized, following an IPF-related or respiratory treatment-emergent adverse event, or died for any reason.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double-blind, active-controlled combination sub-studies were designed to assess the safety of combining pamrevlumab with standard of care medication in IPF patients. Study subjects were on stable doses of pirfenidone or nintedanib for at least three months and were randomized 2:1 to receive 30 mg/kg of pamrevlumab or placebo every three weeks for 24 weeks. Thirty-six patients were enrolled in the pirfenidone sub-study and 21 patients were enrolled in the nintedanib sub-study. Pamrevlumab appeared to be well-tolerated when given in combination with either pirfenidone or nintedanib.</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Study 049 – Open-Label Phase 2 Trial of Pamrevlumab in IPF</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completed open-label extension of Study 049, a Phase 2 open-label, dose-escalation study to evaluate the safety, tolerability, and efficacy of pamrevlumab in 89 patients with IPF, was consistent with the results from our randomized, double-blind, placebo-controlled Phase 2 clinical trial PRAISE. We presented data from our open-label Phase 2 IPF extension study (049) at the International Colloquium on Lung and Airway Fibrosis in November 2016, reporting that no safety issues were observed during prolonged treatment with pamrevlumab.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Pancreatic Cancer</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Understanding Pancreatic Cancer and the Limitations of Current Therapies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solid malignant tumors have a prominent fibrosis component consisting mostly of ECM that contributes to metastasis and progressive disease. ECM is the connective tissue framework of an organ or tissue.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Pancreatic ductal adenocarcinoma, or pancreatic cancer, is the third leading cause of cancer deaths in the U.S. According to the European Commission’s European Cancer Information System, there were 100,005 new cases of pancreatic cancer and 95,373 deaths from pancreatic cancer in Europe projected for 2018. The National Cancer Center of Japan estimated that there were 36,239 new cases of pancreatic cancer in 2014, an increase from 24,442 cases in 2004. In its report of December 2017, Decision Resources Group estimated that the major market sales (U.S., Europe and Japan) of pancreatic cancer drugs would grow from $1.3 billion in 2016 to approximately $3.7 billion in 2026. According to the U.S. National Cancer Institute, there were an estimated 57,000 new cases of pancreatic cancer in the U.S. in 2019. Fifty percent of new cases are metastatic. Another 15-20% have localized resectable tumors. The remaining 30-35% have localized but unresectable tumors.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those with non-resectable tumors, median survival is eight to 12 months post-diagnosis, and about 8% achieve five years of survival; similar to metastatic cases. For those with resectable tumors, 50% survive 17 to 27 months post-diagnosis and ~20% achieve five-year survival.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Pancreatic cancer is aggressive and typically not diagnosed until it is largely incurable. Most patients are diagnosed after the age of 45, and according to the American Cancer Society, 94% of patients die within five years from diagnosis. The majority of patients are treated with chemotherapy, but pancreatic cancer is highly resistant to chemotherapy. Approximately 15% to 20% of patients are treated with surgery; however, even for those with successful surgical resection, the median survival is approximately two years, with a five-year survival rate of 15% to 20% (Neesse et al. Gut (2011)). Radiation treatment may be used for locally advanced diseases, but it is not curative.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duration of effect of approved anti-cancer agents to treat pancreatic cancer is limited. Gemcitabine demonstrated improvement in median overall survival from approximately four to six months, and erlotinib in combination with gemcitabine demonstrated an additional ten days of survival. Nab-paclitaxel in combination with gemcitabine was approved by the FDA in 2013 for the treatment of pancreatic cancer, having demonstrated median survival of 8.5 months. The combination of folinic acid, 5-fluorouracil, irinotecan and oxaliplatin (FOLFIRINOX) was reported to increase survival to 11.1 months from 6.8 months with gemcitabine. These drugs illustrate that progress in treatment for pancreatic cancer has been modest, and there remains a need for substantial improvement in patient survival and quality of life.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approved chemotherapeutic treatments for pancreatic cancer target the cancer cells themselves. Tumors are composed of cancer cells and associated non-cancer tissue, or stroma, of which ECM is a major component. In certain cancers such as pancreatic cancer, both the stroma and tumor cells produce CTGF which in turn promotes the proliferation and survival of stromal and tumor cells. CTGF also induces ECM deposition that provides advantageous conditions for tumor cell adherence and proliferation, promotes blood vessel formation, or angiogenesis, and promotes metastasis, or tumor cell migration, to other parts of the body.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Pancreatic cancers are generally resistant to powerful chemotherapeutic agents, and there is now growing interest in the use of an anti-fibrotic agent to diminish the supportive role of stroma in tumor cell growth and metastasis. The anti-tumor effects observed with pamrevlumab in preclinical models indicate that it has the potential to inhibit tumor expansion through effects on tumor cell proliferation and apoptosis as well as reduce metastasis.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Phase 3 Clinical Development – Randomized, Double-Blind, Placebo-Controlled Trial of Pamrevlumab in Locally Advanced Unresectable Pancreatic Cancer</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completed enrollment of LAPIS, our double-blind placebo controlled Phase 3 clinical program for pamrevlumab as a neoadjuvant therapy for LAPC. Two-hundred eighty-four patients were randomized at a 1:1 ratio to receive either pamrevlumab or placebo, in each case in combination with chemotherapy (either FOLFIRINOX or gemcitabine plus nab-paclitaxel). We currently expect topline overall survival data, the primary endpoint, in the first half of 2024. An interim analysis of event-free survival will be conducted in the second quarter of 2022.</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Metastatic Pancreatic Cancer</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June 2021, the Pancreatic Cancer Action Network's (PanCAN) Precision PromiseSM adaptive trial platform included pamrevlumab, with standard of care chemotherapy treatments for pancreatic cancer (gemcitabine and Abraxane®), in its study for patients with metastatic pancreatic cancer. The combination therapy is offered to patients as either a first- or second-line treatment option, marking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Study 069 – Randomized, Open-Label, Active-Controlled Phase 1/2 Trial of Pamrevlumab in Locally Advanced Unresectable Pancreatic Cancer</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continue to follow patients in our ongoing open-label, randomized (2:1) Phase 1/2 trial (FGC004C-3019-069) of pamrevlumab combined with gemcitabine plus nab-paclitaxel chemotherapy vs. the chemotherapy regimen alone in patients with inoperable LAPC that has not been previously treated. We enrolled 37 patients in this study and completed the six-month treatment period and surgical assessment at the end of 2017. The overall goal of the trial is to determine whether the pamrevlumab combination can convert inoperable pancreatic cancer to operable, or resectable, cancer. Tumor removal is the only chance for cure of pancreatic cancer, but only approximately 15% to 20% of patients are eligible for surgery.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reported updated results from this ongoing study at the American Society of Clinical Oncology Annual Meeting in June 2018. A higher proportion (70.8%) of pamrevlumab-treated patients whose tumors were previously considered unresectable became eligible for surgical exploration than patients who received chemotherapy alone (15.4%), based on pre-specified eligibility criteria at the end of 6 months of treatment. Furthermore, a higher proportion of pamrevlumab-treated patients (33.3%) achieved surgical resection than those who received chemotherapy alone (7.7%).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this data showed improved overall survival among patients whose tumors were resected vs. not resected (NE vs. 18.56 months, p-value=0.0141) and a trend toward improved overall survival in patients eligible for surgery vs. patients who were not (27.73 vs. 18.40 months, p-value=0.0766). All of the patients on study at the time of the results reported in June 2018 continue to remain on study. No increase in serious adverse events was observed in the pamrevlumab arm and no delay in wound healing was observed post-surgery.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Patients with LAPC have a median survival of less than 12 months, only slightly better than patients with metastatic pancreatic cancer, whereas patients with resectable pancreatic cancer have a much better prognosis with median survival of approximately 23 months and some patients being cured. If pamrevlumab in combination with chemotherapy continues to demonstrate an enhanced rate of conversion from unresectable cancer to resectable cancer, it may support the possibility that pamrevlumab could provide a substantial survival benefit for LAPC patients.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Completed Clinical Trials of Pamrevlumab in Pancreatic Cancer</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completed an open-label Phase 1/2 (FGCL-MC3019-028) dose finding trial of pamrevlumab combined with gemcitabine plus erlotinib in patients with previously untreated locally advanced (Stage 3) or metastatic (Stage 4) pancreatic cancer. These study results were published in the </w:t>
      </w:r>
      <w:r>
        <w:rPr>
          <w:rFonts w:ascii="Times New Roman" w:hAnsi="Times New Roman"/>
          <w:b w:val="false"/>
          <w:i/>
          <w:caps w:val="false"/>
          <w:smallCaps w:val="false"/>
          <w:sz w:val="20"/>
        </w:rPr>
        <w:t>Journal of Cancer</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 xml:space="preserve">Clinical Trials </w:t>
      </w:r>
      <w:r>
        <w:rPr>
          <w:rFonts w:ascii="Times New Roman" w:hAnsi="Times New Roman"/>
          <w:b w:val="false"/>
          <w:i w:val="false"/>
          <w:caps w:val="false"/>
          <w:smallCaps w:val="false"/>
          <w:sz w:val="20"/>
        </w:rPr>
        <w:t xml:space="preserve">(Picozzi et al., J Cancer Clin Trials 2017, 2:123). Treatment continued until progression of the cancer or the patient withdrew for other reasons. Patients were then followed until death.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Seventy-five patients were enrolled in this study with 66 (88%) having Stage 4 metastatic cancer. The study demonstrated a dose-related increase in survival. At the lowest doses, no patients survived for even one year while at the highest doses up to 31% of patients survived one year.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post-hoc analysis found that there was a significant relationship between survival and trough levels of plasma pamrevlumab measured immediately before the second dose (Cmin), as illustrated below. Cmin greater than or equal to 150 µg/mL was associated with significantly improved progression-free survival (p=0.01) and overall survival (p=0.03) vs. those patients with Cmin less than 150 µg/mL. For patients with Cmin &gt;150 µg/mL median survival was 9.0 months compared to median survival of 4.4 months for patients with Cmin &lt;150 µg/mL. Similarly, 34.2% of patients with Cmin &gt;150 µg/mL survived for longer than one year compared to 10.8% for patients with Cmin &lt;150 µg/mL. These data suggest that sufficient blockade of CTGF requires pamrevlumab threshold blood levels of approximately 150 µg/mL in order to improve survival in patients with advanced pancreatic cancer.</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Increased Pancreatic Cancer Survival Associated with Increased Plasma Levels of Pamrevlumab</w:t>
      </w:r>
    </w:p>
    <w:p>
      <w:pPr>
        <w:pStyle w:val="TextBody"/>
        <w:spacing w:before="120" w:after="0"/>
        <w:jc w:val="center"/>
        <w:rPr/>
      </w:pPr>
      <w:r>
        <w:rPr/>
        <w:t> </w:t>
      </w:r>
    </w:p>
    <w:p>
      <w:pPr>
        <w:pStyle w:val="TextBody"/>
        <w:spacing w:before="120" w:after="0"/>
        <w:jc w:val="center"/>
        <w:rPr>
          <w:caps w:val="false"/>
          <w:smallCaps w:val="false"/>
        </w:rPr>
      </w:pPr>
      <w:r>
        <w:rPr>
          <w:caps w:val="false"/>
          <w:smallCaps w:val="false"/>
        </w:rPr>
        <w:drawing>
          <wp:inline distT="0" distB="0" distL="0" distR="0">
            <wp:extent cx="4086225" cy="2390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086225" cy="2390775"/>
                    </a:xfrm>
                    <a:prstGeom prst="rect">
                      <a:avLst/>
                    </a:prstGeom>
                  </pic:spPr>
                </pic:pic>
              </a:graphicData>
            </a:graphic>
          </wp:inline>
        </w:drawing>
      </w:r>
    </w:p>
    <w:p>
      <w:pPr>
        <w:pStyle w:val="TextBody"/>
        <w:spacing w:before="120" w:after="0"/>
        <w:jc w:val="center"/>
        <w:rPr/>
      </w:pPr>
      <w:r>
        <w:rPr/>
        <w:t> </w:t>
      </w:r>
    </w:p>
    <w:p>
      <w:pPr>
        <w:pStyle w:val="TextBody"/>
        <w:spacing w:before="120" w:after="0"/>
        <w:jc w:val="center"/>
        <w:rPr>
          <w:caps w:val="false"/>
          <w:smallCaps w:val="false"/>
        </w:rPr>
      </w:pPr>
      <w:r>
        <w:rPr>
          <w:caps w:val="false"/>
          <w:smallCaps w:val="false"/>
        </w:rPr>
        <w:drawing>
          <wp:inline distT="0" distB="0" distL="0" distR="0">
            <wp:extent cx="4171950" cy="1504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71950" cy="1504950"/>
                    </a:xfrm>
                    <a:prstGeom prst="rect">
                      <a:avLst/>
                    </a:prstGeom>
                  </pic:spPr>
                </pic:pic>
              </a:graphicData>
            </a:graphic>
          </wp:inline>
        </w:drawing>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study, the majority of adverse events were mild to moderate, and were consistent with those observed for erlotinib plus gemcitabine treatment without pamrevlumab. There were 99 treatment-emergent serious adverse events, six of which were assessed as possibly related to the investigational drug by the principal investigator, and 93 as not related to study treatment. After investigation, it was our determination that there is no causal relationship between pamrevlumab and the treatment-emergent serious adverse events deemed possibly related by the principal investigator. We did not identify any evolving dose-dependent pattern, and higher doses of pamrevlumab were not associated with higher numbers of serious adverse events or greater severity of the serious adverse events observed.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Pamrevlumab for Duchenne Muscular Dystrophy</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Understanding DMD and the Limitations of Current Therapies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U.S., approximately one in every 5,000 boys have DMD, and approximately 20,000 children are diagnosed with DMD globally each year. There are currently no approved disease-modifying treatments. Despite taking steroids to mitigate progressive muscle loss, a majority of children with DMD are non-ambulatory by adolescence and median survival is age 25.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DMD is an inherited disorder of one of the dystrophin genes resulting in absence of the dystrophin protein and abnormal muscle structure and function, leading to progressively diminished mobility as well as pulmonary function and cardiac function, which result in early death. Constant myofiber breakdown results in persistent activation of myofibroblasts and altered production of ECM resulting in extensive fibrosis in skeletal muscles of DMD patients. Desguerre et al. (2009) showed that muscle fibrosis was the only myo-pathologic parameter that significantly correlated with poor motor outcome as assessed by quadriceps muscle strength, manual muscle testing of upper and lower limbs, and age at ambulation loss. Numerous pre-clinical studies including those in the mdx model of DMD suggest that CTGF contributes to the process by which muscle is replaced by fibrosis and fat and that CTGF may also impair muscle cell differentiation during muscle repair after injury.</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Phase 3 Clinical Development – LELANTOS-1 in Non-Ambulatory Patients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completed enrollment of Phase 3 clinical trial, LELANTOS-1, evaluating pamrevlumab as a treatment for DMD. LELANTOS-1 is a double-blind, placebo-controlled trial in 99 non-ambulatory DMD patients. Patients will be randomized at a 1:1 ratio to pamrevlumab or placebo for a treatment period of 52 weeks. The primary endpoint will assess change in upper limb strength and additional endpoints will include pulmonary, cardiac, performance, and fibrosis assessments. We expect topline data from this study in the first half of 2023.</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Phase 3 Clinical Development – LELANTOS-2 in Ambulatory Patients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continue to enroll our double-blind, placebo-controlled Phase 3 clinical trial, LELANTOS-2, evaluating pamrevlumab in combination with systemic corticosteroids in approximately 70 ambulatory DMD patients. Patients aged 6-12 will be randomized at a 1:1 ratio to pamrevlumab or placebo for a treatment period of 52 weeks. The primary efficacy endpoint will assess ambulatory function, measured by the change in North Star Ambulatory Assessment from baseline to Week 52.</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Phase 2 Open-Label Trial of Pamrevlumab in DMD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June 2019 at the Parent Project Muscular Dystrophy meeting, we reported topline results from this 21-patient open-label single-arm trial in non-ambulatory DMD patients. This one-year administrative analysis compared our Phase 2 data to previously published natural disease history studies of DMD patients. While we cannot make direct comparisons between our trial and previously published data due to, among other things, differences in subject numbers, baseline characteristics, inclusion/exclusion criteria, treatment protocols, and analysis methods, we are encouraged by the data obtained so far. Pamrevlumab was well tolerated in this study.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pulmonary function tests, the results from our study indicate a potential reduction in the 1-year decline in FVC percent predicted from baseline for pamrevlumab-treated patients when compared to FVC data of DMD patients (whether such patients were taking steroids or not) published in 2019 by Ricotti. In the 2019 Ricotti study, the DMD patients were treated with steroids only. Similarly, all of the patients in our Phase 2 pamrevlumab trial were on steroids. In addition, pamrevlumab showed less decline in both percent predicted forced expiratory volume as compared to previously published study results of Meier in 2016, and in percent predicted peak expiratory flow rate, compared to what was observed in the study by Ricotti in 2019.</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data showed an increase in cardiac function, measured by mean change of left ventricular ejection fraction (“LVEF”), of 0.29% from baseline for pamrevlumab-treated patients. Whereas, data published in 2018 by McDonald of DMD patients only on steroids showed a mean LVEF decline of 0.82% from baseline in one year.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muscle function tests, the majority of the results of this Phase 2 study showed the mean change from baseline in pamrevlumab-treated patients were more favorable than previously published data. Our results showed a positive increase in grip-strength score in both dominant and non-dominant hands at one year of treatment with pamrevlumab, while earlier results from a 2015 study by Seferian showed a decline at one year as expected. In the performance of the upper limb (“PUL”) test specifically developed for DMD patients, pamrevlumab-treated patients had a mean change from baseline of -1.53. In the 2019 study by Ricotti of DMD patients taking either nothing or only steroids, the annual mean change in the PUL test was -4.13. Furthermore, in our study a strong correlation between change in biceps brachii T2-mapping and change in PUL score was observed, demonstrating stabilization and even possible improvement in the muscle fibrosis burden.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Commercialization Strategy for Pamrevlumab</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retained exclusive worldwide rights for pamrevlumab. We commenced brand development activities for pamrevlumab and will be advancing these efforts in preparation for potential launches in IPF, LAPC and DMD, consistent with the approaches of companies with a product in late-stage clinical development.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Research at FibroGen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research programs at FibroGen are grounded in our three areas of expertise: HIF biology, 2-oxoglutarate enzymology, and CTGF biology. More recently, we added two immuno-oncology programs via a partnership with HiFiBiO Therapeutics (“HiFiBiO”) and are actively working to further expand the preclinical pipeline in our therapeutic focus areas of oncology, immunology, and fibrosis.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applied our expertise in the field of HIF-PH inhibition to develop an understanding of other areas of HIF biology with important therapeutic implications. This consistent progression of discovery has led to findings relating to HIF-mediated effects associated with inflammatory pathways, various aspects of iron metabolism, insulin sensitivity and glucose and fat metabolism, neurological disease, and ischemic injury. There are at least three different HIF-PH enzymes that are known to regulate the stability of HIF — these enzymes are commonly referred to in the scientific literature as PHD1, PHD2 and PHD3. Studies of genetically modified mice, in which the individual HIF-PH enzymes have been deleted, have revealed that PHD2 plays the major role in regulation of erythropoiesis by HIF. In contrast, PHD1 and PHD3 appear to play less important roles in HIF-mediated erythropoiesis, but instead have been implicated in other important biological pathways. We believe that both pan-PHD and PHD-selective inhibitors could have important therapeutic applications beyond anemia.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HIF-PH enzymes that are the targets of roxadustat belong to a broader family of enzymes known as 2-oxoglutarate (“2OG”)-dependent oxygenases. In humans, this family comprises more than 60 members that play important roles in a diverse range of biological processes including collagen biosynthesis, oxygen sensing, epigenetic regulation, nucleic acid modification/repair, and lipid metabolism. The first members of this enzyme family to be characterized were the collagen prolyl hydroxylases, which play a critical role in the biosynthesis of collagen and as a result, are potential targets for the treatment of fibrotic disease. Other members of the 2OG-dependent oxygenase family with relevance to human disease include the Jumonji domain-containing histone demethylases, which are emerging cancer targets.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fact that all members of the 2OG-dependent oxygenase enzyme family use 2OG as a co-substrate makes them viable targets for small molecule inhibitors that compete with 2OG. FibroGen has been a leader in inhibition of enzymes belonging to this family, and our internal medicinal chemistry efforts generated a library of novel compounds designed to target the 2OG-dependent oxygenase family.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also applying our deep knowledge of CTGF to investigate the development of new drug candidates that interfere with the role of this protein in disease. Specifically, we are exploring targeted engagement of the different domains of CTGF, evaluating the biologic effects of disrupting its various reported binding interactions with the goal of broadening therapeutic applications for CTGF antagonists.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 recently we in-licensed two preclinical immuno-oncology assets. The first is an antibody that inhibits Galectin-9, a secreted protein implicated in suppression of anti-tumor immune response in multiple solid tumors, and shown to drive leukemic stem cell renewal in acute myeloid leukemia. The other is an antibody targeting the CCR8 protein designed to deplete immune suppressive T regulatory cells from the tumor microenvironment. Multiple preclinical studies demonstrated that depletion of T regulatory cells in solid tumors results in enhanced immune response and reduction in tumor size, particularly when combined with immune checkpoint inhibition. Projected Investigational New Drug Application (“IND”) filings for both programs are in 2023.</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COLLABORATIONS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Collaboration Partnerships for Roxadustat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revenue to date has been generated primarily from our collaboration agreements with Astellas and AstraZeneca for the development and commercialization of roxadustat. In addition, we started roxadustat commercial sales in China in the third quarter of 2019. For the fiscal year ended December 31, 2021, 76% of our revenue was related to our collaboration agreements, and 20% of our revenue was from roxadustat commercial sales in China. For the fiscal year ended December 31, 2020, 59% of our revenue was related to our collaboration agreements, and 41% of our revenue was from roxadustat commercial sales in China. For the fiscal year ended December 31, 2019, substantially all of our revenue was related to our collaboration agreements.</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Astellas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share responsibility with Astellas for clinical development activities required for U.S. and Europe regulatory approval of roxadustat, and equally share those development costs under the agreed development plan for such activities. Astellas will be responsible for clinical development activities and all associated costs required for regulatory approval in all other countries in the Astellas territories. Astellas will hold and have responsibility for regulatory filings in its territories. We are responsible, either directly or through our contract manufacturers, for the manufacture and supply of all quantities of roxadustat to be used in development and commercialization under the agreements, other than roxadustat drug product for Japan. Astellas is responsible for roxadustat commercialization activities in the Astellas territories.</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AstraZeneca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also have two agreements with AstraZeneca for the development and commercialization of roxadustat for anemia, one for China (the “China Agreement”), and one for the U.S. and all other countries not previously licensed to Astellas (the “U.S./RoW Agreement”). Under these agreements, we provided AstraZeneca the right to develop and commercialize roxadustat for anemia in these territories. We share responsibility with AstraZeneca for clinical development activities required for U.S. regulatory approval of roxadustat, and FibroGen will transfer the U.S. NDA to AstraZeneca upon approval. AstraZeneca will hold the equivalent regulatory filings in the other licensed countries.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China Agreement, which is conducted through FibroGen China Anemia Holdings, Ltd., FibroGen Beijing, and FibroGen International (Hong Kong) Limited (collectively, “FibroGen China”), the commercial collaboration was structured as a 50/50 profit share, which was amended by the China Amendment in the third quarter of 2020, as discussed and defined below.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2020, we entered into Master Supply Agreement under the U.S./RoW Agreement with AstraZeneca to define general forecast, order, supply and payment terms for AstraZeneca to purchase roxadustat bulk drug product from FibroGen in support of commercial supplies.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2020, FibroGen China and AstraZeneca entered into an amendment, effective July 1, 2020, to the China Agreement, relating to the development and commercialization of roxadustat in China (the “China Amendment”).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China Amendment, in September 2020, FibroGen Beijing and AstraZeneca completed the establishment of a jointly owned entity, Falikang, which performs roxadustat distribution, as well as conduct sales and marketing through AstraZeneca.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FibroGen Beijing manufactures and supplies commercial product to Falikang based on an agreed upon transfer price, which includes a gross transfer price, net of a calculated profit share. Revenue is recognized upon the transfer of control of commercial products to Falikang in an amount that reflects the allocation of transaction price of the </w:t>
      </w:r>
      <w:r>
        <w:rPr>
          <w:rFonts w:ascii="Times New Roman" w:hAnsi="Times New Roman"/>
          <w:b w:val="false"/>
          <w:i w:val="false"/>
          <w:caps w:val="false"/>
          <w:smallCaps w:val="false"/>
          <w:color w:val="000000"/>
          <w:sz w:val="20"/>
          <w:highlight w:val="white"/>
        </w:rPr>
        <w:t xml:space="preserve">China manufacturing and supply obligation </w:t>
      </w:r>
      <w:r>
        <w:rPr>
          <w:rFonts w:ascii="Times New Roman" w:hAnsi="Times New Roman"/>
          <w:b w:val="false"/>
          <w:i w:val="false"/>
          <w:caps w:val="false"/>
          <w:smallCaps w:val="false"/>
          <w:sz w:val="20"/>
        </w:rPr>
        <w:t xml:space="preserve">to the performance obligation satisfied during the reporting period.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Additional Information Related to Collaboration Agreements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Additional information related to our collaboration agreements is set forth in Item 7 of this Annual Report, and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xml:space="preserve"> to our consolidated financial statements under Item 8 of this Annual Report. Information about collaboration partners that accounted for more than 10% of our total revenue or accounts receivable for the last three fiscal years is set forth in Note 14, </w:t>
      </w:r>
      <w:r>
        <w:rPr>
          <w:rFonts w:ascii="Times New Roman" w:hAnsi="Times New Roman"/>
          <w:b w:val="false"/>
          <w:i/>
          <w:caps w:val="false"/>
          <w:smallCaps w:val="false"/>
          <w:sz w:val="20"/>
        </w:rPr>
        <w:t>Segment and Geographic Information</w:t>
      </w:r>
      <w:r>
        <w:rPr>
          <w:rFonts w:ascii="Times New Roman" w:hAnsi="Times New Roman"/>
          <w:b w:val="false"/>
          <w:i w:val="false"/>
          <w:caps w:val="false"/>
          <w:smallCaps w:val="false"/>
          <w:sz w:val="20"/>
        </w:rPr>
        <w:t>, to our consolidated financial statements under Item 8 of this Annual Report.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HiFiBiO</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June 2021, FibroGen entered into an exclusive license and option agreement with HiFiBiO (the “HiFiBiO Agreement”), pursuant to which we exclusively licensed all product candidates in HiFiBiO’s Galectin-9 program. Pursuant to our option, as of December 2021, we have also exclusively licensed all product candidates in HiFiBiO’s CCR8 program. We have declined to exercise our option to HiFiBiO’s CXCR5 program, however, we are pursuing a replacement option program as specified under the HiFiBiO Agreement. Under the terms of the HiFiBiO Agreement, we have paid a $25.0 million upfront payment to HiFiBiO during the year ended December 31, 2021, and recorded a $35.0 million upfront payment in accrued liabilities as of December 31, 2021, which was paid during the first quarter of 2022. In addition, HiFiBiO may receive up to a total of an additional $1.1 billion in future option, clinical, regulatory, and commercial milestone payments across all three potential programs. HiFiBiO will also be eligible to receive royalties based upon worldwide net sales.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Licensing Activities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Exclusive License with Eluminex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2021, we exclusively licensed to Eluminex Biosciences (Suzhou) Limited (“Eluminex”) global rights to our investigational biosynthetic cornea derived from recombinant human collagen type III.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terms of the agreement with Eluminex (the “Eluminex Agreement”), Eluminex will make an $8.0 million upfront payment to FibroGen.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be eligible to receive mid single-digit to low double-digit royalties based upon worldwide net sales of cornea products, and low single-digit to mid single-digit royalties based on worldwide net sales of other recombinant human collagen type III products that are not cornea products. Additional information related to the Eluminex license revenue is set forth in Note 3, </w:t>
      </w:r>
      <w:r>
        <w:rPr>
          <w:rFonts w:ascii="Times New Roman" w:hAnsi="Times New Roman"/>
          <w:b w:val="false"/>
          <w:i/>
          <w:caps w:val="false"/>
          <w:smallCaps w:val="false"/>
          <w:sz w:val="20"/>
        </w:rPr>
        <w:t>Collaboration Agreements,</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License Agreement</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and Revenues</w:t>
      </w:r>
      <w:r>
        <w:rPr>
          <w:rFonts w:ascii="Times New Roman" w:hAnsi="Times New Roman"/>
          <w:b w:val="false"/>
          <w:i w:val="false"/>
          <w:caps w:val="false"/>
          <w:smallCaps w:val="false"/>
          <w:sz w:val="20"/>
        </w:rPr>
        <w:t>, to our consolidated financial statements under Item 8 of this Annual Report.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COMPETITION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pharmaceutical and biotechnology industries are highly competitive, particularly in some of the indications we are developing drug candidates, including anemia in CKD, IPF, pancreatic cancer, and DMD.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IPF, pancreatic cancer, and DMD, where we do not currently have a development or commercialization partner.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any products that we develop and commercialize to compete based on, among other things, efficacy, safety, convenience of administration and delivery, price, the level of generic competition, and the availability of reimbursement from government and other third-party payors.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When any of our product candidates are approved, they will compete with currently marketed products, and product candidates that may be approved for marketing in the future, for treatment of the indications described below.</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will likely face competition from other companies developing treatments of other anemia indications that we may also seek to pursue in the future or that may be sold in indications we are pursuing but for which they are not yet approved. We may face competition for patient recruitment, enrollment for clinical trials, and potentially in commercial sales. There may also be new therapies for renal-related diseases that could limit the market or level of reimbursement available for roxadustat.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Roxadustat</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Approved Medicines </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Drugs that will compete with roxadustat are expected to include ESAs, particularly in those patient segments where ESAs are used. Currently available ESAs include epoetin alfa (EPOGEN®, marketed by Amgen Inc. in the U.S., Procrit® and Erypo®/Eprex®, marketed by Johnson &amp; Johnson, Inc., and Espo® marketed by Kyowa Hakko Kirin in Japan and China), darbepoetin (Amgen/Kyowa Hakko Kirin’s Aranesp® and NESP®) and Mircera® marketed by Roche outside the U.S. and by Vifor Pharma, a Roche licensee, in the U.S. and Puerto Rico, as well as biosimilar versions of these currently marketed ESA products. ESAs have been used in the treatment of anemia in CKD for more than 30 years, serving a significant majority of dialysis patients. While non-dialysis CKD anemia patients who are not under the care of nephrologists, including those with diabetes and hypertension, do not typically receive ESAs and are often left untreated, some non-dialysis patients under nephrology or hematology care may be receiving ESA therapy. It may be difficult to encourage healthcare providers and patients to switch to roxadustat from products with which they have become familiar.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Biosimilars</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first biosimilar ESA, Pfizer’s Retacrit®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 (epoetin alfa) in Europe and may file a biosimilar Biologics License Application (“BLA”) in the U.S.</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Product Candidates in Development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also face competition from potential new anemia therapies currently on the market or in clinical development, including in those patient segments not adequately addressed by ESAs. Companies that are currently developing HIF-PH inhibitors for anemia in CKD indications include GlaxoSmithKline plc (“GSK”), Bayer Corporation (“Bayer”), Akebia Therapeutics, Inc. (“Akebia”), Otsuka Pharmaceutical, Akebia’s partner in the U.S. and Europe, Japan Tobacco, and Zydus Cadila (India) (“Zydus”). In March 2021, Akebia submitted an NDA to the FDA for vadadustat for the treatment of anemia due to CKD in patients on dialysis and not on dialysis with a Prescription Drug User Fee Act target action date of March 29, 2022. In October 2021, Otsuka Pharmaceutical submitted an initial marketing authorization application to the EMA for vadadustat for the treatment of anemia associated with CKD in adults.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2021, GSK announced positive topline results from five Phase 3 studies of daprodustat for non-dialysis and dialysis patients with anemia due to CKD. GSK has stated that they expect to file an NDA in the U.S. and a Marketing Authorization Application in the European Union in the first half of 2022.</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Japan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Japan, roxadustat faces the following competitive drugs being sold for the treatment of anemia of CKD patients on and not on dialysis: vadadustat by Mitsubishi Tanabe Pharmaceutical Corporation, Akebia’s collaboration partner, daprodustat by GSK and its partner Kyowa Hakko Kirin, molidustat by Bayer, and enarodustat by Japan Tobacco (to be sold by Torii Pharmaceuticals Ltd).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China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China, ESA is considered the standard of care for treatment of anemia of CKD, and locally manufactured epoetin alfa is offered by 15 local manufacturers including the market leader EPIAO that is marketed by 3SBio Inc. We may face potential competition from other HIF-PH inhibitors. Companies active in the U.S. such as Akebia, Bayer, and GSK have been authorized by the National Medical Products Administration (“NMPA”) to conduct trials in China to support their ex-China regulatory filings. A number of domestic companies, including Jiangsu Hengrui Medicine Co., Ltd., Guandong Sunshine Health Investment Co., Ltd., 3SBio Inc., and Hangzhou Andao Pharmaceutical Co. have been permitted by the NMPA to conduct clinical trials in their locally developed HIF-PH inhibitor investigational compounds for the treatment of anemia in CKD. Domestic companies are also in-licensing global compounds to be developed as domestic drugs, including China Medical System which in-licensed desidustat, a compound that is currently in Phase 3 trials in India, from Zydus for greater China in January 2020. In January 2021, China Medical System Holdings Ltd. was granted approval by the Chinese NMPA to begin trials for desidustat in patients with anemia of CKD, including dialysis and non-dialysis patients. Shenzhen Salubris Pharmaceutical Co., Ltd., a domestic company in China, has in-licensed enarodustat from Japan Tobacco and received NMPA approval in the third quarter of 2020 to initiate Phase 3 studies. We will also face competition from generics who could enter the market after expiry of our patents in China, and two potential market players have already started bioequivalence studies, including Chia Tai-Tiangqing Pharmaceutical Holdings and CSPA Pharmaceutical Group.</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CIA and MDS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2020, Zydus received approval from the FDA to begin a Phase 1 study of desidustat for the treatment of CIA, which could potentially be competitive with roxadustat within this indication.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Reblozyl®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 In addition, Geron Corporation is enrolling a Phase 3 clinical trial of imetelstat in lower risk MDS.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Large Dialysis Organizations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executed long-term contracts including rebate terms with Amgen. Successful penetration in this market will likely require our partner AstraZeneca to enter into a definitive agreement with Fresenius, DaVita, or other dialysis organizations, on favorable pricing terms and on a timely basis.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Pamrevlumab</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currently in Phase 3 development of pamrevlumab in IPF, LAPC, metastatic pancreatic cancer, and DMD. Most of our competitors have significantly more resources and expertise in development, commercialization and manufacturing, particularly due to the fact that we have not yet established a partnership for pamrevlumab. For example, both Roche and Boehringer Ingelheim, which market products for the treatment of IPF in the U.S., have successfully developed and commercialized drugs in various indications and have built sales organizations that we do not currently have; both have more resources and more established relationships when competing with us for patient recruitment and enrollment for clinical trials or, if we are approved, in the market.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Idiopathic Pulmonary Fibrosis</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approved and launched commercially to treat IPF, pamrevlumab is expected to compete with Roche’s Esbriet® (pirfenidone), and Boehringer Ingelheim’s Ofev®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Pamrevlumab is a monoclonal antibody that may be more expensive and less convenient than oral small molecules such as nintedanib and pirfenidone. Other potential competitive product candidates in various stages of development for IPF include Kadmon Holdings, Inc.’s KD025, Galecto’s GB0139, Liminal BioSciences’ PBI-4050, and Roche/Promedior, Inc.’s PRM-151. Roche is enrolling patients in a Phase 3 trial evaluating the efficacy and safety of PRM-151, a recombinant human pentraxin-2 (rhPTX-2), compared to placebo in patients with IPF. United Therapeutics Corporation is enrolling patients in its Phase 3 trial of treprostinil in IPF.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Pancreatic Cancer</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developing pamrevlumab to be used in combination with chemotherapy (either FOLFIRINOX or gemcitabine plus nab-paclitaxel) in pancreatic cancer. If approved, we would face competition from Celgene’s Abraxane® (nab-paclitaxel), gemcitabine, and FOLFIRINOX, a combination chemotherapy regimen of folic acid, 5-fluouracil, oxaliplatin and irinotecan. Gemcitabine and/or nab-paclitaxel are the current standard of care in the first-line treatment of metastatic pancreatic cancer. In 2015, Merrimack Pharmaceuticals Inc. (“Merrimack”) received FDA approval for the use of ONIVYDE (irinotecan liposome injection, now licensed to Ipsen) for the treatment of patients with metastatic adenocarcinoma of the pancreas after disease progression following gemcitabine-based therapy, and the combination therapy with Abraxane and gemcitabine became the first-line standard of care in these patients. As treatments for pancreatic cancer have shown limited success to date, combination therapies are expected, but the incremental cost may slow a new product adoption in the market, at least until the generic versions of Abraxane becomes available. In addition, we may also face competition from other agents seeking approval in combination with gemcitibine and nab-paclitaxel such as Rafael Pharma’s defactinib/CPI-613 and Merrimack’s istiratumab.</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Duchenne Muscular Dystrophy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approved and launched commercially to treat DMD, pamrevlumab is expected to face competition from drugs that have been approved in major markets such as the U.S., European Union, and Japan.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Sarepta Therapeutics Inc.’s (“Sarepta”) Exondys 51TM (eteplirsen) is approved in the U.S. to treat patients who have a mutation of the dystrophin gene amenable to exon 51 skipping, representing approximately 13% of patients with DMD. In Europe, Sarepta received a negative opinion for its marketing application for eteplirsen from the EMA in September 2018. Sarepta’s Vyondys 53TM (golodirsen) is approved in the U.S. for patients with a confirmed genetic mutation that is amenable to exon 53 skipping, which accounts for approximately 8% of the DMD population. Sarepta’s Amondys 45™ (casimersen) is approved in the U.S. for patients with a confirmed genetic mutation that is amenable to exon 45 skipping, which accounts for approximately 8% of the DMD population.</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PTC Therapeutics’ product Translarna TM received a conditional approval in Europe in 2014, which was renewed in November 2016 with a request for a new randomized placebo-controlled 18-month study by the Committee for Medicinal Products for Human Use of the EMA; however, the FDA informed the sponsor in a CRL in October 2017, as well as in its response to PTC Therapeutics’ appeal, that the FDA is unable to approve the application in its current form. An additional Phase 3 study is currently ongoing. While Translarna TM targets a different set of DMD patients from those targeted by Sarepta’s Exondys 51®, it is also limited to a subset of patients who carry a specific mutation. Conversely, pamrevlumab is intended to treat DMD patients without limitation to type of mutation.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and Sarepta.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380" w:after="0"/>
        <w:rPr>
          <w:rFonts w:ascii="Times New Roman" w:hAnsi="Times New Roman"/>
          <w:b/>
          <w:i w:val="false"/>
          <w:caps w:val="false"/>
          <w:smallCaps w:val="false"/>
          <w:sz w:val="20"/>
        </w:rPr>
      </w:pPr>
      <w:r>
        <w:rPr>
          <w:rFonts w:ascii="Times New Roman" w:hAnsi="Times New Roman"/>
          <w:b/>
          <w:i w:val="false"/>
          <w:caps w:val="false"/>
          <w:smallCaps w:val="false"/>
          <w:sz w:val="20"/>
        </w:rPr>
        <w:t>MANUFACTURE AND SUPPLY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historically and in the future plan to continue to enter into contractual arrangements with qualified third-party manufacturers to manufacture and package our products and product candidates. We believe that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such as in China. As our product candidates proceed through development, we explore or enter into longer term commercial supply agreements with key suppliers and manufacturers in order to meet the ongoing and planned clinical and commercial supply needs for ourselves and our partners. Our timing of entry into these agreements is based on the current development and commercialization plans.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Roxadustat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Roxadustat is a small-molecule drug manufactured from generally available commercial starting materials and chemical technologies and multi-purpose equipment available from many third party contract manufacturers. We have entered into commercial supply arrangements with Shanghai SynTheAll Pharmaceutical Co., Ltd. (“WuXi STA”) and Catalent Pharma Solutions, LLC (“Catalent”) as our primary manufacturers of roxadustat drug substance (also known as active pharmaceutical ingredient or “API”) and roxadustat drug product, respectively. WuXi STA is located in China and currently supplies our API globally except for China, for which it manufactures an intermediate to be further manufactured by FibroGen Beijing. WuXi STA has passed inspections by several regulatory agencies, including the FDA and NMPA, and is Current Good Manufacturing Practice (“cGMP”) compliant. Catalent is located in the U.S. and supplies our drug product tablets globally except for Japan, where they are manufactured by Astellas, and China, where they are manufactured by FibroGen Beijing. Catalent has passed several regulatory inspections, including by the FDA, and manufactures commercial products for other clients.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China, our Beijing facility received the Good Manufacturing Practice license for API and drug product. We are manufacturing drug product at our FibroGen Beijing manufacturing facility for commercial supply, but we are not currently manufacturing API at this facility. We are manufacturing API at our Cangzhou manufacturing facility, which has been fully qualified and licensed. We may also qualify a third party manufacturer to produce commercial API under the Marketing Authorization Holder System program.</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Irix Pharmaceuticals, Inc.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2002, we and IRIX Pharmaceuticals, Inc. (“IRIX”), a third party manufacturer, entered into a Letter of Agreement for IRIX Pharmaceuticals Single Source Manufacturing Agreement (the “Letter of Agreement”), in connection with a contract manufacturing arrangement for clinical supplies of HIF-PH inhibitors, including roxadustat. The Letter of Agreement contained a service agreement that included terms and schedule for the delivery of clinical materials and also included a term sheet for a single source agreement for the cGMP manufacture of HIF-PH inhibitors, including roxadustat. Specifically, pursuant to the Letter of Agreement, we and IRIX agreed to negotiate a single source manufacturing agreement that included a first right to negotiate a manufacturing contract for HIF-PH inhibitors, including roxadustat, provided that IRIX is able to match any third party bids within 5%, and the exclusive right to manufacture extends for five years after approval of an NDA. Any agreement would provide that no minimum amounts would be specified until appropriate by forecast, that we and our commercialization partner would have the rights to contract with independent third parties that exceed IRIX’s internal capabilities or in the event that we or our commercialization partner determines for reasons of continuity and security that such a need exists, provided that IRIX would supply a majority of the product if it is able to meet the requirements and the schedule required by us and our partner. Subsequent to the Letter of Agreement, IRIX and we have entered into several additional service agreements. IRIX has requested in writing that we honor the Letter of Agreement with respect to the single source manufacturing agreement. To date, we have offered to IRIX opportunities to bid for the manufacture of HIF-PH inhibitors, including roxadustat. In 2015, Patheon Pharmaceuticals Inc., a business unit of DPx Holdings B.V., acquired IRIX, and in 2017, ThermoFisher Scientific Inc. acquired Patheon Pharmaceuticals Inc.</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Pamrevlumab</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entered into a clinical and commercial supply agreement for the manufacture of pamrevlumab with Samsung Biologics Co., Ltd., which has passed several regulatory inspections, including by the FDA, and manufactures commercial products for other clients. We are transitioning our manufacturing of pamrevlumab from Boehringer Ingelheim to Samsung Biologics Co., Ltd.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GOVERNMENT REGULATION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activities and operations, including the clinical testing, manufacturing, labeling, storage, distribution, record keeping, advertising, promotion, import, export and marketing of our product candidates, among other things, are subject to extensive regulation by governmental authorities in the U.S., China, and other countries. The process of obtaining regulatory approvals and the subsequent compliance with appropriate federal, state, local and foreign statutes and regulations, including in Europe and China, requires the expenditure of substantial time and financial resources. Compliance with environmental laws, rules, and regulations has not had, and is not expected to have, a material effect on our capital expenditures, results of operations, or competitive position, and we do not currently anticipate material capital expenditures for environmental control facilities.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U.S. Product Approval Process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U.S., the FDA regulates drugs and biological products, or biologics, under the Public Health Service Act, as well as the FDCA, which is the primary law for regulation of drug products. Both drugs and biologics are subject to the regulations and guidance implementing these laws.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results of the preclinical studies, together with manufacturing information and analytical data, are submitted to the FDA as part of the IND, which includes a protocol detailing, among other things, the objectives of the clinical trial.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the protocol for each clinical trial must be reviewed and approved by an independent institutional review board, either centrally or individually at each institution at which the clinical trial will be conducted.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and clinical trials, together with detailed information on the manufacture, composition and quality of the product candidate, are submitted to the FDA in the form of an NDA (for a drug) or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Review of Application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Once the NDA or BLA submission has been accepted for filing, which occurs, if at all, 60 days after submission, the FDA informs the applicant of the specific date by which the FDA intends to complete its review. The FDA reviews NDAs and BLAs to determine, among other things, whether the proposed product is safe and effective for its intended use, and whether the product is being manufactured in accordance with cGMPs to assure and preserve the product’s identity, strength, quality and purity. Before approving an NDA or BLA, the FDA may inspect the facilities at which the product is manufactured and will not approve the product unless the manufacturing facility complies with cGMPs and will also inspect clinical trial sites for integrity of data supporting safety and efficacy. During the approval process, the FDA also will determine whether a REMS, is necessary to assure the safe use of the product. If the FDA concludes a REMS is needed, the sponsor of the application must submit a proposed REMS; the FDA will not approve the application without an approved REMS, if required. The FDA may also convene an advisory committee of external experts to provide input on certain review issues relating to risk, benefit and interpretation of clinical trial data. The FDA may require post-marketing testing and surveillance to monitor safety or efficacy of a product. FDA will issue either an approval of the NDA or BLA or a CRL detailing the deficiencies and information required in order for reconsideration of the application.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Post-Approval Requirements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Federal and State Fraud and Abuse and Data Privacy and Security and Transparency Laws and Regulations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Although there are a number of statutory exemptions and regulatory safe harbors protecting certain common activities from prosecution, the exemptions and safe harbors are drawn narrowly.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Further,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federal false claims laws and federal civil monetary penalties statute prohibit, among other things, any person or entity from, among other things, knowingly presenting, or causing to be presented, a false or fraudulent claim for payment or approval to the federal government or knowingly making, using or causing to be made or used a false record or statement material to a false or fraudulent claim to the federal government. The federal Health Insurance Portability and Accountability Act of 1996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may be subject to data privacy and security regulation by both the federal government and the states in which we conduct our business. HIPAA, as amended by the Health Information Technology for Economic and Clinical Health Act, and its implementing regulations, imposes certain requirements on covered entities, business associates and their covered subcontractors relating to the privacy, security and transmission of individually identifiable health information. In addition, state laws govern the privacy and security of health information in certain circumstances, many of which differ from each other in significant ways and may not have the same effect, thus complicating compliance efforts.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or to entities or individuals at the request of, or designated on behalf of, the physicians and teaching hospitals and to report annually certain ownership and investment interests held by physicians and their immediate family members.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Also, many states have similar healthcare statutes or regulations that apply to items and services reimbursed under Medicaid and other state programs, or, in several states, apply regardless of the payor.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Pharmaceutical Coverage, Pricing and Reimbursement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both domestic and foreign markets, our sales of any approved products will depend in part on the availability of coverage and adequate reimbursement from third-party payors. Third-party payors include government health administrative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in many foreign countries, particularly the countries of the European Union and China,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a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Healthcare Reform</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U.S. and foreign jurisdictions, there have been, and we expect there will continue to be, a number of legislative and regulatory changes to the healthcare system that could affect our future results of operations as we begin to directly commercialize our products. In particular, there have been and continue to be a number of initiatives at the U.S. federal and state level that seek to reduce healthcare costs.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example, in March 2010, PPACA was signed into law. Among other cost containment measures, PPACA established: an annual, nondeductible fee on any entity that manufactures or imports certain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and extended the Medicaid Drug Rebate program to utilization of prescriptions of individuals enrolled in Medicaid managed care organizations. There have been executive, judicial and Congressional challenges to certain aspects of the PPACA. For example, on June 17, 2021, the U.S. Supreme Court dismissed a challenge on procedural grounds that argued the PPACA is unconstitutional in its entirety because the individual mandate was repealed by Congress. Thus, the PPACA will remain in effect in its current form. It is possible that the PPACA will be subject to judicial or Congressional challenges in the future. It is unclear how any such challenges and other litigation, and the healthcare reform measures of the Biden administration will impact the PPACA and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released a Comprehensive Plan for Addressing High Drug Prices that outlines principles for drug pricing reform and sets out a variety of potential legislative policies that Congress could pursue as well as potential administrative actions the Department of Health and Human Services can take to advance these principles. No legislation or administrative actions have been finalized to implement these principles. It is unclear whether these or similar policy initiatives will be implemented in the future. Congress is also considering additional health reform measures.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Some states have implemented, and other states are considering, price controls or patient access constraints under the Medicaid program, and some states are considering price-control regimes that would apply to broader segments of their populations that are not Medicaid-eligible. Further, it is possible that additional governmental action is taken in response to the COVID-19 pandemic.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Approval Process and Other Regulation in China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pharmaceutical industry in China is highly regulated. The primary regulatory authority is the NMPA, including its provincial and local branches. As a developer, manufacturer and supplier of drugs, we are subject to regulation and oversight by the NMPA and its provincial and local branches. The Drug Administration Law of China provides the basic legal framework for the administration of the production and sale of pharmaceuticals in China and covers the manufacturing, distributing, packaging, pricing and advertising of pharmaceutical products. Its implementing regulations set forth detailed rules with respect to the administration of pharmaceuticals in China. In addition, we are, and we will be, subject to other Chinese laws and regulations that are applicable to business operators, manufacturers and distributors in general.</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Pharmaceutical Clinical Development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new drug must be approved by the NMPA before it can be manufactured and marketed for sale. To obtain NMPA approval, the applicant must conduct clinical trials, which must be approved by the NMPA and are subject to the NMPA’s supervision and inspection. There are four phases of clinical trials. Application for registration of new drugs requires completion of Phase 1, 2 and 3 of clinical trials, similar to the U.S. In addition, the NMPA may require the conduct of Phase 4 studies as a condition to approval.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Phase 4 studies are post-marketing studies to assess the therapeutic effectiveness of and adverse reactions to the new drug, including an evaluation of the benefits and risks, when used among the general population or specific groups, with findings used to inform adjustments to dosage, among other things.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NDA and Approval to Market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China requires approval of the NDA as well as the manufacturing facility before a drug can be marketed in China. Approval and oversight are performed at national and provincial levels of the NMPA, involve multiple agencies and consist of various stages of approval.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applicable drug registration regulations, drug registration applications are divided into three different types, namely Domestic NDA, Domestic Generic Drug Application, and Imported Drug Application. Drugs fall into one of three categories, namely chemical medicine, biological product or traditional Chinese or natural medicine.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Foreign Regulation Outside of China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and in China, a sponsor must submit a clinical trial application, much like an IND prior to the commencement of human clinical trials. A clinical trial application must be submitted to each national health authority and an independent ethics committee.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other countries outside of the European Union, such as China and the countries in Eastern Europe, Latin America or Asia, the requirements governing the conduct of clinical trials, product licensing, pricing, and reimbursement vary from country to country. The time required to obtain approval in other countries and jurisdictions might differ from or be longer than that required to obtain FDA approval. Regulatory approval in one country or jurisdiction does not ensure regulatory approval in another, but a failure or delay in obtaining regulatory approval in one country or jurisdiction may negatively impact the regulatory approval process in other countries.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Regulatory Exclusivity for Approved Products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U.S. Patent Term Restoration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 exclusivity provisions under the U.S. federal Food, Drug &amp; Cosmetic Act can also delay the submission or the approval of certain applications of companies seeking to reference another company’s NDA or BLA. The Hatch-Waxman Act provides a 5-year period of exclusivity to any approved NDA for a product containing a New Chemical Entity (“NCE”) never previously approved by FDA either alone or in combination with another active moiety. No application or abbreviated NDA directed to the same NCE may be submitted during the 5-year exclusivity period, except that such applications may be submitted after four years if they contain a certification of patent invalidity or non-infringement of the patents listed with the FDA by the innovator NDA.</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Biologic Price Competition and Innovation Act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to one of the patents listed with the FDA by the innovator BLA holder. The BPCIA is complex and is only beginning to be interpreted and implemented by the FDA. As a result, its ultimate impact, implementation, and interpretation are subject to uncertainty.</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Orphan Drug Act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Pamrevlumab has received orphan drug designation in IPF, LAPC, and DMD in the U.S. 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drugs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EMA has granted Orphan Medicinal Product Designation to pamrevlumab for the treatment of DMD. Orphan Medicinal Product Designation status in Europe has similar but not identical benefits in that jurisdiction.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Products receiving orphan designation in Europe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Europe for pediatric studies. No extension to any supplementary protection certificate can be granted on the basis of pediatric studies for orphan indications.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Foreign Country Data Exclusivity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Europe also provides opportunities for additional market exclusivity. For example, in Europe, upon receiving marketing authorization, a NCE generally receives eight years of data exclusivity and an additional two years of market exclusivity. If granted, data exclusivity prevents regulatory authorities in Europe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China, there is also an opportunity for data exclusivity for a period of six years for data included in an NDA applicable to a NCE. According to the Implementing Regulations of the China Drug Administration Law, the Chinese government protects undisclosed data from drug studies and prevents the approval of an application made by another company that uses the undisclosed data for the approved drug. In practice, the NMPA has not established an effective mechanism to enforce data exclusivity. The NMPA issued a draft regulation on regulatory data protection on April 25, 2018 for public comments but this draft regulation has yet to be finalized and implemented.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if an approved drug manufactured in China qualifies as an innovative drug or an improved new drug before December 1, 2019, such drugs will be eligible for a monitoring surveillance period for up to five years. During this post-marketing observation period, the NMPA will not accept marketing authorization applications filed by another company for the same product. Nor will the NMPA approve marketing authorization applications filed by another company to produce, change dosage form of or import the drug while the innovative or improved new drug is under observation for the purpose of protecting public health. The approved manufacturer is required to provide an annual report to the regulatory department of the province, autonomous region or municipality directly under the central government where it is located.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of the data exclusivity period and the observation period runs from the date of approval for production of the NCE or innovative or improved new drug, as the case may be.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INTELLECTUAL PROPERTY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Refer to “</w:t>
      </w:r>
      <w:r>
        <w:rPr>
          <w:rFonts w:ascii="Times New Roman" w:hAnsi="Times New Roman"/>
          <w:b w:val="false"/>
          <w:i/>
          <w:caps w:val="false"/>
          <w:smallCaps w:val="false"/>
          <w:sz w:val="20"/>
        </w:rPr>
        <w:t>Government Regulation — Regulatory Exclusivity for Approved Products.”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extensive worldwide patent portfolio includes multiple granted and pending patent applications relating to roxadustat and pamrevlumab. Currently granted patents relating to composition-of-matter for roxadustat and for pamrevlumab are expected, for each product candidate, to expire in 2024 or 2025, in each case exclusive of any patent term extension that may be available. U.S. and foreign patents relating to crystalline forms of roxadustat are expected to expire in 2033, exclusive of any extension. Additional patents and patent applications relating to manufacturing processes, formulations, and various therapeutic uses, including treatment of specific indications and improvement of clinical parameters, provide further protection for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legal proceedings with respect to our patents and patent applications and may be involved in such proceedings in the future. Additionally, we may claim that a third party infringes our intellectual property, or a third party may claim that we infringe its intellectual property. Such legal proceedings may be associated with significant expenses, damages, attorneys’ fees, costs of proceedings, and experts’ fees, and management and employees may be required to spend significant time in connection with these actions.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 positions for our most advanced programs are summarized below.</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Roxadustat Patent Portfolio</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roxadustat patent portfolio includes multiple granted U.S. patents offering protection for roxadustat, including protection for composition-of-matter, for pharmaceutical compositions, and for methods for treating anemia. Exclusive of any patent term extension, the last of the granted U.S. patents relating to the composition-of-matter of roxadustat is due to expire in 2025, and granted foreign patents are due to expire in 2024. U.S. and foreign patents relating to crystalline forms of roxadustat are due to expire in 2033, and U.S. and foreign patents relating to photostable formulations of roxadustat are due to expire in 2034.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2020, oppositions were filed against our European Patent No. 2872488 (the “`488 Patent”), which claims a crystalline form of roxadustat, and our European Patent No. 3003284 (the “`284 Patent”), which claims photostable formulations of roxadustat. Final resolution of the opposition proceedings will take time and we cannot be assured that these patents will survive these proceedings as originally granted or at all.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roxadustat is approved in the U.S. prior to expiration of the U.S. composition of matter protection, a full five-year patent term extension under the Hatch-Waxman act will be available, which extension would expire in 2030. Refer to “</w:t>
      </w:r>
      <w:r>
        <w:rPr>
          <w:rFonts w:ascii="Times New Roman" w:hAnsi="Times New Roman"/>
          <w:b w:val="false"/>
          <w:i/>
          <w:caps w:val="false"/>
          <w:smallCaps w:val="false"/>
          <w:sz w:val="20"/>
        </w:rPr>
        <w:t>Government Regulation — Regulatory Exclusivity for Approved Products — U.S. Patent Term Restoration.”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hold various U.S. and foreign granted patents and pending patent applications directed to roxadustat manufacturing processes, formulations, and methods for use.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Roxadustat China Patent Portfolio</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roxadustat China patent portfolio includes granted patents covering composition-of-matter, pharmaceutical compositions, methods of use, and manufacturing processes, as well as medicaments for treating anemia and other conditions. Patents relating to roxadustat composition-of-matter and crystalline forms are due to expire in 2024 and 2033, respectively.</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HIF Anemia-Related Technologies Patent Portfolio</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also have an extensive worldwide patent portfolio providing broad protection for proprietary technologies relating to the treatment of anemia and associated conditions. This portfolio currently contains granted patents and pending patent applications providing exclusivity for use of compounds falling within various and overlapping classes of HIF-PH inhibitors to achieve various therapeutic effects.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Various legal challenges have been initiated against this portfolio in several territories, including in Europe, the United Kingdom, Canada, and Japan. Regardless of the final outcome of any such actions, the potential narrowing or revocation of any of these patents does not affect our exclusivity for roxadustat or our freedom-to-operate with respect to use of roxadustat for the treatment of anemia in these or in other territories. A settlement has been reached in the litigation in Canada, resulting in the discontinuance of the action and leaving FibroGen’s Canadian patents valid and enforceable.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April 2020, in response to an invalidation action brought against certain of our United Kingdom patents by Akebia, the United Kingdom court handed down a decision invalidating certain FibroGen United Kingdom patents. In August 2021, the United Kingdom Court of Appeal handed down a decision favorable to FibroGen, declaring several of the patents valid. Akebia has applied to the Supreme Court of the United Kingdom for permission to appeal the Court of Appeal ruling.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Pamrevlumab Patent Portfolio</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pamrevlumab patent portfolio includes U.S. patents providing composition-of-matter protection for pamrevlumab and related antibodies, and for methods of using such in the treatment of fibroproliferative disorders, including IPF, liver fibrosis, and pancreatic cancer. Exclusive of any patent term extension, the last of the U.S. patents relating to pamrevlumab composition-of-matter is due to expire in 2025. Corresponding foreign patents are due to expire, exclusive of any patent term extension, in 2024.</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that, if pamrevlumab is approved in the U.S. prior to expiration of the composition-of-matter patent, a full five-year patent term extension under the Hatch-Waxman act will be available, extending the term of that patent to 2030.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hold additional granted U.S. and foreign patents and pending patent applications directed to the use of pamrevlumab to treat IPF, DMD, pancreatic cancer, liver fibrosis, and other disorders.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Trade Secrets and Know-How</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the extent that our commercial partners, collaboration partners, employees and consultants use intellectual property owned by others in their work for us, disputes may arise as to the rights in related or resulting know-how and inventions.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In-Licenses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Bristol-Myers Squibb Company (Medarex, Inc.)</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Effective July 9, 1998 and as amended on June 30, 2001 and January 28, 2002, we entered into a research and commercialization agreement with Medarex, Inc. and its wholly-owned subsidiary GenPharm International, Inc. (now, collectively, part of Bristol-Myers Squibb Company (“Medarex”)) to develop fully human monoclonal antibodies for potential anti-fibrotic therapies. Under the agreement, Medarex was responsible for using its proprietary immunizable transgenic mice (“HuMAb-Mouse technology”) during a specified research period (the “Research Period”), to produce fully human antibodies against our proprietary antigen targets, including CTGF, for our exclusive use.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agreement granted us an option to obtain an exclusive worldwide, royalty-bearing, commercial license to develop antibodies derived from Medarex’s HuMAb-Mouse technology, for use in the development and commercialization of diagnostic and therapeutic products. In December 2002, we exercised that option with respect to twelve antibodies inclusive of the antibody from which pamrevlumab is derived. We granted back to Medarex an exclusive, worldwide, royalty-free, perpetual, irrevocable license, with the right to sublicense, to certain inventions created during the parties’ research collaboration, with such license limited to use by Medarex outside the scope of our licensed antibodies.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a result of the exercise of our option to obtain the commercial license, Medarex is precluded from: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knowingly using any technology involving immunizable transgenic mice containing unrearranged human immunoglobulin genes with any of our antigen targets that were the subject of the agreement,</w:t>
      </w:r>
    </w:p>
    <w:p>
      <w:pPr>
        <w:pStyle w:val="TextBody"/>
        <w:spacing w:before="0" w:after="0"/>
        <w:rPr/>
      </w:pPr>
      <w:r>
        <w:rPr/>
        <w:t> </w:t>
      </w:r>
    </w:p>
    <w:p>
      <w:pPr>
        <w:pStyle w:val="TextBody"/>
        <w:spacing w:before="0" w:after="0"/>
        <w:ind w:left="360" w:right="0" w:hanging="0"/>
        <w:jc w:val="left"/>
        <w:rPr>
          <w:b w:val="false"/>
          <w:i w:val="false"/>
          <w:caps w:val="false"/>
          <w:smallCaps w:val="false"/>
        </w:rPr>
      </w:pPr>
      <w:r>
        <w:rPr>
          <w:b w:val="false"/>
          <w:i w:val="false"/>
          <w:caps w:val="false"/>
          <w:smallCaps w:val="false"/>
        </w:rPr>
        <w:t>(ii)</w:t>
      </w:r>
      <w:r>
        <w:rPr>
          <w:b w:val="false"/>
          <w:i w:val="false"/>
          <w:caps w:val="false"/>
          <w:smallCaps w:val="false"/>
          <w:color w:val="000000"/>
        </w:rPr>
        <w:t>granting to a third party a commercial license that covers such antigen targets or those antibodies derived by Medarex during the Research Period, and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(iii) using any antibodies derived by Medarex during the Research Period, except as permitted under the agreement for our benefit or to prosecute patent applications in accordance with the agreement.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Medarex retained ownership of the patent rights relating to certain mice, mice materials, antibodies and hybridoma cell lines used by Medarex in connection with its activities under the agreement, and Medarex also owns certain claims in patents covering inventions that arise during the Research Period, which claims are directed to (i) compositions of matter (e.g., an antibody) except formulations of antibodies for therapeutic or diagnostic use, or (ii) methods of production. We own the patent rights to any inventions that arise during the Research Period that relate to antigens, as well as claims in patents covering inventions directed to (a) methods of use of an antibody, or (b) formulations of antibodies for therapeutic or diagnostic use. Upon exercise of our option to obtain the commercial license, we obtained the sole right but not obligation to control prosecution of patents relating solely to the licensed antibodies or products. Medarex has back-up patent prosecution rights in the event we decline to further prosecute or maintain such patents.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research support payments by us to Medarex during the Research Period, and an upfront commercial license fee in the form of 181,819 shares of FibroGen Series D Convertible Preferred Stock paid upon exercise of our option, we committed development-related milestone payments of up to $11 million per therapeutic product containing a licensed antibody, and we have paid a $1 million development-related milestone, in the form of 133,333 shares of FibroGen Series G Convertible Preferred Stock, and a cash payment of $2 million, for pamrevlumab to date. At our election, the remaining milestone payments may be paid in common stock of FibroGen, Inc., or cash.</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respect to our sales and sales by our affiliates, the agreement also requires us to pay Medarex low single-digit royalties for licensed therapeutic products and low double-digit royalties plus certain capped sales-based bonus royalties for licensed diagnostic products. With respect to sales of licensed products by a sublicensee, we may elect to pay the foregoing royalties based on our sublicensee’s sales, or a percentage (in the high-teens) of all payments received by us from such sublicensee. We are also required to reimburse Medarex any pass-through royalties, if any, payable under Medarex’s upstream license agreements with Medical Research Council and DNX. Royalties payable by us under the agreement are on a licensed product-by-licensed product and country-by-country basis and subject to reductions in specified circumstances, and royalties are payable for a period until either expiration of patents covering the applicable licensed product or a specified number of years following the first commercial sale of such product in the applicable country.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earlier terminated, the agreement will continue in effect for as long as there are royalty payment obligations by us or our sublicensees. Either party may terminate the agreement for certain material breaches by the other party, or for bankruptcy, insolvency or similar circumstances. In addition, we may also terminate the agreement for convenience upon written notice.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HUMAN RESOURCES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had a total of 566 employees at FibroGen as of January 31, 2022. None of our U.S. employees are represented by a labor union. The employees of FibroGen Beijing are represented by a labor union under the China Labor Union Law. None of our employees have entered into a collective agreement with us.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highly committed to building a diverse, committed, and impassioned team to deliver innovative therapies to patients facing serious unmet medical needs. In 2020, we developed and approved a new Corporate Vision Statement and Values through the participation and input of many staff across the organization. One of these core values is “Respect for People” which includes a strong commitment to build a culture of inclusiveness and equality and foster a culture of individual growth and an environment of continued learning.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2020, we conducted a company-wide employee engagement survey. We had an overall participation rate by employees of 86% with over 90% of respondents reporting that they felt engaged around our core values of excellence, respect for people, integrity, and empowerment. Both of these scores significantly exceed normative industry participation and engagement benchmarks.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biotechnology industry is an extremely competitive labor market and recruiting and retaining employees is critical to the continued success of our business. We focus on recruiting, retaining, and developing employees from a diverse range of backgrounds to conduct our research, development, commercialization, and administrative activities.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consistently review and evaluate our people practices to ensure we are an employer of choice, to attract, develop and retain a diverse, engaged, talented and connected workforce. Our offerings include competitive, innovative and equitable pay practices, comprehensive health and wellness benefits, retirement and life insurance offerings, and flexible work arrangements. In addition to our inclusive leadership, management fundamentals, and resilience programs, we offer coaching and promotion opportunities, as well as access to an on-demand global learning management system.</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2020, we deployed a state-of-art, human capital management system that will allow us to significantly expand our capabilities to develop and assess our employees. This system will also allow us to build comprehensive development and succession plans at all levels in the organization to ensure that we have a strong pipeline of highly trained employees. We also invested in health and safety measures for our employees who must work in the offices and labs during the COVID-19 pandemic.</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committed to diversity, equity and inclusion. On our Board of Directors: five of our twelve members (42%) are women and/or from minority racial and ethnic groups. As of January 31, 2022, women represented 55% of our global workforce and 32% of our global leadership (VP and above), up from 27% the year before. As of January 31, 2022, 23% of our U.S. leadership (VP and above), were from minority racial and ethnic groups, up from 16% the year before.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furthering our investments in our human resources, we plan on continuing our efforts in 2022 in critical environmental, social, and governance (“ESG”) areas. In 2021, we performed an ESG assessment of our operations and determined which members of management and which committees of our board of directors had responsibility for oversight and management of our ESG goals and efforts.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FACILITIES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corporate and research and development operations are located in San Francisco, California, where we lease approximately 234,000 square feet of office and laboratory space with approximately 30,000 square feet subleased. The lease for our San Francisco headquarters was originally scheduled to expire in 2023, and in June 2021, we amended the lease to extend it through 2028. We also lease approximately 67,000 square feet of office and manufacturing space in Beijing, China, and multiple office spaces in Beijing and Shanghai, China. Our leases in China expire in 2026. We have constructed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AVAILABLE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internet website address is www.fibrogen.com. In addition to the information about us and our subsidiaries contained in this Annual Report, information about us can be found on our website. The information contained on, or that can be accessed through, our website is not part of, and is not incorporated into, this Annual Report.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Additionally the Securities and Exchange Commission maintains an internet site that contains reports, proxy and information statements and other information. The address of the SEC’s website is www.sec.gov.</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CORPORATE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headquarters are located at 409 Illinois Street, San Francisco, California 94158 and our telephone number is (415) 978-1200. Our website address is www.FibroGen.com.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subsidiaries consist of the following: 1) FibroGen Europe Oy, a majority owned entity incorporated in Finland in 1996; 2) Skin Sciences, Inc., a majority owned entity incorporated in the State of Delaware in 1995; 3) FibroGen International (Cayman) Limited, a majority owned entity incorporated in the Cayman Islands in 2011; 4) FibroGen China Anemia Holdings Ltd., a majority owned entity incorporated in the Cayman Islands in 2012; 5) FibroGen International (Hong Kong) Limited, a majority owned entity incorporated in Hong Kong in 2011; 6) FibroGen INTL LLC, a majority owned entity incorporated in the State of Delaware in 2021; 7) FibroGen (China) Medical Technology Development Co., Ltd., a majority owned entity incorporated in China in 2011; and 8) Beijing Falikang Pharmaceutical Co. Ltd., an unconsolidated variable interest entity incorporated in China in 2020.</w:t>
      </w:r>
    </w:p>
    <w:p>
      <w:pPr>
        <w:pStyle w:val="TextBody"/>
        <w:spacing w:before="240" w:after="0"/>
        <w:rPr>
          <w:caps w:val="false"/>
          <w:smallCaps w:val="false"/>
        </w:rPr>
      </w:pPr>
      <w:r>
        <w:rPr>
          <w:caps w:val="false"/>
          <w:smallCaps w:val="false"/>
        </w:rPr>
        <w:t>“</w:t>
      </w:r>
      <w:r>
        <w:rPr>
          <w:rFonts w:ascii="Times New Roman" w:hAnsi="Times New Roman"/>
          <w:b w:val="false"/>
          <w:i w:val="false"/>
          <w:caps w:val="false"/>
          <w:smallCaps w:val="false"/>
          <w:sz w:val="20"/>
        </w:rPr>
        <w:t>FibroGen,” the FibroGen logo and other trademarks or service marks of FibroGen, Inc. appearing in this Annual Report are the property of FibroGen, Inc. This Annual Report contains additional trade names, trademarks and service marks of others, which are the property of their respective owners. We do not intend our use of display of other companies’ trade names, trademarks or service marks to imply a relationship with, or endorsement or sponsorship of us by, these other companies.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7" w:name="ITEM_1A_RISK_FACTORS"/>
      <w:bookmarkEnd w:id="7"/>
      <w:r>
        <w:rPr>
          <w:rFonts w:ascii="Times New Roman" w:hAnsi="Times New Roman"/>
          <w:b/>
          <w:i w:val="false"/>
          <w:caps w:val="false"/>
          <w:smallCaps w:val="false"/>
          <w:sz w:val="20"/>
        </w:rPr>
        <w:t xml:space="preserve">ITEM 1A. RISK FACTORS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Investing in our common stock involves a high degree of risk. You should carefully consider the risks described below in addition to the other information included or incorporated by reference in this Annual Report on Form 10-K for the year ended December 31, 2021 (“Annual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the Development and Commercialization of Our Product Candidates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are substantially dependent on the success of our lead product, roxadustat, and our second compound in development, pamrevlumab.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date, we have invested a substantial portion of our efforts and financial resources in the research and development of roxadustat and pamrevlumab.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While we have received approval of our marketing authorization applications for roxadustat in the European Union, Great Britain, the People’s Republic of China (“China”), Japan, South Korea, and Chile for chronic kidney disease (“CKD”) anemia for patients on dialysis and not on dialysis, we received a complete response letter (“CRL”) in the United States (“U.S.”) from the Food and Drug Administration (“FDA”). Our near-term prospects depend in part on our continued development of roxadustat in the U.S. and maintaining our collaboration with AstraZeneca AB (“AstraZeneca”). We are currently in discussions with AstraZeneca to determine a development path forward for CKD anemia and chemotherapy-induced anemia. We also continue to develop roxadustat for the treatment of anemia in patients with myelodysplastic syndromes (“MDS”).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near-term success also depends in large part on our other lead product candidate, pamrevlumab, which is currently in clinical development for idiopathic pulmonary fibrosis (“IPF”), locally advanced unresectable pancreatic cancer (“LAPC”), metastatic pancreatic cancer, and Duchenne muscular dystrophy (“DMD”).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As a company, we have limited commercialization experience, and the time and resources to develop such experience are significant. If we fail to achieve and sustain commercial success for roxadustat with our collaboration partners, our business would be harmed.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have a sales infrastructure and we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the extent that we would undertake sales and marketing of any of our products directly, there are risks involved with establishing our own sales, marketing and distribution capabilities. Factors that may inhibit our efforts to commercialize our products on our own include: </w:t>
      </w:r>
    </w:p>
    <w:tbl>
      <w:tblPr>
        <w:tblW w:w="9610" w:type="dxa"/>
        <w:jc w:val="left"/>
        <w:tblInd w:w="0" w:type="dxa"/>
        <w:tblCellMar>
          <w:top w:w="0" w:type="dxa"/>
          <w:left w:w="0" w:type="dxa"/>
          <w:bottom w:w="0" w:type="dxa"/>
          <w:right w:w="0" w:type="dxa"/>
        </w:tblCellMar>
      </w:tblPr>
      <w:tblGrid>
        <w:gridCol w:w="110"/>
        <w:gridCol w:w="950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5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inability to recruit, train and retain adequate numbers of effective sales and marketing personnel;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inability of sales personnel to obtain access to physicians or persuade adequate numbers of physicians to prescribe any future products; </w:t>
            </w:r>
          </w:p>
        </w:tc>
      </w:tr>
    </w:tbl>
    <w:tbl>
      <w:tblPr>
        <w:tblW w:w="7630" w:type="dxa"/>
        <w:jc w:val="left"/>
        <w:tblInd w:w="0" w:type="dxa"/>
        <w:tblCellMar>
          <w:top w:w="0" w:type="dxa"/>
          <w:left w:w="0" w:type="dxa"/>
          <w:bottom w:w="0" w:type="dxa"/>
          <w:right w:w="0" w:type="dxa"/>
        </w:tblCellMar>
      </w:tblPr>
      <w:tblGrid>
        <w:gridCol w:w="110"/>
        <w:gridCol w:w="752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inability to effectively manage geographically dispersed commercial teams;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lack of complementary products to be offered by sales personnel, which may put us at a competitive disadvantage relative to companies with more extensive product lines; and </w:t>
            </w:r>
          </w:p>
        </w:tc>
      </w:tr>
    </w:tbl>
    <w:tbl>
      <w:tblPr>
        <w:tblW w:w="9265" w:type="dxa"/>
        <w:jc w:val="left"/>
        <w:tblInd w:w="0" w:type="dxa"/>
        <w:tblCellMar>
          <w:top w:w="0" w:type="dxa"/>
          <w:left w:w="0" w:type="dxa"/>
          <w:bottom w:w="0" w:type="dxa"/>
          <w:right w:w="0" w:type="dxa"/>
        </w:tblCellMar>
      </w:tblPr>
      <w:tblGrid>
        <w:gridCol w:w="110"/>
        <w:gridCol w:w="91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1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unforeseen costs and expenses associated with creating an independent commercial organization.</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respect to roxadustat, we are dependent on the commercialization capabilities of our collaboration partners, AstraZeneca and Astellas Pharma Inc.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Commercializing roxadustat requires us to establish commercialization systems, including but not limited to, medical affairs, pharmacovigilance, supply-chain, and distribution capabilities to perform our portion of the collaborative efforts. These efforts require resources and time.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along with Astellas and AstraZeneca, are not successful in our marketing, pricing and reimbursement strategies, facilitating adoption by dialysis organizations or health care professionals, recruiting sales and marketing personnel or in building a sales and marketing infrastructure, or if the market perception of roxadustat’s safety and efficacy profile is negative, we will have difficulty commercializing roxadustat, which would adversely affect our business and financial condition.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Drug development and obtaining marketing authorization is a very difficult endeavor and we may ultimately be unable to obtain regulatory approval for our various product candidates in one or more jurisdictions and in one or more indications.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for any clinical trial to support a New Drug Application (“NDA”)/Biologics License Application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clinical research organizations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may take actions or impose requirements that delay, limit or deny approval of our product candidates for many reasons, including, among others: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tc>
      </w:tr>
    </w:tbl>
    <w:tbl>
      <w:tblPr>
        <w:tblW w:w="8680" w:type="dxa"/>
        <w:jc w:val="left"/>
        <w:tblInd w:w="0" w:type="dxa"/>
        <w:tblCellMar>
          <w:top w:w="0" w:type="dxa"/>
          <w:left w:w="0" w:type="dxa"/>
          <w:bottom w:w="0" w:type="dxa"/>
          <w:right w:w="0" w:type="dxa"/>
        </w:tblCellMar>
      </w:tblPr>
      <w:tblGrid>
        <w:gridCol w:w="110"/>
        <w:gridCol w:w="85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5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failure of clinical trials to meet the level of statistical significance required for approval;</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determination by regulatory authorities that additional clinical trials are necessary to demonstrate the safety and efficacy of a product candidate, </w:t>
            </w:r>
          </w:p>
        </w:tc>
      </w:tr>
    </w:tbl>
    <w:tbl>
      <w:tblPr>
        <w:tblW w:w="6580" w:type="dxa"/>
        <w:jc w:val="left"/>
        <w:tblInd w:w="0" w:type="dxa"/>
        <w:tblCellMar>
          <w:top w:w="0" w:type="dxa"/>
          <w:left w:w="0" w:type="dxa"/>
          <w:bottom w:w="0" w:type="dxa"/>
          <w:right w:w="0" w:type="dxa"/>
        </w:tblCellMar>
      </w:tblPr>
      <w:tblGrid>
        <w:gridCol w:w="110"/>
        <w:gridCol w:w="64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disagreement over the design or implementation of our clinical trials;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0" w:after="0"/>
        <w:rPr/>
      </w:pPr>
      <w:r>
        <w:rPr/>
        <w:t> </w:t>
      </w:r>
    </w:p>
    <w:p>
      <w:pPr>
        <w:pStyle w:val="TextBody"/>
        <w:spacing w:before="0" w:after="0"/>
        <w:rPr/>
      </w:pPr>
      <w:r>
        <w:rPr/>
        <w:t> </w:t>
      </w:r>
    </w:p>
    <w:tbl>
      <w:tblPr>
        <w:tblW w:w="9010" w:type="dxa"/>
        <w:jc w:val="left"/>
        <w:tblInd w:w="0" w:type="dxa"/>
        <w:tblCellMar>
          <w:top w:w="0" w:type="dxa"/>
          <w:left w:w="0" w:type="dxa"/>
          <w:bottom w:w="0" w:type="dxa"/>
          <w:right w:w="0" w:type="dxa"/>
        </w:tblCellMar>
      </w:tblPr>
      <w:tblGrid>
        <w:gridCol w:w="110"/>
        <w:gridCol w:w="890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product candidates may exhibit an unacceptable safety signal at any stage of development;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CROs or investigators that conduct clinical trials on our behalf may take actions outside of our control that do not comply with GCP, clinical trial protocols, or their agreement with us, or otherwise materially adversely impact our clinical trials;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disagreement over whether to accept results from clinical trial sites in a country where the standard of care is potentially different from that in the U.S.;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we or third-party contractors manufacturing our product candidates may not maintain current good manufacturing practices (“cGMP”), successfully pass inspection or meet other applicable manufacturing regulatory requirements;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regulatory authorities may not agree with our interpretation of the data from our preclinical trials and clinical trials; or</w:t>
            </w:r>
          </w:p>
        </w:tc>
      </w:tr>
    </w:tbl>
    <w:tbl>
      <w:tblPr>
        <w:tblW w:w="9835" w:type="dxa"/>
        <w:jc w:val="left"/>
        <w:tblInd w:w="0" w:type="dxa"/>
        <w:tblCellMar>
          <w:top w:w="0" w:type="dxa"/>
          <w:left w:w="0" w:type="dxa"/>
          <w:bottom w:w="0" w:type="dxa"/>
          <w:right w:w="0" w:type="dxa"/>
        </w:tblCellMar>
      </w:tblPr>
      <w:tblGrid>
        <w:gridCol w:w="110"/>
        <w:gridCol w:w="97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7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collaboration partners may not perform or complete their clinical programs in a timely manner, or at all.</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these factors, many of which are beyond our control, could jeopardize our or our collaboration partners’ abilities to obtain regulatory approval for our product candidates in one or more indications.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or other regulatory authorities may require more information (including additional preclinical or clinical data to support approval), which may delay or prevent approval or cause us to abandon the development program altogether.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believe our clinical trials are successful, regulatory authorities may not agree that our completed clinical trials provide adequate data on safety or efficacy. Approval by one regulatory authority does not ensure approval by any other regulatory authority. For example, while we have received approval of our marketing authorization applications for roxadustat in the European Union, Great Britain, China, Japan, South Korea, and Chile for CKD anemia for patients on dialysis and not on dialysis, we received a CRL in the U.S. from the FDA regarding roxadustat’s NDA for the treatment of anemia due to CKD, stating that it could not be approved in its present form. In addition, a failure or delay in obtaining regulatory approval in one country may have a negative effect on the regulatory process in others.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the foregoing scenarios could materially harm the commercial prospects for our product candidates.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The CRL we received from the FDA for roxadustat has decreased the likelihood of approval and successful commercialization of roxadustat in the U.S. and potentially other markets. This will decrease and/or delay expected revenue, and may increase the possibility that our Collaboration Agreement with AstraZeneca could be amended or terminated.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August 2021, the FDA issued a CRL regarding roxadustat’s NDA for the treatment of anemia due to CKD in adult patients, stating that it could not be approved in its present form. We are discussing the overall development and commercialization plan for roxadustat with our partner AstraZeneca and how the CRL and recent FDA feedback may affect those plans in the U.S. The CRL has decreased the likelihood of approval and successful commercialization of roxadustat in the U.S. and therefore will decrease and/or delay expected revenue. It is also possible that the CRL could negatively impact development or commercialization beyond CKD anemia within the U.S. and in CKD anemia and other indications outside the U.S. There is also an increased possibility that our U.S./RoW Collaboration Agreement with AstraZeneca could be amended or terminated. Any of these risks could have a material impact on our business, operating results, and financial condition.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Preclinical, Phase 1 and Phase 2 clinical trial results may not be indicative of the results that may be obtained in larger clinical trials.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in the pharmaceutical and biotechnology industries have suffered significant setbacks in late-stage clinical trials after achieving positive results in early-stage development, and we may face similar setbacks.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do not know whether our ongoing or planned clinical trials of roxadustat or pamrevlumab will need to be redesigned based on interim results or if we will be able to achieve sufficient patient enrollment or complete planned clinical trials on schedule.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Clinical trials can be delayed or terminated for a variety of reasons, including:</w:t>
      </w:r>
    </w:p>
    <w:tbl>
      <w:tblPr>
        <w:tblW w:w="10060" w:type="dxa"/>
        <w:jc w:val="left"/>
        <w:tblInd w:w="0" w:type="dxa"/>
        <w:tblCellMar>
          <w:top w:w="0" w:type="dxa"/>
          <w:left w:w="0" w:type="dxa"/>
          <w:bottom w:w="0" w:type="dxa"/>
          <w:right w:w="0" w:type="dxa"/>
        </w:tblCellMar>
      </w:tblPr>
      <w:tblGrid>
        <w:gridCol w:w="110"/>
        <w:gridCol w:w="99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9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 or failure to address any physician or patient safety concerns that arise during the course of the trial;</w:t>
            </w:r>
          </w:p>
        </w:tc>
      </w:tr>
    </w:tbl>
    <w:tbl>
      <w:tblPr>
        <w:tblW w:w="9130" w:type="dxa"/>
        <w:jc w:val="left"/>
        <w:tblInd w:w="0" w:type="dxa"/>
        <w:tblCellMar>
          <w:top w:w="0" w:type="dxa"/>
          <w:left w:w="0" w:type="dxa"/>
          <w:bottom w:w="0" w:type="dxa"/>
          <w:right w:w="0" w:type="dxa"/>
        </w:tblCellMar>
      </w:tblPr>
      <w:tblGrid>
        <w:gridCol w:w="110"/>
        <w:gridCol w:w="902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 or failure to obtain required regulatory or institutional review board approval or guidance;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 or failure to reach timely agreement on acceptable terms with prospective CROs and clinical trial sites;</w:t>
            </w:r>
          </w:p>
        </w:tc>
      </w:tr>
    </w:tbl>
    <w:tbl>
      <w:tblPr>
        <w:tblW w:w="8215" w:type="dxa"/>
        <w:jc w:val="left"/>
        <w:tblInd w:w="0" w:type="dxa"/>
        <w:tblCellMar>
          <w:top w:w="0" w:type="dxa"/>
          <w:left w:w="0" w:type="dxa"/>
          <w:bottom w:w="0" w:type="dxa"/>
          <w:right w:w="0" w:type="dxa"/>
        </w:tblCellMar>
      </w:tblPr>
      <w:tblGrid>
        <w:gridCol w:w="110"/>
        <w:gridCol w:w="81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1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 or failure to recruit, enroll and retain patients through the completion of the trial;</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patient recruitment, enrollment, or retention, or clinical site initiation or retention problems associated with the Severe Acute Respiratory Syndrome Coronavirus 2 and the resulting Coronavirus Disease (“COVID-19”) pandemic;</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patient recruitment, enrollment, or retention, clinical site initiation, or retention problems associated with civil unrest or military conflicts around the world, specifically the conflict in Ukraine which could affect our clinical trials enrolling in Ukraine (currently only ZEPHYRUS-2), or other sites or trials if the conflict spreads or has effects on countries outside of Ukraine;</w:t>
            </w:r>
          </w:p>
        </w:tc>
      </w:tr>
    </w:tbl>
    <w:tbl>
      <w:tblPr>
        <w:tblW w:w="7870" w:type="dxa"/>
        <w:jc w:val="left"/>
        <w:tblInd w:w="0" w:type="dxa"/>
        <w:tblCellMar>
          <w:top w:w="0" w:type="dxa"/>
          <w:left w:w="0" w:type="dxa"/>
          <w:bottom w:w="0" w:type="dxa"/>
          <w:right w:w="0" w:type="dxa"/>
        </w:tblCellMar>
      </w:tblPr>
      <w:tblGrid>
        <w:gridCol w:w="110"/>
        <w:gridCol w:w="77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 or failure to maintain clinical sites in compliance with clinical trial protocols;</w:t>
            </w:r>
          </w:p>
        </w:tc>
      </w:tr>
    </w:tbl>
    <w:tbl>
      <w:tblPr>
        <w:tblW w:w="7360" w:type="dxa"/>
        <w:jc w:val="left"/>
        <w:tblInd w:w="0" w:type="dxa"/>
        <w:tblCellMar>
          <w:top w:w="0" w:type="dxa"/>
          <w:left w:w="0" w:type="dxa"/>
          <w:bottom w:w="0" w:type="dxa"/>
          <w:right w:w="0" w:type="dxa"/>
        </w:tblCellMar>
      </w:tblPr>
      <w:tblGrid>
        <w:gridCol w:w="110"/>
        <w:gridCol w:w="72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2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 or failure to initiate or add a sufficient number of clinical trial sites; and</w:t>
            </w:r>
          </w:p>
        </w:tc>
      </w:tr>
    </w:tbl>
    <w:tbl>
      <w:tblPr>
        <w:tblW w:w="9160" w:type="dxa"/>
        <w:jc w:val="left"/>
        <w:tblInd w:w="0" w:type="dxa"/>
        <w:tblCellMar>
          <w:top w:w="0" w:type="dxa"/>
          <w:left w:w="0" w:type="dxa"/>
          <w:bottom w:w="0" w:type="dxa"/>
          <w:right w:w="0" w:type="dxa"/>
        </w:tblCellMar>
      </w:tblPr>
      <w:tblGrid>
        <w:gridCol w:w="110"/>
        <w:gridCol w:w="90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 or failure to manufacture sufficient quantities of product candidate for use in clinical trials.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tbl>
      <w:tblPr>
        <w:tblW w:w="4120" w:type="dxa"/>
        <w:jc w:val="left"/>
        <w:tblInd w:w="0" w:type="dxa"/>
        <w:tblCellMar>
          <w:top w:w="0" w:type="dxa"/>
          <w:left w:w="0" w:type="dxa"/>
          <w:bottom w:w="0" w:type="dxa"/>
          <w:right w:w="0" w:type="dxa"/>
        </w:tblCellMar>
      </w:tblPr>
      <w:tblGrid>
        <w:gridCol w:w="110"/>
        <w:gridCol w:w="40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0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severity of the disease under investigation;</w:t>
            </w:r>
          </w:p>
        </w:tc>
      </w:tr>
    </w:tbl>
    <w:tbl>
      <w:tblPr>
        <w:tblW w:w="3535" w:type="dxa"/>
        <w:jc w:val="left"/>
        <w:tblInd w:w="0" w:type="dxa"/>
        <w:tblCellMar>
          <w:top w:w="0" w:type="dxa"/>
          <w:left w:w="0" w:type="dxa"/>
          <w:bottom w:w="0" w:type="dxa"/>
          <w:right w:w="0" w:type="dxa"/>
        </w:tblCellMar>
      </w:tblPr>
      <w:tblGrid>
        <w:gridCol w:w="110"/>
        <w:gridCol w:w="34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4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availability of alternative treatments;</w:t>
            </w:r>
          </w:p>
        </w:tc>
      </w:tr>
    </w:tbl>
    <w:tbl>
      <w:tblPr>
        <w:tblW w:w="3955" w:type="dxa"/>
        <w:jc w:val="left"/>
        <w:tblInd w:w="0" w:type="dxa"/>
        <w:tblCellMar>
          <w:top w:w="0" w:type="dxa"/>
          <w:left w:w="0" w:type="dxa"/>
          <w:bottom w:w="0" w:type="dxa"/>
          <w:right w:w="0" w:type="dxa"/>
        </w:tblCellMar>
      </w:tblPr>
      <w:tblGrid>
        <w:gridCol w:w="110"/>
        <w:gridCol w:w="38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8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size and nature of the patient population;</w:t>
            </w:r>
          </w:p>
        </w:tc>
      </w:tr>
    </w:tbl>
    <w:tbl>
      <w:tblPr>
        <w:tblW w:w="5455" w:type="dxa"/>
        <w:jc w:val="left"/>
        <w:tblInd w:w="0" w:type="dxa"/>
        <w:tblCellMar>
          <w:top w:w="0" w:type="dxa"/>
          <w:left w:w="0" w:type="dxa"/>
          <w:bottom w:w="0" w:type="dxa"/>
          <w:right w:w="0" w:type="dxa"/>
        </w:tblCellMar>
      </w:tblPr>
      <w:tblGrid>
        <w:gridCol w:w="110"/>
        <w:gridCol w:w="53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eligibility criteria for and design of the study in question;</w:t>
            </w:r>
          </w:p>
        </w:tc>
      </w:tr>
    </w:tbl>
    <w:tbl>
      <w:tblPr>
        <w:tblW w:w="6310" w:type="dxa"/>
        <w:jc w:val="left"/>
        <w:tblInd w:w="0" w:type="dxa"/>
        <w:tblCellMar>
          <w:top w:w="0" w:type="dxa"/>
          <w:left w:w="0" w:type="dxa"/>
          <w:bottom w:w="0" w:type="dxa"/>
          <w:right w:w="0" w:type="dxa"/>
        </w:tblCellMar>
      </w:tblPr>
      <w:tblGrid>
        <w:gridCol w:w="110"/>
        <w:gridCol w:w="620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2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perceived risks and benefits of the product candidate under study;</w:t>
            </w:r>
          </w:p>
        </w:tc>
      </w:tr>
    </w:tbl>
    <w:tbl>
      <w:tblPr>
        <w:tblW w:w="9040" w:type="dxa"/>
        <w:jc w:val="left"/>
        <w:tblInd w:w="0" w:type="dxa"/>
        <w:tblCellMar>
          <w:top w:w="0" w:type="dxa"/>
          <w:left w:w="0" w:type="dxa"/>
          <w:bottom w:w="0" w:type="dxa"/>
          <w:right w:w="0" w:type="dxa"/>
        </w:tblCellMar>
      </w:tblPr>
      <w:tblGrid>
        <w:gridCol w:w="110"/>
        <w:gridCol w:w="89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ability to enroll patients in clinical trials during the COVID-19 pandemic (particularly for IPF);</w:t>
            </w:r>
          </w:p>
        </w:tc>
      </w:tr>
    </w:tbl>
    <w:tbl>
      <w:tblPr>
        <w:tblW w:w="4285" w:type="dxa"/>
        <w:jc w:val="left"/>
        <w:tblInd w:w="0" w:type="dxa"/>
        <w:tblCellMar>
          <w:top w:w="0" w:type="dxa"/>
          <w:left w:w="0" w:type="dxa"/>
          <w:bottom w:w="0" w:type="dxa"/>
          <w:right w:w="0" w:type="dxa"/>
        </w:tblCellMar>
      </w:tblPr>
      <w:tblGrid>
        <w:gridCol w:w="110"/>
        <w:gridCol w:w="41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1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ongoing clinical trials of competitive agents;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physicians’ and patients’ perceptions of the potential advantages of our product candidates being studied in relation to available therapies or other products under development;</w:t>
            </w:r>
          </w:p>
        </w:tc>
      </w:tr>
    </w:tbl>
    <w:tbl>
      <w:tblPr>
        <w:tblW w:w="7930" w:type="dxa"/>
        <w:jc w:val="left"/>
        <w:tblInd w:w="0" w:type="dxa"/>
        <w:tblCellMar>
          <w:top w:w="0" w:type="dxa"/>
          <w:left w:w="0" w:type="dxa"/>
          <w:bottom w:w="0" w:type="dxa"/>
          <w:right w:w="0" w:type="dxa"/>
        </w:tblCellMar>
      </w:tblPr>
      <w:tblGrid>
        <w:gridCol w:w="110"/>
        <w:gridCol w:w="782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8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CRO’s and our trial sites’ efforts to facilitate timely enrollment in clinical trials;</w:t>
            </w:r>
          </w:p>
        </w:tc>
      </w:tr>
    </w:tbl>
    <w:tbl>
      <w:tblPr>
        <w:tblW w:w="4150" w:type="dxa"/>
        <w:jc w:val="left"/>
        <w:tblInd w:w="0" w:type="dxa"/>
        <w:tblCellMar>
          <w:top w:w="0" w:type="dxa"/>
          <w:left w:w="0" w:type="dxa"/>
          <w:bottom w:w="0" w:type="dxa"/>
          <w:right w:w="0" w:type="dxa"/>
        </w:tblCellMar>
      </w:tblPr>
      <w:tblGrid>
        <w:gridCol w:w="110"/>
        <w:gridCol w:w="40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0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patient referral practices of physicians; and</w:t>
            </w:r>
          </w:p>
        </w:tc>
      </w:tr>
    </w:tbl>
    <w:tbl>
      <w:tblPr>
        <w:tblW w:w="8380" w:type="dxa"/>
        <w:jc w:val="left"/>
        <w:tblInd w:w="0" w:type="dxa"/>
        <w:tblCellMar>
          <w:top w:w="0" w:type="dxa"/>
          <w:left w:w="0" w:type="dxa"/>
          <w:bottom w:w="0" w:type="dxa"/>
          <w:right w:w="0" w:type="dxa"/>
        </w:tblCellMar>
      </w:tblPr>
      <w:tblGrid>
        <w:gridCol w:w="110"/>
        <w:gridCol w:w="82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ability to monitor patients and collect patient data adequately during and after treatment.</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have difficulty enrolling a sufficient number of patients to conduct our clinical trials as planned, we may need to delay, limit or terminate on-going or planned clinical trials.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product candidates may cause or have attributed to them undesirable side effects or have other properties that delay or prevent their regulatory approval or limit their commercial potential.</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tbl>
      <w:tblPr>
        <w:tblW w:w="7000" w:type="dxa"/>
        <w:jc w:val="left"/>
        <w:tblInd w:w="0" w:type="dxa"/>
        <w:tblCellMar>
          <w:top w:w="0" w:type="dxa"/>
          <w:left w:w="0" w:type="dxa"/>
          <w:bottom w:w="0" w:type="dxa"/>
          <w:right w:w="0" w:type="dxa"/>
        </w:tblCellMar>
      </w:tblPr>
      <w:tblGrid>
        <w:gridCol w:w="110"/>
        <w:gridCol w:w="68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8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clinical trial development plan becoming longer and more expensive;</w:t>
            </w:r>
          </w:p>
        </w:tc>
      </w:tr>
    </w:tbl>
    <w:tbl>
      <w:tblPr>
        <w:tblW w:w="9115" w:type="dxa"/>
        <w:jc w:val="left"/>
        <w:tblInd w:w="0" w:type="dxa"/>
        <w:tblCellMar>
          <w:top w:w="0" w:type="dxa"/>
          <w:left w:w="0" w:type="dxa"/>
          <w:bottom w:w="0" w:type="dxa"/>
          <w:right w:w="0" w:type="dxa"/>
        </w:tblCellMar>
      </w:tblPr>
      <w:tblGrid>
        <w:gridCol w:w="110"/>
        <w:gridCol w:w="90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terminating some of our clinical trials for the product candidates or specific indications affected;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regulatory authorities increasing the data and information required to approve our product candidates and imposing other requirements; and</w:t>
            </w:r>
          </w:p>
        </w:tc>
      </w:tr>
    </w:tbl>
    <w:tbl>
      <w:tblPr>
        <w:tblW w:w="6025" w:type="dxa"/>
        <w:jc w:val="left"/>
        <w:tblInd w:w="0" w:type="dxa"/>
        <w:tblCellMar>
          <w:top w:w="0" w:type="dxa"/>
          <w:left w:w="0" w:type="dxa"/>
          <w:bottom w:w="0" w:type="dxa"/>
          <w:right w:w="0" w:type="dxa"/>
        </w:tblCellMar>
      </w:tblPr>
      <w:tblGrid>
        <w:gridCol w:w="110"/>
        <w:gridCol w:w="59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9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collaboration partners terminating our existing agreements.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occurrence of any or all of these events may cause the development of our product candidates to be delayed or terminated, which could materially and adversely affect our business and prospects. Refer to “</w:t>
      </w:r>
      <w:r>
        <w:rPr>
          <w:rFonts w:ascii="Times New Roman" w:hAnsi="Times New Roman"/>
          <w:b w:val="false"/>
          <w:i/>
          <w:caps w:val="false"/>
          <w:smallCaps w:val="false"/>
          <w:sz w:val="20"/>
        </w:rPr>
        <w:t>Business — Overview</w:t>
      </w:r>
      <w:r>
        <w:rPr>
          <w:rFonts w:ascii="Times New Roman" w:hAnsi="Times New Roman"/>
          <w:b w:val="false"/>
          <w:i w:val="false"/>
          <w:caps w:val="false"/>
          <w:smallCaps w:val="false"/>
          <w:sz w:val="20"/>
        </w:rPr>
        <w:t>” in this Annual Report for a discussion of the adverse events and serious adverse events that have emerged in clinical trials of roxadustat and pamrevlumab.</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Clinical trials of our product candidates may not uncover all possible adverse effects that patients may experience.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our manufacturers or we cannot properly manufacture the appropriate volume of product, we may experience delays in development, regulatory approval, launch or successful commercialization.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required for both late-stage clinical trials, post-approval trials, and commercial supply. In addition, if we are not able to obtain regulatory approval of roxadustat in the U.S. in CKD anemia,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Insufficient supply could be a particular risk if we were to obtain regulatory approval of pamrevlumab in all indications being studied (IPF, LAPC, metastatic pancreatic cancer, and DMD). Any delay or interruption in the supply of our product candidates or products could have a material adverse effect on our business and operations.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add or change manufacturers for our products. We, our partners, or regulatory authorities may also request or make changes to our manufacturing processes or to our product or packaging specifications, including in order to accommodate changes in regulations, manufacturing equipment or to account for different processes at new or second source suppliers. If any such changes are made with respect to roxadustat or pamrevlumab we may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such changes could also lead to product having an earlier expiration date, shorter shelf life, or failing to meet specifications. Any of these occurrences may materially impact our operations and potential profitability.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even an experienced third-party manufacturer, may encounter difficulties in production. Difficulties may include: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costs and challenges associated with scale-up and attaining sufficient manufacturing yields, in particular for biologic products such as pamrevlumab, which is a monoclonal antibody;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contracting with additional suppliers and validation/qualification of additional facilities to meet growing demand;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supply chain issues, including coordination of multiple contractors in our supply chain and securing necessary licenses (such as export licenses);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timely availability and shelf life requirements of raw materials and supplies, including delays in availability due to the COVID-19 pandemic;</w:t>
            </w:r>
          </w:p>
        </w:tc>
      </w:tr>
    </w:tbl>
    <w:tbl>
      <w:tblPr>
        <w:tblW w:w="3685" w:type="dxa"/>
        <w:jc w:val="left"/>
        <w:tblInd w:w="0" w:type="dxa"/>
        <w:tblCellMar>
          <w:top w:w="0" w:type="dxa"/>
          <w:left w:w="0" w:type="dxa"/>
          <w:bottom w:w="0" w:type="dxa"/>
          <w:right w:w="0" w:type="dxa"/>
        </w:tblCellMar>
      </w:tblPr>
      <w:tblGrid>
        <w:gridCol w:w="110"/>
        <w:gridCol w:w="35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5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limited stability and product shelf life;</w:t>
            </w:r>
          </w:p>
        </w:tc>
      </w:tr>
    </w:tbl>
    <w:tbl>
      <w:tblPr>
        <w:tblW w:w="3955" w:type="dxa"/>
        <w:jc w:val="left"/>
        <w:tblInd w:w="0" w:type="dxa"/>
        <w:tblCellMar>
          <w:top w:w="0" w:type="dxa"/>
          <w:left w:w="0" w:type="dxa"/>
          <w:bottom w:w="0" w:type="dxa"/>
          <w:right w:w="0" w:type="dxa"/>
        </w:tblCellMar>
      </w:tblPr>
      <w:tblGrid>
        <w:gridCol w:w="110"/>
        <w:gridCol w:w="38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8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equipment maintenance issues or failure;</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pacing w:before="0" w:after="0"/>
        <w:rPr/>
      </w:pPr>
      <w:r>
        <w:rPr/>
        <w:t> </w:t>
      </w:r>
    </w:p>
    <w:p>
      <w:pPr>
        <w:pStyle w:val="TextBody"/>
        <w:spacing w:before="0" w:after="0"/>
        <w:rPr/>
      </w:pPr>
      <w:r>
        <w:rPr/>
        <w:t> </w:t>
      </w:r>
    </w:p>
    <w:tbl>
      <w:tblPr>
        <w:tblW w:w="4255" w:type="dxa"/>
        <w:jc w:val="left"/>
        <w:tblInd w:w="0" w:type="dxa"/>
        <w:tblCellMar>
          <w:top w:w="0" w:type="dxa"/>
          <w:left w:w="0" w:type="dxa"/>
          <w:bottom w:w="0" w:type="dxa"/>
          <w:right w:w="0" w:type="dxa"/>
        </w:tblCellMar>
      </w:tblPr>
      <w:tblGrid>
        <w:gridCol w:w="110"/>
        <w:gridCol w:w="41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1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quality control and quality assurance issues;</w:t>
            </w:r>
          </w:p>
        </w:tc>
      </w:tr>
    </w:tbl>
    <w:tbl>
      <w:tblPr>
        <w:tblW w:w="9100" w:type="dxa"/>
        <w:jc w:val="left"/>
        <w:tblInd w:w="0" w:type="dxa"/>
        <w:tblCellMar>
          <w:top w:w="0" w:type="dxa"/>
          <w:left w:w="0" w:type="dxa"/>
          <w:bottom w:w="0" w:type="dxa"/>
          <w:right w:w="0" w:type="dxa"/>
        </w:tblCellMar>
      </w:tblPr>
      <w:tblGrid>
        <w:gridCol w:w="110"/>
        <w:gridCol w:w="89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shortages of qualified personnel and capital required to manufacture large quantities of product;</w:t>
            </w:r>
          </w:p>
        </w:tc>
      </w:tr>
    </w:tbl>
    <w:tbl>
      <w:tblPr>
        <w:tblW w:w="9370" w:type="dxa"/>
        <w:jc w:val="left"/>
        <w:tblInd w:w="0" w:type="dxa"/>
        <w:tblCellMar>
          <w:top w:w="0" w:type="dxa"/>
          <w:left w:w="0" w:type="dxa"/>
          <w:bottom w:w="0" w:type="dxa"/>
          <w:right w:w="0" w:type="dxa"/>
        </w:tblCellMar>
      </w:tblPr>
      <w:tblGrid>
        <w:gridCol w:w="110"/>
        <w:gridCol w:w="92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2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compliance with regulatory requirements that vary in each country where a product might be sold;</w:t>
            </w:r>
          </w:p>
        </w:tc>
      </w:tr>
    </w:tbl>
    <w:tbl>
      <w:tblPr>
        <w:tblW w:w="8050" w:type="dxa"/>
        <w:jc w:val="left"/>
        <w:tblInd w:w="0" w:type="dxa"/>
        <w:tblCellMar>
          <w:top w:w="0" w:type="dxa"/>
          <w:left w:w="0" w:type="dxa"/>
          <w:bottom w:w="0" w:type="dxa"/>
          <w:right w:w="0" w:type="dxa"/>
        </w:tblCellMar>
      </w:tblPr>
      <w:tblGrid>
        <w:gridCol w:w="110"/>
        <w:gridCol w:w="79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9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capacity or forecasting limitations and scheduling availability in contracted facilities;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natural disasters, such as pandemics, including the COVID-19 pandemic, floods, storms, earthquakes, tsunamis, and droughts, or accidents such as fire, that affect facilities, possibly limit or postpone production, and increase costs; and</w:t>
            </w:r>
          </w:p>
        </w:tc>
      </w:tr>
    </w:tbl>
    <w:tbl>
      <w:tblPr>
        <w:tblW w:w="5365" w:type="dxa"/>
        <w:jc w:val="left"/>
        <w:tblInd w:w="0" w:type="dxa"/>
        <w:tblCellMar>
          <w:top w:w="0" w:type="dxa"/>
          <w:left w:w="0" w:type="dxa"/>
          <w:bottom w:w="0" w:type="dxa"/>
          <w:right w:w="0" w:type="dxa"/>
        </w:tblCellMar>
      </w:tblPr>
      <w:tblGrid>
        <w:gridCol w:w="110"/>
        <w:gridCol w:w="52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2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failure to obtain license to proprietary starting materials.</w:t>
            </w:r>
          </w:p>
        </w:tc>
      </w:tr>
    </w:tbl>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For example, while we have received approval of our marketing authorization applications for roxadustat in the European Union, Great Britain, China, Japan, South Korea, and Chile for CKD anemia for patients on dialysis and not on dialysis, we received a CRL in the U.S. from the FDA. Regulatory authorities may approve one of our product candidates for fewer or more limited indications than we request or may grant approval contingent on the performance of costly post-approval clinical trials. While we have and will present to regulatory authorities certain pre-specified and post hoc (not pre-specified) sub-populations, sub-group, and sensitivity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Even if we are able to obtain regulatory approval of our product candidates, the label we obtain may limit the indicated uses for which our product candidates may be marketed.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Any label for roxadustat may contain other warnings or limit the market opportunity or approved indications for roxadustat. These warnings could include warnings against exceeding specified hemoglobin targets and other warnings that derive from the safety issues associated with ESAs, even if our Phase 3 clinical trials do not themselves raise safety concerns.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face substantial competition in the discovery, development and commercialization of product candidates.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Where roxadustat is approved and launched commercially, competing drugs are expected to include ESAs, particularly in those patient segments where ESAs are used. Currently available ESAs include epoetin alfa (EPOGEN®, marketed by Amgen Inc. in the U.S., Procrit® and Erypo®/Eprex®, marketed by Johnson &amp; Johnson Inc., and Espo® marketed by Kyowa Hakko Kirin in Japan and China), darbepoetin (Amgen/Kyowa Hakko Kirin’s Aranesp® and NESP®) and Mircera®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or hematology care may be receiving ESA therapy. It may be difficult to encourage healthcare providers and patients to switch to roxadustat from products with which they have become familiar.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also face competition from potential new anemia therapies currently on the market or in clinical development, including in those patient segments not adequately addressed by ESAs. Companies that are currently developing hypoxia-inducible factor prolyl hydroxylase (“HIF-PH”) inhibitors for anemia in CKD indications include: GlaxoSmithKline plc (“GSK”), Bayer Corporation (“Bayer”), Akebia Therapeutics, Inc. (“Akebia”), Otsuka Pharmaceutical, Akebia’s partner in the U.S. and Europe, Japan Tobacco, and Zydus Cadila (India) (“Zydus”). In March 2021, Akebia submitted an NDA to the FDA for vadadustat for the treatment of anemia due to CKD in patients on dialysis and not on dialysis with a Prescription Drug User Fee Act target action date of March 29, 2022. In October 2021, Otsuka Pharmaceutical submitted an initial marketing authorization application to the EMA for vadadustat for the treatment of anemia associated with CKD in adults.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2021, GSK announced positive topline results from five Phase 3 studies of daprodustat for non-dialysis and dialysis patients with anemia due to CKD. GSK has stated that they expect to file an NDA in the U.S. and a Marketing Authorization Application in the European Union in the first half of 2022.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Japan, roxadustat faces the following competitive drugs being sold by the following companies for the treatment of anemia of CKD patients on and not on dialysis: vadadustat by Mitsubishi Tanabe Pharmaceutical Corporation, Akebia’s collaboration partner, daprodustat by GSK and its partner Kyowa Hakko Kirin, molidustat by Bayer, and enarodustat by Japan Tobacco (to be sold by Torii Pharmaceuticals Ltd).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2020, Zydus received approval from the FDA to begin a Phase 1 study of desidustat for the treatment of chemotherapy-induced anemia, which could potentially be competitive with roxadustat within this indication.</w:t>
      </w:r>
    </w:p>
    <w:p>
      <w:pPr>
        <w:pStyle w:val="TextBody"/>
        <w:spacing w:lineRule="auto" w:line="288"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Reblozyl®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t>
      </w:r>
      <w:r>
        <w:rPr>
          <w:rFonts w:ascii="Times New Roman" w:hAnsi="Times New Roman"/>
          <w:b w:val="false"/>
          <w:i w:val="false"/>
          <w:caps w:val="false"/>
          <w:smallCaps w:val="false"/>
          <w:color w:val="000000"/>
          <w:sz w:val="20"/>
        </w:rPr>
        <w:t>we will likely face competition from other companies developing biologic therapies for the treatment of other anemia indications that we may also seek to pursue in the future</w:t>
      </w:r>
      <w:r>
        <w:rPr>
          <w:rFonts w:ascii="Times New Roman" w:hAnsi="Times New Roman"/>
          <w:b w:val="false"/>
          <w:i w:val="false"/>
          <w:caps w:val="false"/>
          <w:smallCaps w:val="false"/>
          <w:sz w:val="20"/>
        </w:rPr>
        <w:t>. We may face competition for patient recruitment, enrollment for clinical trials, and potentially in commercial sales. There may also be new therapies for renal-related diseases that could limit the market or level of reimbursement available for roxadustat.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China, ESA is considered the standard of care for treatment of anemia of CKD, and locally manufactured epoetin alfa is offered by 15 local manufacturers including the market leader EPIAO that is marketed by 3SBio Inc. We may face potential competition from other HIF-PH inhibitors. Companies active in the US such as Akebia, Bayer, and GSK have been authorized by the National Medical Products Administration (“NMPA”) to conduct trials in China to support its ex-China regulatory filings. A number of domestic companies, including Jiangsu Hengrui Medicine Co., Ltd., Guandong Sunshine Health Investment Co., Ltd., 3SBio Inc., and Hangzhou Andao Pharmaceutical Co. have been permitted by the NMPA to conduct clinical trials in their locally developed HIF-PH inhibitor investigational compounds for the treatment of anemia in CKD. Domestic companies are also in-licensing global compounds to be developed as domestic drugs, including China Medical System which in-licensed desidustat, a compound that is currently in Phase 3 trials in India, from Zydus for greater China in January 2020. In January 2021, China Medical System Holdings Ltd. was granted approval by the Chinese NMPA to begin trials for desidustat in patients with anemia of CKD, including dialysis and non-dialysis patients. Shenzhen Salubris Pharmaceutical Co., Ltd., a domestic company in China, has in-licensed enarodustat from Japan Tobacco and received NMPA approval in the third quarter of 2020 to initiate Phase 3 studies. We will also face competition from generics who could enter the market after expiry of our patents in China, and two potential market players have already started bioequivalence studies, including Chia Tai-Tiangqing Pharmaceutical Holdings and CSPA Pharmaceutical Group.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first biosimilar ESA, Pfizer’s Retacrit®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 (epoetin alfa) in Europe and may file a biosimilar Biologics License Application in the U.S.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executed long-term contracts including rebate terms with Amgen. Successful penetration in this market will likely require our partner AstraZeneca to enter into a definitive agreement with Fresenius, DaVita, or other dialysis organizations, on favorable pricing terms and on a timely basis.</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approved and launched commercially to treat IPF, pamrevlumab is expected to compete with Roche’s Esbriet® (pirfenidone), and Boehringer Ingelheim Pharma GmbH &amp; Co. KG’s Ofev®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Pamrevlumab is a monoclonal antibody that may be more expensive and less convenient than oral small molecules such as nintedanib and pirfenidone. Other potential competitive product candidates in various stages of development for IPF include Kadmon Holdings, Inc.’s KD025, Galecto’s GB0139, Liminal BioSciences’ PBI-4050, and Roche/Promedior, Inc.’s PRM-151. Roche is enrolling patients in a Phase 3 trial evaluating the efficacy and safety of PRM-151, a recombinant human pentraxin-2 (rhPTX-2), compared to placebo in patients with IPF. United Therapeutics Corporation is enrolling patients in its Phase 3 trial of treprostinil in IPF.</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pamrevlumab is approved and launched commercially to treat LAPC or metastatic pancreatic cancer, pamrevlumab may face competition from products currently used for pancreatic cancer. These include FOLFIRINOX, a combination chemotherapy regimen of folic acid, 5-fluouracil, oxaliplatin and irinotecan, and agents seeking approval in combination with gemcitibine and nab-paclitaxel from companies such as Rafael Pharma’s defactinib/CPI-613 and Merrimack Pharmaceuticals Inc.’s istiratumab. Gemcitabine and/or nab-paclitaxel are the current standard of care in the first-line treatment of metastatic pancreatic cancer.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0" w:after="0"/>
        <w:rPr/>
      </w:pPr>
      <w:r>
        <w:rPr/>
        <w:t>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approved and launched commercially to treat DMD, pamrevlumab is expected to face competition from drugs that have been approved in major markets such as the U.S., European Union, and Japan. On September 19, 2016, the FDA approved Sarepta Therapeutics Inc.’s (“Sarepta”) Exondys 51TM (eteplirsen).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Sarepta’s Vyondys 53TM (golodirsen) was approved by the FDA in December 2019 for patients with a confirmed genetic mutation that is amenable to exon 53 skipping, which accounts for approximately 8% of the DMD population. Sarepta’s Amondys 45™ (casimersen) was approved by the FDA in February 2021 for patients with a confirmed genetic mutation that is amenable to exon 45 skipping, which accounts for approximately 8% of the DMD population.</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PTC Therapeutics’ product TranslarnaTM received a conditional approval in Europe in 2014, which was renewed in November 2016 with a request for a new randomized placebo-controlled 18-month study by the Committee for Medicinal Products for Human Use of the EMA; however, the FDA informed the sponsor in a CRL in October 2017, as well as in its response to PTC Therapeutics’ appeal, that the FDA is unable to approve the application in its current form. An additional Phase 3 study is currently ongoing. While Translarna TM targets a different set of DMD patients from those targeted by Sarepta’s Exondys 51®, it is also limited to a subset of patients who carry a specific mutation. Conversely, pamrevlumab is intended to treat DMD patients without limitation to type of mutation.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and Sarepta. Pfizer initiated a Phase 3 study with PF-06939926, its AAV9 mini-dystrophin gene therapy for DMD in February 2020.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our collaboration partners and we are not able to compete effectively against existing and potential competitors, our business and financial condition may be materially and adversely affected.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product candidates may not achieve adequate market acceptance among physicians, patients, healthcare payors, and others in the medical community necessary for commercial success.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tbl>
      <w:tblPr>
        <w:tblW w:w="6685" w:type="dxa"/>
        <w:jc w:val="left"/>
        <w:tblInd w:w="0" w:type="dxa"/>
        <w:tblCellMar>
          <w:top w:w="0" w:type="dxa"/>
          <w:left w:w="0" w:type="dxa"/>
          <w:bottom w:w="0" w:type="dxa"/>
          <w:right w:w="0" w:type="dxa"/>
        </w:tblCellMar>
      </w:tblPr>
      <w:tblGrid>
        <w:gridCol w:w="110"/>
        <w:gridCol w:w="65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efficacy of the product candidate as demonstrated in clinical trials;</w:t>
            </w:r>
          </w:p>
        </w:tc>
      </w:tr>
    </w:tbl>
    <w:tbl>
      <w:tblPr>
        <w:tblW w:w="9655" w:type="dxa"/>
        <w:jc w:val="left"/>
        <w:tblInd w:w="0" w:type="dxa"/>
        <w:tblCellMar>
          <w:top w:w="0" w:type="dxa"/>
          <w:left w:w="0" w:type="dxa"/>
          <w:bottom w:w="0" w:type="dxa"/>
          <w:right w:w="0" w:type="dxa"/>
        </w:tblCellMar>
      </w:tblPr>
      <w:tblGrid>
        <w:gridCol w:w="110"/>
        <w:gridCol w:w="95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5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safety profile and perceptions of safety of our product candidates relative to competitive products;</w:t>
            </w:r>
          </w:p>
        </w:tc>
      </w:tr>
    </w:tbl>
    <w:tbl>
      <w:tblPr>
        <w:tblW w:w="10075" w:type="dxa"/>
        <w:jc w:val="left"/>
        <w:tblInd w:w="0" w:type="dxa"/>
        <w:tblCellMar>
          <w:top w:w="0" w:type="dxa"/>
          <w:left w:w="0" w:type="dxa"/>
          <w:bottom w:w="0" w:type="dxa"/>
          <w:right w:w="0" w:type="dxa"/>
        </w:tblCellMar>
      </w:tblPr>
      <w:tblGrid>
        <w:gridCol w:w="110"/>
        <w:gridCol w:w="99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9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acceptance of the product candidate as a safe and effective treatment by healthcare providers and patients;</w:t>
            </w:r>
          </w:p>
        </w:tc>
      </w:tr>
    </w:tbl>
    <w:tbl>
      <w:tblPr>
        <w:tblW w:w="6505" w:type="dxa"/>
        <w:jc w:val="left"/>
        <w:tblInd w:w="0" w:type="dxa"/>
        <w:tblCellMar>
          <w:top w:w="0" w:type="dxa"/>
          <w:left w:w="0" w:type="dxa"/>
          <w:bottom w:w="0" w:type="dxa"/>
          <w:right w:w="0" w:type="dxa"/>
        </w:tblCellMar>
      </w:tblPr>
      <w:tblGrid>
        <w:gridCol w:w="110"/>
        <w:gridCol w:w="63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clinical indications for which the product candidate is approved;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potential and perceived advantages of the product candidate over alternative treatments, including any similar generic treatments;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inclusion or exclusion of the product candidate from treatment guidelines established by various physician groups and the viewpoints of influential physicians with respect to the product candidate;</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0" w:after="0"/>
        <w:rPr/>
      </w:pPr>
      <w:r>
        <w:rPr/>
        <w:t> </w:t>
      </w:r>
    </w:p>
    <w:tbl>
      <w:tblPr>
        <w:tblW w:w="6295" w:type="dxa"/>
        <w:jc w:val="left"/>
        <w:tblInd w:w="0" w:type="dxa"/>
        <w:tblCellMar>
          <w:top w:w="0" w:type="dxa"/>
          <w:left w:w="0" w:type="dxa"/>
          <w:bottom w:w="0" w:type="dxa"/>
          <w:right w:w="0" w:type="dxa"/>
        </w:tblCellMar>
      </w:tblPr>
      <w:tblGrid>
        <w:gridCol w:w="110"/>
        <w:gridCol w:w="61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1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cost of the product candidate relative to alternative treatments;</w:t>
            </w:r>
          </w:p>
        </w:tc>
      </w:tr>
    </w:tbl>
    <w:tbl>
      <w:tblPr>
        <w:tblW w:w="9565" w:type="dxa"/>
        <w:jc w:val="left"/>
        <w:tblInd w:w="0" w:type="dxa"/>
        <w:tblCellMar>
          <w:top w:w="0" w:type="dxa"/>
          <w:left w:w="0" w:type="dxa"/>
          <w:bottom w:w="0" w:type="dxa"/>
          <w:right w:w="0" w:type="dxa"/>
        </w:tblCellMar>
      </w:tblPr>
      <w:tblGrid>
        <w:gridCol w:w="110"/>
        <w:gridCol w:w="94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4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adequate pricing and reimbursement by third parties and government authorities as described below;</w:t>
            </w:r>
          </w:p>
        </w:tc>
      </w:tr>
    </w:tbl>
    <w:tbl>
      <w:tblPr>
        <w:tblW w:w="4990" w:type="dxa"/>
        <w:jc w:val="left"/>
        <w:tblInd w:w="0" w:type="dxa"/>
        <w:tblCellMar>
          <w:top w:w="0" w:type="dxa"/>
          <w:left w:w="0" w:type="dxa"/>
          <w:bottom w:w="0" w:type="dxa"/>
          <w:right w:w="0" w:type="dxa"/>
        </w:tblCellMar>
      </w:tblPr>
      <w:tblGrid>
        <w:gridCol w:w="110"/>
        <w:gridCol w:w="48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relative convenience and ease of administration;</w:t>
            </w:r>
          </w:p>
        </w:tc>
      </w:tr>
    </w:tbl>
    <w:tbl>
      <w:tblPr>
        <w:tblW w:w="4375" w:type="dxa"/>
        <w:jc w:val="left"/>
        <w:tblInd w:w="0" w:type="dxa"/>
        <w:tblCellMar>
          <w:top w:w="0" w:type="dxa"/>
          <w:left w:w="0" w:type="dxa"/>
          <w:bottom w:w="0" w:type="dxa"/>
          <w:right w:w="0" w:type="dxa"/>
        </w:tblCellMar>
      </w:tblPr>
      <w:tblGrid>
        <w:gridCol w:w="110"/>
        <w:gridCol w:w="42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2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frequency and severity of adverse events;</w:t>
            </w:r>
          </w:p>
        </w:tc>
      </w:tr>
    </w:tbl>
    <w:tbl>
      <w:tblPr>
        <w:tblW w:w="4990" w:type="dxa"/>
        <w:jc w:val="left"/>
        <w:tblInd w:w="0" w:type="dxa"/>
        <w:tblCellMar>
          <w:top w:w="0" w:type="dxa"/>
          <w:left w:w="0" w:type="dxa"/>
          <w:bottom w:w="0" w:type="dxa"/>
          <w:right w:w="0" w:type="dxa"/>
        </w:tblCellMar>
      </w:tblPr>
      <w:tblGrid>
        <w:gridCol w:w="110"/>
        <w:gridCol w:w="48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effectiveness of sales and marketing efforts; and</w:t>
            </w:r>
          </w:p>
        </w:tc>
      </w:tr>
    </w:tbl>
    <w:tbl>
      <w:tblPr>
        <w:tblW w:w="5695" w:type="dxa"/>
        <w:jc w:val="left"/>
        <w:tblInd w:w="0" w:type="dxa"/>
        <w:tblCellMar>
          <w:top w:w="0" w:type="dxa"/>
          <w:left w:w="0" w:type="dxa"/>
          <w:bottom w:w="0" w:type="dxa"/>
          <w:right w:w="0" w:type="dxa"/>
        </w:tblCellMar>
      </w:tblPr>
      <w:tblGrid>
        <w:gridCol w:w="110"/>
        <w:gridCol w:w="55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any unfavorable publicity relating to the product candidate.</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No or limited reimbursement or insurance coverage of our approved products, if any, by third-party payors may render our products less attractive to patients and healthcare providers.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tbl>
      <w:tblPr>
        <w:tblW w:w="4525" w:type="dxa"/>
        <w:jc w:val="left"/>
        <w:tblInd w:w="0" w:type="dxa"/>
        <w:tblCellMar>
          <w:top w:w="0" w:type="dxa"/>
          <w:left w:w="0" w:type="dxa"/>
          <w:bottom w:w="0" w:type="dxa"/>
          <w:right w:w="0" w:type="dxa"/>
        </w:tblCellMar>
      </w:tblPr>
      <w:tblGrid>
        <w:gridCol w:w="110"/>
        <w:gridCol w:w="44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4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 covered benefit under applicable health plan;</w:t>
            </w:r>
          </w:p>
        </w:tc>
      </w:tr>
    </w:tbl>
    <w:tbl>
      <w:tblPr>
        <w:tblW w:w="3850" w:type="dxa"/>
        <w:jc w:val="left"/>
        <w:tblInd w:w="0" w:type="dxa"/>
        <w:tblCellMar>
          <w:top w:w="0" w:type="dxa"/>
          <w:left w:w="0" w:type="dxa"/>
          <w:bottom w:w="0" w:type="dxa"/>
          <w:right w:w="0" w:type="dxa"/>
        </w:tblCellMar>
      </w:tblPr>
      <w:tblGrid>
        <w:gridCol w:w="110"/>
        <w:gridCol w:w="37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7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safe, effective and medically necessary;</w:t>
            </w:r>
          </w:p>
        </w:tc>
      </w:tr>
    </w:tbl>
    <w:tbl>
      <w:tblPr>
        <w:tblW w:w="3400" w:type="dxa"/>
        <w:jc w:val="left"/>
        <w:tblInd w:w="0" w:type="dxa"/>
        <w:tblCellMar>
          <w:top w:w="0" w:type="dxa"/>
          <w:left w:w="0" w:type="dxa"/>
          <w:bottom w:w="0" w:type="dxa"/>
          <w:right w:w="0" w:type="dxa"/>
        </w:tblCellMar>
      </w:tblPr>
      <w:tblGrid>
        <w:gridCol w:w="110"/>
        <w:gridCol w:w="32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2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appropriate for the specific patient;</w:t>
            </w:r>
          </w:p>
        </w:tc>
      </w:tr>
    </w:tbl>
    <w:tbl>
      <w:tblPr>
        <w:tblW w:w="1855" w:type="dxa"/>
        <w:jc w:val="left"/>
        <w:tblInd w:w="0" w:type="dxa"/>
        <w:tblCellMar>
          <w:top w:w="0" w:type="dxa"/>
          <w:left w:w="0" w:type="dxa"/>
          <w:bottom w:w="0" w:type="dxa"/>
          <w:right w:w="0" w:type="dxa"/>
        </w:tblCellMar>
      </w:tblPr>
      <w:tblGrid>
        <w:gridCol w:w="110"/>
        <w:gridCol w:w="17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7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cost-effective; and</w:t>
            </w:r>
          </w:p>
        </w:tc>
      </w:tr>
    </w:tbl>
    <w:tbl>
      <w:tblPr>
        <w:tblW w:w="3910" w:type="dxa"/>
        <w:jc w:val="left"/>
        <w:tblInd w:w="0" w:type="dxa"/>
        <w:tblCellMar>
          <w:top w:w="0" w:type="dxa"/>
          <w:left w:w="0" w:type="dxa"/>
          <w:bottom w:w="0" w:type="dxa"/>
          <w:right w:w="0" w:type="dxa"/>
        </w:tblCellMar>
      </w:tblPr>
      <w:tblGrid>
        <w:gridCol w:w="110"/>
        <w:gridCol w:w="380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8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neither experimental nor investigational.</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2022 to December 31, 2023), after which time we will have to renegotiate a new price for roxadustat.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Our Reliance on Third Parties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If our collaborations were terminated or if Astellas or AstraZeneca were to prioritize other initiatives over their collaborations with us, our ability to successfully develop and commercialize our product candidates would suffer.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As a result of the CRL we received for roxadustat for the treatment of anemia due to CKD in adult patients in the U.S., we are currently in discussions with AstraZeneca to determine a potential path forward for the development of roxadustat in the U.S., and there is an increased possibility that our Collaboration Agreement with AstraZeneca could be amended or terminated. We and our partner, AstraZeneca, met with the FDA and discussed the design of an additional trial in CKD anemia. We continue to discuss the possible development options in the U.S. with AstraZeneca and the FDA. In addition, our collaborations are exclusive and preclude us from entering into additional collaboration agreements with other parties in the area or field of exclusivity.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 partners have limited or no experience in commercialization of an anemia drug. If our collaboration partners are unsuccessful in their commercialization efforts, our results will be negatively affected.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respect to our collaboration agreements for roxadustat, there are additional complexities in that our collaboration partners, Astellas and AstraZeneca, and we must reach consensus on certain portions of our development programs and regulatory activities.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our preclinical and clinical trial contractors do not properly perform their agreed upon obligations, we may not be able to obtain or may be delayed in receiving regulatory approvals for our product candidates.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continued development of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period of time.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currently rely, and expect to continue to rely, on third parties to conduct many aspects of our product manufacturing and distribution, and these third parties may terminate these agreements or not perform satisfactorily.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have operating manufacturing facilities at this time other than our roxadustat manufacturing facilities in China, and our current commercial manufacturing plants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reduced control and additional burdens of oversight as a result of using third-party manufacturers and distributors for all aspects of manufacturing activities, including regulatory compliance and quality control and quality assurance;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termination of manufacturing agreements, termination fees associated with such termination, or nonrenewal of manufacturing agreements with third parties may negatively impact our planned development and commercialization activities;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possible misappropriation of our proprietary technology, including our trade secrets and know-how;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limited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IRIX and we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 and in 2017, ThermoFisher Scientific Inc. acquired Patheon Pharmaceuticals Inc.</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may experience delays or technical problems associated with technology transfer, scale-up, or validation of our biologics manufacturing.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entered into an initial commercial supply agreement for the manufacture of pamrevlumab with Samsung Biologics Co., Ltd. (“Samsung”) and are transitioning our manufacturing of pamrevlumab from Boehringer Ingelheim Pharma GmbH &amp; Co. KG to Samsung. However, we may experience delays or technical problems associated with: </w:t>
      </w:r>
    </w:p>
    <w:tbl>
      <w:tblPr>
        <w:tblW w:w="6025" w:type="dxa"/>
        <w:jc w:val="left"/>
        <w:tblInd w:w="0" w:type="dxa"/>
        <w:tblCellMar>
          <w:top w:w="0" w:type="dxa"/>
          <w:left w:w="0" w:type="dxa"/>
          <w:bottom w:w="0" w:type="dxa"/>
          <w:right w:w="0" w:type="dxa"/>
        </w:tblCellMar>
      </w:tblPr>
      <w:tblGrid>
        <w:gridCol w:w="110"/>
        <w:gridCol w:w="59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9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technology transfer of the manufacturing process to Samsung; </w:t>
            </w:r>
          </w:p>
        </w:tc>
      </w:tr>
    </w:tbl>
    <w:tbl>
      <w:tblPr>
        <w:tblW w:w="4165" w:type="dxa"/>
        <w:jc w:val="left"/>
        <w:tblInd w:w="0" w:type="dxa"/>
        <w:tblCellMar>
          <w:top w:w="0" w:type="dxa"/>
          <w:left w:w="0" w:type="dxa"/>
          <w:bottom w:w="0" w:type="dxa"/>
          <w:right w:w="0" w:type="dxa"/>
        </w:tblCellMar>
      </w:tblPr>
      <w:tblGrid>
        <w:gridCol w:w="110"/>
        <w:gridCol w:w="405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405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scale-up and production of cGMP batches;</w:t>
            </w:r>
          </w:p>
        </w:tc>
      </w:tr>
    </w:tbl>
    <w:tbl>
      <w:tblPr>
        <w:tblW w:w="5185" w:type="dxa"/>
        <w:jc w:val="left"/>
        <w:tblInd w:w="0" w:type="dxa"/>
        <w:tblCellMar>
          <w:top w:w="0" w:type="dxa"/>
          <w:left w:w="0" w:type="dxa"/>
          <w:bottom w:w="0" w:type="dxa"/>
          <w:right w:w="0" w:type="dxa"/>
        </w:tblCellMar>
      </w:tblPr>
      <w:tblGrid>
        <w:gridCol w:w="110"/>
        <w:gridCol w:w="507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507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analytical method validation and transfer to Samsung;</w:t>
            </w:r>
          </w:p>
        </w:tc>
      </w:tr>
    </w:tbl>
    <w:tbl>
      <w:tblPr>
        <w:tblW w:w="10015" w:type="dxa"/>
        <w:jc w:val="left"/>
        <w:tblInd w:w="0" w:type="dxa"/>
        <w:tblCellMar>
          <w:top w:w="0" w:type="dxa"/>
          <w:left w:w="0" w:type="dxa"/>
          <w:bottom w:w="0" w:type="dxa"/>
          <w:right w:w="0" w:type="dxa"/>
        </w:tblCellMar>
      </w:tblPr>
      <w:tblGrid>
        <w:gridCol w:w="110"/>
        <w:gridCol w:w="990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990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process validation, including process characterization and process performance qualification batches; and</w:t>
            </w:r>
          </w:p>
        </w:tc>
      </w:tr>
    </w:tbl>
    <w:tbl>
      <w:tblPr>
        <w:tblW w:w="5065" w:type="dxa"/>
        <w:jc w:val="left"/>
        <w:tblInd w:w="0" w:type="dxa"/>
        <w:tblCellMar>
          <w:top w:w="0" w:type="dxa"/>
          <w:left w:w="0" w:type="dxa"/>
          <w:bottom w:w="0" w:type="dxa"/>
          <w:right w:w="0" w:type="dxa"/>
        </w:tblCellMar>
      </w:tblPr>
      <w:tblGrid>
        <w:gridCol w:w="110"/>
        <w:gridCol w:w="495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495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set up and execution of appropriate stability studies.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made certain manufacturing commitments to Samsung, and there is a contractual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also carry the risk that if all three indications are successful, the commercial demand may exceed planned production supply at Samsung. In this event, it may be necessary to find third party manufacturers who have the capacity and capability to produce the required quantities of pamrevlumab. This may be subject to availability of such manufacturers since there are only a limited number of suppliers who have the larger scale bioreactors that are needed for commercial pamrevlumab supply. If we need to find a supplier in China, there may be additional delays in importing custom raw materials and supplements into China.</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Certain components of our products are acquired from single-source suppliers or without long-term supply agreements. The loss of these suppliers, or their failure to supply, would materially and adversely affect our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to date, the lead-time and regulatory approvals required to source from and into countries outside of the U.S. increase the risk of delay and potential shortages of supply.</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Our Intellectual Property</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If our efforts to protect our proprietary technologies are not adequate, we may not be able to compete effectively in our market.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proprietary information or technology could compromise our competitive position. Moreover, we are, have been, and may in the future be involved in legal proceedings involving our intellectual property and initiated by third parties, which proceedings can be associated with significant costs and commitment of management time and attention.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us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and adversely affect our business and operations.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Intellectual property disputes may be costly, time consuming, and may negatively affect our competitive position.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have initiated and may again initiate or become party to or be threatened with future litigation or other proceedings regarding intellectual property rights with respect to our product candidates and competing products.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our product candidates progress toward commercialization, 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 parties have challenged and may again challenge our patents and patent applications. For example, various challenges against our HIF anemia-related technologies patent portfolio are ongoing in several territories including the U.S., Europe, the United Kingdom, and Japan. Regardless of final outcome, the potential narrowing or revocation of any of the HIF anemia-related technology patents does not affect our exclusivity for roxadustat or our freedom-to-operate with respect to use of roxadustat for the treatment of anemia in these or other territories.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Oppositions were filed against our European Patent No. 2872488 (the “`488 Patent”), which claims a crystalline form of roxadustat, and against our European Patent No. 3003284 (the “`284 Patent”), which claims photostable formulations of roxadustat. In its Written Decision of November 2021, the Opposition Division of the European Patent Office found that the claims of the ‘488 patent did not meet the grounds for novelty. FibroGen has appealed this decision. Final resolution of the opposition proceedings will take time, and we cannot be assured that the `488 Patent or `284 Patents will ultimately survive such proceedings as originally granted or at all.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The cost of maintaining our patent protection is high and requires continuous review and diligence. We may not be able to effectively maintain our intellectual property position throughout the major markets of the world.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laws of some foreign countries do not protect proprietary rights to the same extent as do the laws of the U.S., and we may encounter significant problems in securing and defending our intellectual property rights outside the U.S.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Intellectual property rights do not address all potential threats to any competitive advantage we may have.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Others may be able to make compounds that are the same as or similar to our current or future product candidates but that are not covered by the claims of the patents that we own or have exclusively licensed.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We or any of our licensors or strategic partners might not have been the first to make the inventions covered by the issued patent or pending patent application that we own or have exclusively licensed.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We or any of our licensors or strategic partners might not have been the first to file patent applications covering certain of our inventions.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Others may independently develop similar or alternative technologies or duplicate any of our technologies without infringing our intellectual property rights.</w:t>
            </w:r>
          </w:p>
        </w:tc>
      </w:tr>
    </w:tbl>
    <w:tbl>
      <w:tblPr>
        <w:tblW w:w="8110" w:type="dxa"/>
        <w:jc w:val="left"/>
        <w:tblInd w:w="0" w:type="dxa"/>
        <w:tblCellMar>
          <w:top w:w="0" w:type="dxa"/>
          <w:left w:w="0" w:type="dxa"/>
          <w:bottom w:w="0" w:type="dxa"/>
          <w:right w:w="0" w:type="dxa"/>
        </w:tblCellMar>
      </w:tblPr>
      <w:tblGrid>
        <w:gridCol w:w="110"/>
        <w:gridCol w:w="800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prosecution of our pending patent applications may not result in granted patents.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Granted patents that we own or have exclusively licensed may not provide us with any competitive advantages, or may be held invalid or unenforceable, as a result of legal challenges by our competitors.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Patent protection on our product candidates may expire before we are able to develop and commercialize the product, or before we are able to recover our investment in the product.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The existence of counterfeit pharmaceutical products in pharmaceutical markets may compromise our brand and reputation and have a material adverse effect on our business, operations and prospects.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Government Regulation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The regulatory approval process is highly uncertain and we may not obtain regulatory approval for our product candidates.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while we have received approval of our marketing authorization applications for roxadustat in the European Union, Great Britain, China, Japan, South Korea, and Chile for CKD anemia for patients on dialysis and not on dialysis, we received a CRL in the U.S. from the FDA.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federal Anti-Kickback Statute, which prohibits, among other things, persons and entities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Health Insurance Portability and Accountability Act of 1996, which created new federal criminal statutes that prohibit, among other things, executing a scheme to defraud any healthcare benefit program and making false statements relating to healthcare matters;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Health Insurance Portability and Accountability Act of 1996, as amended by Health Information Technology and Clinical Health Act, and its implementing regulations, which imposes certain requirements on certain covered healthcare providers, health plans, and healthcare clearinghouses as well as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federal physician sunshine requirements under the Patient Protection and Affordable Care Act, as amended by the Health Care and Education Reconciliation Act of 2010, which requires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other healthcare providers (such as physician assistants and nurse practitioners), and teaching hospitals, and ownership and investment interests held by physicians and other healthcare providers and their immediate family members;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due to our inability to obtain regulatory approval. While there have been recent Veterans Health Administration policy changes that appear to allow for sale of drugs from non-TAA approved countries, this policy may change or there may be additional policies or legislation that affect our ability to sell drug to the U.S. Government.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are subject to laws and regulations governing corruption, which will require us to maintain costly compliance programs.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U.S. Securities and Exchange Commission (“SEC”) is involved with enforcement of the books and records provisions of the FCPA.</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identified material weaknesses in our internal control over financial reporting as of December 31, 2020, which have been remediated. If we otherwise fail to maintain an effective system of internal control, it may result in material misstatements in our financial statements.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disclosed in our </w:t>
      </w:r>
      <w:r>
        <w:rPr>
          <w:rFonts w:ascii="Times New Roman" w:hAnsi="Times New Roman"/>
          <w:b w:val="false"/>
          <w:i w:val="false"/>
          <w:caps w:val="false"/>
          <w:smallCaps w:val="false"/>
          <w:color w:val="000000"/>
          <w:sz w:val="20"/>
        </w:rPr>
        <w:t>Annual Report,</w:t>
      </w:r>
      <w:r>
        <w:rPr>
          <w:rFonts w:ascii="Times New Roman" w:hAnsi="Times New Roman"/>
          <w:b w:val="false"/>
          <w:i w:val="false"/>
          <w:caps w:val="false"/>
          <w:smallCaps w:val="false"/>
          <w:sz w:val="20"/>
        </w:rPr>
        <w:t xml:space="preserve"> as of September 30, 2020, we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 Each of these material weaknesses could have resulted in material misstatements in the drug product revenue, contract asset, or contract liability account balances or disclosures in our annual or interim consolidated financial statements that would not be prevented or detected. 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these material weaknesses were identified, we have implemented measures designed to remediate the control deficiencies contributing to these material weaknesses and have concluded</w:t>
      </w:r>
      <w:r>
        <w:rPr>
          <w:rFonts w:ascii="Times New Roman" w:hAnsi="Times New Roman"/>
          <w:b w:val="false"/>
          <w:i w:val="false"/>
          <w:caps w:val="false"/>
          <w:smallCaps w:val="false"/>
          <w:color w:val="000000"/>
          <w:sz w:val="20"/>
        </w:rPr>
        <w:t xml:space="preserve"> that these</w:t>
      </w:r>
      <w:r>
        <w:rPr>
          <w:rFonts w:ascii="Times New Roman" w:hAnsi="Times New Roman"/>
          <w:b w:val="false"/>
          <w:i w:val="false"/>
          <w:caps w:val="false"/>
          <w:smallCaps w:val="false"/>
          <w:sz w:val="20"/>
        </w:rPr>
        <w:t xml:space="preserve"> material weaknesses have been remediated as of December 31, 2021. See Part II, Item 9A, “</w:t>
      </w:r>
      <w:r>
        <w:rPr>
          <w:rFonts w:ascii="Times New Roman" w:hAnsi="Times New Roman"/>
          <w:b w:val="false"/>
          <w:i/>
          <w:caps w:val="false"/>
          <w:smallCaps w:val="false"/>
          <w:sz w:val="20"/>
        </w:rPr>
        <w:t xml:space="preserve">Controls and Procedures” </w:t>
      </w:r>
      <w:r>
        <w:rPr>
          <w:rFonts w:ascii="Times New Roman" w:hAnsi="Times New Roman"/>
          <w:b w:val="false"/>
          <w:i w:val="false"/>
          <w:caps w:val="false"/>
          <w:smallCaps w:val="false"/>
          <w:sz w:val="20"/>
        </w:rPr>
        <w:t>in our Annual Report</w:t>
      </w:r>
      <w:r>
        <w:rPr>
          <w:rFonts w:ascii="Times New Roman" w:hAnsi="Times New Roman"/>
          <w:b w:val="false"/>
          <w:i w:val="false"/>
          <w:caps w:val="false"/>
          <w:smallCaps w:val="false"/>
          <w:color w:val="000000"/>
          <w:sz w:val="20"/>
        </w:rPr>
        <w:t xml:space="preserve"> for additional information regarding the identified material weaknesses and our remedial efforts</w:t>
      </w:r>
      <w:r>
        <w:rPr>
          <w:rFonts w:ascii="Times New Roman" w:hAnsi="Times New Roman"/>
          <w:b w:val="false"/>
          <w:i w:val="false"/>
          <w:caps w:val="false"/>
          <w:smallCaps w:val="false"/>
          <w:sz w:val="20"/>
        </w:rPr>
        <w: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Remediation efforts place a significant burden on management and add increased pressure on our financial resources and processes. If we experience additional material weaknesses or otherwise fail to maintain an effective system of internal control over financial reporting, the accuracy and timing of our financial reporting may be adversely affected, our liquidity,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impact of U.S. healthcare reform may adversely affect our business model.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released a Comprehensive Plan for Addressing High Drug Prices that outlines principles for drug pricing reform. The plan sets out a variety of potential legislative policies that Congress could pursue as well as potential administrative actions the U.S. Department of Health and Human Services can take to advance these principles.  No legislation or administrative actions have been finalized to implement these principles. In addition, Congress is considering additional health reform measures.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Further, it is possible that additional government action is taken in response to the COVID-19 pandemic.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Roxadustat is considered a Class 2 substance on the 2019 World Anti-Doping Agency Prohibited List that could limit sales and increase security and distribution costs for our partners and us.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employees may engage in misconduct or improper activities, which could result in significant liability or harm our reputation.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exposed to the risk of employee fraud or other misconduct, including intentional failure to: </w:t>
      </w:r>
    </w:p>
    <w:tbl>
      <w:tblPr>
        <w:tblW w:w="9325" w:type="dxa"/>
        <w:jc w:val="left"/>
        <w:tblInd w:w="0" w:type="dxa"/>
        <w:tblCellMar>
          <w:top w:w="0" w:type="dxa"/>
          <w:left w:w="0" w:type="dxa"/>
          <w:bottom w:w="0" w:type="dxa"/>
          <w:right w:w="0" w:type="dxa"/>
        </w:tblCellMar>
      </w:tblPr>
      <w:tblGrid>
        <w:gridCol w:w="110"/>
        <w:gridCol w:w="92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2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comply with FDA regulations or similar regulations of comparable foreign regulatory authorities; </w:t>
            </w:r>
          </w:p>
        </w:tc>
      </w:tr>
    </w:tbl>
    <w:tbl>
      <w:tblPr>
        <w:tblW w:w="8305" w:type="dxa"/>
        <w:jc w:val="left"/>
        <w:tblInd w:w="0" w:type="dxa"/>
        <w:tblCellMar>
          <w:top w:w="0" w:type="dxa"/>
          <w:left w:w="0" w:type="dxa"/>
          <w:bottom w:w="0" w:type="dxa"/>
          <w:right w:w="0" w:type="dxa"/>
        </w:tblCellMar>
      </w:tblPr>
      <w:tblGrid>
        <w:gridCol w:w="110"/>
        <w:gridCol w:w="81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1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provide accurate information to the FDA or comparable foreign regulatory authorities; </w:t>
            </w:r>
          </w:p>
        </w:tc>
      </w:tr>
    </w:tbl>
    <w:tbl>
      <w:tblPr>
        <w:tblW w:w="5755" w:type="dxa"/>
        <w:jc w:val="left"/>
        <w:tblInd w:w="0" w:type="dxa"/>
        <w:tblCellMar>
          <w:top w:w="0" w:type="dxa"/>
          <w:left w:w="0" w:type="dxa"/>
          <w:bottom w:w="0" w:type="dxa"/>
          <w:right w:w="0" w:type="dxa"/>
        </w:tblCellMar>
      </w:tblPr>
      <w:tblGrid>
        <w:gridCol w:w="110"/>
        <w:gridCol w:w="564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comply with manufacturing standards we have established; </w:t>
            </w:r>
          </w:p>
        </w:tc>
      </w:tr>
    </w:tbl>
    <w:tbl>
      <w:tblPr>
        <w:tblW w:w="5650" w:type="dxa"/>
        <w:jc w:val="left"/>
        <w:tblInd w:w="0" w:type="dxa"/>
        <w:tblCellMar>
          <w:top w:w="0" w:type="dxa"/>
          <w:left w:w="0" w:type="dxa"/>
          <w:bottom w:w="0" w:type="dxa"/>
          <w:right w:w="0" w:type="dxa"/>
        </w:tblCellMar>
      </w:tblPr>
      <w:tblGrid>
        <w:gridCol w:w="110"/>
        <w:gridCol w:w="55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comply with privacy laws protecting personal information;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comply with federal and state healthcare fraud and abuse laws and regulations and similar laws and regulations established and enforced by comparable foreign regulatory authorities; </w:t>
            </w:r>
          </w:p>
        </w:tc>
      </w:tr>
    </w:tbl>
    <w:tbl>
      <w:tblPr>
        <w:tblW w:w="5050" w:type="dxa"/>
        <w:jc w:val="left"/>
        <w:tblInd w:w="0" w:type="dxa"/>
        <w:tblCellMar>
          <w:top w:w="0" w:type="dxa"/>
          <w:left w:w="0" w:type="dxa"/>
          <w:bottom w:w="0" w:type="dxa"/>
          <w:right w:w="0" w:type="dxa"/>
        </w:tblCellMar>
      </w:tblPr>
      <w:tblGrid>
        <w:gridCol w:w="110"/>
        <w:gridCol w:w="49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9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comply with the FCPA and other anti-bribery laws; </w:t>
            </w:r>
          </w:p>
        </w:tc>
      </w:tr>
    </w:tbl>
    <w:tbl>
      <w:tblPr>
        <w:tblW w:w="4750" w:type="dxa"/>
        <w:jc w:val="left"/>
        <w:tblInd w:w="0" w:type="dxa"/>
        <w:tblCellMar>
          <w:top w:w="0" w:type="dxa"/>
          <w:left w:w="0" w:type="dxa"/>
          <w:bottom w:w="0" w:type="dxa"/>
          <w:right w:w="0" w:type="dxa"/>
        </w:tblCellMar>
      </w:tblPr>
      <w:tblGrid>
        <w:gridCol w:w="110"/>
        <w:gridCol w:w="46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6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report financial information or data accurately; or</w:t>
            </w:r>
          </w:p>
        </w:tc>
      </w:tr>
    </w:tbl>
    <w:tbl>
      <w:tblPr>
        <w:tblW w:w="3625" w:type="dxa"/>
        <w:jc w:val="left"/>
        <w:tblInd w:w="0" w:type="dxa"/>
        <w:tblCellMar>
          <w:top w:w="0" w:type="dxa"/>
          <w:left w:w="0" w:type="dxa"/>
          <w:bottom w:w="0" w:type="dxa"/>
          <w:right w:w="0" w:type="dxa"/>
        </w:tblCellMar>
      </w:tblPr>
      <w:tblGrid>
        <w:gridCol w:w="110"/>
        <w:gridCol w:w="35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5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disclose unauthorized activities to us.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If we fail to comply with environmental, health or safety laws and regulations, we could incur fines, penalties or other costs.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Our International Operations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have established operations in China and are seeking approval to commercialize our product candidates outside of the U.S., and a number of risks associated with international operations could materially and adversely affect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to be subject to a number of risks related to our international operations, many of which may be beyond our control. These risks include:</w:t>
      </w:r>
    </w:p>
    <w:tbl>
      <w:tblPr>
        <w:tblW w:w="7090" w:type="dxa"/>
        <w:jc w:val="left"/>
        <w:tblInd w:w="0" w:type="dxa"/>
        <w:tblCellMar>
          <w:top w:w="0" w:type="dxa"/>
          <w:left w:w="0" w:type="dxa"/>
          <w:bottom w:w="0" w:type="dxa"/>
          <w:right w:w="0" w:type="dxa"/>
        </w:tblCellMar>
      </w:tblPr>
      <w:tblGrid>
        <w:gridCol w:w="110"/>
        <w:gridCol w:w="69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different regulatory requirements for drug approvals in different countries;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different standards of care in various countries that could complicate the evaluation of our product candidates;</w:t>
            </w:r>
          </w:p>
        </w:tc>
      </w:tr>
    </w:tbl>
    <w:tbl>
      <w:tblPr>
        <w:tblW w:w="5365" w:type="dxa"/>
        <w:jc w:val="left"/>
        <w:tblInd w:w="0" w:type="dxa"/>
        <w:tblCellMar>
          <w:top w:w="0" w:type="dxa"/>
          <w:left w:w="0" w:type="dxa"/>
          <w:bottom w:w="0" w:type="dxa"/>
          <w:right w:w="0" w:type="dxa"/>
        </w:tblCellMar>
      </w:tblPr>
      <w:tblGrid>
        <w:gridCol w:w="110"/>
        <w:gridCol w:w="52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2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different U.S. and foreign drug import and export rules;</w:t>
            </w:r>
          </w:p>
        </w:tc>
      </w:tr>
    </w:tbl>
    <w:tbl>
      <w:tblPr>
        <w:tblW w:w="6640" w:type="dxa"/>
        <w:jc w:val="left"/>
        <w:tblInd w:w="0" w:type="dxa"/>
        <w:tblCellMar>
          <w:top w:w="0" w:type="dxa"/>
          <w:left w:w="0" w:type="dxa"/>
          <w:bottom w:w="0" w:type="dxa"/>
          <w:right w:w="0" w:type="dxa"/>
        </w:tblCellMar>
      </w:tblPr>
      <w:tblGrid>
        <w:gridCol w:w="110"/>
        <w:gridCol w:w="65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reduced protection for intellectual property rights in certain countries;</w:t>
            </w:r>
          </w:p>
        </w:tc>
      </w:tr>
    </w:tbl>
    <w:tbl>
      <w:tblPr>
        <w:tblW w:w="5845" w:type="dxa"/>
        <w:jc w:val="left"/>
        <w:tblInd w:w="0" w:type="dxa"/>
        <w:tblCellMar>
          <w:top w:w="0" w:type="dxa"/>
          <w:left w:w="0" w:type="dxa"/>
          <w:bottom w:w="0" w:type="dxa"/>
          <w:right w:w="0" w:type="dxa"/>
        </w:tblCellMar>
      </w:tblPr>
      <w:tblGrid>
        <w:gridCol w:w="110"/>
        <w:gridCol w:w="573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7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changes in tariffs, trade barriers and regulatory requirements;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different reimbursement systems and different competitive drugs indicated to treat the indications for which our product candidates are being developed;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economic weakness, including inflation, or political instability in particular foreign economies and markets;</w:t>
            </w:r>
          </w:p>
        </w:tc>
      </w:tr>
    </w:tbl>
    <w:tbl>
      <w:tblPr>
        <w:tblW w:w="9925" w:type="dxa"/>
        <w:jc w:val="left"/>
        <w:tblInd w:w="0" w:type="dxa"/>
        <w:tblCellMar>
          <w:top w:w="0" w:type="dxa"/>
          <w:left w:w="0" w:type="dxa"/>
          <w:bottom w:w="0" w:type="dxa"/>
          <w:right w:w="0" w:type="dxa"/>
        </w:tblCellMar>
      </w:tblPr>
      <w:tblGrid>
        <w:gridCol w:w="110"/>
        <w:gridCol w:w="98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compliance with tax, employment, immigration and labor laws for employees living or traveling abroad;</w:t>
            </w:r>
          </w:p>
        </w:tc>
      </w:tr>
    </w:tbl>
    <w:tbl>
      <w:tblPr>
        <w:tblW w:w="7285" w:type="dxa"/>
        <w:jc w:val="left"/>
        <w:tblInd w:w="0" w:type="dxa"/>
        <w:tblCellMar>
          <w:top w:w="0" w:type="dxa"/>
          <w:left w:w="0" w:type="dxa"/>
          <w:bottom w:w="0" w:type="dxa"/>
          <w:right w:w="0" w:type="dxa"/>
        </w:tblCellMar>
      </w:tblPr>
      <w:tblGrid>
        <w:gridCol w:w="110"/>
        <w:gridCol w:w="71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1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compliance with the FCPA, and other anti-corruption and anti-bribery laws;</w:t>
            </w:r>
          </w:p>
        </w:tc>
      </w:tr>
    </w:tbl>
    <w:tbl>
      <w:tblPr>
        <w:tblW w:w="9970" w:type="dxa"/>
        <w:jc w:val="left"/>
        <w:tblInd w:w="0" w:type="dxa"/>
        <w:tblCellMar>
          <w:top w:w="0" w:type="dxa"/>
          <w:left w:w="0" w:type="dxa"/>
          <w:bottom w:w="0" w:type="dxa"/>
          <w:right w:w="0" w:type="dxa"/>
        </w:tblCellMar>
      </w:tblPr>
      <w:tblGrid>
        <w:gridCol w:w="110"/>
        <w:gridCol w:w="98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U.S. and foreign taxes, including income, excise, customs, consumption, withholding, and payroll taxes;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foreign currency fluctuations, which could result in increased operating costs and expenses and reduced revenues, and other obligations incident to doing business in another country;</w:t>
            </w:r>
          </w:p>
        </w:tc>
      </w:tr>
    </w:tbl>
    <w:tbl>
      <w:tblPr>
        <w:tblW w:w="8425" w:type="dxa"/>
        <w:jc w:val="left"/>
        <w:tblInd w:w="0" w:type="dxa"/>
        <w:tblCellMar>
          <w:top w:w="0" w:type="dxa"/>
          <w:left w:w="0" w:type="dxa"/>
          <w:bottom w:w="0" w:type="dxa"/>
          <w:right w:w="0" w:type="dxa"/>
        </w:tblCellMar>
      </w:tblPr>
      <w:tblGrid>
        <w:gridCol w:w="110"/>
        <w:gridCol w:w="83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3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workforce uncertainty in countries where labor unrest is more common than in the U.S.;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production shortages resulting from any events affecting raw material supply or manufacturing capabilities abroad;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 reliance on CROs, clinical trial sites, principal investigators and other third parties that may be less experienced with clinical trials or have different methods of performing such clinical trials than we are used to in the U.S.;</w:t>
            </w:r>
          </w:p>
        </w:tc>
      </w:tr>
    </w:tbl>
    <w:tbl>
      <w:tblPr>
        <w:tblW w:w="8560" w:type="dxa"/>
        <w:jc w:val="left"/>
        <w:tblInd w:w="0" w:type="dxa"/>
        <w:tblCellMar>
          <w:top w:w="0" w:type="dxa"/>
          <w:left w:w="0" w:type="dxa"/>
          <w:bottom w:w="0" w:type="dxa"/>
          <w:right w:w="0" w:type="dxa"/>
        </w:tblCellMar>
      </w:tblPr>
      <w:tblGrid>
        <w:gridCol w:w="110"/>
        <w:gridCol w:w="84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potential liability resulting from development work conducted by foreign distributors;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business interruptions resulting from geopolitical actions specific to an international region, including war and terrorism, or natural disasters, including the differing impact of the COVID-19 pandemic on each region.</w:t>
            </w:r>
          </w:p>
        </w:tc>
      </w:tr>
    </w:tbl>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pharmaceutical industry in China is highly regulated and such regulations are subject to change.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The China-operations portion of our audit is conducted by an independent registered public accounting firm that is not subject to inspection by the Public Company Accounting Oversight Board (“PCAOB”), which may negatively impact investor sentiment towards FibroGen or our China operations, which could adversely affect the market price of our common stock.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majority of audit work incurred for the audit report included in this Annual Report was performed by the U.S.-based independent registered public accounting firm we have retained, PricewaterhouseCoopers LLP, which is headquartered in the U.S. and was not identified in the report issued by the PCAOB on December 16, 2021 as a firm that the PCAOB was unable to inspect.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However, we estimate that between 20% and 30% of the total audit hours for our December 31, 2021 audit were provided by PricewaterhouseCoopers Zhong Tian LLP, which is headquartered in China. PricewaterhouseCoopers Zhong Tian LLP was identified in the report issued by the PCAOB on December 16, 2021 as a firm the PCAOB was unable to inspect.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As PricewaterhouseCoopers Zhong Tian LLP is located in China, a jurisdiction where the PCAOB has been unable to conduct inspections without the approval of the Chinese authorities, they are not currently subject to inspection.  Amongst other things, the HFCAA requires the SEC to prohibit the securities of any issuer from being traded on any of the U.S. national securities exchanges, such as The Nasdaq Global Select Market (“Nasdaq”), or on the U.S. “over-the-counter” markets, if the auditor of the issuer’s financial statements is not subject to PCAOB inspections for three consecutive “non-inspection” years after the law became effective.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June 22, 2021, the U.S. Senate passed the Accelerating Holding Foreign Companies Accountable Act (the “AHFCAA”), which, if enacted, would amend the HFCAA and require the SEC to prohibit an issuer’s securities from trading on any U.S. stock exchange if its auditor is not subject to PCAOB inspections for two consecutive “non-inspection” years instead of three, thus reducing the time period before our securities may be prohibited from trading or delisted. On February 4, 2022, the U.S. House of Representatives passed the America COMPETES Act of 2022, which includes the exact same amendment as the bill passed by the Senate. The America COMPETES Act of 2022, however, includes a broader range of legislation than the AHFCAA in response to the U.S. Innovation and Competition Act passed by the U.S. Senate in 2021. The U.S. House of Representatives and the U.S. Senate will need to agree on amendments to these respective bills to allow the legislature to pass their amended bills before the President can sign into law. It is unclear when the U.S. Senate and the U.S. House of Representatives will resolve the differences or if and when the President will sign the bill to make the amendments into law.</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December 16, 2021, the PCAOB issued a report on its determination that it is unable to inspect or investigate completely PCAOB-registered accounting firms headquartered in China and in Hong Kong. PricewaterhouseCoopers Zhong Tian LLP was named in this report.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The HFCAA does not apply to registrants that retain a principal accountant that is headquartered in the U.S. and subject to PCAOB inspection. Accordingly, the HFCAA does not currently apply to us.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our operations fundamentally change in a way that requires our independent registered public accounting firm be located in China or Hong Kong in order to comply with the standards of the PCAOB regarding principal auditor then the HFCAA would apply to us, including the potential delisting from Nasdaq and prohibition from trading in the over-the counter market in the U.S. Such a restriction would negatively impact our ability to raise capital. We view the likelihood to be remote that our operations will fundamentally change so as to require our principal auditor to be located in China or Hong Kong. Additionally, it is possible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 There are currently no such proposals.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Inspections of auditors conducted by the PCAOB in territories outside of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evaluating the effectiveness of such audits and such auditors’ quality control procedures. The component of our audit that was performed by PricewaterhouseCoopers Zhong Tian LLP and the work papers associated with such audit work is not currently subject to inspection by the PCAOB. As a result, investors are deprived of the potential benefits of such PCAOB inspections for this portion of our audit, which could cause investors and potential investors in our common stock to lose confidence in the audit procedures conducted by our U.S. auditor’s China-based subsidiary, which may negatively impact investor sentiment towards us or our China operations, which in turn could adversely affect the market price of our common stock.</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Changes in U.S. and China relations, as well as relations with other countries, and/or regulations may adversely impact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have limited experience distributing drugs in China.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established a jointly owned entity with AstraZeneca in China, one that has a distribution license. It is subject to a new body of regulations pertaining to distribution with which we have limited experience. This new distribution structure may impose higher costs or limit or delay our ability to sell products to our principal customers, and may limit the near term sales of our products. There are operational risks associated with the jointly owned entity, such as working capital funding requirements and regulatory challenges, which could impact our ability to operate in China, including increasing sales of roxadustat. We have limited experience managing distribution of pharmaceutical products, and this new distribution structure may impose higher costs or limit or delay our ability to sell products to our principal customers, and may limit the near term sales of our products.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two manufacturing facilities in China, with one located in Beijing and the other in Cangzhou, Hebei.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Manufacturing facilities in China are subject to periodic unannounced inspections by the NMPA and other regulatory authorities. We expect to depend on these facilities for our product candidates and business operations in China, and we do not yet have a secondary source supplier for either roxadustat API or drug product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As a company, we have limited experience in pharmacovigilance, medical affairs, and management of the third-party distribution logistics, and cannot assure you we will be able to meet regulatory requirements or operate in these capacities successfully.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responsible for commercial manufacturing, pharmacovigilance, medical affairs, and management of the third-party distribution logistics (with AstraZeneca through a jointly owned entity that will perform roxadustat distribution) for roxadustat commercial activities in China. While we have been increasing our staffing in these areas, as a company, we have limited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collaboration partner in China, AstraZeneca, and we may experience difficulties in successfully growing and sustaining sales of roxadustat in China.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AstraZeneca and we have a profit sharing arrangement with respect to roxadustat in China and any difficulties we may experience in growing and sustaining sales will affect our bottom line. Difficulties may be related to our ability to maintain reasonable pricing and reimbursement, obtain and maintain hospital listing, or other difficulties related to distribution, marketing, and sales efforts in China. Our current National Reimbursement Drug List reimbursement pricing is effective for a standard two-year period (between January 1, 2022 to December 31, 2023), after which time we will have to negotiate a new price for roxadustat. Sales of roxadustat in China may ultimately be limited due to the complex nature of the healthcare system, low average personal income, pricing controls, still developing infrastructure and potentially rapid competition from other products.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The retail prices of any product candidates that we develop may be subject to pricing control in China and elsewhere.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FibroGen (China) Medical Technology Development Co., Ltd. (“FibroGen Beijing”) would be subject to restrictions on paying dividends or making other payments to us, which may restrict our ability to satisfy our liquidity requirements.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plan to conduct all of our business in China through FibroGen China Anemia Holdings, Ltd., FibroGen Beijing and its branch offices, and our joint venture distribution entity, Beijing Falikang Pharmaceutical Co. Ltd. (“Falikang”). We do not currently rely on revenue from China to fund our operations outside of China. However,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December 31, 2021, approximately $69.9 million of our cash and cash equivalents is held in China.</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Any capital contributions from us to FibroGen Beijing must be approved by the Ministry of Commerce in China, and failure to obtain such approval may materially and adversely affect the liquidity position of FibroGen Beijing.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may be subject to currency exchange rate fluctuations and currency exchange restrictions with respect to our operations in China, which could adversely affect our financial performance.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against the U.S. dollar, Euro and other currencies are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Because FibroGen Beijing’s funds are held in banks that do not provide insurance, the failure of any bank in which FibroGen Beijing deposits its funds could adversely affect our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tax inefficiencies associated with our offshore corporate structure.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Such proposed changes, as well as regulations and legal decisions interpreting and applying these changes, may adversely impact our effective tax rate.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foreign operations, particularly those in China, are subject to significant risks involving the protection of intellectual property.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Uncertainties with respect to the China legal system and regulations could have a material adverse effect on us.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Changes in China’s economic, governmental, or social conditions could have a material adverse effect on our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70</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may be subject to additional Chinese requirements, approvals or permissions in the future.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also be required to obtain certain approvals from Chinese authorities before transferring certain scientific data abroad or to foreign parties or entities established or actually controlled by them.</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Times New Roman" w:hAnsi="Times New Roman"/>
          <w:b w:val="false"/>
          <w:i/>
          <w:caps w:val="false"/>
          <w:smallCaps w:val="false"/>
          <w:sz w:val="20"/>
        </w:rPr>
        <w:t>Uncertainties with respect to the China legal system and regulations could have a material adverse effect on us.</w:t>
      </w:r>
      <w:r>
        <w:rPr>
          <w:rFonts w:ascii="Times New Roman" w:hAnsi="Times New Roman"/>
          <w:b w:val="false"/>
          <w:i w:val="false"/>
          <w:caps w:val="false"/>
          <w:smallCaps w:val="false"/>
          <w:sz w:val="20"/>
        </w:rPr>
        <w:t>”  There can be no assurance that we will not be subject to new or changing requirements, approvals or permissions in the future in order to operate in China.</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the Chinese government determines that our corporate structure does not comply with Chinese regulations, or if Chinese regulations change or are interpreted differently in the future, the value of our common stock may decline.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2021, the Chinese government provided new guidance on China-based companies raising capital outside of China, including through arrangements called variable interest entities, or VIEs. We do not employ a VIE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Times New Roman" w:hAnsi="Times New Roman"/>
          <w:b w:val="false"/>
          <w:i/>
          <w:caps w:val="false"/>
          <w:smallCaps w:val="false"/>
          <w:sz w:val="20"/>
        </w:rPr>
        <w:t>Uncertainties with respect to the China legal system and regulations could have a material adverse effect on us.</w:t>
      </w:r>
      <w:r>
        <w:rPr>
          <w:rFonts w:ascii="Times New Roman" w:hAnsi="Times New Roman"/>
          <w:b w:val="false"/>
          <w:i w:val="false"/>
          <w:caps w:val="false"/>
          <w:smallCaps w:val="false"/>
          <w:sz w:val="20"/>
        </w:rPr>
        <w:t>” If in the future the Chinese government determines that our corporate structure does not comply with Chinese regulations, or if Chinese laws or regulations change or are interpreted differently from our understanding of these laws and regulations, the value of our common stock may decline.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operations in China subject us to various Chinese labor and social insurance laws, and our failure to comply with such laws may materially and adversely affect our business, financial condition and results of operations.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COVID-19</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could continue to be adversely affected by the ongoing COVID-19 global pandemic.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COVID-19 pandemic may continue to negatively impact productivity, disrupt our business, and delay our research, clinical programs and timelines, the magnitude of which will depend, in part, on the progression of the disease and the efficacy of vaccines and other therapeutics in preventing and treating current and future COVID-19 variants.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seen impacts from COVID-19 on all of our clinical trials to varying degrees, but COVID-19 has most heavily impacted our clinical trial timelines in IPF, DMD, and MDS. There is a risk that our clinical trials could be further delayed by additional COVID-19 outbreaks, which could slow or pause enrollment or site initiation. In addition, while we are trying to mitigate the effect of COVID-19 on existing patients, it is possible that some patients may not be able to continue to comply with protocols, which could further delay our clinical trial progress.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we have sufficient roxadustat and pamrevlumab supplies for our expected commercial and clinical requirements over the next year. However, we only have a limited stockpile of these drug supply products, and therefore, further outbreaks or worsening of the COVID-19 pandemic,, or if manufacturing operations are halted again, or if drug product expires due to slowed clinical trials, or if the U.S. or international markets experience further economic slowdown or volatility, we could face shortages in our global supply chains. COVID-19 has created increased demand for the limited global biologics manufacturing capacity, and for manufacturing supplies, including for vials, reagents, supplements and media. Any such supply disruptions could adversely impact our clinical development and ability to generate revenues from our approved products and our business, financial condition, results of operations and growth prospects could be materially adversely affected.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Due to these and potentially additional business disruptions, there may be delays to any of our business areas including those outlined above, as well as in regulatory, distribution, warehousing and other development, commercialization and launch efforts. In addition, COVID-19 presents an ongoing health risk to our employees, including members of senior management, thus limiting productivity. The full extent of these potential effects are unknown, but any of which could have a material impact on our business, operating results, and financial condition.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the extent the ongoing COVID-19 pandemic adversely affects our business and results of operations, it may also have the effect of heightening many of the other risks and uncertainties described in this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section.</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the Operation of Our Business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We have incurred significant losses since our inception and anticipate that we will continue to incur losses for the foreseeable future and may never achieve or sustain profitability. We may require additional financings in order to fund our operations.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biopharmaceutical company with two lead product candidates in clinical development, roxadustat for anemia in CKD, MDS,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2021, 2020 and 2019 were $290.0 million, $189.3 million and $77.0 million, respectively. As of December 31, 2021, we had an accumulated deficit of $1.3 billion. As of December 31, 2021, we had capital resources consisting of cash, cash equivalents and short-term investments of $405.2 million plus $167.8 million of long-term investments classified as available for sale securities. In addition, as of December 31, 2021, we had $17.4 million accounts receivable in our current assets. Despite contractual development and cost coverage commitments from our collaboration partners, AstraZeneca and Astellas, and the potential to receive milestone and other payments from these partners, and despite commercialization efforts in the China and Japan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we will continue to expend substantial resources for the foreseeable future as we continue to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Most of our recent revenue has been earned from collaboration partners for our product candidates under development.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either or both of our Astellas and AstraZeneca collaborations were to be terminated, we could require significant additional capital in order to proceed with development and commercialization of our product candidates, including with respect to our potential commercialization of roxadustat for the treatment of anemia caused by CKD, or we may require additional partnering in order to help fund such development and commercialization. If adequate funds or partners are not available to us on a timely basis or on favorable terms, we may be required to delay, limit, reduce or terminate our development or commercialization efforts or other operations.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may encounter difficulties in managing our growth and expanding our operations successfully.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Loss of senior management and key personnel could adversely affect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73</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are exposed to the risks associated with litigation, investigations, regulatory proceedings, and other legal matters, any of which could have a material adverse effect on us.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a derivative lawsuit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refer to Note 9, </w:t>
      </w:r>
      <w:r>
        <w:rPr>
          <w:rFonts w:ascii="Times New Roman" w:hAnsi="Times New Roman"/>
          <w:b w:val="false"/>
          <w:i/>
          <w:caps w:val="false"/>
          <w:smallCaps w:val="false"/>
          <w:sz w:val="20"/>
        </w:rPr>
        <w:t>Commitments and Contingencies</w:t>
      </w:r>
      <w:r>
        <w:rPr>
          <w:rFonts w:ascii="Times New Roman" w:hAnsi="Times New Roman"/>
          <w:b w:val="false"/>
          <w:i w:val="false"/>
          <w:caps w:val="false"/>
          <w:smallCaps w:val="false"/>
          <w:sz w:val="20"/>
        </w:rPr>
        <w:t>, to the consolidated financial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If product liability lawsuits are brought against us, we may incur substantial liabilities and may have to limit commercial operations.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termination of further development of unapproved product candidates or significantly reduced demand for any approved products;</w:t>
            </w:r>
          </w:p>
        </w:tc>
      </w:tr>
    </w:tbl>
    <w:tbl>
      <w:tblPr>
        <w:tblW w:w="5650" w:type="dxa"/>
        <w:jc w:val="left"/>
        <w:tblInd w:w="0" w:type="dxa"/>
        <w:tblCellMar>
          <w:top w:w="0" w:type="dxa"/>
          <w:left w:w="0" w:type="dxa"/>
          <w:bottom w:w="0" w:type="dxa"/>
          <w:right w:w="0" w:type="dxa"/>
        </w:tblCellMar>
      </w:tblPr>
      <w:tblGrid>
        <w:gridCol w:w="110"/>
        <w:gridCol w:w="55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material costs and expenses to defend the related litigation;</w:t>
            </w:r>
          </w:p>
        </w:tc>
      </w:tr>
    </w:tbl>
    <w:tbl>
      <w:tblPr>
        <w:tblW w:w="9700" w:type="dxa"/>
        <w:jc w:val="left"/>
        <w:tblInd w:w="0" w:type="dxa"/>
        <w:tblCellMar>
          <w:top w:w="0" w:type="dxa"/>
          <w:left w:w="0" w:type="dxa"/>
          <w:bottom w:w="0" w:type="dxa"/>
          <w:right w:w="0" w:type="dxa"/>
        </w:tblCellMar>
      </w:tblPr>
      <w:tblGrid>
        <w:gridCol w:w="110"/>
        <w:gridCol w:w="95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5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 diversion of time and resources across the entire organization, including our executive management;</w:t>
            </w:r>
          </w:p>
        </w:tc>
      </w:tr>
    </w:tbl>
    <w:tbl>
      <w:tblPr>
        <w:tblW w:w="4990" w:type="dxa"/>
        <w:jc w:val="left"/>
        <w:tblInd w:w="0" w:type="dxa"/>
        <w:tblCellMar>
          <w:top w:w="0" w:type="dxa"/>
          <w:left w:w="0" w:type="dxa"/>
          <w:bottom w:w="0" w:type="dxa"/>
          <w:right w:w="0" w:type="dxa"/>
        </w:tblCellMar>
      </w:tblPr>
      <w:tblGrid>
        <w:gridCol w:w="110"/>
        <w:gridCol w:w="488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product recalls, withdrawals or labeling restrictions;</w:t>
            </w:r>
          </w:p>
        </w:tc>
      </w:tr>
    </w:tbl>
    <w:tbl>
      <w:tblPr>
        <w:tblW w:w="8860" w:type="dxa"/>
        <w:jc w:val="left"/>
        <w:tblInd w:w="0" w:type="dxa"/>
        <w:tblCellMar>
          <w:top w:w="0" w:type="dxa"/>
          <w:left w:w="0" w:type="dxa"/>
          <w:bottom w:w="0" w:type="dxa"/>
          <w:right w:w="0" w:type="dxa"/>
        </w:tblCellMar>
      </w:tblPr>
      <w:tblGrid>
        <w:gridCol w:w="110"/>
        <w:gridCol w:w="87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7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termination of our collaboration relationships or disputes with our collaboration partners; and</w:t>
            </w:r>
          </w:p>
        </w:tc>
      </w:tr>
    </w:tbl>
    <w:tbl>
      <w:tblPr>
        <w:tblW w:w="8380" w:type="dxa"/>
        <w:jc w:val="left"/>
        <w:tblInd w:w="0" w:type="dxa"/>
        <w:tblCellMar>
          <w:top w:w="0" w:type="dxa"/>
          <w:left w:w="0" w:type="dxa"/>
          <w:bottom w:w="0" w:type="dxa"/>
          <w:right w:w="0" w:type="dxa"/>
        </w:tblCellMar>
      </w:tblPr>
      <w:tblGrid>
        <w:gridCol w:w="110"/>
        <w:gridCol w:w="827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reputational damage negatively impacting our other product candidates in development.</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business and operations would suffer in the event of computer system failures.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2019, and have continued to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depend on sophisticated information technology systems and could face a cyber-attack or other breach of these systems.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upgraded our disaster data recovery program in March 2019,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headquarters are located near known earthquake fault zones.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Our Common Stock</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The market price of our common stock may be highly volatile, and you may not be able to resell your shares at or above your purchase price.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tbl>
      <w:tblPr>
        <w:tblW w:w="8545" w:type="dxa"/>
        <w:jc w:val="left"/>
        <w:tblInd w:w="0" w:type="dxa"/>
        <w:tblCellMar>
          <w:top w:w="0" w:type="dxa"/>
          <w:left w:w="0" w:type="dxa"/>
          <w:bottom w:w="0" w:type="dxa"/>
          <w:right w:w="0" w:type="dxa"/>
        </w:tblCellMar>
      </w:tblPr>
      <w:tblGrid>
        <w:gridCol w:w="110"/>
        <w:gridCol w:w="843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results of clinical trials of our product candidates, including roxadustat and pamrevlumab;</w:t>
            </w:r>
          </w:p>
        </w:tc>
      </w:tr>
    </w:tbl>
    <w:tbl>
      <w:tblPr>
        <w:tblW w:w="8395" w:type="dxa"/>
        <w:jc w:val="left"/>
        <w:tblInd w:w="0" w:type="dxa"/>
        <w:tblCellMar>
          <w:top w:w="0" w:type="dxa"/>
          <w:left w:w="0" w:type="dxa"/>
          <w:bottom w:w="0" w:type="dxa"/>
          <w:right w:w="0" w:type="dxa"/>
        </w:tblCellMar>
      </w:tblPr>
      <w:tblGrid>
        <w:gridCol w:w="110"/>
        <w:gridCol w:w="82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timing of the release of results of and regulatory updates regarding our clinical trials;</w:t>
            </w:r>
          </w:p>
        </w:tc>
      </w:tr>
    </w:tbl>
    <w:tbl>
      <w:tblPr>
        <w:tblW w:w="9160" w:type="dxa"/>
        <w:jc w:val="left"/>
        <w:tblInd w:w="0" w:type="dxa"/>
        <w:tblCellMar>
          <w:top w:w="0" w:type="dxa"/>
          <w:left w:w="0" w:type="dxa"/>
          <w:bottom w:w="0" w:type="dxa"/>
          <w:right w:w="0" w:type="dxa"/>
        </w:tblCellMar>
      </w:tblPr>
      <w:tblGrid>
        <w:gridCol w:w="110"/>
        <w:gridCol w:w="90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level of expenses related to any of our product candidates or clinical development programs;</w:t>
            </w:r>
          </w:p>
        </w:tc>
      </w:tr>
    </w:tbl>
    <w:tbl>
      <w:tblPr>
        <w:tblW w:w="5020" w:type="dxa"/>
        <w:jc w:val="left"/>
        <w:tblInd w:w="0" w:type="dxa"/>
        <w:tblCellMar>
          <w:top w:w="0" w:type="dxa"/>
          <w:left w:w="0" w:type="dxa"/>
          <w:bottom w:w="0" w:type="dxa"/>
          <w:right w:w="0" w:type="dxa"/>
        </w:tblCellMar>
      </w:tblPr>
      <w:tblGrid>
        <w:gridCol w:w="110"/>
        <w:gridCol w:w="49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9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results of clinical trials of our competitors’ products;</w:t>
            </w:r>
          </w:p>
        </w:tc>
      </w:tr>
    </w:tbl>
    <w:tbl>
      <w:tblPr>
        <w:tblW w:w="7735" w:type="dxa"/>
        <w:jc w:val="left"/>
        <w:tblInd w:w="0" w:type="dxa"/>
        <w:tblCellMar>
          <w:top w:w="0" w:type="dxa"/>
          <w:left w:w="0" w:type="dxa"/>
          <w:bottom w:w="0" w:type="dxa"/>
          <w:right w:w="0" w:type="dxa"/>
        </w:tblCellMar>
      </w:tblPr>
      <w:tblGrid>
        <w:gridCol w:w="110"/>
        <w:gridCol w:w="76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6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safety issues with respect to our product candidates or our competitors’ products;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regulatory actions with respect to our product candidates and any approved products or our competitors’ products;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fluctuations in our financial condition and operating results, which will be significantly affected by the manner in which we recognize revenue from the achievement of milestones under our collaboration agreements;</w:t>
            </w:r>
          </w:p>
        </w:tc>
      </w:tr>
    </w:tbl>
    <w:tbl>
      <w:tblPr>
        <w:tblW w:w="7315" w:type="dxa"/>
        <w:jc w:val="left"/>
        <w:tblInd w:w="0" w:type="dxa"/>
        <w:tblCellMar>
          <w:top w:w="0" w:type="dxa"/>
          <w:left w:w="0" w:type="dxa"/>
          <w:bottom w:w="0" w:type="dxa"/>
          <w:right w:w="0" w:type="dxa"/>
        </w:tblCellMar>
      </w:tblPr>
      <w:tblGrid>
        <w:gridCol w:w="110"/>
        <w:gridCol w:w="72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2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adverse developments concerning our collaborations and our manufacturers;</w:t>
            </w:r>
          </w:p>
        </w:tc>
      </w:tr>
    </w:tbl>
    <w:tbl>
      <w:tblPr>
        <w:tblW w:w="8215" w:type="dxa"/>
        <w:jc w:val="left"/>
        <w:tblInd w:w="0" w:type="dxa"/>
        <w:tblCellMar>
          <w:top w:w="0" w:type="dxa"/>
          <w:left w:w="0" w:type="dxa"/>
          <w:bottom w:w="0" w:type="dxa"/>
          <w:right w:w="0" w:type="dxa"/>
        </w:tblCellMar>
      </w:tblPr>
      <w:tblGrid>
        <w:gridCol w:w="110"/>
        <w:gridCol w:w="810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1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termination of a collaboration or the inability to establish additional collaborations;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inability to obtain adequate product supply for any approved drug product or inability to do so at acceptable prices;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disputes or other developments relating to proprietary rights, including patents, litigation matters and our ability to obtain patent protection for our technologies;</w:t>
            </w:r>
          </w:p>
        </w:tc>
      </w:tr>
    </w:tbl>
    <w:tbl>
      <w:tblPr>
        <w:tblW w:w="9940" w:type="dxa"/>
        <w:jc w:val="left"/>
        <w:tblInd w:w="0" w:type="dxa"/>
        <w:tblCellMar>
          <w:top w:w="0" w:type="dxa"/>
          <w:left w:w="0" w:type="dxa"/>
          <w:bottom w:w="0" w:type="dxa"/>
          <w:right w:w="0" w:type="dxa"/>
        </w:tblCellMar>
      </w:tblPr>
      <w:tblGrid>
        <w:gridCol w:w="110"/>
        <w:gridCol w:w="98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changes in legislation or other regulatory developments affecting our product candidates or our industry;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fluctuations in the valuation of the biotechnology industry and particular companies perceived by investors to be comparable to us;</w:t>
            </w:r>
          </w:p>
        </w:tc>
      </w:tr>
    </w:tbl>
    <w:tbl>
      <w:tblPr>
        <w:tblW w:w="4840" w:type="dxa"/>
        <w:jc w:val="left"/>
        <w:tblInd w:w="0" w:type="dxa"/>
        <w:tblCellMar>
          <w:top w:w="0" w:type="dxa"/>
          <w:left w:w="0" w:type="dxa"/>
          <w:bottom w:w="0" w:type="dxa"/>
          <w:right w:w="0" w:type="dxa"/>
        </w:tblCellMar>
      </w:tblPr>
      <w:tblGrid>
        <w:gridCol w:w="110"/>
        <w:gridCol w:w="47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7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speculation in the press or investment community;</w:t>
            </w:r>
          </w:p>
        </w:tc>
      </w:tr>
    </w:tbl>
    <w:tbl>
      <w:tblPr>
        <w:tblW w:w="9565" w:type="dxa"/>
        <w:jc w:val="left"/>
        <w:tblInd w:w="0" w:type="dxa"/>
        <w:tblCellMar>
          <w:top w:w="0" w:type="dxa"/>
          <w:left w:w="0" w:type="dxa"/>
          <w:bottom w:w="0" w:type="dxa"/>
          <w:right w:w="0" w:type="dxa"/>
        </w:tblCellMar>
      </w:tblPr>
      <w:tblGrid>
        <w:gridCol w:w="110"/>
        <w:gridCol w:w="94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4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announcements of investigations or regulatory scrutiny of our operations or lawsuits filed against us;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76</w:t>
      </w:r>
    </w:p>
    <w:p>
      <w:pPr>
        <w:pStyle w:val="HorizontalLine"/>
        <w:rPr/>
      </w:pPr>
      <w:r>
        <w:rPr/>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activities of the government of China, including those related to the pharmaceutical industry as well as industrial policy generally;</w:t>
            </w:r>
          </w:p>
        </w:tc>
      </w:tr>
    </w:tbl>
    <w:tbl>
      <w:tblPr>
        <w:tblW w:w="8620" w:type="dxa"/>
        <w:jc w:val="left"/>
        <w:tblInd w:w="0" w:type="dxa"/>
        <w:tblCellMar>
          <w:top w:w="0" w:type="dxa"/>
          <w:left w:w="0" w:type="dxa"/>
          <w:bottom w:w="0" w:type="dxa"/>
          <w:right w:w="0" w:type="dxa"/>
        </w:tblCellMar>
      </w:tblPr>
      <w:tblGrid>
        <w:gridCol w:w="110"/>
        <w:gridCol w:w="851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5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performance of other U.S. publicly traded companies with significant operations in China;</w:t>
            </w:r>
          </w:p>
        </w:tc>
      </w:tr>
    </w:tbl>
    <w:tbl>
      <w:tblPr>
        <w:tblW w:w="6100" w:type="dxa"/>
        <w:jc w:val="left"/>
        <w:tblInd w:w="0" w:type="dxa"/>
        <w:tblCellMar>
          <w:top w:w="0" w:type="dxa"/>
          <w:left w:w="0" w:type="dxa"/>
          <w:bottom w:w="0" w:type="dxa"/>
          <w:right w:w="0" w:type="dxa"/>
        </w:tblCellMar>
      </w:tblPr>
      <w:tblGrid>
        <w:gridCol w:w="110"/>
        <w:gridCol w:w="599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9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changes in market conditions for biopharmaceutical stocks; and</w:t>
            </w:r>
          </w:p>
        </w:tc>
      </w:tr>
    </w:tbl>
    <w:tbl>
      <w:tblPr>
        <w:tblW w:w="5485" w:type="dxa"/>
        <w:jc w:val="left"/>
        <w:tblInd w:w="0" w:type="dxa"/>
        <w:tblCellMar>
          <w:top w:w="0" w:type="dxa"/>
          <w:left w:w="0" w:type="dxa"/>
          <w:bottom w:w="0" w:type="dxa"/>
          <w:right w:w="0" w:type="dxa"/>
        </w:tblCellMar>
      </w:tblPr>
      <w:tblGrid>
        <w:gridCol w:w="110"/>
        <w:gridCol w:w="537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7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rPr>
              <w:t>the other factors described in this “</w:t>
            </w:r>
            <w:r>
              <w:rPr>
                <w:b w:val="false"/>
                <w:i/>
                <w:caps w:val="false"/>
                <w:smallCaps w:val="false"/>
                <w:color w:val="000000"/>
              </w:rPr>
              <w:t>Risk Factors</w:t>
            </w:r>
            <w:r>
              <w:rPr>
                <w:b w:val="false"/>
                <w:i w:val="false"/>
                <w:caps w:val="false"/>
                <w:smallCaps w:val="false"/>
                <w:color w:val="000000"/>
              </w:rPr>
              <w:t>” section.</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refer to Note 9, </w:t>
      </w:r>
      <w:r>
        <w:rPr>
          <w:rFonts w:ascii="Times New Roman" w:hAnsi="Times New Roman"/>
          <w:b w:val="false"/>
          <w:i/>
          <w:caps w:val="false"/>
          <w:smallCaps w:val="false"/>
          <w:sz w:val="20"/>
        </w:rPr>
        <w:t>Commitments and Contingencies</w:t>
      </w:r>
      <w:r>
        <w:rPr>
          <w:rFonts w:ascii="Times New Roman" w:hAnsi="Times New Roman"/>
          <w:b w:val="false"/>
          <w:i w:val="false"/>
          <w:caps w:val="false"/>
          <w:smallCaps w:val="false"/>
          <w:sz w:val="20"/>
        </w:rPr>
        <w:t>, to the consolidated financial statements.</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Our principal stockholders own a significant percentage of our stock and will be able to exercise influence over stockholder approvals.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January 31, 2022, our executive officers, directors and principal stockholders, together with their respective affiliates, owned approximately 50.20%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2020.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may engage in acquisitions that could dilute stockholders and harm our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tbl>
      <w:tblPr>
        <w:tblW w:w="7735" w:type="dxa"/>
        <w:jc w:val="left"/>
        <w:tblInd w:w="0" w:type="dxa"/>
        <w:tblCellMar>
          <w:top w:w="0" w:type="dxa"/>
          <w:left w:w="0" w:type="dxa"/>
          <w:bottom w:w="0" w:type="dxa"/>
          <w:right w:w="0" w:type="dxa"/>
        </w:tblCellMar>
      </w:tblPr>
      <w:tblGrid>
        <w:gridCol w:w="110"/>
        <w:gridCol w:w="76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6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issue stock that would dilute our existing stockholders’ percentage of ownership;</w:t>
            </w:r>
          </w:p>
        </w:tc>
      </w:tr>
    </w:tbl>
    <w:tbl>
      <w:tblPr>
        <w:tblW w:w="3595" w:type="dxa"/>
        <w:jc w:val="left"/>
        <w:tblInd w:w="0" w:type="dxa"/>
        <w:tblCellMar>
          <w:top w:w="0" w:type="dxa"/>
          <w:left w:w="0" w:type="dxa"/>
          <w:bottom w:w="0" w:type="dxa"/>
          <w:right w:w="0" w:type="dxa"/>
        </w:tblCellMar>
      </w:tblPr>
      <w:tblGrid>
        <w:gridCol w:w="110"/>
        <w:gridCol w:w="34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4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incur debt and assume liabilities; and</w:t>
            </w:r>
          </w:p>
        </w:tc>
      </w:tr>
    </w:tbl>
    <w:tbl>
      <w:tblPr>
        <w:tblW w:w="9070" w:type="dxa"/>
        <w:jc w:val="left"/>
        <w:tblInd w:w="0" w:type="dxa"/>
        <w:tblCellMar>
          <w:top w:w="0" w:type="dxa"/>
          <w:left w:w="0" w:type="dxa"/>
          <w:bottom w:w="0" w:type="dxa"/>
          <w:right w:w="0" w:type="dxa"/>
        </w:tblCellMar>
      </w:tblPr>
      <w:tblGrid>
        <w:gridCol w:w="110"/>
        <w:gridCol w:w="896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incur amortization expenses related to intangible assets or incur large and immediate write-offs.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problems integrating the purchased business, products or technologies, or employees or other assets of the acquisition target;</w:t>
            </w:r>
          </w:p>
        </w:tc>
      </w:tr>
    </w:tbl>
    <w:tbl>
      <w:tblPr>
        <w:tblW w:w="2575" w:type="dxa"/>
        <w:jc w:val="left"/>
        <w:tblInd w:w="0" w:type="dxa"/>
        <w:tblCellMar>
          <w:top w:w="0" w:type="dxa"/>
          <w:left w:w="0" w:type="dxa"/>
          <w:bottom w:w="0" w:type="dxa"/>
          <w:right w:w="0" w:type="dxa"/>
        </w:tblCellMar>
      </w:tblPr>
      <w:tblGrid>
        <w:gridCol w:w="110"/>
        <w:gridCol w:w="246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4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increases to our expenses;</w:t>
            </w:r>
          </w:p>
        </w:tc>
      </w:tr>
    </w:tbl>
    <w:tbl>
      <w:tblPr>
        <w:tblW w:w="6550" w:type="dxa"/>
        <w:jc w:val="left"/>
        <w:tblInd w:w="0" w:type="dxa"/>
        <w:tblCellMar>
          <w:top w:w="0" w:type="dxa"/>
          <w:left w:w="0" w:type="dxa"/>
          <w:bottom w:w="0" w:type="dxa"/>
          <w:right w:w="0" w:type="dxa"/>
        </w:tblCellMar>
      </w:tblPr>
      <w:tblGrid>
        <w:gridCol w:w="110"/>
        <w:gridCol w:w="644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disclosed or undisclosed liabilities of the acquired asset or company;</w:t>
            </w:r>
          </w:p>
        </w:tc>
      </w:tr>
    </w:tbl>
    <w:tbl>
      <w:tblPr>
        <w:tblW w:w="7135" w:type="dxa"/>
        <w:jc w:val="left"/>
        <w:tblInd w:w="0" w:type="dxa"/>
        <w:tblCellMar>
          <w:top w:w="0" w:type="dxa"/>
          <w:left w:w="0" w:type="dxa"/>
          <w:bottom w:w="0" w:type="dxa"/>
          <w:right w:w="0" w:type="dxa"/>
        </w:tblCellMar>
      </w:tblPr>
      <w:tblGrid>
        <w:gridCol w:w="110"/>
        <w:gridCol w:w="702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diversion of management’s attention from their day-to-day responsibilities;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w:t>
      </w:r>
    </w:p>
    <w:p>
      <w:pPr>
        <w:pStyle w:val="HorizontalLine"/>
        <w:rPr/>
      </w:pPr>
      <w:r>
        <w:rPr/>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reprioritization of our development programs and even cessation of development and commercialization of our current product candidates;</w:t>
            </w:r>
          </w:p>
        </w:tc>
      </w:tr>
    </w:tbl>
    <w:tbl>
      <w:tblPr>
        <w:tblW w:w="4960" w:type="dxa"/>
        <w:jc w:val="left"/>
        <w:tblInd w:w="0" w:type="dxa"/>
        <w:tblCellMar>
          <w:top w:w="0" w:type="dxa"/>
          <w:left w:w="0" w:type="dxa"/>
          <w:bottom w:w="0" w:type="dxa"/>
          <w:right w:w="0" w:type="dxa"/>
        </w:tblCellMar>
      </w:tblPr>
      <w:tblGrid>
        <w:gridCol w:w="110"/>
        <w:gridCol w:w="485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harm to our operating results or financial condition;</w:t>
            </w:r>
          </w:p>
        </w:tc>
      </w:tr>
    </w:tbl>
    <w:tbl>
      <w:tblPr>
        <w:tblW w:w="7195" w:type="dxa"/>
        <w:jc w:val="left"/>
        <w:tblInd w:w="0" w:type="dxa"/>
        <w:tblCellMar>
          <w:top w:w="0" w:type="dxa"/>
          <w:left w:w="0" w:type="dxa"/>
          <w:bottom w:w="0" w:type="dxa"/>
          <w:right w:w="0" w:type="dxa"/>
        </w:tblCellMar>
      </w:tblPr>
      <w:tblGrid>
        <w:gridCol w:w="110"/>
        <w:gridCol w:w="70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entrance into markets in which we have limited or no prior experience; and</w:t>
            </w:r>
          </w:p>
        </w:tc>
      </w:tr>
    </w:tbl>
    <w:tbl>
      <w:tblPr>
        <w:tblW w:w="6940" w:type="dxa"/>
        <w:jc w:val="left"/>
        <w:tblInd w:w="0" w:type="dxa"/>
        <w:tblCellMar>
          <w:top w:w="0" w:type="dxa"/>
          <w:left w:w="0" w:type="dxa"/>
          <w:bottom w:w="0" w:type="dxa"/>
          <w:right w:w="0" w:type="dxa"/>
        </w:tblCellMar>
      </w:tblPr>
      <w:tblGrid>
        <w:gridCol w:w="110"/>
        <w:gridCol w:w="683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8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potential loss of key employees, particularly those of the acquired entity.</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be able to complete any acquisitions or effectively integrate the operations, products or personnel gained through any such acquisition.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Provisions in our charter documents and Delaware law may have anti-takeover effects that could discourage an acquisition of us by others, and may prevent attempts by our stockholders to replace or remove our current directors or management.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authorize “blank check” preferred stock, which could be issued by our board of directors without stockholder approval and may contain voting, liquidation, dividend and other rights superior to our common stock;</w:t>
            </w:r>
          </w:p>
        </w:tc>
      </w:tr>
    </w:tbl>
    <w:tbl>
      <w:tblPr>
        <w:tblW w:w="8245" w:type="dxa"/>
        <w:jc w:val="left"/>
        <w:tblInd w:w="0" w:type="dxa"/>
        <w:tblCellMar>
          <w:top w:w="0" w:type="dxa"/>
          <w:left w:w="0" w:type="dxa"/>
          <w:bottom w:w="0" w:type="dxa"/>
          <w:right w:w="0" w:type="dxa"/>
        </w:tblCellMar>
      </w:tblPr>
      <w:tblGrid>
        <w:gridCol w:w="110"/>
        <w:gridCol w:w="813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1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create a classified board of directors whose members serve staggered three-year terms;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specify that special meetings of our stockholders can be called only by our board of directors pursuant to a resolution adopted by a majority of the total number of directors;</w:t>
            </w:r>
          </w:p>
        </w:tc>
      </w:tr>
    </w:tbl>
    <w:tbl>
      <w:tblPr>
        <w:tblW w:w="4510" w:type="dxa"/>
        <w:jc w:val="left"/>
        <w:tblInd w:w="0" w:type="dxa"/>
        <w:tblCellMar>
          <w:top w:w="0" w:type="dxa"/>
          <w:left w:w="0" w:type="dxa"/>
          <w:bottom w:w="0" w:type="dxa"/>
          <w:right w:w="0" w:type="dxa"/>
        </w:tblCellMar>
      </w:tblPr>
      <w:tblGrid>
        <w:gridCol w:w="110"/>
        <w:gridCol w:w="4400"/>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4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prohibit stockholder action by written consent;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establish an advance notice procedure for stockholder approvals to be brought before an annual meeting of our stockholders, including proposed nominations of persons for election to our board of directors;</w:t>
            </w:r>
          </w:p>
        </w:tc>
      </w:tr>
    </w:tbl>
    <w:tbl>
      <w:tblPr>
        <w:tblW w:w="8305" w:type="dxa"/>
        <w:jc w:val="left"/>
        <w:tblInd w:w="0" w:type="dxa"/>
        <w:tblCellMar>
          <w:top w:w="0" w:type="dxa"/>
          <w:left w:w="0" w:type="dxa"/>
          <w:bottom w:w="0" w:type="dxa"/>
          <w:right w:w="0" w:type="dxa"/>
        </w:tblCellMar>
      </w:tblPr>
      <w:tblGrid>
        <w:gridCol w:w="110"/>
        <w:gridCol w:w="81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1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provide that our directors may be removed prior to the end of their term only for cause;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provide that vacancies on our board of directors may be filled only by a majority of directors then in office, even though less than a quorum;</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require a supermajority vote of the holders of our common stock or the majority vote of our board of directors to amend our bylaws;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require a supermajority vote of the holders of our common stock to amend the classification of our board of directors into three classes and to amend certain other provisions of our certificate of incorporation.</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Changes in our tax provision or exposure to additional tax liabilities could adversely affect our earnings and financial condition.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tax regulations in the U.S. and other jurisdictions in which we operate are extremely complex and subject to change. Changes in tax regulations could have an adverse effect on our results of operations and financial condition.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Tariffs imposed by the U.S. and those imposed in response by other countries could have a material adverse effect on our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certificate of incorporation designates courts located in Delaware as the sole forum for certain proceedings, which could limit our stockholders’ ability to obtain a favorable judicial forum for disputes with us or our directors, officers or employees.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For example, the Derivative Litigation has been brought in federal court in California, despite the exclusive forum provision.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do not plan to pay dividends. Capital appreciation will be your sole possible source of gain, which may never occur.</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business or our share price could be negatively affected as a result of shareholder proposals or actions.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80</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8" w:name="ITEM_1B_UNRESOLVED_STAFF_COMMENTS"/>
      <w:bookmarkEnd w:id="8"/>
      <w:r>
        <w:rPr>
          <w:rFonts w:ascii="Times New Roman" w:hAnsi="Times New Roman"/>
          <w:b/>
          <w:i w:val="false"/>
          <w:caps w:val="false"/>
          <w:smallCaps w:val="false"/>
          <w:sz w:val="20"/>
        </w:rPr>
        <w:t>ITEM 1B. UNRESOLVED STAFF COMMENTS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360" w:after="0"/>
        <w:rPr>
          <w:rFonts w:ascii="Times New Roman" w:hAnsi="Times New Roman"/>
          <w:b/>
          <w:i w:val="false"/>
          <w:caps w:val="false"/>
          <w:smallCaps w:val="false"/>
          <w:sz w:val="20"/>
        </w:rPr>
      </w:pPr>
      <w:bookmarkStart w:id="9" w:name="ITEM_2_PROPERTIES"/>
      <w:bookmarkEnd w:id="9"/>
      <w:r>
        <w:rPr>
          <w:rFonts w:ascii="Times New Roman" w:hAnsi="Times New Roman"/>
          <w:b/>
          <w:i w:val="false"/>
          <w:caps w:val="false"/>
          <w:smallCaps w:val="false"/>
          <w:sz w:val="20"/>
        </w:rPr>
        <w:t>ITEM 2. PROPERTIES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corporate and research and development operations are located in San Francisco, California, where we lease approximately 234,000 square feet of office and laboratory space with approximately 30,000 square feet subleased. The lease for our San Francisco headquarters was originally scheduled to expire in 2023, and in June 2021, we amended the lease to extend it through 2028. We also lease approximately 67,000 square feet of office and manufacturing space in Beijing, China, and multiple office spaces in Beijing and Shanghai, China. Our leases in China expire in 2026. We have constructed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pStyle w:val="TextBody"/>
        <w:spacing w:before="360" w:after="0"/>
        <w:rPr>
          <w:rFonts w:ascii="Times New Roman" w:hAnsi="Times New Roman"/>
          <w:b/>
          <w:i w:val="false"/>
          <w:caps w:val="false"/>
          <w:smallCaps w:val="false"/>
          <w:sz w:val="20"/>
        </w:rPr>
      </w:pPr>
      <w:bookmarkStart w:id="10" w:name="ITEM_3_LEGAL_PROCEEEDINGS"/>
      <w:bookmarkEnd w:id="10"/>
      <w:r>
        <w:rPr>
          <w:rFonts w:ascii="Times New Roman" w:hAnsi="Times New Roman"/>
          <w:b/>
          <w:i w:val="false"/>
          <w:caps w:val="false"/>
          <w:smallCaps w:val="false"/>
          <w:sz w:val="20"/>
        </w:rPr>
        <w:t>ITEM 3. LEGAL PROCEEDINGS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a discussion of our legal proceedings, refer to Note 9, </w:t>
      </w:r>
      <w:r>
        <w:rPr>
          <w:rFonts w:ascii="Times New Roman" w:hAnsi="Times New Roman"/>
          <w:b w:val="false"/>
          <w:i/>
          <w:caps w:val="false"/>
          <w:smallCaps w:val="false"/>
          <w:sz w:val="20"/>
        </w:rPr>
        <w:t>Commitments and Contingencies</w:t>
      </w:r>
      <w:r>
        <w:rPr>
          <w:rFonts w:ascii="Times New Roman" w:hAnsi="Times New Roman"/>
          <w:b w:val="false"/>
          <w:i w:val="false"/>
          <w:caps w:val="false"/>
          <w:smallCaps w:val="false"/>
          <w:sz w:val="20"/>
        </w:rPr>
        <w:t>, to the consolidated financial statements.</w:t>
      </w:r>
    </w:p>
    <w:p>
      <w:pPr>
        <w:pStyle w:val="TextBody"/>
        <w:spacing w:before="360" w:after="0"/>
        <w:rPr>
          <w:rFonts w:ascii="Times New Roman" w:hAnsi="Times New Roman"/>
          <w:b/>
          <w:i w:val="false"/>
          <w:caps w:val="false"/>
          <w:smallCaps w:val="false"/>
          <w:sz w:val="20"/>
        </w:rPr>
      </w:pPr>
      <w:bookmarkStart w:id="11" w:name="ITEM_4_MINE_SAFETY_DISCLOSURES"/>
      <w:bookmarkEnd w:id="11"/>
      <w:r>
        <w:rPr>
          <w:rFonts w:ascii="Times New Roman" w:hAnsi="Times New Roman"/>
          <w:b/>
          <w:i w:val="false"/>
          <w:caps w:val="false"/>
          <w:smallCaps w:val="false"/>
          <w:sz w:val="20"/>
        </w:rPr>
        <w:t>ITEM 4. MINE SAFETY DISCLOSURES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12" w:name="PART_II"/>
      <w:bookmarkEnd w:id="12"/>
      <w:r>
        <w:rPr>
          <w:rFonts w:ascii="Times New Roman" w:hAnsi="Times New Roman"/>
          <w:b/>
          <w:i w:val="false"/>
          <w:caps w:val="false"/>
          <w:smallCaps w:val="false"/>
          <w:sz w:val="20"/>
        </w:rPr>
        <w:t>PART II</w:t>
      </w:r>
    </w:p>
    <w:p>
      <w:pPr>
        <w:pStyle w:val="TextBody"/>
        <w:spacing w:before="240" w:after="0"/>
        <w:rPr>
          <w:rFonts w:ascii="Times New Roman" w:hAnsi="Times New Roman"/>
          <w:b/>
          <w:i w:val="false"/>
          <w:caps w:val="false"/>
          <w:smallCaps w:val="false"/>
          <w:sz w:val="20"/>
        </w:rPr>
      </w:pPr>
      <w:bookmarkStart w:id="13" w:name="ITEM_5_MARKET_FOR_REGISTRANTS_COMMON_EQU"/>
      <w:bookmarkEnd w:id="13"/>
      <w:r>
        <w:rPr>
          <w:rFonts w:ascii="Times New Roman" w:hAnsi="Times New Roman"/>
          <w:b/>
          <w:i w:val="false"/>
          <w:caps w:val="false"/>
          <w:smallCaps w:val="false"/>
          <w:sz w:val="20"/>
        </w:rPr>
        <w:t>ITEM 5. MARKET FOR REGISTRANT’S COMMON EQUITY, RELATED STOCKHOLDER MATTERS AND ISSUER PURCHASES OF EQUITY SECURITIES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Market Information for Common Stock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common stock has been listed on the Nasdaq Global Select Market (“Nasdaq”) since November 14, 2014, under the symbol “FGEN.” Prior to our initial public offering, there was no public market for our common stock.</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Stock Price Performance Graph</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graph illustrates a comparison of the total cumulative stockholder return for our common stock since December 31, 2016 to two indices: the NASDAQ Composite Index and the NASDAQ Biotechnology Index. The graph assumes an initial investment of $100 on December 31, 2016, in our common stock, the stocks comprising the NASDAQ Composite Index, and the stocks comprising the NASDAQ Biotechnology Index. The stockholder return shown in the graph below is not necessarily indicative of future performance, and we do not make or endorse any predictions as to future stockholder returns.</w:t>
      </w:r>
    </w:p>
    <w:p>
      <w:pPr>
        <w:pStyle w:val="TextBody"/>
        <w:spacing w:before="120" w:after="0"/>
        <w:jc w:val="center"/>
        <w:rPr>
          <w:caps w:val="false"/>
          <w:smallCaps w:val="false"/>
        </w:rPr>
      </w:pPr>
      <w:r>
        <w:rPr>
          <w:caps w:val="false"/>
          <w:smallCaps w:val="false"/>
        </w:rPr>
        <w:drawing>
          <wp:inline distT="0" distB="0" distL="0" distR="0">
            <wp:extent cx="5610225" cy="3381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10225" cy="3381375"/>
                    </a:xfrm>
                    <a:prstGeom prst="rect">
                      <a:avLst/>
                    </a:prstGeom>
                  </pic:spPr>
                </pic:pic>
              </a:graphicData>
            </a:graphic>
          </wp:inline>
        </w:drawing>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above Stock Price Performance Graph and related information shall not be deemed “soliciting material” or to be “filed” with the Securities and Exchange Commission, nor shall such information be incorporated by reference into any future filing under the Securities Act or Exchange Act, except to the extent that we specifically incorporate it by reference into such filing.</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Dividend Policy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Stockholders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January 31, 2022, there were 118 registered stockholders of record for our common stock. This number of registered stockholders does not include stockholders whose shares are held in street names by brokers and other nominees, or may be held in trust by other entities. Therefore, the actual number of stockholders is greater than this number of registered stockholders of record.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Use of Proceeds from Initial Public Offering of Common Stock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November 13, 2014, our Registration Statement on Form S-1, as amended (Reg. Nos. 333-199069 and 333-200189), in connection with our IPO was declared effective by the SEC. We have applied all of the net proceeds from our IPO in accordance with the planned use of proceeds described in our final prospectus dated November 13, 2014 and filed with the SEC pursuant to Rule 424(b) under the Securities Act.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Recent Sales of Unregistered Securities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Purchases of Equity Securities by the Issuer and Affiliated Purchasers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360" w:after="0"/>
        <w:rPr>
          <w:rFonts w:ascii="Times New Roman" w:hAnsi="Times New Roman"/>
          <w:b/>
          <w:i w:val="false"/>
          <w:caps w:val="false"/>
          <w:smallCaps w:val="false"/>
          <w:sz w:val="20"/>
        </w:rPr>
      </w:pPr>
      <w:bookmarkStart w:id="14" w:name="ITEM_6_RESERVED"/>
      <w:bookmarkEnd w:id="14"/>
      <w:r>
        <w:rPr>
          <w:rFonts w:ascii="Times New Roman" w:hAnsi="Times New Roman"/>
          <w:b/>
          <w:i w:val="false"/>
          <w:caps w:val="false"/>
          <w:smallCaps w:val="false"/>
          <w:sz w:val="20"/>
        </w:rPr>
        <w:t>ITEM 6. RESERVED</w:t>
      </w:r>
    </w:p>
    <w:p>
      <w:pPr>
        <w:pStyle w:val="TextBody"/>
        <w:spacing w:before="12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5" w:name="ITEM_7_MANAGEMENTS_DISCUSSION_ANALYSIS_F"/>
      <w:bookmarkEnd w:id="15"/>
      <w:r>
        <w:rPr>
          <w:rFonts w:ascii="Times New Roman" w:hAnsi="Times New Roman"/>
          <w:b/>
          <w:i w:val="false"/>
          <w:caps w:val="false"/>
          <w:smallCaps w:val="false"/>
          <w:sz w:val="20"/>
        </w:rPr>
        <w:t>ITEM 7. MANAGEMENT’S DISCUSSION AND ANALYSIS OF FINANCIAL CONDITION AND RESULTS OF OPERATIONS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You should read the following discussion and analysis of our financial condition and results of operations together with our consolidated financial statements and related notes and other financial information included in Item 8 of this Annual Report on Form 10-K for the year ended December 31, 2021 (“Annual Report”).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“Risk Factors” section of this Annual Report for a discussion of important factors that could cause our actual results to differ materially from the results described in or implied by the forward-looking statements contained in the following discussion and analysis.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BUSINESS OVERVIEW</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headquartered in San Francisco, California, with subsidiary offices in Beijing and Shanghai, People’s Republic of China (“China”). We are a leading biopharmaceutical company developing and commercializing a pipeline of first-in-class therapeutics. We apply our pioneering expertise in hypoxia-inducible factor (“HIF”) biology, 2-oxoglutarate enzymology, and connective tissue growth factor (“CTGF”) biology to advance innovative medicines for the treatment of anemia, fibrotic disease, and cancer. </w:t>
      </w:r>
    </w:p>
    <w:p>
      <w:pPr>
        <w:pStyle w:val="TextBody"/>
        <w:spacing w:lineRule="auto" w:line="288" w:before="240" w:after="0"/>
        <w:rPr>
          <w:caps w:val="false"/>
          <w:smallCaps w:val="false"/>
        </w:rPr>
      </w:pPr>
      <w:r>
        <w:rPr>
          <w:rFonts w:ascii="Times New Roman" w:hAnsi="Times New Roman"/>
          <w:b w:val="false"/>
          <w:i w:val="false"/>
          <w:caps w:val="false"/>
          <w:smallCaps w:val="false"/>
          <w:sz w:val="20"/>
        </w:rPr>
        <w:t xml:space="preserve">Roxadustat is our most advanced product, an oral small molecule inhibitor of HIF prolyl hydroxylase (“HIF-PH”) activity. Roxadustat is currently approved for use in patients with anemia associated with chronic kidney disease (“CKD”) in China (2019), Japan (2020) and Europe (2021), under the tradename EVRENZO®. Roxadustat is also being commercialized in China for CKD anemia in dialysis and non-dialysis patients under the tradename: </w:t>
      </w:r>
      <w:r>
        <w:rPr>
          <w:rFonts w:eastAsia="Times New Roman"/>
          <w:b w:val="false"/>
          <w:i w:val="false"/>
          <w:caps w:val="false"/>
          <w:smallCaps w:val="false"/>
          <w:sz w:val="20"/>
        </w:rPr>
        <w:t>爱瑞卓</w:t>
      </w:r>
      <w:r>
        <w:rPr>
          <w:rFonts w:ascii="Times New Roman" w:hAnsi="Times New Roman"/>
          <w:b w:val="false"/>
          <w:i w:val="false"/>
          <w:caps w:val="false"/>
          <w:smallCaps w:val="false"/>
          <w:sz w:val="20"/>
        </w:rPr>
        <w:t xml:space="preser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Roxadustat is in Phase 3 clinical development for anemia associated with myelodysplastic syndromes and Phase 2 clinical development for chemotherapy-induced anemia.</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Pamrevlumab is our first-in-class antibody developed to inhibit the activity of CTGF, a common factor in fibrotic and fibro-proliferative disorders characterized by persistent and excessive scarring that can lead to organ dysfunction and failure.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second quarter of 2021, the Food and Drug Administration (“FDA”) granted both Rare Pediatric Disease designation and Fast Track designation for pamrevlumab for the treatment of patients with Duchenne Muscular Dystrophy. In addition, the FDA has granted Orphan Drug Designation to pamrevlumab for the treatment of idiopathic pulmonary fibrosis, locally advanced unresectable pancreatic cancer, and Duchenne Muscular Dystrophy. Pamrevlumab has also received Fast Track designation from the FDA for the treatment of both idiopathic pulmonary fibrosis and locally advanced unresectable pancreatic cancer.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 pipeline of late-stage clinical programs as well as pre-clinical drug candidates at various stages of development that include both small molecules and biologics.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84</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Financial Highlights</w:t>
      </w:r>
    </w:p>
    <w:p>
      <w:pPr>
        <w:pStyle w:val="TextBody"/>
        <w:spacing w:before="0" w:after="0"/>
        <w:rPr/>
      </w:pPr>
      <w:r>
        <w:rPr/>
        <w:t> </w:t>
      </w:r>
    </w:p>
    <w:tbl>
      <w:tblPr>
        <w:tblW w:w="7865" w:type="dxa"/>
        <w:jc w:val="left"/>
        <w:tblInd w:w="0" w:type="dxa"/>
        <w:tblCellMar>
          <w:top w:w="0" w:type="dxa"/>
          <w:left w:w="0" w:type="dxa"/>
          <w:bottom w:w="28" w:type="dxa"/>
          <w:right w:w="0" w:type="dxa"/>
        </w:tblCellMar>
      </w:tblPr>
      <w:tblGrid>
        <w:gridCol w:w="3080"/>
        <w:gridCol w:w="60"/>
        <w:gridCol w:w="147"/>
        <w:gridCol w:w="892"/>
        <w:gridCol w:w="94"/>
        <w:gridCol w:w="70"/>
        <w:gridCol w:w="231"/>
        <w:gridCol w:w="1408"/>
        <w:gridCol w:w="94"/>
        <w:gridCol w:w="70"/>
        <w:gridCol w:w="249"/>
        <w:gridCol w:w="1390"/>
        <w:gridCol w:w="80"/>
      </w:tblGrid>
      <w:tr>
        <w:trPr/>
        <w:tc>
          <w:tcPr>
            <w:tcW w:w="30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4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45" w:type="dxa"/>
            <w:gridSpan w:val="1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thousands, except for per share data)</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CFF0FC" w:val="clear"/>
            <w:tcMar>
              <w:bottom w:w="0" w:type="dxa"/>
            </w:tcMar>
            <w:vAlign w:val="cente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Result of Operations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235,309</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176,319</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256,577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costs and expenses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523,839</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368,199</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345,891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(290,023</w:t>
            </w:r>
          </w:p>
        </w:tc>
        <w:tc>
          <w:tcPr>
            <w:tcW w:w="9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(189,291</w:t>
            </w:r>
          </w:p>
        </w:tc>
        <w:tc>
          <w:tcPr>
            <w:tcW w:w="9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(76,970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 basic and diluted</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(3.14</w:t>
            </w:r>
          </w:p>
        </w:tc>
        <w:tc>
          <w:tcPr>
            <w:tcW w:w="9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w:t>
            </w:r>
          </w:p>
        </w:tc>
        <w:tc>
          <w:tcPr>
            <w:tcW w:w="9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42" w:type="dxa"/>
            <w:gridSpan w:val="6"/>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Sheet</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171,223</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678,393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and long-term investments</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401,763</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8,388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17,401</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41,883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revenue for the year ended December 31, 2021 included the revenues recognized related to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lineRule="auto" w:line="288" w:before="120" w:after="0"/>
              <w:jc w:val="left"/>
              <w:rPr>
                <w:b w:val="false"/>
                <w:i w:val="false"/>
                <w:caps w:val="false"/>
                <w:smallCaps w:val="false"/>
                <w:color w:val="000000"/>
              </w:rPr>
            </w:pPr>
            <w:r>
              <w:rPr>
                <w:b w:val="false"/>
                <w:i w:val="false"/>
                <w:caps w:val="false"/>
                <w:smallCaps w:val="false"/>
                <w:color w:val="000000"/>
              </w:rPr>
              <w:t xml:space="preserve">$120.0 million regulatory milestones recognized under our collaboration agreements with our partners Astellas Pharma Inc. (“Astellas”) associated with the approval by European Commission of EVRENZO® (roxadustat) for the treatment of adult patients with symptomatic anemia associated with CKD during the third quarter of 2021. Of this amount, $108.4 million was recognized as license revenue and the remainder included as development revenue;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$70.3 million of development revenue recognized under our collaboration agreements with our partners Astellas and AstraZeneca AB (“AstraZeneca”);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rPr>
            </w:pPr>
            <w:r>
              <w:rPr>
                <w:b w:val="false"/>
                <w:i w:val="false"/>
                <w:caps w:val="false"/>
                <w:smallCaps w:val="false"/>
                <w:color w:val="000000"/>
              </w:rPr>
              <w:t xml:space="preserve">$47.6 million of net product revenue from roxadustat commercial sales in China, mostly from sales to Beijing Falikang Pharmaceutical Co. Ltd. (“Falikang”) (see details under </w:t>
            </w:r>
            <w:r>
              <w:rPr>
                <w:b w:val="false"/>
                <w:i/>
                <w:caps w:val="false"/>
                <w:smallCaps w:val="false"/>
                <w:color w:val="000000"/>
              </w:rPr>
              <w:t>Product Revenue, Net</w:t>
            </w:r>
            <w:r>
              <w:rPr>
                <w:b w:val="false"/>
                <w:i w:val="false"/>
                <w:caps w:val="false"/>
                <w:smallCaps w:val="false"/>
                <w:color w:val="000000"/>
              </w:rPr>
              <w:t xml:space="preserve"> section below);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$8.0 million upfront license payment recognized under our license agreement (defined below) with Eluminex Biosciences (Suzhou) Limited (“Eluminex”).</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comparison, our revenue for the year ended December 31, 2020 included the revenues recognized related to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$15.0 million regulatory milestone associated with the New Drug Application (“NDA”) approval in Japan;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$80.6 million development revenue recognized under collaboration agreements with our partners Astellas and AstraZeneca; </w:t>
            </w:r>
          </w:p>
        </w:tc>
      </w:tr>
    </w:tbl>
    <w:tbl>
      <w:tblPr>
        <w:tblW w:w="8185" w:type="dxa"/>
        <w:jc w:val="left"/>
        <w:tblInd w:w="0" w:type="dxa"/>
        <w:tblCellMar>
          <w:top w:w="0" w:type="dxa"/>
          <w:left w:w="0" w:type="dxa"/>
          <w:bottom w:w="0" w:type="dxa"/>
          <w:right w:w="0" w:type="dxa"/>
        </w:tblCellMar>
      </w:tblPr>
      <w:tblGrid>
        <w:gridCol w:w="110"/>
        <w:gridCol w:w="807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07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$72.5 million of net product revenue from roxadustat commercial sales in China;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$8.9 million of drug product revenue related to roxadustat bulk drug or active pharmaceutical ingredient (“API”) deliveries to AstraZeneca and Astellas.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costs and expenses increased for the year ended December 31, 2021 compared to the prior year as a result of the net effect of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$60.0 million of expenses for acquired in-process research and development assets from HiFiBiO Therapeutics (“HiFiBiO”);</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$38.4 million higher clinical trial costs, primarily due to Phase 3 trials for pamrevlumab, as well as impacts from roxadustat post-approval safety studies in China;</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$24.4 million higher drug development expenses associated with drug substance and drug product manufacturing activities primarily related to pamrevlumab;</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$16.5 million higher employee-related expenses primarily resulting from higher average compensation level and headcount, and higher severance expenses associated with employee departures and cost reduction effort;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$8.8 million higher outside services due to higher consulting expenses related to roxadustat in China, higher scientific contract activities related to pamrevlumab Phase 3, and higher co-promotion expenses resulting from a reversal in co-promotion expenses in prior year period;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$6.0 million lower legal expenses primarily associated with patent-related activities in the United Kingdom.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research and development expenses were $387.0 million, $252.9 million and $209.3 million for the years ended December 31, 2021, 2020 and 2019, respectively. Since inception and through December 31, 2021, we have incurred a total of approximately $2.6 billion in research and development expenses, a majority of which relates to the development of roxadustat, pamrevlumab and other HIF-PH inhibitors. We expect to continue to incur significant expenses and operating losses over at least the next several years as we continue to make investments in research and development to advance our product candidate portfolio. In addition, we expect to incur significant expenses relating to seeking regulatory approval for our product candidates and commercializing those products in various markets, including China. We consider the active management and development of our clinical pipeline to be particularly crucial to our long-term success. The process of conducting the necessary clinical research to obtain regulatory approval is costly and time consuming. Following the complete response letter (“CRL”) for roxadustat in the United States (“U.S.”), we are implementing a cost reduction effort, and as a result, operating expenses may decrease in certain areas in the near future compared to our previous internal plans.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actual probability of success for each of our product candidates and clinical programs, and our ability to generate product revenue and become profitable, depends upon a variety of factors, including the quality of the product candidate, clinical results, investment in the program, competition, manufacturing capability, commercial viability, and our and our partners’ ability to successfully execute our development and commercialization plans. For a description of the numerous risks and uncertainties associated with product development, refer to the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section of this Annual Report.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year ended December 31, 2021, we had a net loss of $290.0 million, or net loss per basic and diluted share of $3.14, as compared to a net loss of $189.3 million, or net loss per basic and diluted share of $2.11 for the prior year, primarily due to an increase in operating expenses, partially offset by an increase in revenue.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and cash equivalents, investments and accounts receivable totaled $590.4 million at December 31, 2021, a decrease of $138.3 million from December 31, 2020, primarily due to cash used in operations and investment in our pre-clinical pipeline.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Licensing Activities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Exclusive License with Eluminex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2021, we exclusively licensed to Eluminex global rights to our investigational biosynthetic cornea derived from recombinant human collagen type III.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terms of the agreement with Eluminex, Eluminex will make an $8.0 million upfront payment to FibroGen.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be eligible to receive mid single-digit to low double-digit royalties based upon worldwide net sales of cornea products, and low single-digit to mid single-digit royalties based on worldwide net sales of other recombinant human collagen type III products that are not cornea products.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third quarter of 2021, the $8.0 million upfront license payment was recognized as license revenue for the performance obligations satisfied. See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to the consolidated financial statements for details.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Collaboration Partnerships for Roxadustat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and future research, development, manufacturing and commercialization efforts with respect to roxadustat and our other product candidates currently in development depend on funds from our collaboration agreements with Astellas and AstraZeneca. See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to the consolidated financial statements for details.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Astellas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(“Europe Agreement”). Under these agreements, we provide Astellas the right to develop and commercialize roxadustat for anemia indications in these territories.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share responsibility with Astellas for clinical development activities required for the U.S. and the Europe regulatory approval of roxadustat, and equally share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 Astellas is responsible for roxadustat commercialization activities in the Astellas territories.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third quarter of 2021, the European Commission approved EVRENZO® (roxadustat) for the treatment of adult patients with symptomatic anemia associated with CKD. Astellas has launched EVRENZO in Germany, the United Kingdom, the Netherlands, Austria, and the Nordic countries. This approval triggered a total of $120.0 million milestone payable to us by Astellas under the Europe Agreement. Accordingly, the consideration of $120.0 million associated with these milestones was included in the transaction price and allocated to performance obligations under the Europe Agreement, all of which was recognized as revenue during the year ended December 31, 2021 from performance obligations satisfied.</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fourth quarter of 2020, the Japanese Ministry of Health, Labour and Welfare approved EVRENZO® (roxadustat) for the treatment of anemia of CKD in adult patients not on dialysis. Accordingly, the consideration of $15.0 million associated with this milestone was included in the transaction price and allocated to performance obligations under the Japan Agreement in the fourth quarter of 2020, substantially all of which was recognized as revenue during the year ended December 31, 2020 from performance obligations satisfied or partially satisfied.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Under these agreements, the aggregate amount for upfront payments and milestone payments received through December 31, 2021 totals $765.1 million. </w:t>
      </w:r>
    </w:p>
    <w:p>
      <w:pPr>
        <w:pStyle w:val="TextBody"/>
        <w:spacing w:before="240" w:after="0"/>
        <w:rPr>
          <w:rFonts w:ascii="Times New Roman" w:hAnsi="Times New Roman"/>
          <w:b w:val="false"/>
          <w:i w:val="false"/>
          <w:caps w:val="false"/>
          <w:smallCaps w:val="false"/>
          <w:sz w:val="20"/>
        </w:rPr>
      </w:pPr>
      <w:bookmarkStart w:id="16" w:name="hb_df63b63f4cdc45a3a7de6ff060d1771b"/>
      <w:bookmarkEnd w:id="16"/>
      <w:r>
        <w:rPr>
          <w:rFonts w:ascii="Times New Roman" w:hAnsi="Times New Roman"/>
          <w:b w:val="false"/>
          <w:i w:val="false"/>
          <w:caps w:val="false"/>
          <w:smallCaps w:val="false"/>
          <w:sz w:val="20"/>
        </w:rPr>
        <w:t xml:space="preserve">In 2018, FibroGen and Astellas entered into an amendment to the Japan Agreement that will allow Astellas to manufacture roxadustat drug product for commercialization in Japan (the “Japan Amendment”). Under this amendment, FibroGen would continue to manufacture and supply roxadustat API to Astellas for the roxadustat commercial launch in Japan. The commercial terms of the Japan Agreement relating to the transfer price for roxadustat for commercial use remain substantially the same, reflecting an adjustment for the manufacture of drug product by Astellas rather than FibroGen.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Europe Agreement, Astellas has an option to purchase roxadustat bulk drug product in support of commercial supplies. We fulfilled an inventory transfer obligation under the terms of the Europe Agreement in the fourth quarter of 2020. During the first quarter of 2021, we entered into an Astellas EU Supply Agreement (“EU Supply Agreement”) under the Europe Agreement to define general forecast, order, supply and payment terms for Astellas to purchase roxadustat bulk drug product from FibroGen in support of commercial supplies. We transferred bulk drug product to Astellas during the first and the fourth quarter of 2021. We recorded the consideration of $25.9 million from these inventory transfers as deferred revenue as of December 31, 2021.</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Additionally, under these agreements, Astellas pays 100% of the commercialization costs in their territories. In Japan, Astellas pays us a transfer price in the low 20% range of the list price published by the Japanese Ministry of Health, Labour and Welfare, adjusted for certain elements, after commercial launch. In Europe, Astellas pays us a tiered transfer price for our manufacture and supply of roxadustat based on net sales of roxadustat in the low 20% range.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related drug product revenue under these agreements were $3.2 million and $4.3 million for the years ended December 31, 2021 and 2020, respectively.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as of December 31, 2021, Astellas had a separate investment of $80.5 million in the equity of FibroGen,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AstraZeneca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2013, we entered into a collaboration agreement with AstraZeneca for roxadustat for the treatment of anemia in the U.S. and all territories not previously licensed to Astellas (the “U.S./RoW Agreement”), except China. In July 2013, through our China subsidiary and related affiliates, we entered into the China Agreement with AstraZeneca for roxadustat for the treatment of anemia in China (the “China Agreement”). Under these agreements, we provide AstraZeneca the right to develop and commercialize roxadustat for anemia in these territories. We share responsibility with AstraZeneca for clinical development activities required for U.S. regulatory approval of roxadustat, and FibroGen will transfer the U.S. NDA to AstraZeneca upon approval. AstraZeneca will hold the equivalent regulatory filings in the other licensed countries.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Outside of China, we are responsible, through our contract manufacturers, for the manufacture and supply of all quantities of roxadustat to be used in development and commercialization under the AstraZeneca agreements.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China Agreement, which is conducted through FibroGen China Anemia Holdings, Ltd., FibroGen Beijing, and FibroGen International (Hong Kong) Limited (collectively, (“FibroGen China”), the commercial collaboration was structured as a 50/50 profit share, which was amended by the China Amendment  in the third quarter of 2020, as discussed and defined below in </w:t>
      </w:r>
      <w:r>
        <w:rPr>
          <w:rFonts w:ascii="Times New Roman" w:hAnsi="Times New Roman"/>
          <w:b w:val="false"/>
          <w:i/>
          <w:caps w:val="false"/>
          <w:smallCaps w:val="false"/>
          <w:sz w:val="20"/>
        </w:rPr>
        <w:t>China Amendment</w:t>
      </w:r>
      <w:r>
        <w:rPr>
          <w:rFonts w:ascii="Times New Roman" w:hAnsi="Times New Roman"/>
          <w:b w:val="false"/>
          <w:i w:val="false"/>
          <w:caps w:val="false"/>
          <w:smallCaps w:val="false"/>
          <w:sz w:val="20"/>
        </w:rPr>
        <w:t xml:space="preser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for upfront payments and milestone payments received through December 31, 2021 totals $516.2 million.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U.S./RoW Agreement, AstraZeneca will pay for all commercialization costs in the U.S. and RoW and AstraZeneca will be responsible for the U.S. commercialization of roxadustat, with FibroGen undertaking specified commercial activities in the U.S. In addition, we will receive a transfer price for delivery of commercial product based on a percentage of net sales in the low- to mid-single digit range and AstraZeneca will pay us a tiered royalty on net sales of roxadustat in the low 20% range.</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China Amendment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2020, FibroGen China and AstraZeneca (together with FibroGen China, the “Parties”) entered into an amendment, effective July 1, 2020, to the China Agreement, relating to the development and commercialization of roxadustat in China (the “China Amendment”). While the responsibilities of the Parties under the China Agreement remain largely the same, certain changes were made.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China Amendment, in September 2020, FibroGen Beijing and AstraZeneca completed the establishment of a jointly owned entity, Falikang, which performs roxadustat distribution, as well as conduct sales and marketing through AstraZeneca. As Falikang is a distribution entity for roxadustat and AstraZeneca is the final decision maker for all the roxadustat commercialization activities, we lack the power criterion while AstraZeneca meets both the power and economic criteria under the Accounting Standards Codification (“ASC”) 810, </w:t>
      </w:r>
      <w:r>
        <w:rPr>
          <w:rFonts w:ascii="Times New Roman" w:hAnsi="Times New Roman"/>
          <w:b w:val="false"/>
          <w:i/>
          <w:caps w:val="false"/>
          <w:smallCaps w:val="false"/>
          <w:sz w:val="20"/>
        </w:rPr>
        <w:t>Consolidation</w:t>
      </w:r>
      <w:r>
        <w:rPr>
          <w:rFonts w:ascii="Times New Roman" w:hAnsi="Times New Roman"/>
          <w:b w:val="false"/>
          <w:i w:val="false"/>
          <w:caps w:val="false"/>
          <w:smallCaps w:val="false"/>
          <w:sz w:val="20"/>
        </w:rPr>
        <w:t xml:space="preserve">, to direct the activities of Falikang that most significantly impact its performance. Therefore, we are not the primary beneficiary of Falikang. As a result, we account for our investment in Falikang under the equity method, and Falikang is not consolidated into our consolidated financial statements. In addition, we recognized our proportionate share of the reported profits or losses of Falikang, as other income (loss) in the consolidated statement of operations, and as an adjustment to investment in unconsolidated subsidiary in the consolidated balance sheet. Falikang has not incurred material profit or loss to date. See Note 4, </w:t>
      </w:r>
      <w:r>
        <w:rPr>
          <w:rFonts w:ascii="Times New Roman" w:hAnsi="Times New Roman"/>
          <w:b w:val="false"/>
          <w:i/>
          <w:caps w:val="false"/>
          <w:smallCaps w:val="false"/>
          <w:sz w:val="20"/>
        </w:rPr>
        <w:t>Equity method investment - Variable Interest Entity</w:t>
      </w:r>
      <w:r>
        <w:rPr>
          <w:rFonts w:ascii="Times New Roman" w:hAnsi="Times New Roman"/>
          <w:b w:val="false"/>
          <w:i w:val="false"/>
          <w:caps w:val="false"/>
          <w:smallCaps w:val="false"/>
          <w:sz w:val="20"/>
        </w:rPr>
        <w:t>, to the consolidated financial statements for details.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China Amendment, the interim period is defined as the period from April 1, 2020 to the time when Falikang is fully operational. Falikang became fully operational in January 2021. The calculation for profit or loss share related to sales of roxadustat in China has changed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the interim period during the year ended December 31, 2020 primarily includes the following activities: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Co-promotion expenses: The China Amendment revised the payment arrangements and calculation of the historical unpaid co-promotion expenses to AstraZeneca for its sales and marketing efforts associated with the commercial sales for roxadustat in China since the product launch. Under the China Amendment, a portion of the historical unpaid co-promotion expenses was adjusted to reduce the amount owed by FibroGen Beijing and the current period co-promotion expenses are capped at a percentage of net roxadustat sales in China. As a result, in the third quarter of 2020, we reversed approximately $84.4 million of previously accrued co-promotion expenses payable, which was recorded as a reduction to selling, general and administrative expenses, where these expenses were initially recorded during the periods from the initiation of commercial activities in the first quarter of 2019 to the second quarter of 2020. Under the China Amendment, the co-promotion expenses for the years ended December 31, 2021 and 2020, capped at a percentage of net roxadustat sales in China, were $4.7 million and $27.2 million, respectively, included in the selling, general and administrative expenses.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Profit share: Profit/loss share between FibroGen Beijing and AstraZeneca is based on a calculation of the current period net roxadustat sales in China and deductible expenses pursuant to the China Agreement. Based on the calculation revised under the China Amendment, profit was achieved during the third and fourth quarter of 2020. As a result, we recorded a profit share liability of $7.9 million and $7.0 million to AstraZeneca as of December 31, 2021 and 2020, respectively, in the accrued and other current liabilities, which correspondingly reduced the deferred revenue related to the performance obligation in accordance with the China Agreement.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Falikang became fully operational in January 2021, substantially all direct roxadustat product sales to distributors in China are made by Falikang, while FibroGen Beijing continues to sell roxadustat product directly in a few provinces in China. FibroGen Beijing manufactures and supplies commercial product to Falikang based on a gross transaction price, which is adjusted for the estimated profit share. Revenue is recognized at a point in time when control of roxadustat commercial product is transferred to Falikang. For our direct sales of commercial drug product, revenue is recognized when control of the promised good is transferred to the customer in an amount that reflects the consideration that we expect to be entitled to in exchange for the product. During the year ended December 31, 2021, we recognized $35.6 million of net product revenue from the sales to Falikang, and $12.1 million of net product revenue from sales directly to distributors in a few provinces in China, as described in details under </w:t>
      </w:r>
      <w:r>
        <w:rPr>
          <w:rFonts w:ascii="Times New Roman" w:hAnsi="Times New Roman"/>
          <w:b w:val="false"/>
          <w:i/>
          <w:caps w:val="false"/>
          <w:smallCaps w:val="false"/>
          <w:sz w:val="20"/>
        </w:rPr>
        <w:t>Product Revenue, Net</w:t>
      </w:r>
      <w:r>
        <w:rPr>
          <w:rFonts w:ascii="Times New Roman" w:hAnsi="Times New Roman"/>
          <w:b w:val="false"/>
          <w:i w:val="false"/>
          <w:caps w:val="false"/>
          <w:smallCaps w:val="false"/>
          <w:sz w:val="20"/>
        </w:rPr>
        <w:t xml:space="preserve"> section below.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AstraZeneca now bills the co-promotion expenses to Falikang and to FibroGen Beijing, respectively, for its services provided to the respective entity. Development costs continue to be shared 50/50 between the Parties.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FibroGen, Inc. and AstraZeneca concurrently amended the U.S./RoW Agreement to reflect minor changes in the governance structure under the China Agreement.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Additional Information Related to Collaboration Agreements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Of the $1.1 billion in development and regulatory milestones payable in the aggregate under our Astellas and AstraZeneca collaboration agreements, $425.0 million is payable upon achievement of milestones relating to the submission and approval of roxadustat in dialysis-dependent CKD and non-dialysis-dependent CKD in the U.S. and Europe.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more detailed discussions on the accounting for these agreements, See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xml:space="preserve"> to the consolidated financial statements.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cash consideration received through December 31, 2021 and potential cash consideration for upfront payments and milestone payments under our collaboration agreements are as follows: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1627"/>
        <w:gridCol w:w="60"/>
        <w:gridCol w:w="421"/>
        <w:gridCol w:w="2853"/>
        <w:gridCol w:w="60"/>
        <w:gridCol w:w="60"/>
        <w:gridCol w:w="245"/>
        <w:gridCol w:w="1663"/>
        <w:gridCol w:w="60"/>
        <w:gridCol w:w="60"/>
        <w:gridCol w:w="388"/>
        <w:gridCol w:w="2644"/>
        <w:gridCol w:w="64"/>
      </w:tblGrid>
      <w:tr>
        <w:trPr/>
        <w:tc>
          <w:tcPr>
            <w:tcW w:w="1627"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32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Received for Upfront Payments and Milestone Payments</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Through</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90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Additional</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Potential</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Payment for Milestones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3032"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Potential</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Payments for Upfront Payments and Milestones</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7"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454" w:type="dxa"/>
            <w:gridSpan w:val="1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w:t>
            </w:r>
          </w:p>
        </w:tc>
        <w:tc>
          <w:tcPr>
            <w:tcW w:w="64"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1627"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Astellas--related-party:</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421"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853"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663"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388"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644"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1627"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Japan Agreement</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42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28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105,093</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67,500</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38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26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172,593</w:t>
            </w:r>
          </w:p>
        </w:tc>
        <w:tc>
          <w:tcPr>
            <w:tcW w:w="64"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1627"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Europe Agreement</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42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5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660,000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24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85,000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388"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64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745,000</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r>
      <w:tr>
        <w:trPr/>
        <w:tc>
          <w:tcPr>
            <w:tcW w:w="1627"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Astellas</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42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5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765,093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24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152,500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38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64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917,593</w:t>
            </w:r>
          </w:p>
        </w:tc>
        <w:tc>
          <w:tcPr>
            <w:tcW w:w="64"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1627"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AstraZeneca:</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421"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853"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663"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388"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644"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1627"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 RoW Agreement</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421"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8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439,000</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810,000</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388"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6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1,249,000</w:t>
            </w:r>
          </w:p>
        </w:tc>
        <w:tc>
          <w:tcPr>
            <w:tcW w:w="64"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1627"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China Agreement</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421"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85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77,200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24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66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299,500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388"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64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376,700</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r>
      <w:tr>
        <w:trPr/>
        <w:tc>
          <w:tcPr>
            <w:tcW w:w="1627" w:type="dxa"/>
            <w:tcBorders>
              <w:bottom w:val="sing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AstraZeneca</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42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rPr>
            </w:pPr>
            <w:r>
              <w:rPr>
                <w:caps w:val="false"/>
                <w:smallCaps w:val="false"/>
              </w:rPr>
              <w:t> </w:t>
            </w:r>
          </w:p>
        </w:tc>
        <w:tc>
          <w:tcPr>
            <w:tcW w:w="285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516,200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2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rPr>
            </w:pPr>
            <w:r>
              <w:rPr>
                <w:caps w:val="false"/>
                <w:smallCaps w:val="false"/>
              </w:rPr>
              <w:t> </w:t>
            </w:r>
          </w:p>
        </w:tc>
        <w:tc>
          <w:tcPr>
            <w:tcW w:w="16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1,109,500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3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rPr>
            </w:pPr>
            <w:r>
              <w:rPr>
                <w:caps w:val="false"/>
                <w:smallCaps w:val="false"/>
              </w:rPr>
              <w:t> </w:t>
            </w:r>
          </w:p>
        </w:tc>
        <w:tc>
          <w:tcPr>
            <w:tcW w:w="264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1,625,700</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r>
      <w:tr>
        <w:trPr/>
        <w:tc>
          <w:tcPr>
            <w:tcW w:w="1627" w:type="dxa"/>
            <w:tcBorders>
              <w:bottom w:val="doub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42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8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1,281,293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2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6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1,262,000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3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264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2,543,293</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above table does not include development cost reimbursement, transfer price payments, and royalties and profit share under our existing collaboration agreements. These collaboration agreements also provide for reimbursement of certain fully burdened research and development costs as well as direct out of pocket expenses.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Revenue</w:t>
      </w:r>
    </w:p>
    <w:p>
      <w:pPr>
        <w:pStyle w:val="TextBody"/>
        <w:spacing w:before="0" w:after="0"/>
        <w:rPr/>
      </w:pPr>
      <w:r>
        <w:rPr/>
        <w:t> </w:t>
      </w:r>
    </w:p>
    <w:tbl>
      <w:tblPr>
        <w:tblW w:w="7643" w:type="dxa"/>
        <w:jc w:val="left"/>
        <w:tblInd w:w="0" w:type="dxa"/>
        <w:tblCellMar>
          <w:top w:w="0" w:type="dxa"/>
          <w:left w:w="0" w:type="dxa"/>
          <w:bottom w:w="28" w:type="dxa"/>
          <w:right w:w="0" w:type="dxa"/>
        </w:tblCellMar>
      </w:tblPr>
      <w:tblGrid>
        <w:gridCol w:w="2615"/>
        <w:gridCol w:w="60"/>
        <w:gridCol w:w="125"/>
        <w:gridCol w:w="695"/>
        <w:gridCol w:w="60"/>
        <w:gridCol w:w="60"/>
        <w:gridCol w:w="125"/>
        <w:gridCol w:w="695"/>
        <w:gridCol w:w="60"/>
        <w:gridCol w:w="60"/>
        <w:gridCol w:w="125"/>
        <w:gridCol w:w="695"/>
        <w:gridCol w:w="80"/>
        <w:gridCol w:w="60"/>
        <w:gridCol w:w="172"/>
        <w:gridCol w:w="956"/>
        <w:gridCol w:w="110"/>
        <w:gridCol w:w="82"/>
        <w:gridCol w:w="82"/>
        <w:gridCol w:w="461"/>
        <w:gridCol w:w="80"/>
        <w:gridCol w:w="185"/>
      </w:tblGrid>
      <w:tr>
        <w:trPr/>
        <w:tc>
          <w:tcPr>
            <w:tcW w:w="261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70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 2021 vs.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261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4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2615"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4968" w:type="dxa"/>
            <w:gridSpan w:val="2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(dollars in thousands)</w:t>
            </w:r>
          </w:p>
        </w:tc>
      </w:tr>
      <w:tr>
        <w:trPr/>
        <w:tc>
          <w:tcPr>
            <w:tcW w:w="261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w:t>
            </w:r>
          </w:p>
        </w:tc>
        <w:tc>
          <w:tcPr>
            <w:tcW w:w="60" w:type="dxa"/>
            <w:tcBorders/>
            <w:shd w:fill="CFF0FC"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1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 revenue</w:t>
            </w:r>
          </w:p>
        </w:tc>
        <w:tc>
          <w:tcPr>
            <w:tcW w:w="60" w:type="dxa"/>
            <w:tcBorders/>
            <w:shd w:fill="FFFFFF"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116,434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177,086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102,111</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61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and other revenue</w:t>
            </w:r>
          </w:p>
        </w:tc>
        <w:tc>
          <w:tcPr>
            <w:tcW w:w="60" w:type="dxa"/>
            <w:tcBorders/>
            <w:shd w:fill="CFF0FC"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80,592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114,115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(10,317</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61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revenue, net</w:t>
            </w:r>
          </w:p>
        </w:tc>
        <w:tc>
          <w:tcPr>
            <w:tcW w:w="60" w:type="dxa"/>
            <w:tcBorders/>
            <w:shd w:fill="FFFFFF"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72,498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(24,860</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615"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Drug product revenue</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8,906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(36,324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(7,944</w:t>
            </w:r>
          </w:p>
        </w:tc>
        <w:tc>
          <w:tcPr>
            <w:tcW w:w="11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615" w:type="dxa"/>
            <w:tcBorders>
              <w:bottom w:val="doub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revenue</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235,309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176,319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256,577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58,990</w:t>
            </w:r>
          </w:p>
        </w:tc>
        <w:tc>
          <w:tcPr>
            <w:tcW w:w="11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1"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revenue to date has been generated substantially from our collaboration agreements with Astellas and AstraZeneca. In addition, we started roxadustat commercial sales in China in 2019.</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 License revenues represented 50%, 8% and 69% of total revenues for the years ended December 31, 2021, 2020 and 2019, respectively.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revenue includes co-development and other development related services. Co-development services are recognized as revenue in the period in which they are billed to our partners, excluding China. For China co-development services, revenue is deferred until we begin to transfer control of the manufactured commercial drug product to AstraZeneca, which commenced in the first quarter of 2021 and is expected to continue through 2028. Other development related services are recognized as revenue over the non-contingent development period based on a proportional performance method. As of December 31, 2021, the estimated future non-contingent development periods range from 30 to 54 months. Other revenues consist of sales of research and development material and have not been material for any of the periods presented. Development and other revenues represented 30%, 46% and 44% of total revenues for the years ended December 31, 2021, 2020 and 2019, respectively.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revenue is recognized when our </w:t>
      </w:r>
      <w:r>
        <w:rPr>
          <w:rFonts w:ascii="Times New Roman" w:hAnsi="Times New Roman"/>
          <w:b w:val="false"/>
          <w:i w:val="false"/>
          <w:caps w:val="false"/>
          <w:smallCaps w:val="false"/>
          <w:sz w:val="20"/>
          <w:highlight w:val="white"/>
        </w:rPr>
        <w:t>customer obtains control of promised goods or services in an amount that reflects the consideration we expect to receive in exchange for those goods or services.</w:t>
      </w:r>
      <w:r>
        <w:rPr>
          <w:rFonts w:ascii="Times New Roman" w:hAnsi="Times New Roman"/>
          <w:b w:val="false"/>
          <w:i w:val="false"/>
          <w:caps w:val="false"/>
          <w:smallCaps w:val="false"/>
          <w:sz w:val="20"/>
        </w:rPr>
        <w:t xml:space="preserve"> Product revenue represented 20%, 41% and 1% of total revenue for the years ended December 31, 2021, 2020 and 2019, respectively.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highlight w:val="white"/>
        </w:rPr>
        <w:t xml:space="preserve">Drug product revenue includes </w:t>
      </w:r>
      <w:r>
        <w:rPr>
          <w:rFonts w:ascii="Times New Roman" w:hAnsi="Times New Roman"/>
          <w:b w:val="false"/>
          <w:i w:val="false"/>
          <w:caps w:val="false"/>
          <w:smallCaps w:val="false"/>
          <w:sz w:val="20"/>
        </w:rPr>
        <w:t>commercial-grade API or bulk drug product sales to AstraZeneca and Astellas in support of pre-commercial preparation prior to the NDA or Marketing Authorization Application approval, and to Astellas for ongoing commercial launch in Japan and Europe. Drug product revenue is recognized when we fulfill the inventory transfer obligations.</w:t>
      </w:r>
      <w:r>
        <w:rPr>
          <w:rFonts w:ascii="Times New Roman" w:hAnsi="Times New Roman"/>
          <w:b w:val="false"/>
          <w:i w:val="false"/>
          <w:caps w:val="false"/>
          <w:smallCaps w:val="false"/>
          <w:sz w:val="20"/>
          <w:highlight w:val="white"/>
        </w:rPr>
        <w:t xml:space="preserve"> </w:t>
      </w:r>
      <w:r>
        <w:rPr>
          <w:rFonts w:ascii="Times New Roman" w:hAnsi="Times New Roman"/>
          <w:b w:val="false"/>
          <w:i w:val="false"/>
          <w:caps w:val="false"/>
          <w:smallCaps w:val="false"/>
          <w:sz w:val="20"/>
        </w:rPr>
        <w:t xml:space="preserve">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w:t>
      </w:r>
      <w:r>
        <w:rPr>
          <w:rFonts w:ascii="Times New Roman" w:hAnsi="Times New Roman"/>
          <w:b w:val="false"/>
          <w:i w:val="false"/>
          <w:caps w:val="false"/>
          <w:smallCaps w:val="false"/>
          <w:sz w:val="20"/>
          <w:highlight w:val="white"/>
        </w:rPr>
        <w:t xml:space="preserve">Drug product </w:t>
      </w:r>
      <w:r>
        <w:rPr>
          <w:rFonts w:ascii="Times New Roman" w:hAnsi="Times New Roman"/>
          <w:b w:val="false"/>
          <w:i w:val="false"/>
          <w:caps w:val="false"/>
          <w:smallCaps w:val="false"/>
          <w:sz w:val="20"/>
        </w:rPr>
        <w:t>revenues represented 0%, 5%, and (14)% of total revenues for the years ended December 31, 2021, 2020 and 2019, respectively.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future, we will continue generating revenue from collaboration agreements in the form of license fees, milestone payments, reimbursements for collaboration services and royalties on product sales, and from product sales. We expect that any revenues we generate will fluctuate from quarter to quarter due to the uncertain timing and amount of such payments and sales.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revenue increased $59.0 million, or 33% for the year ended December 31, 2021 compared to the year ended December 31, 2020 for the reasons discussed in the sections below.</w:t>
      </w:r>
    </w:p>
    <w:p>
      <w:pPr>
        <w:pStyle w:val="TextBody"/>
        <w:spacing w:before="36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License Revenue</w:t>
      </w:r>
    </w:p>
    <w:p>
      <w:pPr>
        <w:pStyle w:val="TextBody"/>
        <w:spacing w:before="0" w:after="0"/>
        <w:rPr/>
      </w:pPr>
      <w:r>
        <w:rPr/>
        <w:t> </w:t>
      </w:r>
    </w:p>
    <w:tbl>
      <w:tblPr>
        <w:tblW w:w="6640" w:type="dxa"/>
        <w:jc w:val="left"/>
        <w:tblInd w:w="0" w:type="dxa"/>
        <w:tblCellMar>
          <w:top w:w="0" w:type="dxa"/>
          <w:left w:w="0" w:type="dxa"/>
          <w:bottom w:w="28" w:type="dxa"/>
          <w:right w:w="0" w:type="dxa"/>
        </w:tblCellMar>
      </w:tblPr>
      <w:tblGrid>
        <w:gridCol w:w="1760"/>
        <w:gridCol w:w="60"/>
        <w:gridCol w:w="125"/>
        <w:gridCol w:w="695"/>
        <w:gridCol w:w="60"/>
        <w:gridCol w:w="60"/>
        <w:gridCol w:w="125"/>
        <w:gridCol w:w="590"/>
        <w:gridCol w:w="60"/>
        <w:gridCol w:w="60"/>
        <w:gridCol w:w="125"/>
        <w:gridCol w:w="695"/>
        <w:gridCol w:w="60"/>
        <w:gridCol w:w="60"/>
        <w:gridCol w:w="174"/>
        <w:gridCol w:w="970"/>
        <w:gridCol w:w="83"/>
        <w:gridCol w:w="83"/>
        <w:gridCol w:w="83"/>
        <w:gridCol w:w="467"/>
        <w:gridCol w:w="60"/>
        <w:gridCol w:w="185"/>
      </w:tblGrid>
      <w:tr>
        <w:trPr/>
        <w:tc>
          <w:tcPr>
            <w:tcW w:w="17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9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 2021 vs.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17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820" w:type="dxa"/>
            <w:gridSpan w:val="2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(dollars in thousands)</w:t>
            </w:r>
          </w:p>
        </w:tc>
      </w:tr>
      <w:tr>
        <w:trPr/>
        <w:tc>
          <w:tcPr>
            <w:tcW w:w="17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License revenue:</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Astellas</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108,434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129,405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94,111</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76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AstraZeneca</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760"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Eluminex</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8,000</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760" w:type="dxa"/>
            <w:tcBorders>
              <w:bottom w:val="double" w:sz="6" w:space="0" w:color="000000"/>
            </w:tcBorders>
            <w:shd w:fill="CFF0FC" w:val="cle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license revenue</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116,434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14,323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177,086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102,111</w:t>
            </w:r>
          </w:p>
        </w:tc>
        <w:tc>
          <w:tcPr>
            <w:tcW w:w="8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7"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License revenue increased $102.1 million, or 713% for the year ended December 31, 2021 compared to the year ended December 31, 2020.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License revenue recognized under our collaboration agreements with Astellas increased $94.1 million, or 657% for the year ended December 31, 2021 compared to the year ended December 31, 2020. License revenue recognized under our collaboration agreements with Astellas for the year ended December 31, 2021 represented the allocated revenue related to a total of $120.0 million regulatory milestones associated with the approval by European Commission of EVRENZO® (roxadustat) for the treatment of adult patients with symptomatic anemia associated with CKD during the third quarter of 2021. License revenue recognized under our collaboration agreements with Astellas for the year ended December 31, 2020 represented the allocated revenue related to a regulatory milestone of $15.0 million associated with the NDA approval in Japan achieved during the fourth quarter of 2020.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 revenue recognized under our license agreement with Eluminex for the year ended December 31, 2021 represented the $8.0 million upfront license payment.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Development and Other Revenue</w:t>
      </w:r>
    </w:p>
    <w:p>
      <w:pPr>
        <w:pStyle w:val="TextBody"/>
        <w:spacing w:before="0" w:after="0"/>
        <w:rPr/>
      </w:pPr>
      <w:r>
        <w:rPr/>
        <w:t> </w:t>
      </w:r>
    </w:p>
    <w:tbl>
      <w:tblPr>
        <w:tblW w:w="7861" w:type="dxa"/>
        <w:jc w:val="left"/>
        <w:tblInd w:w="0" w:type="dxa"/>
        <w:tblCellMar>
          <w:top w:w="0" w:type="dxa"/>
          <w:left w:w="0" w:type="dxa"/>
          <w:bottom w:w="28" w:type="dxa"/>
          <w:right w:w="0" w:type="dxa"/>
        </w:tblCellMar>
      </w:tblPr>
      <w:tblGrid>
        <w:gridCol w:w="3065"/>
        <w:gridCol w:w="60"/>
        <w:gridCol w:w="125"/>
        <w:gridCol w:w="590"/>
        <w:gridCol w:w="60"/>
        <w:gridCol w:w="60"/>
        <w:gridCol w:w="125"/>
        <w:gridCol w:w="590"/>
        <w:gridCol w:w="60"/>
        <w:gridCol w:w="60"/>
        <w:gridCol w:w="125"/>
        <w:gridCol w:w="695"/>
        <w:gridCol w:w="60"/>
        <w:gridCol w:w="60"/>
        <w:gridCol w:w="177"/>
        <w:gridCol w:w="925"/>
        <w:gridCol w:w="113"/>
        <w:gridCol w:w="85"/>
        <w:gridCol w:w="85"/>
        <w:gridCol w:w="476"/>
        <w:gridCol w:w="80"/>
        <w:gridCol w:w="185"/>
      </w:tblGrid>
      <w:tr>
        <w:trPr/>
        <w:tc>
          <w:tcPr>
            <w:tcW w:w="30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49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1"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 2021 vs.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0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1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065"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4736" w:type="dxa"/>
            <w:gridSpan w:val="2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(dollars in thousands)</w:t>
            </w:r>
          </w:p>
        </w:tc>
      </w:tr>
      <w:tr>
        <w:trPr/>
        <w:tc>
          <w:tcPr>
            <w:tcW w:w="30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revenue:</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Astellas</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21,927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19,174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29,394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2,753</w:t>
            </w:r>
          </w:p>
        </w:tc>
        <w:tc>
          <w:tcPr>
            <w:tcW w:w="11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65"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AstraZeneca</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48,345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61,418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84,719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(13,073</w:t>
            </w:r>
          </w:p>
        </w:tc>
        <w:tc>
          <w:tcPr>
            <w:tcW w:w="113"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65"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development revenue</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70,272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80,592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114,113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(10,320</w:t>
            </w:r>
          </w:p>
        </w:tc>
        <w:tc>
          <w:tcPr>
            <w:tcW w:w="11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revenue</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11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65" w:type="dxa"/>
            <w:tcBorders>
              <w:bottom w:val="doub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development and other revenue</w:t>
            </w:r>
          </w:p>
        </w:tc>
        <w:tc>
          <w:tcPr>
            <w:tcW w:w="60" w:type="dxa"/>
            <w:tcBorders>
              <w:bottom w:val="double" w:sz="6" w:space="0" w:color="000000"/>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70,275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80,592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114,115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(10,317</w:t>
            </w:r>
          </w:p>
        </w:tc>
        <w:tc>
          <w:tcPr>
            <w:tcW w:w="113"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6"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Development and other revenue decreased $10.3 million, or 13% for the year ended December 31, 2021 compared to the year ended December 31, 2020.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revenue recognized under our collaboration agreements with Astellas increased $2.8 million, or 14% for the year ended December 31, 2021 compared to the year ended December 31, 2020. Development revenue recognized under our collaboration agreements with Astellas for the year ended December 31, 2021 included the allocated revenue of $11.6 million related to the above-mentioned $120.0 million associated with the approvals in the European Union achieved during the third quarter of 2021. Development revenue recognized under our collaboration agreements with Astellas for the year ended December 31, 2020 included the allocated revenue of $0.7 million related to the above-mentioned $15.0 million associated with the NDA approval in Japan achieved during the fourth quarter of 2020. The increases were partially offset by the decrease in co-development billings related to the development of roxadustat under our collaboration agreements with Astellas for the year ended December 31, 2021, as a result of the substantial completion of Phase 3 trials for roxadustat.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revenue recognized under our collaboration agreements with AstraZeneca decreased $13.1 million, or 21% for the year ended December 31, 2021 compared to the year ended December 31, 2020, primarily due to the extension of the estimated future non-contingent development period when we were notified of the FDA Cardiovascular and Renal Drugs Advisory Committee meeting to review the NDA for roxadustat, and decrease in CKD related co-development billings in the U.S.</w:t>
      </w:r>
    </w:p>
    <w:p>
      <w:pPr>
        <w:pStyle w:val="TextBody"/>
        <w:spacing w:before="36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Product Revenue, Net</w:t>
      </w:r>
    </w:p>
    <w:p>
      <w:pPr>
        <w:pStyle w:val="TextBody"/>
        <w:spacing w:before="0" w:after="0"/>
        <w:rPr/>
      </w:pPr>
      <w:r>
        <w:rPr/>
        <w:t> </w:t>
      </w:r>
    </w:p>
    <w:tbl>
      <w:tblPr>
        <w:tblW w:w="7921" w:type="dxa"/>
        <w:jc w:val="left"/>
        <w:tblInd w:w="0" w:type="dxa"/>
        <w:tblCellMar>
          <w:top w:w="0" w:type="dxa"/>
          <w:left w:w="0" w:type="dxa"/>
          <w:bottom w:w="28" w:type="dxa"/>
          <w:right w:w="0" w:type="dxa"/>
        </w:tblCellMar>
      </w:tblPr>
      <w:tblGrid>
        <w:gridCol w:w="3215"/>
        <w:gridCol w:w="60"/>
        <w:gridCol w:w="125"/>
        <w:gridCol w:w="650"/>
        <w:gridCol w:w="80"/>
        <w:gridCol w:w="60"/>
        <w:gridCol w:w="125"/>
        <w:gridCol w:w="590"/>
        <w:gridCol w:w="80"/>
        <w:gridCol w:w="60"/>
        <w:gridCol w:w="125"/>
        <w:gridCol w:w="485"/>
        <w:gridCol w:w="80"/>
        <w:gridCol w:w="60"/>
        <w:gridCol w:w="170"/>
        <w:gridCol w:w="884"/>
        <w:gridCol w:w="108"/>
        <w:gridCol w:w="81"/>
        <w:gridCol w:w="81"/>
        <w:gridCol w:w="537"/>
        <w:gridCol w:w="80"/>
        <w:gridCol w:w="185"/>
      </w:tblGrid>
      <w:tr>
        <w:trPr/>
        <w:tc>
          <w:tcPr>
            <w:tcW w:w="3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8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61"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 2021 vs.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5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21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46" w:type="dxa"/>
            <w:gridSpan w:val="2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(dollars in thousands)</w:t>
            </w:r>
          </w:p>
        </w:tc>
      </w:tr>
      <w:tr>
        <w:trPr/>
        <w:tc>
          <w:tcPr>
            <w:tcW w:w="321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Direct Sales:</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revenue</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89,027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(75,300</w:t>
            </w:r>
          </w:p>
        </w:tc>
        <w:tc>
          <w:tcPr>
            <w:tcW w:w="10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Price adjustment</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(982</w:t>
            </w:r>
          </w:p>
        </w:tc>
        <w:tc>
          <w:tcPr>
            <w:tcW w:w="10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Non-key account hospital listing award</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(9,325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9,420</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Contractual sales rebate</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5,357</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discounts and rebates</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902</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bottom w:val="single" w:sz="6" w:space="0" w:color="000000"/>
            </w:tcBorders>
            <w:shd w:fill="CFF0FC" w:val="cle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returns</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w:t>
            </w:r>
          </w:p>
        </w:tc>
        <w:tc>
          <w:tcPr>
            <w:tcW w:w="10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bottom w:val="single" w:sz="6" w:space="0" w:color="000000"/>
            </w:tcBorders>
            <w:shd w:fill="FFFFFF"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 sales revenue, net</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12,070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72,498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(60,428</w:t>
            </w:r>
          </w:p>
        </w:tc>
        <w:tc>
          <w:tcPr>
            <w:tcW w:w="108"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CFF0FC"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Sales to Falikang:</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transaction price</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97,531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97,531</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bottom w:val="single" w:sz="6" w:space="0" w:color="000000"/>
            </w:tcBorders>
            <w:shd w:fill="FFFFFF" w:val="cle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Profit share</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(34,759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(34,759</w:t>
            </w:r>
          </w:p>
        </w:tc>
        <w:tc>
          <w:tcPr>
            <w:tcW w:w="108"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transaction price</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62,772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62,772</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in deferred revenue</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(27,204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(27,204</w:t>
            </w:r>
          </w:p>
        </w:tc>
        <w:tc>
          <w:tcPr>
            <w:tcW w:w="108"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bottom w:val="single" w:sz="6" w:space="0" w:color="000000"/>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to Falikang revenue, net</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35,568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35,568</w:t>
            </w:r>
          </w:p>
        </w:tc>
        <w:tc>
          <w:tcPr>
            <w:tcW w:w="10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bottom w:val="doub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product revenue, net</w:t>
            </w:r>
          </w:p>
        </w:tc>
        <w:tc>
          <w:tcPr>
            <w:tcW w:w="60" w:type="dxa"/>
            <w:tcBorders>
              <w:bottom w:val="doub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47,638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72,498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(24,860</w:t>
            </w:r>
          </w:p>
        </w:tc>
        <w:tc>
          <w:tcPr>
            <w:tcW w:w="108"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January 2021, Falikang became fully operational and substantially all direct product sales to distributors in China were made by Falikang, while FibroGen Beijing continued to sell product directly in a few provinces in China.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revenue from direct sales to distributors is recognized in an amount that reflects the consideration that we expect to be entitled to in exchange for those products, net of sales rebates and discounts. The gross product revenue from direct sales to distributors decreased $75.3 million, or 85% for the year ended December 31, 2021 compared to the year ended December 31, 2020 due to the above-mentioned transition of direct product sales to distributors to Falikang. The total discounts and rebates were $1.7 million and $16.4 million for the years ended December 31, 2021 and 2020, respectively. The discounts and rebates for the year ended December 31, 2021 included $1.0 million of price adjustments recorded based on government-listed price guidance and estimated channel inventory levels. The discounts and rebates for the year ended December 31, 2020 included $9.3 million of non-key account hospital listing award related to accounting modifications of non-key account hospital listing award, as a result of the amendment to the agreement with our pharmaceutical distributors in the second quarter of 2020. In addition, the discounts and rebates consisted of the contractual sales rebates that were calculated based on the stated percentage of gross sales by each distributor in the distribution agreement. All other rebates and discounts, including sales return allowance were immaterial for the periods presented.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FibroGen Beijing manufactures and supplies commercial product to Falikang based on an agreed upon transfer price, which includes a gross transfer price, net of a calculated profit share. Revenue is recognized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 During the year ended December 31, 2021, the gross transfer price was $97.5 million, net of the calculated profit share of $34.8 million. Following updates to our estimates, we deferred $27.2 million from the sales to Falikang for year ended December 31, 2021, which was included in the related deferred revenue of the China performance obligation.</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Drug Product Revenue</w:t>
      </w:r>
    </w:p>
    <w:tbl>
      <w:tblPr>
        <w:tblW w:w="6942" w:type="dxa"/>
        <w:jc w:val="left"/>
        <w:tblInd w:w="0" w:type="dxa"/>
        <w:tblCellMar>
          <w:top w:w="0" w:type="dxa"/>
          <w:left w:w="0" w:type="dxa"/>
          <w:bottom w:w="28" w:type="dxa"/>
          <w:right w:w="0" w:type="dxa"/>
        </w:tblCellMar>
      </w:tblPr>
      <w:tblGrid>
        <w:gridCol w:w="2300"/>
        <w:gridCol w:w="60"/>
        <w:gridCol w:w="125"/>
        <w:gridCol w:w="545"/>
        <w:gridCol w:w="80"/>
        <w:gridCol w:w="60"/>
        <w:gridCol w:w="125"/>
        <w:gridCol w:w="485"/>
        <w:gridCol w:w="60"/>
        <w:gridCol w:w="60"/>
        <w:gridCol w:w="125"/>
        <w:gridCol w:w="650"/>
        <w:gridCol w:w="80"/>
        <w:gridCol w:w="60"/>
        <w:gridCol w:w="184"/>
        <w:gridCol w:w="803"/>
        <w:gridCol w:w="117"/>
        <w:gridCol w:w="88"/>
        <w:gridCol w:w="88"/>
        <w:gridCol w:w="582"/>
        <w:gridCol w:w="80"/>
        <w:gridCol w:w="185"/>
      </w:tblGrid>
      <w:tr>
        <w:trPr/>
        <w:tc>
          <w:tcPr>
            <w:tcW w:w="23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31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86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 2021 vs.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98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4582" w:type="dxa"/>
            <w:gridSpan w:val="2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(dollars in thousands)</w:t>
            </w:r>
          </w:p>
        </w:tc>
      </w:tr>
      <w:tr>
        <w:trPr/>
        <w:tc>
          <w:tcPr>
            <w:tcW w:w="230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Drug product revenue:</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45"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485"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50"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03"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82"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230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Astellas</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3,186</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4,281</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(36,324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(1,095</w:t>
            </w:r>
          </w:p>
        </w:tc>
        <w:tc>
          <w:tcPr>
            <w:tcW w:w="11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8"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8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30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AstraZeneca</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5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(2,224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4,625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caps w:val="false"/>
                <w:smallCaps w:val="false"/>
              </w:rPr>
            </w:pPr>
            <w:r>
              <w:rPr>
                <w:caps w:val="false"/>
                <w:smallCaps w:val="false"/>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80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(6,849</w:t>
            </w:r>
          </w:p>
        </w:tc>
        <w:tc>
          <w:tcPr>
            <w:tcW w:w="11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58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300" w:type="dxa"/>
            <w:tcBorders>
              <w:bottom w:val="doub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drug product revenue:</w:t>
            </w:r>
          </w:p>
        </w:tc>
        <w:tc>
          <w:tcPr>
            <w:tcW w:w="60" w:type="dxa"/>
            <w:tcBorders>
              <w:bottom w:val="double" w:sz="6" w:space="0" w:color="000000"/>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962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8,906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(36,324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(7,944</w:t>
            </w:r>
          </w:p>
        </w:tc>
        <w:tc>
          <w:tcPr>
            <w:tcW w:w="117"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8"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88"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582"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Total drug product revenue recognized under the Astellas agreements was $3.2 million and $4.3 million for the years ended December 31, 2021 and 2020, respectively.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years ended December 31, 2021 and 2020, we updated our estimate of variable consideration related to the API shipments fulfilled under the terms of the Japan Amendment with Astellas in 2018 and 2020, and recorded an adjustment to the drug product revenue of $2.1 million and $(4.0) million for the years ended December 31, 2021 and 2020, respectively. Specifically, the change in estimated variable consideration was based on the API held by Astellas at the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fourth quarter of 2021, we transferred bulk drug product for commercial purposes under the terms of the Europe Agreement and the EU Supply Agreement with Astellas, and recognized the related fully burdened manufacturing costs of $1.0 million as drug product revenue, and recorded $8.3 million as deferred revenue as of December 31, 2021, due to a high degree of uncertainty associated with the final consideration.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first quarter of 2021, we transferred bulk drug product from process validation supplies for commercial purposes under the terms of the Europe Agreement and the EU Supply Agreement with Astellas. We recorded the consideration of $11.8 million from this inventory transfer as deferred revenue as of December 31, 2021, due to a high degree of uncertainty associated with the final consideration.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fourth quarter of 2021, we updated our estimate of variable consideration related to the bulk drug product inventory transfers fulfilled under the terms of the Europe Agreement and the EU Supply Agreement with Astellas, and recorded an unbilled contract asset of $49.8 million, which was offset by related deferred revenue under the Europe Agreement and EU Supply Agreement. Specifically, the change in estimated variable consideration was based on the bulk drug product held by Astellas at the period end, adjusted to reflect the changes in the estimated transfer price, among others.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fourth quarter of 2020, we transferred bulk drug product from process validation supplies for commercial purposes under the terms of the Europe Agreement with Astellas. As a result, we recorded $6.0 million as deferred revenue as of December 31, 2020, due to a high degree of uncertainty associated with the final consideration. We recognized royalty revenue of $0.2 million from this deferred revenue during the year ended December 31, 2021. The remainder of the deferred revenue will be recognized as and when uncertainty is resolved.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second quarter of 2020, we fulfilled the shipment obligations under the terms of the Japan Amendment with Astellas, and recognized related drug product revenue of $8.2 million in the same period.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drug product revenue recognized under the AstraZeneca agreements was $(2.2) million and $4.6 million for the years ended December 31, 2021 and 2020, respectively.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first half of 2021, we shipped bulk drug product to AstraZeneca as commercial supply under the terms of the Master Supply Agreement. Based on the above-mentioned FDA CRL in August 2021, we evaluated the impact of these developments in revising our estimates of variable consideration associated with drug product revenue. As a result, we updated the estimated transaction price for these shipments, and recorded $11.2 million as deferred revenue as of December 31, 2021.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first three quarters of 2020, we shipped process validation product to AstraZeneca as pre-commercial supply under the U.S./RoW Agreement and recorded the related drug product revenue of $4.6 million during the year ended December 31, 2020.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Operating Costs and Expenses</w:t>
      </w:r>
    </w:p>
    <w:p>
      <w:pPr>
        <w:pStyle w:val="TextBody"/>
        <w:spacing w:before="0" w:after="0"/>
        <w:rPr/>
      </w:pPr>
      <w:r>
        <w:rPr/>
        <w:t> </w:t>
      </w:r>
    </w:p>
    <w:tbl>
      <w:tblPr>
        <w:tblW w:w="7840" w:type="dxa"/>
        <w:jc w:val="left"/>
        <w:tblInd w:w="0" w:type="dxa"/>
        <w:tblCellMar>
          <w:top w:w="0" w:type="dxa"/>
          <w:left w:w="0" w:type="dxa"/>
          <w:bottom w:w="28" w:type="dxa"/>
          <w:right w:w="0" w:type="dxa"/>
        </w:tblCellMar>
      </w:tblPr>
      <w:tblGrid>
        <w:gridCol w:w="2855"/>
        <w:gridCol w:w="60"/>
        <w:gridCol w:w="125"/>
        <w:gridCol w:w="695"/>
        <w:gridCol w:w="60"/>
        <w:gridCol w:w="60"/>
        <w:gridCol w:w="125"/>
        <w:gridCol w:w="695"/>
        <w:gridCol w:w="60"/>
        <w:gridCol w:w="60"/>
        <w:gridCol w:w="125"/>
        <w:gridCol w:w="695"/>
        <w:gridCol w:w="60"/>
        <w:gridCol w:w="60"/>
        <w:gridCol w:w="189"/>
        <w:gridCol w:w="1053"/>
        <w:gridCol w:w="90"/>
        <w:gridCol w:w="90"/>
        <w:gridCol w:w="90"/>
        <w:gridCol w:w="348"/>
        <w:gridCol w:w="60"/>
        <w:gridCol w:w="185"/>
      </w:tblGrid>
      <w:tr>
        <w:trPr/>
        <w:tc>
          <w:tcPr>
            <w:tcW w:w="28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70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86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 2021 vs.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28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24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43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2855"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4925" w:type="dxa"/>
            <w:gridSpan w:val="2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(dollars in thousands)</w:t>
            </w:r>
          </w:p>
        </w:tc>
      </w:tr>
      <w:tr>
        <w:trPr/>
        <w:tc>
          <w:tcPr>
            <w:tcW w:w="285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costs and expenses</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9"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053"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48"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285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 of goods sold</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12,871</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8,869</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1,147</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4,002</w:t>
            </w:r>
          </w:p>
        </w:tc>
        <w:tc>
          <w:tcPr>
            <w:tcW w:w="9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4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85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387,043</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252,924</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209,265</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189"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0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134,119</w:t>
            </w:r>
          </w:p>
        </w:tc>
        <w:tc>
          <w:tcPr>
            <w:tcW w:w="9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4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855"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Selling, general and administrative</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123,925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106,406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135,479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9"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05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17,519</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34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855" w:type="dxa"/>
            <w:tcBorders>
              <w:bottom w:val="double" w:sz="6" w:space="0" w:color="000000"/>
            </w:tcBorders>
            <w:shd w:fill="CFF0FC" w:val="clear"/>
            <w:vAlign w:val="bottom"/>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operating costs and expenses</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523,839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368,199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345,891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155,640</w:t>
            </w:r>
          </w:p>
        </w:tc>
        <w:tc>
          <w:tcPr>
            <w:tcW w:w="9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9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9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34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operating expenses increased $155.6 million, or 42%, for the year ended December 31, 2021 compared to the year ended December 31, 2020, for the reasons discussed in the sections below.</w:t>
      </w:r>
    </w:p>
    <w:p>
      <w:pPr>
        <w:pStyle w:val="TextBody"/>
        <w:spacing w:before="36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Cost of goods sold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 of goods sold increased $4.0 million, or 45%, for the year ended December 31, 2021 compared to the year ended December 31, 2020.</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$9.3 million and $8.5 million for the years ended December 31, 2021 and 2020, respectively, due to the overall increase in the gross sales, offset by lower unit cost resulting from higher production volume, and lower storage and shipping costs with sales to distributors being transitioned to Falikang that started in January 2021.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Cost of goods sold associated with the roxadustat </w:t>
      </w:r>
      <w:r>
        <w:rPr>
          <w:rFonts w:ascii="Times New Roman" w:hAnsi="Times New Roman"/>
          <w:b w:val="false"/>
          <w:i w:val="false"/>
          <w:caps w:val="false"/>
          <w:smallCaps w:val="false"/>
          <w:sz w:val="20"/>
          <w:highlight w:val="white"/>
        </w:rPr>
        <w:t xml:space="preserve">drug product </w:t>
      </w:r>
      <w:r>
        <w:rPr>
          <w:rFonts w:ascii="Times New Roman" w:hAnsi="Times New Roman"/>
          <w:b w:val="false"/>
          <w:i w:val="false"/>
          <w:caps w:val="false"/>
          <w:smallCaps w:val="false"/>
          <w:sz w:val="20"/>
        </w:rPr>
        <w:t>revenue in the U.S. was $3.6 million and $0.4 million for the years ended December 31, 2021 and 2020, respectively, due to increased drug product shipments during the current year. W</w:t>
      </w:r>
      <w:r>
        <w:rPr>
          <w:rFonts w:ascii="Times New Roman" w:hAnsi="Times New Roman"/>
          <w:b w:val="false"/>
          <w:i w:val="false"/>
          <w:caps w:val="false"/>
          <w:smallCaps w:val="false"/>
          <w:sz w:val="20"/>
          <w:highlight w:val="white"/>
        </w:rPr>
        <w:t>e expect costs of goods sold to increase in relation to drug product revenue as we deplete inventories that we had expensed prior to receiving regulatory approvals.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94</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Research and Development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 consist of third-party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expenses also include in-process research and development assets that have no alternative future use other than in a particular research and development project. Research and development costs are expensed as incurred. Costs for certain development activities are recognized based on an evaluation of the progress to completion of specific tasks using information and data provided to us by our vendors and our clinical sites. Following the CRL for roxadustat in the U.S., we are implementing a cost reduction effort, and as a result, research and development expenses may decrease in certain areas in the near future compared to our previous internal plans.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research and development expenses incurred during the years ended December 31, 2021, 2020 and 2019:</w:t>
      </w:r>
    </w:p>
    <w:p>
      <w:pPr>
        <w:pStyle w:val="TextBody"/>
        <w:spacing w:before="0" w:after="0"/>
        <w:rPr/>
      </w:pPr>
      <w:r>
        <w:rPr/>
        <w:t> </w:t>
      </w:r>
    </w:p>
    <w:tbl>
      <w:tblPr>
        <w:tblW w:w="6519" w:type="dxa"/>
        <w:jc w:val="left"/>
        <w:tblInd w:w="0" w:type="dxa"/>
        <w:tblCellMar>
          <w:top w:w="0" w:type="dxa"/>
          <w:left w:w="0" w:type="dxa"/>
          <w:bottom w:w="28" w:type="dxa"/>
          <w:right w:w="0" w:type="dxa"/>
        </w:tblCellMar>
      </w:tblPr>
      <w:tblGrid>
        <w:gridCol w:w="1648"/>
        <w:gridCol w:w="61"/>
        <w:gridCol w:w="1925"/>
        <w:gridCol w:w="60"/>
        <w:gridCol w:w="125"/>
        <w:gridCol w:w="695"/>
        <w:gridCol w:w="60"/>
        <w:gridCol w:w="125"/>
        <w:gridCol w:w="125"/>
        <w:gridCol w:w="695"/>
        <w:gridCol w:w="60"/>
        <w:gridCol w:w="60"/>
        <w:gridCol w:w="125"/>
        <w:gridCol w:w="695"/>
        <w:gridCol w:w="60"/>
      </w:tblGrid>
      <w:tr>
        <w:trPr/>
        <w:tc>
          <w:tcPr>
            <w:tcW w:w="1648"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1"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92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76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1648"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Product Candidate</w:t>
            </w:r>
          </w:p>
        </w:tc>
        <w:tc>
          <w:tcPr>
            <w:tcW w:w="61"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9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Phase of Development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r>
      <w:tr>
        <w:trPr/>
        <w:tc>
          <w:tcPr>
            <w:tcW w:w="164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1"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192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2765" w:type="dxa"/>
            <w:gridSpan w:val="1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164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Roxadustat</w:t>
            </w:r>
          </w:p>
        </w:tc>
        <w:tc>
          <w:tcPr>
            <w:tcW w:w="61"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9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Phase 3</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97,245</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122,962</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125,429</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164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Pamrevlumab</w:t>
            </w:r>
          </w:p>
        </w:tc>
        <w:tc>
          <w:tcPr>
            <w:tcW w:w="61"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9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Phase 2/3</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188,534</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111,728</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58,750</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3634" w:type="dxa"/>
            <w:gridSpan w:val="3"/>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research and development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101,264</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18,234</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25,086</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3634" w:type="dxa"/>
            <w:gridSpan w:val="3"/>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Total research and development expenses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387,043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252,924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209,265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pBdr>
          <w:bottom w:val="single" w:sz="8" w:space="1" w:color="000000"/>
        </w:pBdr>
        <w:spacing w:before="0" w:after="0"/>
        <w:rPr/>
      </w:pPr>
      <w:r>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 </w:t>
            </w:r>
          </w:p>
        </w:tc>
        <w:tc>
          <w:tcPr>
            <w:tcW w:w="10063"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 research and development expenses included $60.0 million of acquired in-process research and development assets related to upfront payments to HiFiBiO. See Note 2, </w:t>
            </w:r>
            <w:r>
              <w:rPr>
                <w:rFonts w:ascii="Times New Roman" w:hAnsi="Times New Roman"/>
                <w:b w:val="false"/>
                <w:i/>
                <w:caps w:val="false"/>
                <w:smallCaps w:val="false"/>
                <w:sz w:val="20"/>
              </w:rPr>
              <w:t>Summary of Significant Accounting Policies - License Acquisition Agreement</w:t>
            </w:r>
            <w:r>
              <w:rPr>
                <w:rFonts w:ascii="Times New Roman" w:hAnsi="Times New Roman"/>
                <w:b w:val="false"/>
                <w:i w:val="false"/>
                <w:caps w:val="false"/>
                <w:smallCaps w:val="false"/>
                <w:sz w:val="20"/>
              </w:rPr>
              <w:t>, to the consolidated financial statements for details.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 increased $134.1 million, or 53%, for the year ended December 31, 2021 compared to the year ended December 31, 2020 as a result of the net effect of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Expense of a total of $60.0 million for acquired in-process research and development assets from HiFiBiO;</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Increase of $38.4 million in clinical trials costs, primarily due to Phase 3 trials for pamrevlumab and roxadustat post-approval safety studies in China;</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Increase of $24.4 million in drug development expenses associated with drug substance and drug product manufacturing activities primarily related to pamrevlumab;</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Increase of $9.1 million in employee-related costs primarily due to higher headcount in the research and development functions in China and higher compensation levels, and higher severance expenses associated with employee departures and cost reduction effort;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Increase of $5.5 million in outside services due to higher consulting expenses related to roxadustat in China and higher scientific contract activities related to pamrevlumab Phase 3;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Decrease of $5.7 million in stock-based compensation expense, primarily due to cancellation related to departure of certain senior level employees and lower stock price and accelerated recognition due to departure of certain executive employees in the prior year period that did not recur in 2021.</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95</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Selling, General and Administrative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started to incur sales and marketing expenses in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w:t>
      </w:r>
      <w:r>
        <w:rPr>
          <w:rFonts w:ascii="Times New Roman" w:hAnsi="Times New Roman"/>
          <w:b w:val="false"/>
          <w:i w:val="false"/>
          <w:caps w:val="false"/>
          <w:smallCaps w:val="false"/>
          <w:color w:val="000000"/>
          <w:sz w:val="20"/>
        </w:rPr>
        <w:t>expenses associated with our commercialization efforts in China, re</w:t>
      </w:r>
      <w:r>
        <w:rPr>
          <w:rFonts w:ascii="Times New Roman" w:hAnsi="Times New Roman"/>
          <w:b w:val="false"/>
          <w:i w:val="false"/>
          <w:caps w:val="false"/>
          <w:smallCaps w:val="false"/>
          <w:sz w:val="20"/>
        </w:rPr>
        <w:t>cruiting fees and expenses associated with obtaining and maintaining patents. Following the CRL for roxadustat in the U.S., we are implementing a cost reduction effort, and as a result, SG&amp;A expenses may decrease in certain areas in the near future compared to our previous internal plans.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SG&amp;A expenses increased $17.5 million, or 16%, for the year ended December 31, 2021 compared to the year ended December 31, 2020, as a result of the net effect of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Increase of $7.4 million in employee-related costs primarily due to higher headcount in the general and administrative functions and higher compensation levels, and higher severance expenses associated with employee departures and cost reduction effort;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Increase of $5.3 million in facilities-related expense due to higher repair and general maintenance expenses and higher lease expenses resulting from the lease modification of our San Francisco property lease from a finance lease to operating lease during the second quarter of 2021;</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Increase of $4.1 million in stock-based compensation expense, primarily due to the cumulative impact of stock option grant activities expensed in the normal course, and accelerated recognition due to departure of certain executive employees during the current year; partially offset by the impact from lower stock price;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Increase of $3.3 million in outside service expenses, due to the above-mentioned reversal of co-promotion expenses in prior year period in the third quarter of 2020, offset by less sample expenses and the fact that AstraZeneca now bills the co-promotion expenses to Falikang and to FibroGen Beijing, respectively, for its services provided to the respective entity in 2021. In addition, the increase included costs incurred related to pre-commercialization efforts for pamrevlumab. The increases were partially offset by lower sample costs for roxadustat;</w:t>
            </w:r>
          </w:p>
        </w:tc>
      </w:tr>
    </w:tbl>
    <w:tbl>
      <w:tblPr>
        <w:tblW w:w="5425" w:type="dxa"/>
        <w:jc w:val="left"/>
        <w:tblInd w:w="0" w:type="dxa"/>
        <w:tblCellMar>
          <w:top w:w="0" w:type="dxa"/>
          <w:left w:w="0" w:type="dxa"/>
          <w:bottom w:w="0" w:type="dxa"/>
          <w:right w:w="0" w:type="dxa"/>
        </w:tblCellMar>
      </w:tblPr>
      <w:tblGrid>
        <w:gridCol w:w="110"/>
        <w:gridCol w:w="531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Increase of $2.9 million in professional service fees;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Decrease of $6.0 million in legal expenses primarily associated with the patent-related activities in the United Kingdom.</w:t>
            </w:r>
          </w:p>
        </w:tc>
      </w:tr>
    </w:tbl>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Interest and Other, Net</w:t>
      </w:r>
    </w:p>
    <w:p>
      <w:pPr>
        <w:pStyle w:val="TextBody"/>
        <w:spacing w:before="0" w:after="0"/>
        <w:rPr/>
      </w:pPr>
      <w:r>
        <w:rPr/>
        <w:t> </w:t>
      </w:r>
    </w:p>
    <w:tbl>
      <w:tblPr>
        <w:tblW w:w="8627" w:type="dxa"/>
        <w:jc w:val="left"/>
        <w:tblInd w:w="0" w:type="dxa"/>
        <w:tblCellMar>
          <w:top w:w="0" w:type="dxa"/>
          <w:left w:w="0" w:type="dxa"/>
          <w:bottom w:w="28" w:type="dxa"/>
          <w:right w:w="0" w:type="dxa"/>
        </w:tblCellMar>
      </w:tblPr>
      <w:tblGrid>
        <w:gridCol w:w="3965"/>
        <w:gridCol w:w="60"/>
        <w:gridCol w:w="125"/>
        <w:gridCol w:w="545"/>
        <w:gridCol w:w="80"/>
        <w:gridCol w:w="60"/>
        <w:gridCol w:w="125"/>
        <w:gridCol w:w="545"/>
        <w:gridCol w:w="80"/>
        <w:gridCol w:w="60"/>
        <w:gridCol w:w="125"/>
        <w:gridCol w:w="590"/>
        <w:gridCol w:w="80"/>
        <w:gridCol w:w="60"/>
        <w:gridCol w:w="184"/>
        <w:gridCol w:w="803"/>
        <w:gridCol w:w="117"/>
        <w:gridCol w:w="88"/>
        <w:gridCol w:w="88"/>
        <w:gridCol w:w="582"/>
        <w:gridCol w:w="80"/>
        <w:gridCol w:w="185"/>
      </w:tblGrid>
      <w:tr>
        <w:trPr/>
        <w:tc>
          <w:tcPr>
            <w:tcW w:w="39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33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86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 2021 vs.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39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98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3965"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4602" w:type="dxa"/>
            <w:gridSpan w:val="2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(dollars in thousands)</w:t>
            </w:r>
          </w:p>
        </w:tc>
      </w:tr>
      <w:tr>
        <w:trPr/>
        <w:tc>
          <w:tcPr>
            <w:tcW w:w="39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Interest and other, net: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45"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45"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03"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82"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396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Interest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(2,402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(2,876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1,327</w:t>
            </w:r>
          </w:p>
        </w:tc>
        <w:tc>
          <w:tcPr>
            <w:tcW w:w="117"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8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965"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Interest income and other income (expenses),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5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5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5,553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15,548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80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(6,631</w:t>
            </w:r>
          </w:p>
        </w:tc>
        <w:tc>
          <w:tcPr>
            <w:tcW w:w="11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58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965" w:type="dxa"/>
            <w:tcBorders>
              <w:bottom w:val="doub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interest and other, net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(2,153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3,151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12,672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1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(5,304</w:t>
            </w:r>
          </w:p>
        </w:tc>
        <w:tc>
          <w:tcPr>
            <w:tcW w:w="117"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8"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88"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582"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bl>
    <w:p>
      <w:pPr>
        <w:pStyle w:val="TextBody"/>
        <w:spacing w:before="36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Interest Expense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Interest expense decreased $1.3 million, or 55% for the year ended December 31, 2021 compared to the year ended December 31, 2020. The decrease was primarily due to the lease amendment effective June 1, 2021, related to our long-term property lease in San Francisco, was determined as a lease modification and classified as an operating lease, as compared to a finance lease before the lease modification. In addition, the new lease agreement effective in February 2021 for our long-term property lease in China was classified as an operating lease, as compared to a finance lease for the expired lease. The classification for both leases no longer trigger recognition of interest on the lease liabilities separately in the consolidated statement of operations. See Note 6, </w:t>
      </w:r>
      <w:r>
        <w:rPr>
          <w:rFonts w:ascii="Times New Roman" w:hAnsi="Times New Roman"/>
          <w:b w:val="false"/>
          <w:i/>
          <w:caps w:val="false"/>
          <w:smallCaps w:val="false"/>
          <w:sz w:val="20"/>
        </w:rPr>
        <w:t>Leases</w:t>
      </w:r>
      <w:r>
        <w:rPr>
          <w:rFonts w:ascii="Times New Roman" w:hAnsi="Times New Roman"/>
          <w:b w:val="false"/>
          <w:i w:val="false"/>
          <w:caps w:val="false"/>
          <w:smallCaps w:val="false"/>
          <w:sz w:val="20"/>
        </w:rPr>
        <w:t>, to the consolidated financial statements for details.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96</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Interest Income and Other Income (Expenses), Net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Interest income and other income (expenses), net decreased $6.6 million, or 119%, for the year ended December 31, 2021 compared to the year ended December 31, 2020, primarily due to lower interest earned on our cash, cash equivalents and investments associated with the lower interest rates, as well as unfavorable foreign exchange impacts.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Provision for Income Taxes</w:t>
      </w:r>
    </w:p>
    <w:p>
      <w:pPr>
        <w:pStyle w:val="TextBody"/>
        <w:spacing w:before="0" w:after="0"/>
        <w:rPr/>
      </w:pPr>
      <w:r>
        <w:rPr/>
        <w:t> </w:t>
      </w:r>
    </w:p>
    <w:tbl>
      <w:tblPr>
        <w:tblW w:w="5690" w:type="dxa"/>
        <w:jc w:val="left"/>
        <w:tblInd w:w="0" w:type="dxa"/>
        <w:tblCellMar>
          <w:top w:w="0" w:type="dxa"/>
          <w:left w:w="0" w:type="dxa"/>
          <w:bottom w:w="28" w:type="dxa"/>
          <w:right w:w="0" w:type="dxa"/>
        </w:tblCellMar>
      </w:tblPr>
      <w:tblGrid>
        <w:gridCol w:w="2180"/>
        <w:gridCol w:w="60"/>
        <w:gridCol w:w="125"/>
        <w:gridCol w:w="755"/>
        <w:gridCol w:w="80"/>
        <w:gridCol w:w="185"/>
        <w:gridCol w:w="60"/>
        <w:gridCol w:w="125"/>
        <w:gridCol w:w="755"/>
        <w:gridCol w:w="80"/>
        <w:gridCol w:w="185"/>
        <w:gridCol w:w="60"/>
        <w:gridCol w:w="125"/>
        <w:gridCol w:w="650"/>
        <w:gridCol w:w="80"/>
        <w:gridCol w:w="185"/>
      </w:tblGrid>
      <w:tr>
        <w:trPr/>
        <w:tc>
          <w:tcPr>
            <w:tcW w:w="2180" w:type="dxa"/>
            <w:tcBorders>
              <w:bottom w:val="single" w:sz="6" w:space="0" w:color="000000"/>
            </w:tcBorders>
            <w:shd w:fill="FFFFFF" w:val="clear"/>
            <w:vAlign w:val="bottom"/>
          </w:tcPr>
          <w:p>
            <w:pPr>
              <w:pStyle w:val="TableContents"/>
              <w:spacing w:before="0" w:after="283"/>
              <w:ind w:left="0" w:right="0" w:hanging="0"/>
              <w:rPr>
                <w:sz w:val="4"/>
                <w:szCs w:val="4"/>
              </w:rPr>
            </w:pPr>
            <w:r>
              <w:rPr>
                <w:sz w:val="4"/>
                <w:szCs w:val="4"/>
              </w:rPr>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3185" w:type="dxa"/>
            <w:gridSpan w:val="1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21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218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185" w:type="dxa"/>
            <w:gridSpan w:val="1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(dollars 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21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before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(290,683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(188,729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(76,642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shd w:fill="CFF0FC"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r>
      <w:tr>
        <w:trPr/>
        <w:tc>
          <w:tcPr>
            <w:tcW w:w="21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Provision for income taxes</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347</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360</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328</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85"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 </w:t>
            </w:r>
          </w:p>
        </w:tc>
      </w:tr>
      <w:tr>
        <w:trPr/>
        <w:tc>
          <w:tcPr>
            <w:tcW w:w="218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Effective tax rate</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provisions for income taxes for the years ended December 31, 2021 and 2020 were due to foreign taxes.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 However, given our anticipated future foreign earnings, we believe that there is a reasonable possibility that within the next 12 months, sufficient positive evidence may become available to allow us to reach a conclusion that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we are able to actually achieve.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2020, we transferred certain intellectual property rights relating to our Chinese business between our wholly owned subsidiaries that are based in different tax jurisdictions. The transferor entity was not subject to income taxes in its local jurisdiction. The acquiring entity of the intellectual property is entitled to amortize the acquisition price of the intangible assets for tax purposes. In accordance with ASU 2016-16, </w:t>
      </w:r>
      <w:r>
        <w:rPr>
          <w:rFonts w:ascii="Times New Roman" w:hAnsi="Times New Roman"/>
          <w:b w:val="false"/>
          <w:i/>
          <w:caps w:val="false"/>
          <w:smallCaps w:val="false"/>
          <w:sz w:val="20"/>
        </w:rPr>
        <w:t>Intra-Entity Transfers of Assets Other Than Inventory</w:t>
      </w:r>
      <w:r>
        <w:rPr>
          <w:rFonts w:ascii="Times New Roman" w:hAnsi="Times New Roman"/>
          <w:b w:val="false"/>
          <w:i w:val="false"/>
          <w:caps w:val="false"/>
          <w:smallCaps w:val="false"/>
          <w:sz w:val="20"/>
        </w:rPr>
        <w:t xml:space="preserve">, we recognized a deferred tax asset of $78.7 million for the temporary difference arising from the acquirer’s excess tax basis. Furthermore, based upon the weight of available evidence, we recognized a full valuation allowance against this deferred tax asset since it does not currently believe that realization of this gross deductible temporary difference is more likely than not. Accordingly, this inter-company transfer did not have a material impact to our consolidated financial statements.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Investment Income (Loss) in Unconsolidated Variable Interest Entity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Investment income (loss) in unconsolidated variable interest entity represented our proportionate share of the reported profits or losses of Falikang, an unconsolidated variable interest entity accounted for under the equity method, and was immaterial for the years ended December 31, 2021 and 2020. See Note 4, </w:t>
      </w:r>
      <w:r>
        <w:rPr>
          <w:rFonts w:ascii="Times New Roman" w:hAnsi="Times New Roman"/>
          <w:b w:val="false"/>
          <w:i/>
          <w:caps w:val="false"/>
          <w:smallCaps w:val="false"/>
          <w:sz w:val="20"/>
        </w:rPr>
        <w:t>Equity method investment - Variable Interest Entity</w:t>
      </w:r>
      <w:r>
        <w:rPr>
          <w:rFonts w:ascii="Times New Roman" w:hAnsi="Times New Roman"/>
          <w:b w:val="false"/>
          <w:i w:val="false"/>
          <w:caps w:val="false"/>
          <w:smallCaps w:val="false"/>
          <w:sz w:val="20"/>
        </w:rPr>
        <w:t>, to the consolidated financial statements for details.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97</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Financial Conditions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historically funded our operations principally from the sale of common stock (including our public offering proceeds) and from the execution of collaboration agreements involving license payments, milestones and reimbursement for development services.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we had cash and cash equivalents of $171.2 million, short-term investments of $234.0 million and long-term investments of $167.8 million. Cash is invested in accordance with our investment policy, primarily with a view to liquidity and capital preservation. Investments, consisting of available-for-sale securities, and stated at fair value, are also available as a source of liquidity. As of December 31, 2021, a total of $91.2 million of our cash and cash equivalents was held outside of the U.S. in our foreign subsidiaries, including $69.9 million held in China, to be used primarily for our China operations.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flows from Falikang, a distribution joint venture between FibroGen Beijing and AstraZeneca, and cash flows into FibroGen Beijing, are currently intended to remain onshore in China. Our long-term plans for distributing cash flows from FibroGen Beijing may involve any number of scenarios including keeping the money onshore to fund future expansion of our China operations or paying down certain debt obligations. To date, no such debt repayments have occurred, nor have there been any other payments or distributions from FibroGen Beijing to entities or investors outside of China. Our capital contributions to FibroGen Beijing and the liquidity position of FibroGen Beijing depend on many factors, including those set forth under Part I, Item 1A “Risk Factors” in this Annual Report.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Cash Sources and Uses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primary sources and uses of cash for the years ended December 31, 2021, 2020 and 2019:</w:t>
      </w:r>
    </w:p>
    <w:p>
      <w:pPr>
        <w:pStyle w:val="TextBody"/>
        <w:spacing w:before="0" w:after="0"/>
        <w:rPr/>
      </w:pPr>
      <w:r>
        <w:rPr/>
        <w:t> </w:t>
      </w:r>
    </w:p>
    <w:tbl>
      <w:tblPr>
        <w:tblW w:w="7905" w:type="dxa"/>
        <w:jc w:val="left"/>
        <w:tblInd w:w="0" w:type="dxa"/>
        <w:tblCellMar>
          <w:top w:w="0" w:type="dxa"/>
          <w:left w:w="0" w:type="dxa"/>
          <w:bottom w:w="28" w:type="dxa"/>
          <w:right w:w="0" w:type="dxa"/>
        </w:tblCellMar>
      </w:tblPr>
      <w:tblGrid>
        <w:gridCol w:w="4985"/>
        <w:gridCol w:w="60"/>
        <w:gridCol w:w="125"/>
        <w:gridCol w:w="755"/>
        <w:gridCol w:w="80"/>
        <w:gridCol w:w="60"/>
        <w:gridCol w:w="125"/>
        <w:gridCol w:w="695"/>
        <w:gridCol w:w="60"/>
        <w:gridCol w:w="60"/>
        <w:gridCol w:w="125"/>
        <w:gridCol w:w="695"/>
        <w:gridCol w:w="80"/>
      </w:tblGrid>
      <w:tr>
        <w:trPr/>
        <w:tc>
          <w:tcPr>
            <w:tcW w:w="4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78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4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r>
      <w:tr>
        <w:trPr/>
        <w:tc>
          <w:tcPr>
            <w:tcW w:w="49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(used in):</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498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(82,232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81,602</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(78,705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498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(426,972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452,487</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120,018</w:t>
            </w:r>
          </w:p>
        </w:tc>
        <w:tc>
          <w:tcPr>
            <w:tcW w:w="8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498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13,343</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(4,300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4985"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Effect of exchange rate changes on cash and cash equivalents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2,597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4,695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4985" w:type="dxa"/>
            <w:tcBorders>
              <w:bottom w:val="doub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increase (decrease) in cash and cash equivalents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(507,170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552,127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37,008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r>
    </w:tbl>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Operating Activities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used in operating activities was $82.2 million for the year ended December 31, 2021 and consisted primarily of net loss of $290.0 million adjusted for non-cash items and non-operating activities of $147.7 million and a net increase in operating assets and liabilities of $60.1 million. The significant non-cash items included stock-based compensation expense of $71.2 million, expense for acquired in-process research and development asset from HiFiBiO of $60.0 million, depreciation expense of $10.2 million, and amortization of finance lease ROU of $4.6 million. The significant items in the changes in operating assets and liabilities included the increases resulting from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rPr>
              <w:t xml:space="preserve">Deferred revenue of $57.6 million, primarily related to the above-mentioned $25.9 million and $11.2 million of the deferred considerations of the bulk drug product shipped to Astellas and AstraZeneca, respectively, due to a high degree of uncertainty associated with the final consideration, and $27.2 million of the deferred revenue from the sales to Falikang associated with the China performance obligation. The change in deferred revenue was also driven by the extension of the estimated future non-contingent development period and recognition of revenues under our collaboration agreements with Astellas and AstraZeneca. See Note 3, </w:t>
            </w:r>
            <w:r>
              <w:rPr>
                <w:b w:val="false"/>
                <w:i/>
                <w:caps w:val="false"/>
                <w:smallCaps w:val="false"/>
                <w:color w:val="000000"/>
              </w:rPr>
              <w:t>Collaboration Agreements, License Agreement and Revenues</w:t>
            </w:r>
            <w:r>
              <w:rPr>
                <w:b w:val="false"/>
                <w:i w:val="false"/>
                <w:caps w:val="false"/>
                <w:smallCaps w:val="false"/>
                <w:color w:val="000000"/>
              </w:rPr>
              <w:t>, to the consolidated financial statements for details;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98</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Accounts receivable of $25.2 million, primarily driven by the timing of the receipt of upfront payments and the recognition of revenues under our collaboration agreements with Astellas and AstraZeneca;</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Accrued and other liabilities of $16.4 million, primarily driven by $14.2 million increase in co-promotion expenses at December 31, 2021 that is anticipated to be paid within the next 12 months, offset by $12.0 million decrease in contract liabilities to pharmaceutical distributors at December 31, 2021 due to settlement during the year. The accrued and other liabilities were also impacted by the timing of invoicing and payment;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increases were partially offset by the decreases resulting from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Inventories of $14.2 million, driven by the increased inventory level primarily related to FibroGen Beijing’s productions of roxadustat for commercial sales purposes and pre-launch inventory cost capitalized in the U.S.;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Other long-term liabilities of $12.1 million, primarily due to the decrease in the co-promotional expenses with AstraZeneca for its sales and marketing efforts related to the commercial launch of roxadustat in China that are not expected to be paid in the next year;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Prepaid expenses and other current assets of $9.9 million, primarily due to the unbilled upfront license payment from Eluminex of $8.0 million, and prepayments made for roxadustat API manufacturing activities; and </w:t>
            </w:r>
          </w:p>
        </w:tc>
      </w:tr>
    </w:tbl>
    <w:tbl>
      <w:tblPr>
        <w:tblW w:w="7795" w:type="dxa"/>
        <w:jc w:val="left"/>
        <w:tblInd w:w="0" w:type="dxa"/>
        <w:tblCellMar>
          <w:top w:w="0" w:type="dxa"/>
          <w:left w:w="0" w:type="dxa"/>
          <w:bottom w:w="0" w:type="dxa"/>
          <w:right w:w="0" w:type="dxa"/>
        </w:tblCellMar>
      </w:tblPr>
      <w:tblGrid>
        <w:gridCol w:w="110"/>
        <w:gridCol w:w="768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6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Other assets of $4.4 million, primarily related to the increases in various licenses.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operating activities was $81.6 million for the year ended December 31, 2020 and consisted primarily of net loss of $189.3 million adjusted for non-cash items of $96.3 million and a net increase in operating assets and liabilities of $174.6 million. The significant non-cash items included stock-based compensation expense of $72.7 million, depreciation expense of $11.7 million, and amortization of finance lease ROU of $10.4 million. The significant items in the changes in operating assets and liabilities included the increases resulting from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Prepaid expenses and other current assets of $123.5 million and Deferred revenue of $45.1 million, primarily related to the billing and receipt of $130.0 million in regulatory milestones under the Europe Agreement with Astellas associated with the Marketing Authorization Application submission in Europe; and the billing and receipt of $50.0 million regulatory milestone under the U.S./RoW Agreement with AstraZeneca associated with the NDA submission for review in the U.S. These milestones were not billable as of December 31, 2019, and was net of the associated deferred revenues of $4.8 million and $50.0 million, respectively. The change in deferred revenue was also driven by the recognition of revenues under our collaboration agreements with Astellas and AstraZeneca;</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Accrued and other liabilities of $31.0 million, primarily driven by $11.5 million of the accrued co-promotion expenses at December 31, 2020 that is anticipated to be paid within the next 12 months resulting from the China Amendment in the third quarter of 2020, $7.0 million of profit share liability to AstraZeneca accrued at December 31, 2020, as well as driven by the timing of invoicing and payment; offset by the payment of $36.3 million that was accrued at December 31, 2019, related to the change in estimated variable consideration associated with the API shipment;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Accounts payable of $17.7 million, primarily driven by $16.9 million of the co-promotion expenses at December 31, 2020 that is scheduled to be paid to AstraZeneca;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Other assets of $5.8 million, primarily related to the return and consumption of input value added tax by FibroGen Beijing.</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increases were partially offset by the decreases resulting from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Other long-term liabilities of $27.1 million, primarily due to the adjustment in long-term co-promotion expenses payable to AstraZeneca for its sales and marketing efforts related to the commercial sales of roxadustat in China resulting from the China Amendment in the third quarter of 2020;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Accounts receivable of $12.0 million, primarily driven by the increase in accounts receivable from customers in China for roxadustat sales, as well as the timing of the receipt of upfront payments and the recognition of revenues under our collaboration agreements with Astellas and AstraZeneca;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Inventories of $9.2 million, driven by the increased inventory level primarily related to FibroGen Beijing’s productions of roxadustat for commercial sales purposes and pre-launch inventory cost capitalized in the U.S.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Investing activities primarily consist of purchases of property and equipment, purchases of investments, and proceeds from the maturity and sale of investments.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investing activities was $427.0 million for the year ended December 31, 2021 and consisted primarily of $484.1 million of cash used in purchases of available-for-sale securities, $25.0 million of cash paid for the acquired in-process research and development asset and $5.2 million of cash used in purchases of property and equipment, partially offset by $83.1 million of proceeds from maturities of investments and $4.2 million of proceeds from sales of available-for-sale securities.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provided by investing activities was $452.5 million for the year ended December 31, 2020 and consisted of proceeds from maturities of investments of $456.9 million, proceeds from sales of available-for-sale securities of $10.6 million, partially offset by cash used in purchases of available-for-sale securities of $8.2 million, purchases of property and equipment of $4.0 million, and net payments of $2.8 million made for investment in Falikang.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Financing activities primarily reflect proceeds from the issuance of our common stock, cash paid for payroll taxes on restricted stock unit releases, repayments of our lease liabilities and obligations.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used in financing activities was $0.6 million for the year ended December 31, 2021 and consisted primarily of $7.4 million of cash paid for payroll taxes on restricted stock unit releases, and $5.5 million of repayments of finance lease liabilities, partially offset by $12.7 million of proceeds from the issuance of common stock upon exercise of stock options and purchases under our Employee Share Purchase Plan (“ESPP”).</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financing activities was $13.3 million for the year ended December 31, 2020 and consisted primarily of $37.8 million of proceeds from the issuance of common stock upon exercise of stock options and purchases under ESPP, partially offset by $12.6 million of repayments of finance lease liabilities, $11.5 million of cash paid for payroll taxes on restricted stock unit releases, and $0.4 million of repayments on our lease obligations.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Operating Capital Requirements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third quarter of 2019, we started generating revenue from commercial sales of roxadustat product in China. Even with the expectation of increases in revenue from product sales, we anticipate that we will continue to generate losses for the foreseeable future. Following the CRL for roxadustat in the U.S., we are implementing a cost reduction effort, and as a result, operating expenses may decrease in certain areas in the near future compared to our previous internal plans. To date, we have funded certain portions of our research and development and manufacturing efforts globally through collaboration partners, government support, and capital investment. There is no guarantee that sufficient funds will be available to continue to fund these development efforts through commercialization or otherwise. Although AstraZeneca is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 Item 1A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in this Annual Report. We anticipate that we will need substantial additional funding in connection with our continuing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our existing cash and cash equivalents, short-term and long-term investments and accounts receivable will be sufficient to meet our anticipated cash requirements for at least the next 12 months from the date of this Annual Report. However, we may need additional capital thereafter and our liquidity assumptions may change over time, and we could utilize our available financial resources sooner than we currently expect. In addition,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 Item 1A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in this Annual Report.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Commitments and Contingencies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Contractual Obligations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December 31, 2021, our material cash requirements from known contractual and other obligations primarily relate to our lease liabilities and purchase obligations. Expected timing of those payments are as follows:</w:t>
      </w:r>
    </w:p>
    <w:p>
      <w:pPr>
        <w:pStyle w:val="TextBody"/>
        <w:spacing w:before="0" w:after="0"/>
        <w:rPr/>
      </w:pPr>
      <w:r>
        <w:rPr/>
        <w:t> </w:t>
      </w:r>
    </w:p>
    <w:tbl>
      <w:tblPr>
        <w:tblW w:w="6503" w:type="dxa"/>
        <w:jc w:val="left"/>
        <w:tblInd w:w="0" w:type="dxa"/>
        <w:tblCellMar>
          <w:top w:w="0" w:type="dxa"/>
          <w:left w:w="0" w:type="dxa"/>
          <w:bottom w:w="28" w:type="dxa"/>
          <w:right w:w="0" w:type="dxa"/>
        </w:tblCellMar>
      </w:tblPr>
      <w:tblGrid>
        <w:gridCol w:w="2390"/>
        <w:gridCol w:w="60"/>
        <w:gridCol w:w="125"/>
        <w:gridCol w:w="695"/>
        <w:gridCol w:w="60"/>
        <w:gridCol w:w="60"/>
        <w:gridCol w:w="234"/>
        <w:gridCol w:w="1105"/>
        <w:gridCol w:w="60"/>
        <w:gridCol w:w="60"/>
        <w:gridCol w:w="243"/>
        <w:gridCol w:w="1351"/>
        <w:gridCol w:w="60"/>
      </w:tblGrid>
      <w:tr>
        <w:trPr/>
        <w:tc>
          <w:tcPr>
            <w:tcW w:w="23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05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Payments Due In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Next 12 Months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9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Beyond 12 Months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1"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 liabilities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117,768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3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5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102,369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 obligations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73,262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49,424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bottom w:val="doub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contractual obligations</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191,030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64,823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5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126,207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lease liabilities are primarily related to our real estate leases for office spaces in the U.S. and China. See Note 6, </w:t>
      </w:r>
      <w:r>
        <w:rPr>
          <w:rFonts w:ascii="Times New Roman" w:hAnsi="Times New Roman"/>
          <w:b w:val="false"/>
          <w:i/>
          <w:caps w:val="false"/>
          <w:smallCaps w:val="false"/>
          <w:sz w:val="20"/>
        </w:rPr>
        <w:t>Leases</w:t>
      </w:r>
      <w:r>
        <w:rPr>
          <w:rFonts w:ascii="Times New Roman" w:hAnsi="Times New Roman"/>
          <w:b w:val="false"/>
          <w:i w:val="false"/>
          <w:caps w:val="false"/>
          <w:smallCaps w:val="false"/>
          <w:sz w:val="20"/>
        </w:rPr>
        <w:t>, to the consolidated financial statements for details.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outstanding non-cancelable purchase obligations primarily related to manufacturing and supply for pamrevlumab and roxadustat. See Note 9, </w:t>
      </w:r>
      <w:r>
        <w:rPr>
          <w:rFonts w:ascii="Times New Roman" w:hAnsi="Times New Roman"/>
          <w:b w:val="false"/>
          <w:i/>
          <w:caps w:val="false"/>
          <w:smallCaps w:val="false"/>
          <w:sz w:val="20"/>
        </w:rPr>
        <w:t>Commitments and Contingencies</w:t>
      </w:r>
      <w:r>
        <w:rPr>
          <w:rFonts w:ascii="Times New Roman" w:hAnsi="Times New Roman"/>
          <w:b w:val="false"/>
          <w:i w:val="false"/>
          <w:caps w:val="false"/>
          <w:smallCaps w:val="false"/>
          <w:sz w:val="20"/>
        </w:rPr>
        <w:t>, to the consolidated financial statements for details.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Some of our license agreements provide for periodic maintenance fees over specified time periods, as well as payments by us upon the achievement of development, regulatory and commercial milestones. As of December 31, 2021, future milestone payments for research and pre-clinical stage development programs consisted of up to approximately $704.1 million in total potential future milestone payments under our license agreements with HiFiBiO (for Galectin-9 and CCR8), Medarex, Inc. and others. These milestone payments generally become due and payable only upon the achievement of certain developmental, clinical, regulatory and/or commercial milestones. The event triggering such payment or obligation has not yet occurred and therefore these amounts have been excluded from the table above.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table above excludes uncertain tax benefits of approximately $57.7 million that are disclosed in Note 12, </w:t>
      </w:r>
      <w:r>
        <w:rPr>
          <w:rFonts w:ascii="Times New Roman" w:hAnsi="Times New Roman"/>
          <w:b w:val="false"/>
          <w:i/>
          <w:caps w:val="false"/>
          <w:smallCaps w:val="false"/>
          <w:sz w:val="20"/>
        </w:rPr>
        <w:t>Income Taxes</w:t>
      </w:r>
      <w:r>
        <w:rPr>
          <w:rFonts w:ascii="Times New Roman" w:hAnsi="Times New Roman"/>
          <w:b w:val="false"/>
          <w:i w:val="false"/>
          <w:caps w:val="false"/>
          <w:smallCaps w:val="false"/>
          <w:sz w:val="20"/>
        </w:rPr>
        <w:t>, to the consolidated financial statements because these uncertain tax positions, if recognized, would be an adjustment to the gross deferred tax assets and the corresponding valuation allowance, if warranted.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we have several on-going clinical studies in various stages. Under agreements with various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cancellable, we have historically not canceled such contracts.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our FibroGen Europe Oy (“FibroGen Europe”) subsidiary had $10.7 million of principal outstanding and $6.9 million of interest accrued related to the TEKES loans, respectively, which have been included as product development obligations on our consolidated balance sheet.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these loans are not repayable by FibroGen Europe until it has distributable funds. We do not expect FibroGen Europe to have such funds for at least the next five years. For the foregoing reasons, we cannot estimate the potential timing and the amounts of repayments (if required) or forgiveness. As a result, the TEKES loans have been excluded from the table above.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party to various legal actions that arose in the ordinary course of our business. We recognize accruals for any legal action when we conclude that a loss is probable and reasonably estimable. We did not have any material accruals for any currently active legal action in our consolidated balance sheets as of December 31, 2021, as we could not predict the ultimate outcome of these matters, or reasonably estimate the potential exposure. See Note 9, </w:t>
      </w:r>
      <w:r>
        <w:rPr>
          <w:rFonts w:ascii="Times New Roman" w:hAnsi="Times New Roman"/>
          <w:b w:val="false"/>
          <w:i/>
          <w:caps w:val="false"/>
          <w:smallCaps w:val="false"/>
          <w:sz w:val="20"/>
        </w:rPr>
        <w:t>Commitments and Contingencies</w:t>
      </w:r>
      <w:r>
        <w:rPr>
          <w:rFonts w:ascii="Times New Roman" w:hAnsi="Times New Roman"/>
          <w:b w:val="false"/>
          <w:i w:val="false"/>
          <w:caps w:val="false"/>
          <w:smallCaps w:val="false"/>
          <w:sz w:val="20"/>
        </w:rPr>
        <w:t>, to the consolidated financial statements for details.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Off-Balance Sheet Arrangements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year ended December 31, 2021, we did not have any relationships with unconsolidated organizations or financial partnerships, such as structured finance or special purpose entities that would have been established for the purpose of facilitating off-balance sheet arrangements.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Indemnification Agreements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enter into standard indemnification arrangements in the ordinary course of business, including for example, service, manufacturing and collaboration agreements. Pursuant to these arrangements, we indemnify, holds harmless, and agree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We have entered into indemnification agreements with our directors and officers that may require us to indemnify our directors and officers against liabilities that may arise by reason of their status or service as directors or officers to the extent permissible under applicable law. The maximum potential amount of future payments we could be required to make under these arrangements is not determinable.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Recently Issued and Adopted Accounting Guidance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recently issued accounting guidance, see Note 2, </w:t>
      </w:r>
      <w:r>
        <w:rPr>
          <w:rFonts w:ascii="Times New Roman" w:hAnsi="Times New Roman"/>
          <w:b w:val="false"/>
          <w:i/>
          <w:caps w:val="false"/>
          <w:smallCaps w:val="false"/>
          <w:sz w:val="20"/>
        </w:rPr>
        <w:t>Significant Accounting Policies,</w:t>
      </w:r>
      <w:r>
        <w:rPr>
          <w:rFonts w:ascii="Times New Roman" w:hAnsi="Times New Roman"/>
          <w:b w:val="false"/>
          <w:i w:val="false"/>
          <w:caps w:val="false"/>
          <w:smallCaps w:val="false"/>
          <w:sz w:val="20"/>
        </w:rPr>
        <w:t xml:space="preserve"> to the consolidated financial statements.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ESTIMATES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While our significant accounting policies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Revenue Recognition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Revenues under collaboration agreements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collaboration agreements include multiple performance obligations comprised of promised services, or bundles of services, that are distinct. Services that are not distinct are combined with other services in the agreement until they form a distinct bundle of services. Our process for identifying performance obligations and an enumeration of each obligation for each agreement is outlined in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to our consolidated financial statements. Determining the performance obligations within a collaboration agreement often involves significant judgment and is specific to the facts and circumstances contained in each agreement.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 in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to our consolidated financial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revenue recognition purposes, we determine that the terms of our collaboration agreements begin on the effective date and end upon the completion of all performance obligations contained in the agreements. In each agreement, the contract term is defined as the period in which parties to the contract have present and enforceable rights and obligations. We believe that the existence of what we consider to be substantive termination penalties on the part of the counterparty create sufficient incentive for the counterparty to avoid exercising its right to terminate the agreement unless in exceptionally rare situations.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transaction price for each collaboration agreement is determined based on the amount of consideration we expect to be entitled for satisfying all performance obligations within the agreement. Our collaboration agreements include payments to us of one or more of the following: non-refundable upfront license fees; co-development billings; development, regulatory, and commercial milestone payments; payments from sales of API; payments from sales of bulk drug product and royalties on net sales of licensed products.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Upfront license fees are non-contingent and non-refundable in nature and are included in the transaction price at the point when the license fees become due to us.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Co-development billings resulting from our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Determining the amount of variable consideration from co-development billings requires us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Milestone payments are also considered variable consideration, which requires us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arrangements that include sales-based royalties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royalty revenue resulting from its collaboration arrangements was immaterial.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we separately sell the products and services. If an SSP is not directly observable, then we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Significant judgment may be required in determining whether a performance obligation is distinct, determining the amount of variable consideration to be included in the transaction price, and estimating the SSP of each performance obligation. An enumeration of our significant judgments is outlined in Note 3, </w:t>
      </w:r>
      <w:r>
        <w:rPr>
          <w:rFonts w:ascii="Times New Roman" w:hAnsi="Times New Roman"/>
          <w:b w:val="false"/>
          <w:i/>
          <w:caps w:val="false"/>
          <w:smallCaps w:val="false"/>
          <w:sz w:val="20"/>
        </w:rPr>
        <w:t xml:space="preserve">Collaboration Agreements, License Agreement and Revenues, </w:t>
      </w:r>
      <w:r>
        <w:rPr>
          <w:rFonts w:ascii="Times New Roman" w:hAnsi="Times New Roman"/>
          <w:b w:val="false"/>
          <w:i w:val="false"/>
          <w:caps w:val="false"/>
          <w:smallCaps w:val="false"/>
          <w:sz w:val="20"/>
        </w:rPr>
        <w:t>to our consolidated financial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each performance obligation identified within an arrangement, we determine the period over which the promised services are transferred and the performance obligation is satisfied. Service revenue is recognized over time based on progress toward complete satisfaction of the performance obligation. For each performance obligation satisfied over time, we assess the proper method to be used for revenue recognition, either an input method to measure progress toward the satisfaction of services or an output method of determining the progress of completion of performance obligation.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License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a license agreement, if the license to our intellectual property is determined to be distinct from the other performance obligations identified in the arrangement, we recognize revenues from upfront license fees allocated to the license when the license is transferred to the licensee and the licensee is able to use and benefit from the license. For licenses that are bundled with other promises, we determine whether the combined performance obligation is satisfied over time or at a point in time. If the combined performance obligation is satisfied over time, we use judgment in determining the appropriate method of measuring progress for purposes of recognizing revenue from the up-front license fees. We evaluate the measure of progress each reporting period and, if necessary, adjust the measure of performance and related revenue recognition.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Product revenue,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revenue, net consists of revenues from sales of roxadustat commercial product to Falikang, and directly to pharmaceutical distributors located in a few provinces in China that are not covered by Falikang. Falikang is jointly owned by AstraZeneca and FibroGen Beijing. We are not the primary beneficiary of Falikang for accounting purposes, as AstraZeneca is the final decision maker for all the roxadustat commercialization activities, and we lack the power criterion to direct the activities of Falikang (see Note 4, </w:t>
      </w:r>
      <w:r>
        <w:rPr>
          <w:rFonts w:ascii="Times New Roman" w:hAnsi="Times New Roman"/>
          <w:b w:val="false"/>
          <w:i/>
          <w:caps w:val="false"/>
          <w:smallCaps w:val="false"/>
          <w:sz w:val="20"/>
        </w:rPr>
        <w:t xml:space="preserve">Equity method investment - Variable Interest Entity, </w:t>
      </w:r>
      <w:r>
        <w:rPr>
          <w:rFonts w:ascii="Times New Roman" w:hAnsi="Times New Roman"/>
          <w:b w:val="false"/>
          <w:i w:val="false"/>
          <w:caps w:val="false"/>
          <w:smallCaps w:val="false"/>
          <w:sz w:val="20"/>
        </w:rPr>
        <w:t xml:space="preserve">to our consolidated financial statements).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Sales to Falikang</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promises identified under the AstraZeneca China Agreement (as defined in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xml:space="preserve">), including the license, co-development services and manufacturing of commercial supplies have been bundled into a single performance obligation (“China performance obligation”). Amounts of the transaction price allocable to this performance obligation under our agreements with AstraZeneca as outlined in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xml:space="preserve"> are deferred until control of the manufactured commercial product is transferred to AstraZeneca.</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initiation of roxadustat sales to Falikang marked the beginning of the China performance obligation</w:t>
      </w:r>
      <w:r>
        <w:rPr>
          <w:rFonts w:ascii="Times New Roman" w:hAnsi="Times New Roman"/>
          <w:b w:val="false"/>
          <w:i/>
          <w:caps w:val="false"/>
          <w:smallCaps w:val="false"/>
          <w:sz w:val="20"/>
        </w:rPr>
        <w:t>.</w:t>
      </w:r>
      <w:r>
        <w:rPr>
          <w:rFonts w:ascii="Times New Roman" w:hAnsi="Times New Roman"/>
          <w:b w:val="false"/>
          <w:i w:val="false"/>
          <w:caps w:val="false"/>
          <w:smallCaps w:val="false"/>
          <w:sz w:val="20"/>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we determined it is likely those sales would occur. The price per unit is subject to reassessment on a quarterly basis, which may result in adjustments due to changes in estimates.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overall transaction price for FibroGen Beijing’s product sales to Falikang includes the following elements of consideration: </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Non-refundable upfront license fees; development, regulatory, and commercial milestone payments based on the China Agreement allocated to the China performance obligation;</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Co-development billings resulting from our research and development efforts, which are reimbursable under the China Agreement;</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Interim profit/loss share between FibroGen Beijing and AstraZeneca from April 1, 2020 through December 31, 2020; and</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Net transaction price from product sales to Falikang from January 1, 2021 onwards. The net transaction price includes the following elements: </w:t>
            </w:r>
          </w:p>
        </w:tc>
      </w:tr>
    </w:tbl>
    <w:tbl>
      <w:tblPr>
        <w:tblW w:w="10205" w:type="dxa"/>
        <w:jc w:val="left"/>
        <w:tblInd w:w="0" w:type="dxa"/>
        <w:tblCellMar>
          <w:top w:w="0" w:type="dxa"/>
          <w:left w:w="0" w:type="dxa"/>
          <w:bottom w:w="0" w:type="dxa"/>
          <w:right w:w="0" w:type="dxa"/>
        </w:tblCellMar>
      </w:tblPr>
      <w:tblGrid>
        <w:gridCol w:w="60"/>
        <w:gridCol w:w="140"/>
        <w:gridCol w:w="100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4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o</w:t>
            </w:r>
          </w:p>
        </w:tc>
        <w:tc>
          <w:tcPr>
            <w:tcW w:w="100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Gross transaction price: The gross transaction price is based on a percentage of Falikang’s net sales to its distributors, which takes into account Falikang’s operating expenses and its payments to AstraZeneca for roxadustat sales and marketing efforts, capped at a percentage of Falikang’s net roxadustat sales. </w:t>
            </w:r>
          </w:p>
        </w:tc>
      </w:tr>
    </w:tbl>
    <w:tbl>
      <w:tblPr>
        <w:tblW w:w="10205" w:type="dxa"/>
        <w:jc w:val="left"/>
        <w:tblInd w:w="0" w:type="dxa"/>
        <w:tblCellMar>
          <w:top w:w="0" w:type="dxa"/>
          <w:left w:w="0" w:type="dxa"/>
          <w:bottom w:w="0" w:type="dxa"/>
          <w:right w:w="0" w:type="dxa"/>
        </w:tblCellMar>
      </w:tblPr>
      <w:tblGrid>
        <w:gridCol w:w="60"/>
        <w:gridCol w:w="140"/>
        <w:gridCol w:w="100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4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o</w:t>
            </w:r>
          </w:p>
        </w:tc>
        <w:tc>
          <w:tcPr>
            <w:tcW w:w="100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Profit share: The gross transaction price is then adjusted for an estimated amount to achieve the 50/50 profit share from current period roxadustat net sales in China. The adjustments to date have been a reduction to the transaction price and the related accounts receivable from Falikang.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significant assumptions such as total sales quantity, performance period, gross transaction price and profit share, which require a significant judgment.</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net transaction price in excess of the revenue recognized is deferred, and will be recognized over future periods as the performance obligations are satisfied.</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Direct Sales to Distributors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sell roxadustat in China directly to a number of pharmaceutical distributors located in a few provinces in China that are not covered by Falikang. These pharmaceutical distributors are our customers. Hospitals order roxadustat through a distributor and we ship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that we expect to be entitled to in exchange for the product.</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period between the transfer of control of the promised goods and when we receive payment is based on 60-day payment terms. As such, product revenue is not adjusted for the effects of a significant financing component.</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revenue is recorded at the net sales prices that includes the following estimates of variable consideration:</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Price adjustment: When China’s National Healthcare Security Administration releases price guidance for roxadustat under the National Reimbursement Drug List, any channel inventories that have not been sold through by distributors, or to patients by hospitals and retailers, would be eligible for a price adjustment under the price protection. The price adjustment is calculated based on estimated channel inventory levels;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Non-key account hospital listing award: A one-time fixed-amount award is offered to a distributor who successfully lists the product with an eligible hospital, and who meets certain requirements. For the year ended December 31, 2020, the non-key account hospital listing award was capitalized when the distributor meets eligibility requirements, and amortized as reduction to product revenue over future sales orders made by the distributor until exhausted. For the year ended December 31, 2021, the non-key account hospital listing award was immaterial and recorded as a reduction to revenue when distributor meets eligibility requirements;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Sales returns: Distributors can request to return product to us only due to quality issues or for product purchased within one year prior to the product’s expiration date.</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significant judgment.</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we expect to settle the discount in cash. The distributor’s legal right of offset is calculated at the individual distributor level.</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Drug product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Drug product revenue includes commercial-grade API or bulk drug product sales to AstraZeneca and Astellas in support of pre-commercial preparation prior to the NDA or Marketing Authorization Application approval, and to Astellas for ongoing commercial launch in Japan and Europe. Drug product revenue is recognized when we fulfill the inventory transfer obligations.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We review new information that may affect its variable consideration estimate at every reporting period and records revenue adjustment, if certain and material. Actual amounts of consideration ultimately received in the future may differ from our estimates, for which we will adjust these estimates and affect the drug product revenue in the period such variances become known.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each of our collaboration agreements provide for annual true up to the considerations paid for our commercial supplies, we will re-evaluate the transaction price in each reporting period and record adjustment to revenue as uncertain events are resolved or other changes in circumstances occur.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106</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7" w:name="ITEM_7A_QUANTITATIVE_QUALITATIVE_DISCLOS"/>
      <w:bookmarkEnd w:id="17"/>
      <w:r>
        <w:rPr>
          <w:rFonts w:ascii="Times New Roman" w:hAnsi="Times New Roman"/>
          <w:b/>
          <w:i w:val="false"/>
          <w:caps w:val="false"/>
          <w:smallCaps w:val="false"/>
          <w:sz w:val="20"/>
        </w:rPr>
        <w:t>ITEM 7A. QUANTITATIVE AND QUALITATIVE DISCLOSURES ABOUT MARKET RISKS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Most of our revenue from collaboration agreements are denominated in U.S. dollars, and therefore our revenue is not currently subject to significant foreign currency risk. Currently, the functional currency of our subsidiaries, FibroGen Europe Oy and FibroGen Beijing, is the local currency. Our operating expenses are denominated in the currencies of the countries in which our operations are located, which are primarily in the U.S., China, and Europe. Our consolidated results of operations and cash flows are, therefore, subject to fluctuations due to changes in foreign currency exchange rates and may be adversely affected in the future due to changes in foreign exchange rates.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we did not have material financial assets and liabilities denominated in foreign currencies that are subject to fluctuation in the exchange rate with the U.S. dollar. Therefore, the effect of a hypothetical 10% change in foreign currency exchange rates would not have resulted in a material net gain or loss on foreign currency for the year ended December 31, 2021.</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primary objective of our investment activities is to preserve our capital to fund our operations. We also seek to maximize income from our cash and cash equivalents without assuming significant risk. To achieve our objectives, we invest our non-operating cash and cash equivalents primarily in money market funds as of December 31, 2021. Given the nature of our investments as of December 31, 2021, we believe that our exposure to interest rate risk is not significant. We actively monitor changes in interest rates.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not entered into any hedging arrangements with respect to foreign currency risk or other derivative financial instruments.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8" w:name="ITEM_8_CONSOLIDATED_FINANCIAL_STATEMENTS"/>
      <w:bookmarkEnd w:id="18"/>
      <w:r>
        <w:rPr>
          <w:rFonts w:ascii="Times New Roman" w:hAnsi="Times New Roman"/>
          <w:b/>
          <w:i w:val="false"/>
          <w:caps w:val="false"/>
          <w:smallCaps w:val="false"/>
          <w:sz w:val="20"/>
        </w:rPr>
        <w:t xml:space="preserve">ITEM 8. CONSOLIDATED FINANCIAL STATEMENTS AND SUPPLEMENTARY DATA </w:t>
      </w:r>
    </w:p>
    <w:p>
      <w:pPr>
        <w:pStyle w:val="TextBody"/>
        <w:spacing w:before="0" w:after="0"/>
        <w:rPr/>
      </w:pPr>
      <w:r>
        <w:rPr/>
        <w:t> </w:t>
      </w:r>
    </w:p>
    <w:tbl>
      <w:tblPr>
        <w:tblW w:w="7960" w:type="dxa"/>
        <w:jc w:val="left"/>
        <w:tblInd w:w="0" w:type="dxa"/>
        <w:tblCellMar>
          <w:top w:w="0" w:type="dxa"/>
          <w:left w:w="0" w:type="dxa"/>
          <w:bottom w:w="28" w:type="dxa"/>
          <w:right w:w="0" w:type="dxa"/>
        </w:tblCellMar>
      </w:tblPr>
      <w:tblGrid>
        <w:gridCol w:w="7355"/>
        <w:gridCol w:w="60"/>
        <w:gridCol w:w="545"/>
      </w:tblGrid>
      <w:tr>
        <w:trPr/>
        <w:tc>
          <w:tcPr>
            <w:tcW w:w="735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tcPr>
          <w:p>
            <w:pPr>
              <w:pStyle w:val="TableContents"/>
              <w:spacing w:before="0" w:after="0"/>
              <w:ind w:left="0" w:right="0" w:hanging="0"/>
              <w:rPr/>
            </w:pPr>
            <w:r>
              <w:rPr/>
              <w:t> </w:t>
            </w:r>
          </w:p>
        </w:tc>
        <w:tc>
          <w:tcPr>
            <w:tcW w:w="545"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r>
              <w:rPr>
                <w:rFonts w:ascii="Times New Roman" w:hAnsi="Times New Roman"/>
                <w:b/>
                <w:i w:val="false"/>
                <w:caps w:val="false"/>
                <w:smallCaps w:val="false"/>
                <w:color w:val="000000"/>
                <w:sz w:val="20"/>
              </w:rPr>
              <w:t>Page</w:t>
            </w:r>
            <w:r>
              <w:rPr>
                <w:rFonts w:ascii="Times New Roman" w:hAnsi="Times New Roman"/>
                <w:b w:val="false"/>
                <w:i w:val="false"/>
                <w:caps w:val="false"/>
                <w:smallCaps w:val="false"/>
                <w:color w:val="000000"/>
                <w:sz w:val="20"/>
              </w:rPr>
              <w:t> </w:t>
            </w:r>
          </w:p>
        </w:tc>
      </w:tr>
      <w:tr>
        <w:trPr/>
        <w:tc>
          <w:tcPr>
            <w:tcW w:w="7355" w:type="dxa"/>
            <w:tcBorders/>
            <w:shd w:fill="auto" w:val="clear"/>
            <w:tcMar>
              <w:bottom w:w="0" w:type="dxa"/>
            </w:tcMar>
          </w:tcPr>
          <w:p>
            <w:pPr>
              <w:pStyle w:val="TableContents"/>
              <w:spacing w:before="0" w:after="0"/>
              <w:ind w:left="176" w:right="0" w:hanging="176"/>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FibroGen, Inc.</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top w:val="sing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355" w:type="dxa"/>
            <w:tcBorders/>
            <w:shd w:fill="auto" w:val="clear"/>
            <w:tcMar>
              <w:bottom w:w="0" w:type="dxa"/>
            </w:tcMar>
          </w:tcPr>
          <w:p>
            <w:pPr>
              <w:pStyle w:val="TableContents"/>
              <w:spacing w:before="0" w:after="0"/>
              <w:ind w:left="176"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245" w:right="0" w:hanging="0"/>
              <w:rPr/>
            </w:pPr>
            <w:hyperlink w:anchor="REPORT_INDEPENDENT_REGISTERED_PUBLIC_ACC">
              <w:r>
                <w:rPr>
                  <w:rStyle w:val="InternetLink"/>
                </w:rPr>
                <w:t>Report of Independent Registered Public Accounting Firm</w:t>
              </w:r>
            </w:hyperlink>
            <w:r>
              <w:rPr>
                <w:rFonts w:ascii="Times New Roman" w:hAnsi="Times New Roman"/>
                <w:b w:val="false"/>
                <w:i w:val="false"/>
                <w:caps w:val="false"/>
                <w:smallCaps w:val="false"/>
                <w:strike w:val="false"/>
                <w:dstrike w:val="false"/>
                <w:sz w:val="20"/>
                <w:u w:val="none"/>
                <w:effect w:val="none"/>
              </w:rPr>
              <w:t>  (PCAOB ID 238)</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r>
      <w:tr>
        <w:trPr/>
        <w:tc>
          <w:tcPr>
            <w:tcW w:w="7355" w:type="dxa"/>
            <w:tcBorders/>
            <w:shd w:fill="auto" w:val="clear"/>
            <w:tcMar>
              <w:bottom w:w="0" w:type="dxa"/>
            </w:tcMar>
          </w:tcPr>
          <w:p>
            <w:pPr>
              <w:pStyle w:val="TableContents"/>
              <w:spacing w:before="0" w:after="0"/>
              <w:ind w:left="176" w:right="0" w:hanging="176"/>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176" w:right="0" w:hanging="176"/>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Financial Statements:</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176" w:right="0" w:hanging="176"/>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245" w:right="0" w:hanging="0"/>
              <w:rPr/>
            </w:pPr>
            <w:hyperlink w:anchor="CONSOLIDATED_BALANCE_SHEETS">
              <w:r>
                <w:rPr>
                  <w:rStyle w:val="InternetLink"/>
                  <w:rFonts w:ascii="Times New Roman" w:hAnsi="Times New Roman"/>
                  <w:b w:val="false"/>
                  <w:i w:val="false"/>
                  <w:caps w:val="false"/>
                  <w:smallCaps w:val="false"/>
                  <w:strike w:val="false"/>
                  <w:dstrike w:val="false"/>
                  <w:sz w:val="20"/>
                  <w:u w:val="none"/>
                  <w:effect w:val="none"/>
                </w:rPr>
                <w:t>Consolidated Balance Sheets</w:t>
              </w:r>
            </w:hyperlink>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w:t>
            </w:r>
          </w:p>
        </w:tc>
      </w:tr>
      <w:tr>
        <w:trPr/>
        <w:tc>
          <w:tcPr>
            <w:tcW w:w="7355" w:type="dxa"/>
            <w:tcBorders/>
            <w:shd w:fill="auto" w:val="clear"/>
            <w:tcMar>
              <w:bottom w:w="0" w:type="dxa"/>
            </w:tcMar>
          </w:tcPr>
          <w:p>
            <w:pPr>
              <w:pStyle w:val="TableContents"/>
              <w:spacing w:before="0" w:after="0"/>
              <w:ind w:left="245"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245" w:right="0" w:hanging="0"/>
              <w:rPr/>
            </w:pPr>
            <w:hyperlink w:anchor="CONSOLIDATED_STATEMENTS_OPERATIONS">
              <w:r>
                <w:rPr>
                  <w:rStyle w:val="InternetLink"/>
                  <w:rFonts w:ascii="Times New Roman" w:hAnsi="Times New Roman"/>
                  <w:b w:val="false"/>
                  <w:i w:val="false"/>
                  <w:caps w:val="false"/>
                  <w:smallCaps w:val="false"/>
                  <w:strike w:val="false"/>
                  <w:dstrike w:val="false"/>
                  <w:sz w:val="20"/>
                  <w:u w:val="none"/>
                  <w:effect w:val="none"/>
                </w:rPr>
                <w:t>Consolidated Statements of Operations</w:t>
              </w:r>
            </w:hyperlink>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w:t>
            </w:r>
          </w:p>
        </w:tc>
      </w:tr>
      <w:tr>
        <w:trPr/>
        <w:tc>
          <w:tcPr>
            <w:tcW w:w="7355" w:type="dxa"/>
            <w:tcBorders/>
            <w:shd w:fill="auto" w:val="clear"/>
            <w:tcMar>
              <w:bottom w:w="0" w:type="dxa"/>
            </w:tcMar>
          </w:tcPr>
          <w:p>
            <w:pPr>
              <w:pStyle w:val="TableContents"/>
              <w:spacing w:before="0" w:after="0"/>
              <w:ind w:left="245"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245" w:right="0" w:hanging="0"/>
              <w:rPr/>
            </w:pPr>
            <w:hyperlink w:anchor="CONSOLIDATED_STATEMENTS_COMPREHENSIVE_LO">
              <w:r>
                <w:rPr>
                  <w:rStyle w:val="InternetLink"/>
                  <w:rFonts w:ascii="Times New Roman" w:hAnsi="Times New Roman"/>
                  <w:b w:val="false"/>
                  <w:i w:val="false"/>
                  <w:caps w:val="false"/>
                  <w:smallCaps w:val="false"/>
                  <w:strike w:val="false"/>
                  <w:dstrike w:val="false"/>
                  <w:sz w:val="20"/>
                  <w:u w:val="none"/>
                  <w:effect w:val="none"/>
                </w:rPr>
                <w:t>Consolidated Statements of Comprehensive Loss</w:t>
              </w:r>
            </w:hyperlink>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w:t>
            </w:r>
          </w:p>
        </w:tc>
      </w:tr>
      <w:tr>
        <w:trPr/>
        <w:tc>
          <w:tcPr>
            <w:tcW w:w="7355" w:type="dxa"/>
            <w:tcBorders/>
            <w:shd w:fill="auto" w:val="clear"/>
            <w:tcMar>
              <w:bottom w:w="0" w:type="dxa"/>
            </w:tcMar>
          </w:tcPr>
          <w:p>
            <w:pPr>
              <w:pStyle w:val="TableContents"/>
              <w:spacing w:before="0" w:after="0"/>
              <w:ind w:left="245"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245" w:right="0" w:hanging="0"/>
              <w:rPr/>
            </w:pPr>
            <w:hyperlink w:anchor="CONSOLIDATED_STATEMENTS_EQUITY">
              <w:r>
                <w:rPr>
                  <w:rStyle w:val="InternetLink"/>
                  <w:rFonts w:ascii="Times New Roman" w:hAnsi="Times New Roman"/>
                  <w:b w:val="false"/>
                  <w:i w:val="false"/>
                  <w:caps w:val="false"/>
                  <w:smallCaps w:val="false"/>
                  <w:strike w:val="false"/>
                  <w:dstrike w:val="false"/>
                  <w:sz w:val="20"/>
                  <w:u w:val="none"/>
                  <w:effect w:val="none"/>
                </w:rPr>
                <w:t>Consolidated Statements of Changes in Stockholders' Equity</w:t>
              </w:r>
            </w:hyperlink>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w:t>
            </w:r>
          </w:p>
        </w:tc>
      </w:tr>
      <w:tr>
        <w:trPr/>
        <w:tc>
          <w:tcPr>
            <w:tcW w:w="7355" w:type="dxa"/>
            <w:tcBorders/>
            <w:shd w:fill="auto" w:val="clear"/>
            <w:tcMar>
              <w:bottom w:w="0" w:type="dxa"/>
            </w:tcMar>
          </w:tcPr>
          <w:p>
            <w:pPr>
              <w:pStyle w:val="TableContents"/>
              <w:spacing w:before="0" w:after="0"/>
              <w:ind w:left="245"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245" w:right="0" w:hanging="0"/>
              <w:rPr/>
            </w:pPr>
            <w:hyperlink w:anchor="CONSOLIDATED_STATEMENTS_CASH_FLOWS">
              <w:r>
                <w:rPr>
                  <w:rStyle w:val="InternetLink"/>
                  <w:rFonts w:ascii="Times New Roman" w:hAnsi="Times New Roman"/>
                  <w:b w:val="false"/>
                  <w:i w:val="false"/>
                  <w:caps w:val="false"/>
                  <w:smallCaps w:val="false"/>
                  <w:strike w:val="false"/>
                  <w:dstrike w:val="false"/>
                  <w:sz w:val="20"/>
                  <w:u w:val="none"/>
                  <w:effect w:val="none"/>
                </w:rPr>
                <w:t>Consolidated Statements of Cash Flows</w:t>
              </w:r>
            </w:hyperlink>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w:t>
            </w:r>
          </w:p>
        </w:tc>
      </w:tr>
      <w:tr>
        <w:trPr/>
        <w:tc>
          <w:tcPr>
            <w:tcW w:w="7355" w:type="dxa"/>
            <w:tcBorders/>
            <w:shd w:fill="auto" w:val="clear"/>
            <w:tcMar>
              <w:bottom w:w="0" w:type="dxa"/>
            </w:tcMar>
          </w:tcPr>
          <w:p>
            <w:pPr>
              <w:pStyle w:val="TableContents"/>
              <w:spacing w:before="0" w:after="0"/>
              <w:ind w:left="245"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245" w:right="0" w:hanging="0"/>
              <w:rPr/>
            </w:pPr>
            <w:hyperlink w:anchor="NOTES_TO_THE_CONSOLIDATED_FS">
              <w:r>
                <w:rPr>
                  <w:rStyle w:val="InternetLink"/>
                  <w:rFonts w:ascii="Times New Roman" w:hAnsi="Times New Roman"/>
                  <w:b w:val="false"/>
                  <w:i w:val="false"/>
                  <w:caps w:val="false"/>
                  <w:smallCaps w:val="false"/>
                  <w:strike w:val="false"/>
                  <w:dstrike w:val="false"/>
                  <w:sz w:val="20"/>
                  <w:u w:val="none"/>
                  <w:effect w:val="none"/>
                </w:rPr>
                <w:t>Notes to Consolidated Financial Statements</w:t>
              </w:r>
            </w:hyperlink>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w:t>
            </w:r>
          </w:p>
        </w:tc>
      </w:tr>
      <w:tr>
        <w:trPr/>
        <w:tc>
          <w:tcPr>
            <w:tcW w:w="7355" w:type="dxa"/>
            <w:tcBorders/>
            <w:shd w:fill="auto" w:val="clear"/>
            <w:tcMar>
              <w:bottom w:w="0" w:type="dxa"/>
            </w:tcMar>
          </w:tcPr>
          <w:p>
            <w:pPr>
              <w:pStyle w:val="TableContents"/>
              <w:spacing w:before="0" w:after="0"/>
              <w:ind w:left="176" w:right="0" w:hanging="176"/>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176" w:right="0" w:hanging="176"/>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Financial Statement Schedule:</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176" w:right="0" w:hanging="176"/>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pPr>
            <w:r>
              <w:rPr/>
              <w:t> </w:t>
            </w:r>
          </w:p>
        </w:tc>
      </w:tr>
      <w:tr>
        <w:trPr/>
        <w:tc>
          <w:tcPr>
            <w:tcW w:w="7355" w:type="dxa"/>
            <w:tcBorders/>
            <w:shd w:fill="auto" w:val="clear"/>
            <w:tcMar>
              <w:bottom w:w="0" w:type="dxa"/>
            </w:tcMar>
          </w:tcPr>
          <w:p>
            <w:pPr>
              <w:pStyle w:val="TableContents"/>
              <w:spacing w:before="0" w:after="0"/>
              <w:ind w:left="245" w:right="0" w:hanging="0"/>
              <w:rPr/>
            </w:pPr>
            <w:hyperlink w:anchor="SCHEDULE_II">
              <w:r>
                <w:rPr>
                  <w:rStyle w:val="InternetLink"/>
                  <w:rFonts w:ascii="Times New Roman" w:hAnsi="Times New Roman"/>
                  <w:b w:val="false"/>
                  <w:i w:val="false"/>
                  <w:caps w:val="false"/>
                  <w:smallCaps w:val="false"/>
                  <w:strike w:val="false"/>
                  <w:dstrike w:val="false"/>
                  <w:sz w:val="20"/>
                  <w:u w:val="none"/>
                  <w:effect w:val="none"/>
                </w:rPr>
                <w:t>II Valuation and Qualifying Accounts for each of the three years ended December 31, 2021</w:t>
              </w:r>
            </w:hyperlink>
          </w:p>
        </w:tc>
        <w:tc>
          <w:tcPr>
            <w:tcW w:w="60" w:type="dxa"/>
            <w:tcBorders/>
            <w:shd w:fill="auto" w:val="clear"/>
            <w:tcMar>
              <w:bottom w:w="0" w:type="dxa"/>
            </w:tcMar>
          </w:tcPr>
          <w:p>
            <w:pPr>
              <w:pStyle w:val="TableContents"/>
              <w:spacing w:before="0" w:after="0"/>
              <w:ind w:left="0" w:right="0" w:hanging="0"/>
              <w:rPr/>
            </w:pPr>
            <w:r>
              <w:rPr/>
              <w:t> </w:t>
            </w:r>
          </w:p>
        </w:tc>
        <w:tc>
          <w:tcPr>
            <w:tcW w:w="54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00" w:after="0"/>
        <w:jc w:val="center"/>
        <w:rPr>
          <w:rFonts w:ascii="Times New Roman" w:hAnsi="Times New Roman"/>
          <w:b/>
          <w:i w:val="false"/>
          <w:caps w:val="false"/>
          <w:smallCaps w:val="false"/>
          <w:sz w:val="20"/>
        </w:rPr>
      </w:pPr>
      <w:bookmarkStart w:id="19" w:name="REPORT_INDEPENDENT_REGISTERED_PUBLIC_ACC"/>
      <w:bookmarkEnd w:id="19"/>
      <w:r>
        <w:rPr>
          <w:rFonts w:ascii="Times New Roman" w:hAnsi="Times New Roman"/>
          <w:b/>
          <w:i w:val="false"/>
          <w:caps w:val="false"/>
          <w:smallCaps w:val="false"/>
          <w:sz w:val="20"/>
        </w:rPr>
        <w:t>Report of Independent Registered Public Accounting Firm</w:t>
      </w:r>
    </w:p>
    <w:p>
      <w:pPr>
        <w:pStyle w:val="TextBody"/>
        <w:spacing w:before="200" w:after="200"/>
        <w:rPr/>
      </w:pPr>
      <w:r>
        <w:rPr/>
        <w:t>To the Board of Directors and Stockholders of FibroGen, Inc.</w:t>
      </w:r>
    </w:p>
    <w:p>
      <w:pPr>
        <w:pStyle w:val="TextBody"/>
        <w:spacing w:before="200" w:after="0"/>
        <w:rPr>
          <w:rFonts w:ascii="Times New Roman" w:hAnsi="Times New Roman"/>
          <w:b/>
          <w:i/>
          <w:caps w:val="false"/>
          <w:smallCaps w:val="false"/>
          <w:sz w:val="20"/>
        </w:rPr>
      </w:pPr>
      <w:bookmarkStart w:id="20" w:name="eXC_Paragraph_11"/>
      <w:bookmarkEnd w:id="20"/>
      <w:r>
        <w:rPr>
          <w:rFonts w:ascii="Times New Roman" w:hAnsi="Times New Roman"/>
          <w:b/>
          <w:i/>
          <w:caps w:val="false"/>
          <w:smallCaps w:val="false"/>
          <w:sz w:val="20"/>
        </w:rPr>
        <w:t>Opinions on the Financial Statements and Internal Control over Financial Reporting</w:t>
      </w:r>
    </w:p>
    <w:p>
      <w:pPr>
        <w:pStyle w:val="TextBody"/>
        <w:spacing w:before="200" w:after="0"/>
        <w:rPr>
          <w:rFonts w:ascii="Times New Roman" w:hAnsi="Times New Roman"/>
          <w:b w:val="false"/>
          <w:i w:val="false"/>
          <w:caps w:val="false"/>
          <w:smallCaps w:val="false"/>
          <w:sz w:val="20"/>
        </w:rPr>
      </w:pPr>
      <w:bookmarkStart w:id="21" w:name="eXC_Paragraph_12"/>
      <w:bookmarkEnd w:id="21"/>
      <w:r>
        <w:rPr>
          <w:rFonts w:ascii="Times New Roman" w:hAnsi="Times New Roman"/>
          <w:b w:val="false"/>
          <w:i w:val="false"/>
          <w:caps w:val="false"/>
          <w:smallCaps w:val="false"/>
          <w:sz w:val="20"/>
        </w:rPr>
        <w:t xml:space="preserve">We have audited the accompanying consolidated balance sheets of FibroGen, Inc. and its subsidiaries (the “Company”) as of December 31, 2021 and 2020, and the related consolidated statements of operations, of comprehensive loss, of changes in stockholders’ equity and of cash flows for each of the three years in the period ended December 31, 2021, including the related notes and financial statement schedule listed in the accompanying index (collectively referred to as the “consolidated financial statements”). We also have audited the Company's internal control over financial reporting as of December 31, 2021, based on criteria established in </w:t>
      </w:r>
      <w:r>
        <w:rPr>
          <w:rFonts w:ascii="Times New Roman" w:hAnsi="Times New Roman"/>
          <w:b w:val="false"/>
          <w:i/>
          <w:caps w:val="false"/>
          <w:smallCaps w:val="false"/>
          <w:strike/>
          <w:sz w:val="20"/>
          <w:u w:val="none"/>
          <w:effect w:val="none"/>
        </w:rPr>
        <w:t>Internal Control - Integrated Framework</w:t>
      </w:r>
      <w:r>
        <w:rPr>
          <w:rFonts w:ascii="Times New Roman" w:hAnsi="Times New Roman"/>
          <w:b w:val="false"/>
          <w:i w:val="false"/>
          <w:caps w:val="false"/>
          <w:smallCaps w:val="false"/>
          <w:sz w:val="20"/>
        </w:rPr>
        <w:t xml:space="preserve"> (2013) issued by the Committee of Sponsoring Organizations of the Treadway Commission (COSO).</w:t>
      </w:r>
    </w:p>
    <w:p>
      <w:pPr>
        <w:pStyle w:val="TextBody"/>
        <w:spacing w:before="200" w:after="0"/>
        <w:rPr>
          <w:rFonts w:ascii="Times New Roman" w:hAnsi="Times New Roman"/>
          <w:b w:val="false"/>
          <w:i w:val="false"/>
          <w:caps w:val="false"/>
          <w:smallCaps w:val="false"/>
          <w:sz w:val="20"/>
        </w:rPr>
      </w:pPr>
      <w:bookmarkStart w:id="22" w:name="Paragraph_11"/>
      <w:bookmarkEnd w:id="22"/>
      <w:r>
        <w:rPr>
          <w:rFonts w:ascii="Times New Roman" w:hAnsi="Times New Roman"/>
          <w:b w:val="false"/>
          <w:i w:val="false"/>
          <w:caps w:val="false"/>
          <w:smallCaps w:val="false"/>
          <w:sz w:val="20"/>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Times New Roman" w:hAnsi="Times New Roman"/>
          <w:b w:val="false"/>
          <w:i/>
          <w:caps w:val="false"/>
          <w:smallCaps w:val="false"/>
          <w:strike/>
          <w:sz w:val="20"/>
          <w:u w:val="none"/>
          <w:effect w:val="none"/>
        </w:rPr>
        <w:t>Internal Control - Integrated Framework</w:t>
      </w:r>
      <w:r>
        <w:rPr>
          <w:rFonts w:ascii="Times New Roman" w:hAnsi="Times New Roman"/>
          <w:b w:val="false"/>
          <w:i w:val="false"/>
          <w:caps w:val="false"/>
          <w:smallCaps w:val="false"/>
          <w:sz w:val="20"/>
        </w:rPr>
        <w:t xml:space="preserve"> (2013) issued by the COSO.</w:t>
      </w:r>
    </w:p>
    <w:p>
      <w:pPr>
        <w:pStyle w:val="TextBody"/>
        <w:spacing w:before="200" w:after="0"/>
        <w:rPr>
          <w:rFonts w:ascii="Times New Roman" w:hAnsi="Times New Roman"/>
          <w:b/>
          <w:i/>
          <w:caps w:val="false"/>
          <w:smallCaps w:val="false"/>
          <w:sz w:val="20"/>
        </w:rPr>
      </w:pPr>
      <w:r>
        <w:rPr>
          <w:rFonts w:ascii="Times New Roman" w:hAnsi="Times New Roman"/>
          <w:b/>
          <w:i/>
          <w:caps w:val="false"/>
          <w:smallCaps w:val="false"/>
          <w:sz w:val="20"/>
        </w:rPr>
        <w:t>Change in Accounting Principle</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discussed in Note 2 to the consolidated financial statements, the Company changed the manner in which it accounts for leases in 2019.</w:t>
      </w:r>
    </w:p>
    <w:p>
      <w:pPr>
        <w:pStyle w:val="TextBody"/>
        <w:spacing w:before="200" w:after="0"/>
        <w:rPr>
          <w:rFonts w:ascii="Times New Roman" w:hAnsi="Times New Roman"/>
          <w:b/>
          <w:i/>
          <w:caps w:val="false"/>
          <w:smallCaps w:val="false"/>
          <w:sz w:val="20"/>
        </w:rPr>
      </w:pPr>
      <w:bookmarkStart w:id="23" w:name="eXC_Paragraph_16"/>
      <w:bookmarkEnd w:id="23"/>
      <w:r>
        <w:rPr>
          <w:rFonts w:ascii="Times New Roman" w:hAnsi="Times New Roman"/>
          <w:b/>
          <w:i/>
          <w:caps w:val="false"/>
          <w:smallCaps w:val="false"/>
          <w:sz w:val="20"/>
        </w:rPr>
        <w:t>Basis for Opinions</w:t>
      </w:r>
    </w:p>
    <w:p>
      <w:pPr>
        <w:pStyle w:val="TextBody"/>
        <w:spacing w:before="200" w:after="0"/>
        <w:rPr>
          <w:rFonts w:ascii="Times New Roman" w:hAnsi="Times New Roman"/>
          <w:b w:val="false"/>
          <w:i w:val="false"/>
          <w:caps w:val="false"/>
          <w:smallCaps w:val="false"/>
          <w:sz w:val="20"/>
        </w:rPr>
      </w:pPr>
      <w:bookmarkStart w:id="24" w:name="Paragraph_13"/>
      <w:bookmarkEnd w:id="24"/>
      <w:r>
        <w:rPr>
          <w:rFonts w:ascii="Times New Roman" w:hAnsi="Times New Roman"/>
          <w:b w:val="false"/>
          <w:i w:val="false"/>
          <w:caps w:val="false"/>
          <w:smallCaps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200" w:after="0"/>
        <w:rPr>
          <w:rFonts w:ascii="Times New Roman" w:hAnsi="Times New Roman"/>
          <w:b w:val="false"/>
          <w:i w:val="false"/>
          <w:caps w:val="false"/>
          <w:smallCaps w:val="false"/>
          <w:sz w:val="20"/>
        </w:rPr>
      </w:pPr>
      <w:bookmarkStart w:id="25" w:name="Paragraph_14"/>
      <w:bookmarkEnd w:id="25"/>
      <w:r>
        <w:rPr>
          <w:rFonts w:ascii="Times New Roman" w:hAnsi="Times New Roman"/>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spacing w:before="200" w:after="0"/>
        <w:rPr>
          <w:rFonts w:ascii="Times New Roman" w:hAnsi="Times New Roman"/>
          <w:b w:val="false"/>
          <w:i w:val="false"/>
          <w:caps w:val="false"/>
          <w:smallCaps w:val="false"/>
          <w:sz w:val="20"/>
        </w:rPr>
      </w:pPr>
      <w:bookmarkStart w:id="26" w:name="Paragraph_18"/>
      <w:bookmarkEnd w:id="26"/>
      <w:r>
        <w:rPr>
          <w:rFonts w:ascii="Times New Roman" w:hAnsi="Times New Roman"/>
          <w:b w:val="false"/>
          <w:i w:val="false"/>
          <w:caps w:val="false"/>
          <w:smallCaps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109</w:t>
      </w:r>
    </w:p>
    <w:p>
      <w:pPr>
        <w:pStyle w:val="HorizontalLine"/>
        <w:rPr/>
      </w:pPr>
      <w:r>
        <w:rPr/>
      </w:r>
    </w:p>
    <w:p>
      <w:pPr>
        <w:pStyle w:val="TextBody"/>
        <w:spacing w:before="0" w:after="0"/>
        <w:rPr/>
      </w:pPr>
      <w:r>
        <w:rPr/>
        <w:t> </w:t>
      </w:r>
    </w:p>
    <w:p>
      <w:pPr>
        <w:pStyle w:val="TextBody"/>
        <w:spacing w:before="200" w:after="0"/>
        <w:rPr>
          <w:rFonts w:ascii="Times New Roman" w:hAnsi="Times New Roman"/>
          <w:b/>
          <w:i/>
          <w:caps w:val="false"/>
          <w:smallCaps w:val="false"/>
          <w:sz w:val="20"/>
        </w:rPr>
      </w:pPr>
      <w:bookmarkStart w:id="27" w:name="eXC_Paragraph_21"/>
      <w:bookmarkEnd w:id="27"/>
      <w:r>
        <w:rPr>
          <w:rFonts w:ascii="Times New Roman" w:hAnsi="Times New Roman"/>
          <w:b/>
          <w:i/>
          <w:caps w:val="false"/>
          <w:smallCaps w:val="false"/>
          <w:sz w:val="20"/>
        </w:rPr>
        <w:t>Definition and Limitations of Internal Control over Financial Reporting</w:t>
      </w:r>
    </w:p>
    <w:p>
      <w:pPr>
        <w:pStyle w:val="TextBody"/>
        <w:spacing w:before="200" w:after="0"/>
        <w:rPr>
          <w:rFonts w:ascii="Times New Roman" w:hAnsi="Times New Roman"/>
          <w:b w:val="false"/>
          <w:i w:val="false"/>
          <w:caps w:val="false"/>
          <w:smallCaps w:val="false"/>
          <w:sz w:val="20"/>
        </w:rPr>
      </w:pPr>
      <w:bookmarkStart w:id="28" w:name="eXC_Paragraph_22"/>
      <w:bookmarkEnd w:id="28"/>
      <w:r>
        <w:rPr>
          <w:rFonts w:ascii="Times New Roman" w:hAnsi="Times New Roman"/>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200" w:after="0"/>
        <w:rPr>
          <w:rFonts w:ascii="Times New Roman" w:hAnsi="Times New Roman"/>
          <w:b w:val="false"/>
          <w:i w:val="false"/>
          <w:caps w:val="false"/>
          <w:smallCaps w:val="false"/>
          <w:sz w:val="20"/>
        </w:rPr>
      </w:pPr>
      <w:bookmarkStart w:id="29" w:name="Paragraph_6"/>
      <w:bookmarkEnd w:id="29"/>
      <w:r>
        <w:rPr>
          <w:rFonts w:ascii="Times New Roman" w:hAnsi="Times New Roman"/>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200" w:after="0"/>
        <w:rPr>
          <w:rFonts w:ascii="Times New Roman" w:hAnsi="Times New Roman"/>
          <w:b/>
          <w:i/>
          <w:caps w:val="false"/>
          <w:smallCaps w:val="false"/>
          <w:sz w:val="20"/>
        </w:rPr>
      </w:pPr>
      <w:bookmarkStart w:id="30" w:name="eXC_Paragraph_25"/>
      <w:bookmarkEnd w:id="30"/>
      <w:r>
        <w:rPr>
          <w:rFonts w:ascii="Times New Roman" w:hAnsi="Times New Roman"/>
          <w:b/>
          <w:i/>
          <w:caps w:val="false"/>
          <w:smallCaps w:val="false"/>
          <w:sz w:val="20"/>
        </w:rPr>
        <w:t>Critical Audit Matters</w:t>
      </w:r>
    </w:p>
    <w:p>
      <w:pPr>
        <w:pStyle w:val="TextBody"/>
        <w:spacing w:before="200" w:after="0"/>
        <w:rPr>
          <w:rFonts w:ascii="Times New Roman" w:hAnsi="Times New Roman"/>
          <w:b w:val="false"/>
          <w:i w:val="false"/>
          <w:caps w:val="false"/>
          <w:smallCaps w:val="false"/>
          <w:sz w:val="20"/>
        </w:rPr>
      </w:pPr>
      <w:bookmarkStart w:id="31" w:name="Paragraph_4"/>
      <w:bookmarkEnd w:id="31"/>
      <w:r>
        <w:rPr>
          <w:rFonts w:ascii="Times New Roman" w:hAnsi="Times New Roman"/>
          <w:b w:val="false"/>
          <w:i w:val="false"/>
          <w:caps w:val="false"/>
          <w:smallCaps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200" w:after="0"/>
        <w:rPr>
          <w:rFonts w:ascii="Times New Roman" w:hAnsi="Times New Roman"/>
          <w:b w:val="false"/>
          <w:i/>
          <w:caps w:val="false"/>
          <w:smallCaps w:val="false"/>
          <w:sz w:val="20"/>
        </w:rPr>
      </w:pPr>
      <w:r>
        <w:rPr>
          <w:rFonts w:ascii="Times New Roman" w:hAnsi="Times New Roman"/>
          <w:b w:val="false"/>
          <w:i/>
          <w:caps w:val="false"/>
          <w:smallCaps w:val="false"/>
          <w:sz w:val="20"/>
        </w:rPr>
        <w:t>Determining the Transaction Price for Product Revenue Recognition for Sales to Beijing Falikang Pharmaceutical Co., Ltd. (“Falikang”)</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described in Notes 2 and 3 to the consolidated financial statements, with respect to the </w:t>
      </w:r>
      <w:r>
        <w:rPr>
          <w:rFonts w:ascii="Times New Roman" w:hAnsi="Times New Roman"/>
          <w:b w:val="false"/>
          <w:i w:val="false"/>
          <w:caps w:val="false"/>
          <w:smallCaps w:val="false"/>
          <w:color w:val="000000"/>
          <w:sz w:val="20"/>
        </w:rPr>
        <w:t xml:space="preserve">roxadustat commercial product, </w:t>
      </w:r>
      <w:r>
        <w:rPr>
          <w:rFonts w:ascii="Times New Roman" w:hAnsi="Times New Roman"/>
          <w:b w:val="false"/>
          <w:i w:val="false"/>
          <w:caps w:val="false"/>
          <w:smallCaps w:val="false"/>
          <w:sz w:val="20"/>
        </w:rPr>
        <w:t>r</w:t>
      </w:r>
      <w:r>
        <w:rPr>
          <w:rFonts w:ascii="Times New Roman" w:hAnsi="Times New Roman"/>
          <w:b w:val="false"/>
          <w:i w:val="false"/>
          <w:caps w:val="false"/>
          <w:smallCaps w:val="false"/>
          <w:color w:val="000000"/>
          <w:sz w:val="20"/>
        </w:rPr>
        <w:t>evenue is recognized at a point in time when control of the product is transferred to Falikang. Total product revenue, net recognized related to sales to Falikang was $35.6 million for the year ended December 31, 2021. Revenue is recognized based on the estimated transaction price per unit and the actual quantity of product delivered to Falikang during the reporting period</w:t>
      </w:r>
      <w:r>
        <w:rPr>
          <w:rFonts w:ascii="Times New Roman" w:hAnsi="Times New Roman"/>
          <w:b w:val="false"/>
          <w:i w:val="false"/>
          <w:caps w:val="false"/>
          <w:smallCaps w:val="false"/>
          <w:sz w:val="20"/>
        </w:rPr>
        <w:t xml:space="preserve">. The estimated transaction price per unit is determined based on the overall transaction price over the total estimated sales quantity for the estimated performance period in which management determined it is likely those sales would occur. </w:t>
      </w:r>
      <w:r>
        <w:rPr>
          <w:rFonts w:ascii="Times New Roman" w:hAnsi="Times New Roman"/>
          <w:b w:val="false"/>
          <w:i w:val="false"/>
          <w:caps w:val="false"/>
          <w:smallCaps w:val="false"/>
          <w:color w:val="000000"/>
          <w:sz w:val="20"/>
        </w:rPr>
        <w:t xml:space="preserve">Management applied significant judgment in </w:t>
      </w:r>
      <w:r>
        <w:rPr>
          <w:rFonts w:ascii="Times New Roman" w:hAnsi="Times New Roman"/>
          <w:b w:val="false"/>
          <w:i w:val="false"/>
          <w:caps w:val="false"/>
          <w:smallCaps w:val="false"/>
          <w:sz w:val="20"/>
        </w:rPr>
        <w:t xml:space="preserve">determining </w:t>
      </w:r>
      <w:r>
        <w:rPr>
          <w:rFonts w:ascii="Times New Roman" w:hAnsi="Times New Roman"/>
          <w:b w:val="false"/>
          <w:i w:val="false"/>
          <w:caps w:val="false"/>
          <w:smallCaps w:val="false"/>
          <w:color w:val="000000"/>
          <w:sz w:val="20"/>
        </w:rPr>
        <w:t xml:space="preserve">the transaction price per </w:t>
      </w:r>
      <w:r>
        <w:rPr>
          <w:rFonts w:ascii="Times New Roman" w:hAnsi="Times New Roman"/>
          <w:b w:val="false"/>
          <w:i w:val="false"/>
          <w:caps w:val="false"/>
          <w:smallCaps w:val="false"/>
          <w:sz w:val="20"/>
        </w:rPr>
        <w:t>unit, which involved the use of significant assumptions such as (i) the estimated total gross transaction price and profit share, (ii) the estimated total sales quantity, and (iii) the estimated performance period in which the Company determined it is likely those sales would occur.</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principal considerations for our determination that performing procedures relating to determining the transaction price for product revenue recognition for sales to Falikang is a critical audit matter are the significant judgment by management when determining the transaction price per unit, which in turn led to a high degree of auditor judgment, subjectivity, and effort in performing procedures and in evaluating management’s significant assumptions related to the estimated total gross transaction price, estimated total sales quantity, and estimated performance period over which the Company determined it is likely those sales would occur.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110</w:t>
      </w:r>
    </w:p>
    <w:p>
      <w:pPr>
        <w:pStyle w:val="HorizontalLine"/>
        <w:rPr/>
      </w:pPr>
      <w:r>
        <w:rPr/>
      </w:r>
    </w:p>
    <w:p>
      <w:pPr>
        <w:pStyle w:val="TextBody"/>
        <w:spacing w:before="0" w:after="0"/>
        <w:rPr/>
      </w:pPr>
      <w:r>
        <w:rPr/>
        <w:t> </w:t>
      </w:r>
    </w:p>
    <w:p>
      <w:pPr>
        <w:pStyle w:val="TextBody"/>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the determination of the transaction price per unit for sales to Falikang. These procedures also</w:t>
      </w:r>
      <w:r>
        <w:rPr>
          <w:rFonts w:ascii="Times New Roman" w:hAnsi="Times New Roman"/>
          <w:b w:val="false"/>
          <w:i w:val="false"/>
          <w:caps w:val="false"/>
          <w:smallCaps w:val="false"/>
          <w:color w:val="FF0000"/>
          <w:sz w:val="20"/>
        </w:rPr>
        <w:t xml:space="preserve"> </w:t>
      </w:r>
      <w:r>
        <w:rPr>
          <w:rFonts w:ascii="Times New Roman" w:hAnsi="Times New Roman"/>
          <w:b w:val="false"/>
          <w:i w:val="false"/>
          <w:caps w:val="false"/>
          <w:smallCaps w:val="false"/>
          <w:sz w:val="20"/>
        </w:rPr>
        <w:t>included, among others,</w:t>
      </w:r>
      <w:r>
        <w:rPr>
          <w:rFonts w:ascii="Times New Roman" w:hAnsi="Times New Roman"/>
          <w:b w:val="false"/>
          <w:i w:val="false"/>
          <w:caps w:val="false"/>
          <w:smallCaps w:val="false"/>
          <w:color w:val="000000"/>
          <w:sz w:val="20"/>
        </w:rPr>
        <w:t xml:space="preserve"> testing management’s process for determining the </w:t>
      </w:r>
      <w:r>
        <w:rPr>
          <w:rFonts w:ascii="Times New Roman" w:hAnsi="Times New Roman"/>
          <w:b w:val="false"/>
          <w:i w:val="false"/>
          <w:caps w:val="false"/>
          <w:smallCaps w:val="false"/>
          <w:sz w:val="20"/>
        </w:rPr>
        <w:t>transaction price per unit, which included evaluating the appropriateness of the method, testing the completeness and accuracy of the data used in the method, and evaluating the reasonableness of significant assumptions related to the estimated total gross transaction price, estimated total sales quantity, and estimated performance period over which the Company determined it is likely those sales would occur. Evaluating the reasonableness of the significant assumptions used by management involved evaluating whether the assumptions were reasonable considering (i) the current and historical transaction price and quantity, (ii) the consistency with external market, industry and regulatory data, (iii) whether these assumptions were consistent with evidence obtained in other areas of the audit, and (iv) patent expiration and market exclusivity.</w:t>
      </w:r>
    </w:p>
    <w:p>
      <w:pPr>
        <w:pStyle w:val="TextBody"/>
        <w:spacing w:before="480" w:after="0"/>
        <w:rPr/>
      </w:pPr>
      <w:r>
        <w:rPr/>
        <w:t xml:space="preserve">/s/ PricewaterhouseCoopers LLP </w:t>
      </w:r>
    </w:p>
    <w:p>
      <w:pPr>
        <w:pStyle w:val="TextBody"/>
        <w:spacing w:before="0" w:after="0"/>
        <w:rPr/>
      </w:pPr>
      <w:r>
        <w:rPr/>
        <w:t>San Jose, California</w:t>
      </w:r>
    </w:p>
    <w:p>
      <w:pPr>
        <w:pStyle w:val="TextBody"/>
        <w:spacing w:before="0" w:after="0"/>
        <w:rPr/>
      </w:pPr>
      <w:r>
        <w:rPr/>
        <w:t>February 28, 2022</w:t>
      </w:r>
    </w:p>
    <w:p>
      <w:pPr>
        <w:pStyle w:val="TextBody"/>
        <w:spacing w:before="160" w:after="0"/>
        <w:rPr/>
      </w:pPr>
      <w:r>
        <w:rPr/>
        <w:t>We have served as the Company’s auditor since 2000.</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FIBROGEN, INC.</w:t>
      </w:r>
    </w:p>
    <w:p>
      <w:pPr>
        <w:pStyle w:val="TextBody"/>
        <w:spacing w:before="0" w:after="0"/>
        <w:jc w:val="center"/>
        <w:rPr>
          <w:rFonts w:ascii="Times New Roman" w:hAnsi="Times New Roman"/>
          <w:b/>
          <w:i w:val="false"/>
          <w:caps w:val="false"/>
          <w:smallCaps w:val="false"/>
          <w:sz w:val="20"/>
        </w:rPr>
      </w:pPr>
      <w:bookmarkStart w:id="32" w:name="CONSOLIDATED_BALANCE_SHEETS"/>
      <w:bookmarkEnd w:id="32"/>
      <w:r>
        <w:rPr>
          <w:rFonts w:ascii="Times New Roman" w:hAnsi="Times New Roman"/>
          <w:b/>
          <w:i w:val="false"/>
          <w:caps w:val="false"/>
          <w:smallCaps w:val="false"/>
          <w:sz w:val="20"/>
        </w:rPr>
        <w:t>CONSOLIDATED BALANCE SHEETS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except per share amounts)</w:t>
      </w:r>
    </w:p>
    <w:p>
      <w:pPr>
        <w:pStyle w:val="TextBody"/>
        <w:spacing w:before="0" w:after="0"/>
        <w:rPr/>
      </w:pPr>
      <w:r>
        <w:rPr/>
        <w:t> </w:t>
      </w:r>
    </w:p>
    <w:tbl>
      <w:tblPr>
        <w:tblW w:w="9796" w:type="dxa"/>
        <w:jc w:val="left"/>
        <w:tblInd w:w="0" w:type="dxa"/>
        <w:tblCellMar>
          <w:top w:w="0" w:type="dxa"/>
          <w:left w:w="0" w:type="dxa"/>
          <w:bottom w:w="28" w:type="dxa"/>
          <w:right w:w="0" w:type="dxa"/>
        </w:tblCellMar>
      </w:tblPr>
      <w:tblGrid>
        <w:gridCol w:w="6215"/>
        <w:gridCol w:w="60"/>
        <w:gridCol w:w="198"/>
        <w:gridCol w:w="1441"/>
        <w:gridCol w:w="80"/>
        <w:gridCol w:w="60"/>
        <w:gridCol w:w="210"/>
        <w:gridCol w:w="1429"/>
        <w:gridCol w:w="80"/>
        <w:gridCol w:w="23"/>
      </w:tblGrid>
      <w:tr>
        <w:trPr/>
        <w:tc>
          <w:tcPr>
            <w:tcW w:w="6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171,223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678,393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233,967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8,144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 net ($10,930 and $4,127 from related parties)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41,883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31,015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 ($0 and $889 from a related party)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20,453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10,160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474,059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755,110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time deposits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167,796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28,277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33,647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right-of-use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29,606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Equity method investment in unconsolidated variable interest entity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91,112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5,919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bottom w:val="double" w:sz="6" w:space="0" w:color="000000"/>
            </w:tcBorders>
            <w:shd w:fill="FFFFFF" w:val="clear"/>
          </w:tcPr>
          <w:p>
            <w:pPr>
              <w:pStyle w:val="TableContents"/>
              <w:spacing w:before="0" w:after="0"/>
              <w:ind w:left="547"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773,821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826,840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stockholders’ equity and non-controlling interests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($0 and $1,118 to a related party)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24,789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and other current liabilities ($4 and $24 to a related party)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172,588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118,333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 ($3,201 and $2,907 to related parties)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15,857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liabilities, 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12,330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vAlign w:val="cente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10,944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225,497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163,187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development obligations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17,613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18,697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 net of current ($25,891 and $4,636 to a related party)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186,801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138,474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liabilities, non-current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25,391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non-current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88,776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38,789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544,708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385,391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vAlign w:val="cente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Contingencies (Note 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equity: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 $0.01 par value; 125,000 shares authorized; no shares issued</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and outstanding at December 31, 2021 and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$0.01 par value; 225,000 shares authorized at December 31,</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2021 and 2020; 92,881 and 91,441 shares issued and outstanding at</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December 31, 2021 and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1,476,414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1,399,774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other comprehensive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(4,163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(1,264,034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(974,011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equity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209,146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422,178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Non-controlling interests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19,967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19,271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equity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229,113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441,449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r>
        <w:trPr/>
        <w:tc>
          <w:tcPr>
            <w:tcW w:w="621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liabilities, stockholders’ equity and non-controlling interests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773,821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826,840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112</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FIBROGEN, INC.</w:t>
      </w:r>
    </w:p>
    <w:p>
      <w:pPr>
        <w:pStyle w:val="TextBody"/>
        <w:spacing w:before="0" w:after="0"/>
        <w:jc w:val="center"/>
        <w:rPr>
          <w:rFonts w:ascii="Times New Roman" w:hAnsi="Times New Roman"/>
          <w:b/>
          <w:i w:val="false"/>
          <w:caps w:val="false"/>
          <w:smallCaps w:val="false"/>
          <w:sz w:val="20"/>
        </w:rPr>
      </w:pPr>
      <w:bookmarkStart w:id="33" w:name="CONSOLIDATED_STATEMENTS_OPERATIONS"/>
      <w:bookmarkEnd w:id="33"/>
      <w:r>
        <w:rPr>
          <w:rFonts w:ascii="Times New Roman" w:hAnsi="Times New Roman"/>
          <w:b/>
          <w:i w:val="false"/>
          <w:caps w:val="false"/>
          <w:smallCaps w:val="false"/>
          <w:sz w:val="20"/>
        </w:rPr>
        <w:t>CONSOLIDATED STATEMENTS OF OPERATIONS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except per share amounts)</w:t>
      </w:r>
    </w:p>
    <w:p>
      <w:pPr>
        <w:pStyle w:val="TextBody"/>
        <w:spacing w:before="0" w:after="0"/>
        <w:rPr/>
      </w:pPr>
      <w:r>
        <w:rPr/>
        <w:t> </w:t>
      </w:r>
    </w:p>
    <w:tbl>
      <w:tblPr>
        <w:tblW w:w="8060" w:type="dxa"/>
        <w:jc w:val="left"/>
        <w:tblInd w:w="0" w:type="dxa"/>
        <w:tblCellMar>
          <w:top w:w="0" w:type="dxa"/>
          <w:left w:w="0" w:type="dxa"/>
          <w:bottom w:w="28" w:type="dxa"/>
          <w:right w:w="0" w:type="dxa"/>
        </w:tblCellMar>
      </w:tblPr>
      <w:tblGrid>
        <w:gridCol w:w="5060"/>
        <w:gridCol w:w="60"/>
        <w:gridCol w:w="125"/>
        <w:gridCol w:w="755"/>
        <w:gridCol w:w="80"/>
        <w:gridCol w:w="60"/>
        <w:gridCol w:w="125"/>
        <w:gridCol w:w="755"/>
        <w:gridCol w:w="80"/>
        <w:gridCol w:w="60"/>
        <w:gridCol w:w="125"/>
        <w:gridCol w:w="695"/>
        <w:gridCol w:w="80"/>
      </w:tblGrid>
      <w:tr>
        <w:trPr/>
        <w:tc>
          <w:tcPr>
            <w:tcW w:w="50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86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License revenue (includes $108,434, $14,323</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and $129,405 from a related party)</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116,434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14,323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177,086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Development and other revenue (includes $21,928, $19,174</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and $29,393 from a related party)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70,275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80,592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114,115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revenue, net (includes $35,568, $0 and $0 from</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 related party)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47,638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72,498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Drug product revenue (includes $3,186, $4,281 and</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$(36,324) from a related party)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8,906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(36,324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60"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235,309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176,319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256,577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CFF0FC"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Operating costs and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goods sold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12,871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8,869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387,043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252,924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209,265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123,925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106,406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135,479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costs and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523,839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368,199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345,891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(288,530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(191,880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(89,314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Interest and other,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(2,402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6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 and other income (expenses),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5,553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15,548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interest and other,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12,672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Loss before income taxes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(290,683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(188,729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(76,642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Provision for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Investment income (loss) in unconsolidated variable</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interest entity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(290,023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(189,291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(76,970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60" w:type="dxa"/>
            <w:tcBorders/>
            <w:shd w:fill="FFFFFF"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 basic and diluted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6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number of common shares used to calculate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net loss per share - basic and diluted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92,349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89,854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86,633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FIBROGEN, INC.</w:t>
      </w:r>
    </w:p>
    <w:p>
      <w:pPr>
        <w:pStyle w:val="TextBody"/>
        <w:spacing w:before="0" w:after="0"/>
        <w:jc w:val="center"/>
        <w:rPr>
          <w:rFonts w:ascii="Times New Roman" w:hAnsi="Times New Roman"/>
          <w:b/>
          <w:i w:val="false"/>
          <w:caps w:val="false"/>
          <w:smallCaps w:val="false"/>
          <w:sz w:val="20"/>
        </w:rPr>
      </w:pPr>
      <w:bookmarkStart w:id="34" w:name="CONSOLIDATED_STATEMENTS_COMPREHENSIVE_LO"/>
      <w:bookmarkEnd w:id="34"/>
      <w:r>
        <w:rPr>
          <w:rFonts w:ascii="Times New Roman" w:hAnsi="Times New Roman"/>
          <w:b/>
          <w:i w:val="false"/>
          <w:caps w:val="false"/>
          <w:smallCaps w:val="false"/>
          <w:sz w:val="20"/>
        </w:rPr>
        <w:t>CONSOLIDATED STATEMENTS OF COMPREHENSIVE LOSS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w:t>
      </w:r>
    </w:p>
    <w:p>
      <w:pPr>
        <w:pStyle w:val="TextBody"/>
        <w:spacing w:before="0" w:after="0"/>
        <w:rPr/>
      </w:pPr>
      <w:r>
        <w:rPr/>
        <w:t> </w:t>
      </w:r>
    </w:p>
    <w:tbl>
      <w:tblPr>
        <w:tblW w:w="7370" w:type="dxa"/>
        <w:jc w:val="left"/>
        <w:tblInd w:w="0" w:type="dxa"/>
        <w:tblCellMar>
          <w:top w:w="0" w:type="dxa"/>
          <w:left w:w="0" w:type="dxa"/>
          <w:bottom w:w="28" w:type="dxa"/>
          <w:right w:w="0" w:type="dxa"/>
        </w:tblCellMar>
      </w:tblPr>
      <w:tblGrid>
        <w:gridCol w:w="4415"/>
        <w:gridCol w:w="60"/>
        <w:gridCol w:w="125"/>
        <w:gridCol w:w="755"/>
        <w:gridCol w:w="80"/>
        <w:gridCol w:w="60"/>
        <w:gridCol w:w="125"/>
        <w:gridCol w:w="755"/>
        <w:gridCol w:w="80"/>
        <w:gridCol w:w="60"/>
        <w:gridCol w:w="125"/>
        <w:gridCol w:w="650"/>
        <w:gridCol w:w="80"/>
      </w:tblGrid>
      <w:tr>
        <w:trPr/>
        <w:tc>
          <w:tcPr>
            <w:tcW w:w="441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81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(290,023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(189,291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(76,970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comprehensive income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currency translation adjustments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(3,207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Available-for-sale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gain (loss) on investments, net of tax effect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comprehensive income (loss), net of taxes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(3,752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Comprehensive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(289,687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(193,043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(76,047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FIBROGEN, INC.</w:t>
      </w:r>
    </w:p>
    <w:p>
      <w:pPr>
        <w:pStyle w:val="TextBody"/>
        <w:spacing w:before="0" w:after="0"/>
        <w:jc w:val="center"/>
        <w:rPr>
          <w:rFonts w:ascii="Times New Roman" w:hAnsi="Times New Roman"/>
          <w:b/>
          <w:i w:val="false"/>
          <w:caps w:val="false"/>
          <w:smallCaps w:val="false"/>
          <w:sz w:val="20"/>
        </w:rPr>
      </w:pPr>
      <w:bookmarkStart w:id="35" w:name="CONSOLIDATED_STATEMENTS_EQUITY"/>
      <w:bookmarkEnd w:id="35"/>
      <w:r>
        <w:rPr>
          <w:rFonts w:ascii="Times New Roman" w:hAnsi="Times New Roman"/>
          <w:b/>
          <w:i w:val="false"/>
          <w:caps w:val="false"/>
          <w:smallCaps w:val="false"/>
          <w:sz w:val="20"/>
        </w:rPr>
        <w:t>CONSOLIDATED STATEMENTS OF CHANGES IN STOCKHOLDERS’ EQUITY</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except share data)</w:t>
      </w:r>
    </w:p>
    <w:p>
      <w:pPr>
        <w:pStyle w:val="TextBody"/>
        <w:spacing w:before="0" w:after="0"/>
        <w:jc w:val="center"/>
        <w:rPr/>
      </w:pPr>
      <w:r>
        <w:rPr/>
        <w:t> </w:t>
      </w:r>
    </w:p>
    <w:tbl>
      <w:tblPr>
        <w:tblW w:w="8885" w:type="dxa"/>
        <w:jc w:val="left"/>
        <w:tblInd w:w="0" w:type="dxa"/>
        <w:tblCellMar>
          <w:top w:w="0" w:type="dxa"/>
          <w:left w:w="0" w:type="dxa"/>
          <w:bottom w:w="28" w:type="dxa"/>
          <w:right w:w="0" w:type="dxa"/>
        </w:tblCellMar>
      </w:tblPr>
      <w:tblGrid>
        <w:gridCol w:w="1910"/>
        <w:gridCol w:w="60"/>
        <w:gridCol w:w="60"/>
        <w:gridCol w:w="830"/>
        <w:gridCol w:w="60"/>
        <w:gridCol w:w="60"/>
        <w:gridCol w:w="166"/>
        <w:gridCol w:w="439"/>
        <w:gridCol w:w="60"/>
        <w:gridCol w:w="60"/>
        <w:gridCol w:w="110"/>
        <w:gridCol w:w="740"/>
        <w:gridCol w:w="60"/>
        <w:gridCol w:w="60"/>
        <w:gridCol w:w="208"/>
        <w:gridCol w:w="922"/>
        <w:gridCol w:w="80"/>
        <w:gridCol w:w="60"/>
        <w:gridCol w:w="116"/>
        <w:gridCol w:w="849"/>
        <w:gridCol w:w="80"/>
        <w:gridCol w:w="60"/>
        <w:gridCol w:w="151"/>
        <w:gridCol w:w="709"/>
        <w:gridCol w:w="60"/>
        <w:gridCol w:w="60"/>
        <w:gridCol w:w="110"/>
        <w:gridCol w:w="665"/>
        <w:gridCol w:w="80"/>
      </w:tblGrid>
      <w:tr>
        <w:trPr/>
        <w:tc>
          <w:tcPr>
            <w:tcW w:w="19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Controlling</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3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6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Interests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at December 31,</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6"/>
              </w:rPr>
              <w:t>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85,432,102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3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1,226,453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2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(2,281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(715,827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0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19,271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528,470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Impact of adoption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ASC 842 (Note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8,688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8,688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Impact of change 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accounting principle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upon adoption of ASU</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2018-02 (Note 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(76,970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(76,970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Change in unrealized gain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or loss on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Foreign currency</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translation adjustments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Shares issued from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plans, net of payroll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taxes paid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2,220,957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7,939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7,962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66,267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66,267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Warrants exercised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4,430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at December 31,</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6"/>
              </w:rPr>
              <w:t>2019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87,657,489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1,300,725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(784,720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19,271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535,406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(189,291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(189,291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Change in unrealized gain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or loss on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Foreign currency</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translation adjustments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(3,207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(3,207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Shares issued from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plans, net of payroll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taxes paid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3,783,144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26,329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26,366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Stock-based compensation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72,720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72,720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at December 31,</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6"/>
              </w:rPr>
              <w:t>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91,440,633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1,399,774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(4,499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(974,011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19,271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441,449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(290,023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(290,023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Change in unrealized gain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or loss on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Foreign currency</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translation adjustments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Shares issued from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plans, net of payroll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taxes paid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1,439,900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5,494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71,161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71,161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Conversion of subsidiary's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convertible note payable</w:t>
            </w:r>
          </w:p>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16"/>
              </w:rPr>
              <w:t>(Note 10)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at December 31,</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6"/>
              </w:rPr>
              <w:t>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92,880,533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1,476,414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2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(4,163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4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(1,264,034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19,967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229,113</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FIBROGEN, INC.</w:t>
      </w:r>
    </w:p>
    <w:p>
      <w:pPr>
        <w:pStyle w:val="TextBody"/>
        <w:spacing w:before="0" w:after="0"/>
        <w:jc w:val="center"/>
        <w:rPr>
          <w:rFonts w:ascii="Times New Roman" w:hAnsi="Times New Roman"/>
          <w:b/>
          <w:i w:val="false"/>
          <w:caps w:val="false"/>
          <w:smallCaps w:val="false"/>
          <w:sz w:val="20"/>
        </w:rPr>
      </w:pPr>
      <w:bookmarkStart w:id="36" w:name="CONSOLIDATED_STATEMENTS_CASH_FLOWS"/>
      <w:bookmarkEnd w:id="36"/>
      <w:r>
        <w:rPr>
          <w:rFonts w:ascii="Times New Roman" w:hAnsi="Times New Roman"/>
          <w:b/>
          <w:i w:val="false"/>
          <w:caps w:val="false"/>
          <w:smallCaps w:val="false"/>
          <w:sz w:val="20"/>
        </w:rPr>
        <w:t>CONSOLIDATED STATEMENTS OF CASH FLOWS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w:t>
      </w:r>
    </w:p>
    <w:p>
      <w:pPr>
        <w:pStyle w:val="TextBody"/>
        <w:spacing w:before="0" w:after="0"/>
        <w:rPr/>
      </w:pPr>
      <w:r>
        <w:rPr/>
        <w:t> </w:t>
      </w:r>
    </w:p>
    <w:tbl>
      <w:tblPr>
        <w:tblW w:w="8765" w:type="dxa"/>
        <w:jc w:val="left"/>
        <w:tblInd w:w="0" w:type="dxa"/>
        <w:tblCellMar>
          <w:top w:w="0" w:type="dxa"/>
          <w:left w:w="0" w:type="dxa"/>
          <w:bottom w:w="28" w:type="dxa"/>
          <w:right w:w="0" w:type="dxa"/>
        </w:tblCellMar>
      </w:tblPr>
      <w:tblGrid>
        <w:gridCol w:w="6020"/>
        <w:gridCol w:w="60"/>
        <w:gridCol w:w="110"/>
        <w:gridCol w:w="665"/>
        <w:gridCol w:w="80"/>
        <w:gridCol w:w="60"/>
        <w:gridCol w:w="110"/>
        <w:gridCol w:w="665"/>
        <w:gridCol w:w="80"/>
        <w:gridCol w:w="60"/>
        <w:gridCol w:w="110"/>
        <w:gridCol w:w="665"/>
        <w:gridCol w:w="80"/>
      </w:tblGrid>
      <w:tr>
        <w:trPr/>
        <w:tc>
          <w:tcPr>
            <w:tcW w:w="60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0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Operating activities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(290,023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(189,291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(76,970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Adjustments to reconcile net loss to net cash provided by (used in) operating activities: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Depreciation</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10,170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11,678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11,147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Amortization of finance lease right-of-use assets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4,639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10,369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10,307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accretion of premium and discount on investments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2,482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(3,667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Unrealized loss on equity investments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Investment (gain) loss in unconsolidated variable interest entity</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Loss (gain) on disposal of property and equipment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Stock-based compensation</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71,161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72,720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66,267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Expense for acquired in-process research and development asset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60,000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Realized loss on sales of available-for-sale securities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Changes in operating assets and liabilities: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Accounts receivable, net ($(6,803), $718 and $42,365 from related parties)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25,180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(11,973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35,229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Inventories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(14,158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(9,175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(6,887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Prepaid expenses and other current assets ($889, $124,321</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and $(125,210) from a related party)</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(9,854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123,492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(128,598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Operating lease right-of-use assets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4,209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(1,201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Other assets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(4,412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5,843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(4,058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Accounts payable ($(1,118), $1,118 and $0 from a related party)</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17,731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(3,051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Accrued and other liabilities ($(20), $(36,859) and $36,439 from</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a related party)</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16,380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30,914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17,707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Operating lease liabilities, current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Deferred revenue ($21,549, $7,169 and $(3,137) from related parties)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57,637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45,077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(49,941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Accrued interest for finance lease liabilities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Operating lease liabilities, non-current</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(4,043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Other long-term liabilities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(12,089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(27,069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53,675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cash provided by (used in) operating activities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(82,232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81,602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(78,705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Investing activities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Purchases of property and equipment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(5,186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(3,994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(5,762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Payment made for acquired in-process research and development asset</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(25,000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Payment made for investment in unconsolidated variable interest entity</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(3,896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Proceeds from equity transfer of unconsolidated variable interest entity</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Proceeds from sale of property and equipment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Purchases of available-for-sale securities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(484,144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(8,192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(411,299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Proceeds from sales of available-for-sale securities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4,214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10,606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Proceeds from maturities of investments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83,144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456,900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537,072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cash provided by (used in) investing activities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(426,972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452,487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120,018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Financing activities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Repayments of finance lease liabilities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(5,489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(12,620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(11,925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Repayments of lease obligations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Cash paid for payroll taxes on restricted stock unit releases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(7,372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(11,463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(12,750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Proceeds from issuance of common stock</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12,701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37,829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20,778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cash provided by (used in) financing activities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13,343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(4,300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Effect of exchange rate change on cash and cash equivalents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2,597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4,695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60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increase (decrease) in cash and cash equivalents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(507,170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552,127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37,008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cash and cash equivalents at beginning of period</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678,393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126,266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89,258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cash and cash equivalents at end of period</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171,223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678,393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126,266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Supplemental cash flow information:</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Interest payments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in accounts payable and accrued liabilities related to purchases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property and equipment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in accrued liabilities related to acquired in-process research</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and development asset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35,000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in other receivables related to stock option exercise</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2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Conversion of subsidiary's convertible note payable to non-controlling interests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116</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FIBROGEN, INC.</w:t>
      </w:r>
    </w:p>
    <w:p>
      <w:pPr>
        <w:pStyle w:val="TextBody"/>
        <w:spacing w:before="0" w:after="0"/>
        <w:jc w:val="center"/>
        <w:rPr>
          <w:rFonts w:ascii="Times New Roman" w:hAnsi="Times New Roman"/>
          <w:b/>
          <w:i w:val="false"/>
          <w:caps w:val="false"/>
          <w:smallCaps w:val="false"/>
          <w:sz w:val="20"/>
        </w:rPr>
      </w:pPr>
      <w:bookmarkStart w:id="37" w:name="NOTES_TO_THE_CONSOLIDATED_FS"/>
      <w:bookmarkEnd w:id="37"/>
      <w:r>
        <w:rPr>
          <w:rFonts w:ascii="Times New Roman" w:hAnsi="Times New Roman"/>
          <w:b/>
          <w:i w:val="false"/>
          <w:caps w:val="false"/>
          <w:smallCaps w:val="false"/>
          <w:sz w:val="20"/>
        </w:rPr>
        <w:t>NOTES TO THE CONSOLIDATED FINANCIAL STATEMENTS</w:t>
      </w:r>
    </w:p>
    <w:p>
      <w:pPr>
        <w:pStyle w:val="TextBody"/>
        <w:spacing w:before="0" w:after="0"/>
        <w:jc w:val="center"/>
        <w:rPr/>
      </w:pPr>
      <w:r>
        <w:rPr/>
        <w:t> </w:t>
      </w:r>
    </w:p>
    <w:p>
      <w:pPr>
        <w:pStyle w:val="TextBody"/>
        <w:spacing w:before="0" w:after="0"/>
        <w:rPr/>
      </w:pPr>
      <w:r>
        <w:rPr/>
        <w:t> </w:t>
      </w:r>
    </w:p>
    <w:tbl>
      <w:tblPr>
        <w:tblW w:w="1690" w:type="dxa"/>
        <w:jc w:val="left"/>
        <w:tblInd w:w="0" w:type="dxa"/>
        <w:tblCellMar>
          <w:top w:w="0" w:type="dxa"/>
          <w:left w:w="0" w:type="dxa"/>
          <w:bottom w:w="0" w:type="dxa"/>
          <w:right w:w="0" w:type="dxa"/>
        </w:tblCellMar>
      </w:tblPr>
      <w:tblGrid>
        <w:gridCol w:w="200"/>
        <w:gridCol w:w="1490"/>
      </w:tblGrid>
      <w:tr>
        <w:trPr/>
        <w:tc>
          <w:tcPr>
            <w:tcW w:w="200" w:type="dxa"/>
            <w:tcBorders/>
            <w:shd w:fill="auto" w:val="clear"/>
          </w:tcPr>
          <w:p>
            <w:pPr>
              <w:pStyle w:val="TableContents"/>
              <w:spacing w:before="0" w:after="0"/>
              <w:jc w:val="left"/>
              <w:rPr>
                <w:b/>
                <w:i w:val="false"/>
                <w:caps w:val="false"/>
                <w:smallCaps w:val="false"/>
                <w:strike w:val="false"/>
                <w:dstrike w:val="false"/>
                <w:u w:val="none"/>
                <w:effect w:val="none"/>
              </w:rPr>
            </w:pPr>
            <w:r>
              <w:rPr>
                <w:b/>
                <w:i w:val="false"/>
                <w:caps w:val="false"/>
                <w:smallCaps w:val="false"/>
                <w:strike w:val="false"/>
                <w:dstrike w:val="false"/>
                <w:u w:val="none"/>
                <w:effect w:val="none"/>
              </w:rPr>
              <w:t>1.</w:t>
            </w:r>
          </w:p>
        </w:tc>
        <w:tc>
          <w:tcPr>
            <w:tcW w:w="1490" w:type="dxa"/>
            <w:tcBorders/>
            <w:shd w:fill="auto" w:val="clear"/>
          </w:tcPr>
          <w:p>
            <w:pPr>
              <w:pStyle w:val="TableContents"/>
              <w:spacing w:before="0" w:after="0"/>
              <w:jc w:val="left"/>
              <w:rPr>
                <w:b/>
                <w:i w:val="false"/>
                <w:caps w:val="false"/>
                <w:smallCaps w:val="false"/>
                <w:color w:val="000000"/>
              </w:rPr>
            </w:pPr>
            <w:bookmarkStart w:id="38" w:name="NOTE_1_COMPANY"/>
            <w:bookmarkEnd w:id="38"/>
            <w:r>
              <w:rPr>
                <w:b/>
                <w:i w:val="false"/>
                <w:caps w:val="false"/>
                <w:smallCaps w:val="false"/>
                <w:color w:val="000000"/>
              </w:rPr>
              <w:t>The Company</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FibroGen, Inc. (“FibroGen” or the “Company”) is headquartered in San Francisco, California, with subsidiary offices in Beijing and Shanghai, People’s Republic of China (“China”). FibroGen is a leading biopharmaceutical company developing and commercializing a pipeline of first-in-class therapeutics. FibroGen applies its pioneering expertise in hypoxia-inducible factor biology, 2-oxoglutarate enzymology, and connective tissue growth factor biology to advance innovative medicines for the treatment of anemia, fibrotic disease, and cancer. </w:t>
      </w:r>
    </w:p>
    <w:p>
      <w:pPr>
        <w:pStyle w:val="TextBody"/>
        <w:spacing w:lineRule="auto" w:line="288" w:before="240" w:after="0"/>
        <w:rPr>
          <w:caps w:val="false"/>
          <w:smallCaps w:val="false"/>
        </w:rPr>
      </w:pPr>
      <w:r>
        <w:rPr>
          <w:rFonts w:ascii="Times New Roman" w:hAnsi="Times New Roman"/>
          <w:b w:val="false"/>
          <w:i w:val="false"/>
          <w:caps w:val="false"/>
          <w:smallCaps w:val="false"/>
          <w:sz w:val="20"/>
        </w:rPr>
        <w:t xml:space="preserve">Roxadustat is FibroGen’s most advanced product, an oral small molecule inhibitor of hypoxia-inducible factor prolyl hydroxylase activity. Roxadustat is currently approved for use in patients with anemia associated with chronic kidney disease (“CKD”) in China (2019), Japan (2020) and Europe (2021), under the tradename EVRENZO®. Roxadustat is also being commercialized in China for CKD anemia in dialysis and non-dialysis patients under the tradename: </w:t>
      </w:r>
      <w:r>
        <w:rPr>
          <w:rFonts w:eastAsia="Times New Roman"/>
          <w:b w:val="false"/>
          <w:i w:val="false"/>
          <w:caps w:val="false"/>
          <w:smallCaps w:val="false"/>
          <w:sz w:val="20"/>
        </w:rPr>
        <w:t>爱瑞卓</w:t>
      </w:r>
      <w:r>
        <w:rPr>
          <w:rFonts w:ascii="Times New Roman" w:hAnsi="Times New Roman"/>
          <w:b w:val="false"/>
          <w:i w:val="false"/>
          <w:caps w:val="false"/>
          <w:smallCaps w:val="false"/>
          <w:sz w:val="20"/>
        </w:rPr>
        <w:t xml:space="preser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Roxadustat is in Phase 3 clinical development for anemia associated with myelodysplastic syndromes and Phase 2 clinical development for chemotherapy-induced anemia.</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Pamrevlumab is FibroGen’s first-in-class antibody developed to inhibit the activity of connective tissue growth factor, a common factor in fibrotic and fibro-proliferative disorders characterized by persistent and excessive scarring that can lead to organ dysfunction and failure.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second quarter of 2021, the Food and Drug Administration (“FDA”) granted both Rare Pediatric Disease designation and Fast Track designation for pamrevlumab for the treatment of patients with Duchenne Muscular Dystrophy. In addition, the FDA has granted Orphan Drug Designation to pamrevlumab for the treatment of idiopathic pulmonary fibrosis, locally advanced unresectable pancreatic cancer, and Duchenne Muscular Dystrophy. Pamrevlumab has also received Fast Track designation from the FDA for the treatment of both idiopathic pulmonary fibrosis and locally advanced unresectable pancreatic cancer.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FibroGen has a pipeline of late-stage clinical programs as well as pre-clinical drug candidates at various stages of development that include both small molecules and biologics. </w:t>
      </w:r>
    </w:p>
    <w:p>
      <w:pPr>
        <w:pStyle w:val="TextBody"/>
        <w:spacing w:before="0" w:after="0"/>
        <w:rPr/>
      </w:pPr>
      <w:r>
        <w:rPr/>
        <w:t> </w:t>
      </w:r>
    </w:p>
    <w:tbl>
      <w:tblPr>
        <w:tblW w:w="3910" w:type="dxa"/>
        <w:jc w:val="left"/>
        <w:tblInd w:w="0" w:type="dxa"/>
        <w:tblCellMar>
          <w:top w:w="0" w:type="dxa"/>
          <w:left w:w="0" w:type="dxa"/>
          <w:bottom w:w="0" w:type="dxa"/>
          <w:right w:w="0" w:type="dxa"/>
        </w:tblCellMar>
      </w:tblPr>
      <w:tblGrid>
        <w:gridCol w:w="170"/>
        <w:gridCol w:w="3740"/>
      </w:tblGrid>
      <w:tr>
        <w:trPr/>
        <w:tc>
          <w:tcPr>
            <w:tcW w:w="170" w:type="dxa"/>
            <w:tcBorders/>
            <w:shd w:fill="auto" w:val="clear"/>
          </w:tcPr>
          <w:p>
            <w:pPr>
              <w:pStyle w:val="TableContents"/>
              <w:spacing w:before="180" w:after="0"/>
              <w:rPr>
                <w:rFonts w:ascii="Times New Roman" w:hAnsi="Times New Roman"/>
                <w:b/>
                <w:i w:val="false"/>
                <w:caps w:val="false"/>
                <w:smallCaps w:val="false"/>
                <w:sz w:val="20"/>
              </w:rPr>
            </w:pPr>
            <w:r>
              <w:rPr>
                <w:rFonts w:ascii="Times New Roman" w:hAnsi="Times New Roman"/>
                <w:b/>
                <w:i w:val="false"/>
                <w:caps w:val="false"/>
                <w:smallCaps w:val="false"/>
                <w:sz w:val="20"/>
              </w:rPr>
              <w:t>2.</w:t>
            </w:r>
          </w:p>
        </w:tc>
        <w:tc>
          <w:tcPr>
            <w:tcW w:w="3740" w:type="dxa"/>
            <w:tcBorders/>
            <w:shd w:fill="auto" w:val="clear"/>
          </w:tcPr>
          <w:p>
            <w:pPr>
              <w:pStyle w:val="TableContents"/>
              <w:spacing w:before="180" w:after="0"/>
              <w:rPr>
                <w:rFonts w:ascii="Times New Roman" w:hAnsi="Times New Roman"/>
                <w:b/>
                <w:i w:val="false"/>
                <w:caps w:val="false"/>
                <w:smallCaps w:val="false"/>
                <w:sz w:val="20"/>
              </w:rPr>
            </w:pPr>
            <w:r>
              <w:rPr>
                <w:rFonts w:ascii="Times New Roman" w:hAnsi="Times New Roman"/>
                <w:b/>
                <w:i w:val="false"/>
                <w:caps w:val="false"/>
                <w:smallCaps w:val="false"/>
                <w:sz w:val="20"/>
              </w:rPr>
              <w:t>Summary of Significant Accounting Policies</w:t>
            </w:r>
          </w:p>
        </w:tc>
      </w:tr>
    </w:tbl>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Basis of Presentation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consolidated financial statements have been prepared in accordance with accounting principles generally accepted in the United States (“U.S. GAAP”). The consolidated financial statements include the accounts of the Company, its wholly owned subsidiaries and its majority-owned subsidiaries, FibroGen Europe and FibroGen China Anemia Holdings, Ltd. (“FibroGen Cayman”). All inter-company transactions and balances have been eliminated in consolidation. For any variable interest entity (“VIE”) for which FibroGen is not the primary beneficiary, the Company uses the equity method of accounting.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operates in one reportable segment — the discovery, development and commercialization of novel therapeutics to treat serious unmet medical needs.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prior year amounts have been reclassified for consistency with the current year presentation. These reclassifications and recalculations had no impact on previously reported financial position, results of operations, or cash flows.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Foreign Currency Translation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reporting currency of the Company and its subsidiaries is the U.S. dollar.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functional currency of FibroGen Europe is the Euro. The assets and liabilities of FibroGen Europe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Prior to April 1, 2020, the functional currency of the Company’s subsidiary, FibroGen (China) Medical Technology Development Co., Ltd. (“FibroGen Beijing”), was the U.S. dollar. On April 1, 2020, FibroGen Beijing adopted CNY as its functional currency based on reassessment of the primary economic operational environment of FibroGen Beijing that is mainly associated with its growing manufacturing and product sales activities conducted in CNY. As such, monetary assets and liabilities of FibroGen Beijing in currencies other than CNY are remeasured using exchange rates in effect at the end of the period. The assets and liabilities of FibroGen Beijing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 This change in FibroGen Beijing’s functional currency was accounted for prospectively from April 1, 2020, and the prior consolidated financial statements were not restated. The related currency translation adjustment was $1.3 million at April 1, 2020 upon adoption.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functional currency of FibroGen,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Use of Estimates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specifically, estimates in variable consideration for drug product sales, and estimates in transaction price per unit for the China performance obligation (as defined and discussed under </w:t>
      </w:r>
      <w:r>
        <w:rPr>
          <w:rFonts w:ascii="Times New Roman" w:hAnsi="Times New Roman"/>
          <w:b w:val="false"/>
          <w:i/>
          <w:caps w:val="false"/>
          <w:smallCaps w:val="false"/>
          <w:sz w:val="20"/>
        </w:rPr>
        <w:t>Revenue Recognition</w:t>
      </w:r>
      <w:r>
        <w:rPr>
          <w:rFonts w:ascii="Times New Roman" w:hAnsi="Times New Roman"/>
          <w:b w:val="false"/>
          <w:i w:val="false"/>
          <w:caps w:val="false"/>
          <w:smallCaps w:val="false"/>
          <w:sz w:val="20"/>
        </w:rPr>
        <w:t xml:space="preserve"> below). On an ongoing basis, management reviews these estimates and assumptions. Changes in facts and circumstances may alter such estimates and actual results could differ from those estimates.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Concentration of Credit Risk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subject to risks associated with concentration of credit for cash and cash equivalents. Outside of short-term operating needs, the majority of cash on hand is invested in U.S. treasuries and money market funds. Any remaining cash is deposited with major financial institutions in the U.S., Finland, China and the Cayman Islands. At times, such deposits may be in excess of insured limits. The Company has not experienced any loss on its deposits of cash and cash equivalents. Included in current assets are significant balances of accounts receivable as follows:</w:t>
      </w:r>
    </w:p>
    <w:p>
      <w:pPr>
        <w:pStyle w:val="TextBody"/>
        <w:spacing w:before="0" w:after="0"/>
        <w:rPr/>
      </w:pPr>
      <w:r>
        <w:rPr/>
        <w:t> </w:t>
      </w:r>
    </w:p>
    <w:tbl>
      <w:tblPr>
        <w:tblW w:w="5408" w:type="dxa"/>
        <w:jc w:val="left"/>
        <w:tblInd w:w="0" w:type="dxa"/>
        <w:tblCellMar>
          <w:top w:w="0" w:type="dxa"/>
          <w:left w:w="0" w:type="dxa"/>
          <w:bottom w:w="28" w:type="dxa"/>
          <w:right w:w="0" w:type="dxa"/>
        </w:tblCellMar>
      </w:tblPr>
      <w:tblGrid>
        <w:gridCol w:w="3935"/>
        <w:gridCol w:w="60"/>
        <w:gridCol w:w="90"/>
        <w:gridCol w:w="350"/>
        <w:gridCol w:w="263"/>
        <w:gridCol w:w="85"/>
        <w:gridCol w:w="90"/>
        <w:gridCol w:w="350"/>
        <w:gridCol w:w="185"/>
      </w:tblGrid>
      <w:tr>
        <w:trPr/>
        <w:tc>
          <w:tcPr>
            <w:tcW w:w="39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22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December 31,</w:t>
            </w:r>
          </w:p>
        </w:tc>
        <w:tc>
          <w:tcPr>
            <w:tcW w:w="18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39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2021</w:t>
            </w:r>
          </w:p>
        </w:tc>
        <w:tc>
          <w:tcPr>
            <w:tcW w:w="263"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2020</w:t>
            </w:r>
          </w:p>
        </w:tc>
        <w:tc>
          <w:tcPr>
            <w:tcW w:w="18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39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Astellas Pharma Inc. (“Astellas”)—Related party</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tc>
        <w:tc>
          <w:tcPr>
            <w:tcW w:w="26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9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AstraZeneca AB (“AstraZeneca”)</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c>
          <w:tcPr>
            <w:tcW w:w="26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3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the accounts receivable related to roxadustat sales in China from Beijing Falikang Pharmaceutical Co., Ltd. (“Falikang”) and direct sales to distributors were not material. As of December 31, 2020, the aggregate accounts receivable related to roxadustat sales in China from distributors represented 64% of the consolidated accounts receivable, with no material balance from any individual distributor.</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Other Risks and Uncertainties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future results of operations involve a number of risks and uncertainties. Factors that could affect the Company’s future operating results and cause actual results to vary materially from expectations include, but are not limited to, rapid technological change, obtaining second source suppliers, regulatory approval from the FDA or other regulatory authorities,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118</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Cash, Cash Equivalents and Restricted Time Deposits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considers all highly liquid investments with maturities of three months or less and that are used in the Company’s cash management activities at the date of purchase to be cash equivalents. Cash and cash equivalents also include money market accounts and various deposit accounts. Restricted time deposits include an irrevocable standby letter of credit as security deposit for a long-term property lease with the Company’s landlord. Restricted time deposits as of December 31, 2021 and 2020 totaled $2.1 million and $2.1 million, respectively. As of December 31, 2021 and 2020, a total of $91.2 million and $66.0 million, respectively, of the Company’s cash and cash equivalents was held outside of the U.S. in the Company’s foreign subsidiaries to be used primarily for the Company’s China operations.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Investments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the Company’s investments consist primarily of diversified bonds, commercial paper, and asset-backed securities. Those investments with original maturities of greater than three months and remaining maturities of less than 12 months (365 days) are considered short-term investments. Those investments with maturities greater than 12 months (365 days) from the balance sheet date are considered long-term investments. When such investments are held,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Marketable equity securities are equity securities with readily determinable fair value, and are measured and recorded at fair value. Realized and unrealized gains or losses resulting from changes in value and sale of the Company’s marketable equity investments are recorded in other income (expenses) in the consolidated statement of operations.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Fair Value of Financial Instruments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Carrying amounts of certain of the Company’s financial instruments including cash equivalents, investments, receivables, accounts payable and accrued liabilities approximate fair value (See Note 5, </w:t>
      </w:r>
      <w:r>
        <w:rPr>
          <w:rFonts w:ascii="Times New Roman" w:hAnsi="Times New Roman"/>
          <w:b w:val="false"/>
          <w:i/>
          <w:caps w:val="false"/>
          <w:smallCaps w:val="false"/>
          <w:sz w:val="20"/>
        </w:rPr>
        <w:t>Fair Value Measurements</w:t>
      </w:r>
      <w:r>
        <w:rPr>
          <w:rFonts w:ascii="Times New Roman" w:hAnsi="Times New Roman"/>
          <w:b w:val="false"/>
          <w:i w:val="false"/>
          <w:caps w:val="false"/>
          <w:smallCaps w:val="false"/>
          <w:sz w:val="20"/>
        </w:rPr>
        <w: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Trade accounts receivable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allowance for doubtful accounts is based on the Company’s assessment of the collectability of customer accounts. The Company makes estimates of expected credit losses for the allowance for doubtful accounts by considering factors such as historical experience, credit quality, the age of the accounts receivable balances, current economic and regulatory conditions that may affect a customer’s ability to pay, and estimates of expected future losses. The Company’s bad debt expense for the years ended December 31, 2021, 2020 and 2019 and the allowance for doubtful accounts as of December 31, 2021 and 2020 were immaterial.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119</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Credit losses – Available-for-sale debt securities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periodically assesses its available-for-sale investments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interest and other, net.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interest and other, net, limited by the amount that the fair value is less than the amortized cost basis. Any additional impairment not recorded through an allowance for credit losses is recognized in other comprehensive income.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the allowance for credit losses are recorded as provision for, or reversal of, credit loss expense. Losses are charged against the allowance when the Company believes that an available-for-sale security is confirmed uncollectable or when either of the criteria regarding intent or requirement to sell is met.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Inventories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Inventories are stated at the lower of cost or net realizable value, on a first-in, first-out, or FIFO, basis. The cost of the Company’s inventories in China is determined using full absorption and standard costing method. The Company reviews the standard cost of raw materials, work-in-process and finished goods annually and more often as appropriate to ensure that its inventories approximate current actual cost. The cost of the Company’s inventories in the U.S. uses actual costs to determine its cost basis. The cost of inventories includes direct material cost, direct labor and manufacturing overhead. </w:t>
      </w:r>
    </w:p>
    <w:p>
      <w:pPr>
        <w:pStyle w:val="TextBody"/>
        <w:spacing w:before="240" w:after="0"/>
        <w:rPr/>
      </w:pPr>
      <w:r>
        <w:rPr/>
        <w:t>When the technical feasibility of the Company’s future commercialization is considered probable and the future economic benefit is expected to be realized, based on management’s judgment, the Company capitalizes pre-launch inventory costs prior to regulatory approval. A number of factors are considered, including the status in the validation process in significant jurisdictions, regulatory application and approval process, and terms and condition for future sale of such inventory or future alternative use. The pre-launch inventory cost includes purchase cost of raw materials, cost paid to contract manufacturers for inventory manufacturing, freight and custom charges, and certain direct internal labor and overhead expenses.</w:t>
      </w:r>
    </w:p>
    <w:p>
      <w:pPr>
        <w:pStyle w:val="TextBody"/>
        <w:spacing w:before="240" w:after="0"/>
        <w:rPr/>
      </w:pPr>
      <w:r>
        <w:rPr/>
        <w:t>The Company periodically reviews its inventories to identify obsolete, slow-moving, excess or otherwise unsaleable items. If obsolete, excess or unsaleable items are observed and there are no alternate uses for the inventory, an inventory valuation adjustment is recorded through a charge to cost of goods sold on the Company’s consolidated statements of operations. The establishment of inventory valuation reserves, together with the calculation of the amount of such reserves, requires judgment including consideration of many factors, such as estimates of future product demand and product expiration period, among others.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Property and Equipment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Property and equipment are recorded at cost and depreciated over their estimated useful lives using the straight-line method. Computer equipment, laboratory equipment, machinery and furniture and fixtures are depreciated over three to five years. Leasehold improvements are recorded at cost and amortized over the term of the lease or their useful life, whichever is shorter.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120</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Equity method investment - Variable Interest Entity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Accounting Standards Codification (“ASC”) 810, </w:t>
      </w:r>
      <w:r>
        <w:rPr>
          <w:rFonts w:ascii="Times New Roman" w:hAnsi="Times New Roman"/>
          <w:b w:val="false"/>
          <w:i/>
          <w:caps w:val="false"/>
          <w:smallCaps w:val="false"/>
          <w:sz w:val="20"/>
        </w:rPr>
        <w:t xml:space="preserve">Consolidation </w:t>
      </w:r>
      <w:r>
        <w:rPr>
          <w:rFonts w:ascii="Times New Roman" w:hAnsi="Times New Roman"/>
          <w:b w:val="false"/>
          <w:i w:val="false"/>
          <w:caps w:val="false"/>
          <w:smallCaps w:val="false"/>
          <w:sz w:val="20"/>
        </w:rPr>
        <w:t xml:space="preserve">(“ASC 810”), when the Company obtains an economic interest in an entity, it evaluates the entity to determine if it should be deemed a VIE, and, if so, whether the Company is the primary beneficiary and is therefore required to consolidate the VIE, based on significant judgment whether the Company (i) has the power to direct the activities that most significantly impact the economic performance of the VIE and (ii) has the obligation to absorb losses or the right to receive benefits of the VIE that could potentially be significant to the VIE.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an ongoing basis, the Company re-evaluates the VIE assessment based on potential changes in facts and circumstances, including but not limited to, the shareholder loans to the entity and the execution of any future significant agreements between the entity and its shareholders and/or other third parties.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Leases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determines if an arrangement is or contains a lease at inception date when it is given control of the underlying assets. The Company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Lease right-of-use (“ROU”) assets and lease liabilities are recognized based on the present value of the future minimum lease payments over the lease term at commencement date. As its leases do not typically provide an implicit rate, the Company uses its incremental borrowing rate based on the information available at commencement date in determining the present value of future payments. The Company reassesses the incremental borrowing rate periodically for application to any new leases or lease modifications, which approximates the rate at which the Company would borrow, on a secured basis, in the country where the lease was executed. For any lease modification, the Company reassesses the lease classification, remeasures the related lease liability using an updated discount rate, and adjusts the related ROU asset under the lease modification guidance under the ASC 842.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Lease ROU assets include any lease payments made and initial direct costs incurred. The Company has lease agreements with lease and non-lease components. The Company generally accounts for each lease component separately from the non-lease components, and excludes all non-lease components from the calculation of minimum lease payments in measuring the ROU asset and lease liability.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lease terms may include options to extend or terminate the lease when it is reasonably certain that the Company will exercise that option. Lease expense for minimum lease payments is recognized on a straight-line basis over the lease terms.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Finance leases are included in finance lease ROU assets, finance lease liabilities, current and non-current on the Company’s consolidated balance sheets. Operating leases are included in operating lease ROU assets, operating lease liabilities, current and non-current on the Company’s consolidated balance sheets.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Impairment of Long-Lived Assets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continually evaluates whether events or circumstances have occurred that indicate that the estimated remaining useful life of its long-lived assets may warrant revision or that the carrying value of these assets may be impaired. If the Company determines that an impairment trigger has been met, the Company evaluates the realizability of its long-lived assets (asset group) based on a comparison of projected undiscounted cash flows from use and eventual disposition with the carrying value of the related asset. Any write-downs (which are measured based on the difference between the fair value and the carrying value of the asset) are treated as permanent reductions in the carrying amount of the assets (asset group). Based on this evaluation, the Company believes that, as of each of the balance sheet dates presented, none of the Company’s long-lived assets were impaired. The Company’s impairment of long-lived assets for the years ended December 31, 2021, 2020 and 2019 were immaterial.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121</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Revenue Recognition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Revenues under collaboration agreements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Determining the performance obligations within a collaboration agreement often involves significant judgment and is specific to the facts and circumstances contained in each agreement.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 in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revenue recognition purposes, the Company determines that the terms of its collaboration agreements begin on the effective date and end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 unless in exceptionally rare situations.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payments from sales of active pharmaceutical ingredient (“API”); payments from sales of bulk drug product and royalties on net sales of licensed products.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Co-development billings resulting from the Company’s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Determining the amount of variable consideration from co-development billings requires the Company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royalty revenue resulting from its collaboration arrangements was immaterial.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each performance obligation identified within an arrangement, the Company determines the period over which the promised services are transferred and the performance obligation is satisfied. Service revenue is recognized over time based on progress toward complete satisfaction of the performance obligation. For each performance obligation satisfied over time, the Company assesses the proper method to be used for revenue recognition, either an input method to measure progress toward the satisfaction of services or an output method of determining the progress of completion of performance obligation.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License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a license agreement, if the license to the Company’s intellectual property is determined to be distinct from the other performance obligations identified in the arrangement, the Company recognizes revenues from upfront license fees allocated to the license when the license is transferred to the licensee and the licensee is able to use and benefit from the license. For licenses that are bundled with other promises, the Company determines whether the combined performance obligation is satisfied over time or at a point in time. If the combined performance obligation is satisfied over time, the Company uses judgment in determining the appropriate method of measuring progress for purposes of recognizing revenue from the up-front license fees. The Company evaluates the measure of progress each reporting period and, if necessary, adjusts the measure of performance and related revenue recognition.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Product revenue,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revenue, net consists of revenues from sales of roxadustat commercial product to Falikang, and directly to pharmaceutical distributors located in a few provinces in China that are not covered by Falikang. Falikang is jointly owned by AstraZeneca and FibroGen Beijing. The Company is not the primary beneficiary of Falikang for accounting purposes, as AstraZeneca is the final decision maker for all the roxadustat commercialization activities, and the Company lacks the power criterion to direct the activities of Falikang (see Note 4, </w:t>
      </w:r>
      <w:r>
        <w:rPr>
          <w:rFonts w:ascii="Times New Roman" w:hAnsi="Times New Roman"/>
          <w:b w:val="false"/>
          <w:i/>
          <w:caps w:val="false"/>
          <w:smallCaps w:val="false"/>
          <w:sz w:val="20"/>
        </w:rPr>
        <w:t>Equity method investment - Variable Interest Entity</w:t>
      </w:r>
      <w:r>
        <w:rPr>
          <w:rFonts w:ascii="Times New Roman" w:hAnsi="Times New Roman"/>
          <w:b w:val="false"/>
          <w:i w:val="false"/>
          <w:caps w:val="false"/>
          <w:smallCaps w:val="false"/>
          <w:sz w:val="20"/>
        </w:rPr>
        <w:t xml:space="preserve">).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Sales to Falikang</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promises identified under the AstraZeneca China Agreement (as defined in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xml:space="preserve">), including the license, co-development services and manufacturing of commercial supplies have been bundled into a single performance obligation (“China performance obligation”). Amounts of the transaction price allocable to this performance obligation under the Company’s agreements with AstraZeneca as outlined in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xml:space="preserve"> are deferred until control of the manufactured commercial product is transferred to AstraZeneca.</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123</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initiation of roxadustat sales to Falikang marked the beginning of the China performance obligation</w:t>
      </w:r>
      <w:r>
        <w:rPr>
          <w:rFonts w:ascii="Times New Roman" w:hAnsi="Times New Roman"/>
          <w:b w:val="false"/>
          <w:i/>
          <w:caps w:val="false"/>
          <w:smallCaps w:val="false"/>
          <w:sz w:val="20"/>
        </w:rPr>
        <w:t>.</w:t>
      </w:r>
      <w:r>
        <w:rPr>
          <w:rFonts w:ascii="Times New Roman" w:hAnsi="Times New Roman"/>
          <w:b w:val="false"/>
          <w:i w:val="false"/>
          <w:caps w:val="false"/>
          <w:smallCaps w:val="false"/>
          <w:sz w:val="20"/>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the Company determined it is likely those sales would occur. The price per unit is subject to reassessment on a quarterly basis, which may result in cumulative catch up adjustments due to changes in estimates.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overall transaction price for FibroGen Beijing’s product sales to Falikang includes the following elements of consideration: </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Non-refundable upfront license fees; development, regulatory, and commercial milestone payments based on the China Agreement allocated to the China performance obligation;</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Co-development billings resulting from the Company’s research and development efforts, which are reimbursable under the China Agreement;</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Interim profit/loss share between FibroGen Beijing and AstraZeneca from April 1, 2020 through December 31, 2020; and</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Net transaction price from product sales to Falikang from January 1, 2021 onwards. The net transaction price includes the following elements: </w:t>
            </w:r>
          </w:p>
        </w:tc>
      </w:tr>
    </w:tbl>
    <w:tbl>
      <w:tblPr>
        <w:tblW w:w="10205" w:type="dxa"/>
        <w:jc w:val="left"/>
        <w:tblInd w:w="0" w:type="dxa"/>
        <w:tblCellMar>
          <w:top w:w="0" w:type="dxa"/>
          <w:left w:w="0" w:type="dxa"/>
          <w:bottom w:w="0" w:type="dxa"/>
          <w:right w:w="0" w:type="dxa"/>
        </w:tblCellMar>
      </w:tblPr>
      <w:tblGrid>
        <w:gridCol w:w="60"/>
        <w:gridCol w:w="140"/>
        <w:gridCol w:w="100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4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o</w:t>
            </w:r>
          </w:p>
        </w:tc>
        <w:tc>
          <w:tcPr>
            <w:tcW w:w="100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Gross transaction price: The gross transaction price is based on a percentage of Falikang’s net sales to its distributors, which takes into account Falikang’s operating expenses and its payments to AstraZeneca for roxadustat sales and marketing efforts, capped at a percentage of Falikang’s net roxadustat sales. </w:t>
            </w:r>
          </w:p>
        </w:tc>
      </w:tr>
    </w:tbl>
    <w:tbl>
      <w:tblPr>
        <w:tblW w:w="10205" w:type="dxa"/>
        <w:jc w:val="left"/>
        <w:tblInd w:w="0" w:type="dxa"/>
        <w:tblCellMar>
          <w:top w:w="0" w:type="dxa"/>
          <w:left w:w="0" w:type="dxa"/>
          <w:bottom w:w="0" w:type="dxa"/>
          <w:right w:w="0" w:type="dxa"/>
        </w:tblCellMar>
      </w:tblPr>
      <w:tblGrid>
        <w:gridCol w:w="60"/>
        <w:gridCol w:w="140"/>
        <w:gridCol w:w="100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4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o</w:t>
            </w:r>
          </w:p>
        </w:tc>
        <w:tc>
          <w:tcPr>
            <w:tcW w:w="100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Profit share: The gross transaction price is then adjusted for an estimated amount to achieve the 50/50 profit share from current period roxadustat net sales in China. The adjustments to date have been a reduction to the transaction price and the related accounts receivable from Falikang.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significant assumptions such as total sales quantity, performance period, gross transaction price and profit share, which require a significant judgment.</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net transaction price in excess of the revenue recognized is deferred, and will be recognized over future periods as the performance obligations are satisfied.</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Direct Sales to Distributors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sells roxadustat in China directly to a number of pharmaceutical distributors located in a few provinces in China that are not covered by Falikang. These pharmaceutical distributors are the Company’s customers. Hospitals order roxadustat through a distributor and the Company ships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that the Company expects to be entitled to in exchange for the product.</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period between the transfer of control of the promised goods and when the Company receives payment is based on 60-day payment terms. As such, product revenue is not adjusted for the effects of a significant financing component.</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revenue is recorded at the net sales prices that includes the following estimates of variable consideration:</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Price adjustment: When China’s National Healthcare Security Administration releases price guidance for roxadustat under the National Reimbursement Drug List, any channel inventories that have not been sold through by distributors, or to patients by hospitals and retailers, would be eligible for a price adjustment under the price protection. The price adjustment is calculated based on estimated channel inventory levels;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124</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Non-key account hospital listing award: A one-time fixed-amount award is offered to a distributor who successfully lists the product with an eligible hospital, and who meets certain requirements. For the year ended December 31, 2020, the non-key account hospital listing award was capitalized when the distributor meets eligibility requirements, and amortized as reduction to product revenue over future sales orders made by the distributor until exhausted. For the year ended December 31, 2021, the non-key account hospital listing award was immaterial and recorded as a reduction to revenue when distributor meets eligibility requirements;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7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Sales returns: Distributors can request to return product to the Company only due to quality issues or for product purchased within one year prior to the product’s expiration date.</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significant judgment.</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the Company expects to settle the discount in cash. The distributor’s legal right of offset is calculated at the individual distributor level.</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Drug product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Drug product revenue includes commercial-grade API or bulk drug product sales to AstraZeneca and Astellas in support of pre-commercial preparation prior to the New Drug Application (“NDA”) or Marketing Authorization Application approval, and to Astellas for ongoing commercial launch in Japan and Europe. Drug product revenue is recognized when the Company fulfills the inventory transfer obligations.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The Company reviews new information that may affect its variable consideration estimate at every reporting period and records revenue adjustment, if certain and material. Actual amounts of consideration ultimately received in the future may differ from the Company’s estimates, for which the Company will adjust these estimates and affect the drug product revenue in the period such variances become known. The total amount constrained as of December 31, 2021 was $88.8 million related to the drug product shipments to Astellas and AstraZeneca.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each of the Company’s collaboration agreements provide for annual true up to the considerations paid for its commercial supplies, the Company will re-evaluate the transaction price in each reporting period and record adjustment to revenue as uncertain events are resolved or other changes in circumstances occur.</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License Acquisition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June 2021, the Company entered into an exclusive license and option agreement (the “HiFiBiO Agreement”) with HiFiBiO Therapeutics (“HiFiBiO”), pursuant to which the Company exclusively licensed all product candidates in HiFiBiO’s Galectin-9 program. Pursuant to its option, the Company has also exclusively licensed all product candidates in HiFiBiO’s CCR8 program in December 2021. The Company has declined to exercise its option to HiFiBiO’s CXCR5 program, however, it is pursuing a replacement option program as specified under the HiFiBiO Agreement. Under the terms of the HiFiBiO Agreement, the Company has paid a $25.0 million upfront payment to HiFiBiO during the year ended December 31, 2021, and recorded a $35.0 million upfront payment for the CCR8 option exercise in accrued liabilities as of December 31, 2021, which was paid during the first quarter of 2022. In addition, HiFiBiO may receive up to a total of an additional $1.1 billion in future option, clinical, regulatory, and commercial milestone payments across all three potential programs. HiFiBiO will also be eligible to receive royalties based upon worldwide net sales.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125</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acquisition of these licenses was accounted for as an asset acquisition. The above-mentioned upfront payments of $60.0 million related to the license and options acquisition meets the definition of an in-process research and development asset (“IPR&amp;D asset”) under the ASC 730, </w:t>
      </w:r>
      <w:r>
        <w:rPr>
          <w:rFonts w:ascii="Times New Roman" w:hAnsi="Times New Roman"/>
          <w:b w:val="false"/>
          <w:i/>
          <w:caps w:val="false"/>
          <w:smallCaps w:val="false"/>
          <w:sz w:val="20"/>
        </w:rPr>
        <w:t>Research and Development</w:t>
      </w:r>
      <w:r>
        <w:rPr>
          <w:rFonts w:ascii="Times New Roman" w:hAnsi="Times New Roman"/>
          <w:b w:val="false"/>
          <w:i w:val="false"/>
          <w:caps w:val="false"/>
          <w:smallCaps w:val="false"/>
          <w:sz w:val="20"/>
        </w:rPr>
        <w:t>. They relate to particular research and development projects and are determined to have no alternative future uses and thus have no separate economic value. Therefore, these upfront payments were recorded as research and development expenses during the year ended December 31, 2021, and the cash payment of $25.0 million during the year ended December 31, 2021 was reflected as an investing activity in the consolidated statement of cash flows.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Contingent consideration payments will be evaluated and recognized when they become probable and reasonably estimable. The related IPR&amp;D asset will only be capitalized if it has an alternative future use other than in a particular research and development project. Otherwise, amounts allocated to IPR&amp;D asset that have no alternative use will be expensed. As of December 31, 2021, all programs were at the early stage of development and the contingencies related to the milestone payments had not been resolved, therefore no contingent consideration was recognized. The Company will reassess the probability of future option payments and contingent payments on a quarterly basis.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Research and Development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expenses consist of above-mentioned expense for acquired IPR&amp;D asset, independent research and development costs and the gross amount of costs associated with work performed under collaboration agreements. Research and development costs include employee-related expenses, expenses incurred under agreements with clinical research organizations, other clinical and preclinical costs and allocated direct and indirect overhead costs, such as facilities costs, information technology costs and other overhead. All research and development costs are expensed as incurred.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Clinical Trial Accruals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Selling, General and Administrative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Income Taxes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2020, the Company transferred certain intellectual property rights relating to its Chinese business between its wholly owned subsidiaries that are based in different tax jurisdictions. See Note 12, </w:t>
      </w:r>
      <w:r>
        <w:rPr>
          <w:rFonts w:ascii="Times New Roman" w:hAnsi="Times New Roman"/>
          <w:b w:val="false"/>
          <w:i/>
          <w:caps w:val="false"/>
          <w:smallCaps w:val="false"/>
          <w:sz w:val="20"/>
        </w:rPr>
        <w:t>Income Taxes</w:t>
      </w:r>
      <w:r>
        <w:rPr>
          <w:rFonts w:ascii="Times New Roman" w:hAnsi="Times New Roman"/>
          <w:b w:val="false"/>
          <w:i w:val="false"/>
          <w:caps w:val="false"/>
          <w:smallCaps w:val="false"/>
          <w:sz w:val="20"/>
        </w:rPr>
        <w:t>, for more information. The establishment of a deferred tax asset from the intra-entity transfer of intangible assets required the Company to make significant estimates and assumptions to determine the fair value of intellectual property rights transferred, which include but are not limited to, its expectations of discount rate, revenue volume and price.</w:t>
      </w:r>
      <w:r>
        <w:rPr>
          <w:rFonts w:ascii="Times New Roman" w:hAnsi="Times New Roman"/>
          <w:b w:val="false"/>
          <w:i w:val="false"/>
          <w:caps w:val="false"/>
          <w:smallCaps w:val="false"/>
          <w:sz w:val="20"/>
          <w:highlight w:val="white"/>
        </w:rPr>
        <w:t xml:space="preserve"> The accuracy of these estimates could be affected by unforeseen events or actual results, and the sustainability of the Company’s future tax benefits is dependent upon the acceptance of these valuation estimates and assumptions by the taxing authorities.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adopted ASC 740-10, </w:t>
      </w:r>
      <w:r>
        <w:rPr>
          <w:rFonts w:ascii="Times New Roman" w:hAnsi="Times New Roman"/>
          <w:b w:val="false"/>
          <w:i/>
          <w:caps w:val="false"/>
          <w:smallCaps w:val="false"/>
          <w:sz w:val="20"/>
        </w:rPr>
        <w:t>Accounting for Uncertainty in Income Taxes</w:t>
      </w:r>
      <w:r>
        <w:rPr>
          <w:rFonts w:ascii="Times New Roman" w:hAnsi="Times New Roman"/>
          <w:b w:val="false"/>
          <w:i w:val="false"/>
          <w:caps w:val="false"/>
          <w:smallCaps w:val="false"/>
          <w:sz w:val="20"/>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includes interest and penalties related to unrecognized tax benefits within income tax expense in the Consolidated Statements of Operations.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Stock-Based Compensation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maintains equity incentive plans under which incentive and nonqualified stock options are granted to employees and non-employee consultants. Compensation expense relating to non-employee stock options has not been material for all the periods presented.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measures and recognizes compensation expense for all stock options and restricted stock units (“RSUs”) granted to its employees and directors based on the estimated fair value of the award on the grant date. The Company uses the Black-Scholes valuation model to estimate the fair value of stock option awards. The fair value is recognized as expense, net of estimated forfeitures, over the requisite service period, which is generally the vesting period of the respective award, on a straight-line basis. The Company believes that the fair value of stock options granted to non-employees is more reliably measured than the fair value of the services received. The determination of the grant date fair value of options using an option pricing model is affected by the Company’s estimated Common Stock fair value and requires management to make a number of assumptions including the expected life of the option, the volatility of the underlying stock, the risk-free interest rate and expected dividends.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Comprehensive Income (Loss)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required to report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Recently Issued and Adopted Accounting Guidance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2019, the Financial Accounting Standards Board (“FASB”) issued Accounting Standards Update (“ASU”) No. 2019-12, </w:t>
      </w:r>
      <w:r>
        <w:rPr>
          <w:rFonts w:ascii="Times New Roman" w:hAnsi="Times New Roman"/>
          <w:b w:val="false"/>
          <w:i/>
          <w:caps w:val="false"/>
          <w:smallCaps w:val="false"/>
          <w:sz w:val="20"/>
        </w:rPr>
        <w:t>Income Taxes (Topic 740): Simplifying the Accounting for Income Taxes</w:t>
      </w:r>
      <w:r>
        <w:rPr>
          <w:rFonts w:ascii="Times New Roman" w:hAnsi="Times New Roman"/>
          <w:b w:val="false"/>
          <w:i w:val="false"/>
          <w:caps w:val="false"/>
          <w:smallCaps w:val="false"/>
          <w:sz w:val="20"/>
        </w:rPr>
        <w:t>. This guidance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This guidance was effective for annual reporting periods beginning after December 15, 2020 including interim periods. The Company adopted this guidance on January 1, 2021, and the adoption of this guidance did not have material impact to the Company’s consolidated financial statements and related disclosures.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August 2018, the Financial Accounting Standards Board (“FASB”) issued Accounting Standards Update (“ASU”) No. 2018-15, </w:t>
      </w:r>
      <w:r>
        <w:rPr>
          <w:rFonts w:ascii="Times New Roman" w:hAnsi="Times New Roman"/>
          <w:b w:val="false"/>
          <w:i/>
          <w:caps w:val="false"/>
          <w:smallCaps w:val="false"/>
          <w:sz w:val="20"/>
        </w:rPr>
        <w:t xml:space="preserve">Intangibles—Goodwill and Other—Internal-Use Software (Subtopic 350-40): Customer’s Accounting for Implementation Costs Incurred in a Cloud Computing Arrangement That Is a Service Contract. </w:t>
      </w:r>
      <w:r>
        <w:rPr>
          <w:rFonts w:ascii="Times New Roman" w:hAnsi="Times New Roman"/>
          <w:b w:val="false"/>
          <w:i w:val="false"/>
          <w:caps w:val="false"/>
          <w:smallCaps w:val="false"/>
          <w:sz w:val="20"/>
        </w:rPr>
        <w:t>This guidance requires capitalizing implementation costs incurred to develop or obtain internal-use software (and hosting arrangements that include an internal-use software license). This guidance was effective for annual reporting periods beginning after December 15, 2019, including interim periods. The Company adopted this guidance on January 1, 2020 using the prospective method, and the adoption of this guidance did not have material impact to the Company’s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June 2016, the FASB issued ASU No. 2016-13, </w:t>
      </w:r>
      <w:r>
        <w:rPr>
          <w:rFonts w:ascii="Times New Roman" w:hAnsi="Times New Roman"/>
          <w:b w:val="false"/>
          <w:i/>
          <w:caps w:val="false"/>
          <w:smallCaps w:val="false"/>
          <w:sz w:val="20"/>
        </w:rPr>
        <w:t xml:space="preserve">Financial Instruments - Credit Losses (Topic 326): Measurement of Credit Losses on Financial Instruments </w:t>
      </w:r>
      <w:r>
        <w:rPr>
          <w:rFonts w:ascii="Times New Roman" w:hAnsi="Times New Roman"/>
          <w:b w:val="false"/>
          <w:i w:val="false"/>
          <w:caps w:val="false"/>
          <w:smallCaps w:val="false"/>
          <w:sz w:val="20"/>
        </w:rPr>
        <w:t xml:space="preserve">(“ASU 2016-13”). This guidance is intended to provide financial statement users with more decision-useful information about the expected credit losses on 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In November 2019, the FASB issued ASU No. 2019-11, </w:t>
      </w:r>
      <w:r>
        <w:rPr>
          <w:rFonts w:ascii="Times New Roman" w:hAnsi="Times New Roman"/>
          <w:b w:val="false"/>
          <w:i/>
          <w:caps w:val="false"/>
          <w:smallCaps w:val="false"/>
          <w:sz w:val="20"/>
        </w:rPr>
        <w:t xml:space="preserve">Codification Improvements to Topic 326, Financial Instruments-Credit Losses </w:t>
      </w:r>
      <w:r>
        <w:rPr>
          <w:rFonts w:ascii="Times New Roman" w:hAnsi="Times New Roman"/>
          <w:b w:val="false"/>
          <w:i w:val="false"/>
          <w:caps w:val="false"/>
          <w:smallCaps w:val="false"/>
          <w:sz w:val="20"/>
        </w:rPr>
        <w:t>(“ASU 2019-11”)</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which has the same effective dates and transition requirements as ASU 2016-13. ASU 2016-13 and ASU 2019-11 were effective for annual reporting periods beginning after December 15, 2019 including interim periods. The Company’s investment portfolio primarily consists of U.S. Treasury bills and notes carried at fair value, which is required to follow the impairment model under Topic 326. The Company adopted this guidance on January 1, 2020. Based on the composition of the Company’s trade receivables and investment portfolio, economic conditions and historical credit loss activity, the adoption of this guidance did not have material impact to the Company’s consolidated financial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February 2016, the FASB issued ASU 2016-02, </w:t>
      </w:r>
      <w:r>
        <w:rPr>
          <w:rFonts w:ascii="Times New Roman" w:hAnsi="Times New Roman"/>
          <w:b w:val="false"/>
          <w:i/>
          <w:caps w:val="false"/>
          <w:smallCaps w:val="false"/>
          <w:sz w:val="20"/>
        </w:rPr>
        <w:t xml:space="preserve">Leases (Topic 842). </w:t>
      </w:r>
      <w:r>
        <w:rPr>
          <w:rFonts w:ascii="Times New Roman" w:hAnsi="Times New Roman"/>
          <w:b w:val="false"/>
          <w:i w:val="false"/>
          <w:caps w:val="false"/>
          <w:smallCaps w:val="false"/>
          <w:sz w:val="20"/>
        </w:rPr>
        <w:t>The Company adopted the lease guidance under ASC 842 as of January 1, 2019, using the modified retrospective transition method, through a cumulative-effect adjustment. The adoption of this guidance resulted in a reduction of $8.7 million to the Company’s accumulated deficit and also impacted various balance sheet line items in its consolidated balance sheet as of January 1, 2019 upon adoption. The adoption of this guidance did not have a material impact to the Company’s consolidated statement of operations or consolidated statement of cash flows for the year ended December 31, 2019.</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February 2018, the FASB issued ASU 2018-02, </w:t>
      </w:r>
      <w:r>
        <w:rPr>
          <w:rFonts w:ascii="Times New Roman" w:hAnsi="Times New Roman"/>
          <w:b w:val="false"/>
          <w:i/>
          <w:caps w:val="false"/>
          <w:smallCaps w:val="false"/>
          <w:sz w:val="20"/>
        </w:rPr>
        <w:t>Income Statement - Reporting Comprehensive Income: Reclassification of Certain Tax Effects from Accumulated Other Comprehensive Income</w:t>
      </w:r>
      <w:r>
        <w:rPr>
          <w:rFonts w:ascii="Times New Roman" w:hAnsi="Times New Roman"/>
          <w:b w:val="false"/>
          <w:i w:val="false"/>
          <w:caps w:val="false"/>
          <w:smallCaps w:val="false"/>
          <w:sz w:val="20"/>
        </w:rPr>
        <w:t>. The Company adopted this guidance on January 1, 2019 using the modified retrospective approach, with a reduction of $0.6 million to its accumulated other comprehensive loss and an increase of $0.6 million to its accumulated deficit as of January 1, 2019 upon adoption. The adoption of this guidance had no impact to the Company’s consolidated statement of operations or consolidated statement of cash flows for the year ended December 31, 2019.</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Recently Issued Accounting Guidance Not Yet Adopted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March 2020, the FASB issued ASU 2020-04, </w:t>
      </w:r>
      <w:r>
        <w:rPr>
          <w:rFonts w:ascii="Times New Roman" w:hAnsi="Times New Roman"/>
          <w:b w:val="false"/>
          <w:i/>
          <w:caps w:val="false"/>
          <w:smallCaps w:val="false"/>
          <w:sz w:val="20"/>
        </w:rPr>
        <w:t>Reference Rate Reform (Topic 848): Facilitation of the Effects of Reference Rate Reform on Financial Reporting</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ASU</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2020-04</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w:t>
      </w:r>
      <w:r>
        <w:rPr>
          <w:rFonts w:ascii="Times New Roman" w:hAnsi="Times New Roman"/>
          <w:b w:val="false"/>
          <w:i w:val="false"/>
          <w:caps w:val="false"/>
          <w:smallCaps w:val="false"/>
          <w:sz w:val="20"/>
        </w:rPr>
        <w:t xml:space="preserve"> which provides companies with optional financial reporting alternatives to reduce the cost and complexity associated with the accounting for contracts and hedging relationships affected by reference rate reform. This guidance is effective as of March 12, 2020 through December 31, 2022. Subsequently in January 2021, the FASB issued ASU 2021-01, </w:t>
      </w:r>
      <w:r>
        <w:rPr>
          <w:rFonts w:ascii="Times New Roman" w:hAnsi="Times New Roman"/>
          <w:b w:val="false"/>
          <w:i/>
          <w:caps w:val="false"/>
          <w:smallCaps w:val="false"/>
          <w:sz w:val="20"/>
        </w:rPr>
        <w:t>Reference Rate Reform (Topic 848): Scope</w:t>
      </w:r>
      <w:r>
        <w:rPr>
          <w:rFonts w:ascii="Times New Roman" w:hAnsi="Times New Roman"/>
          <w:b w:val="false"/>
          <w:i w:val="false"/>
          <w:caps w:val="false"/>
          <w:smallCaps w:val="false"/>
          <w:sz w:val="20"/>
        </w:rPr>
        <w:t xml:space="preserve">,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 2020-04. The relief offered by this guidance, if adopted, is available to companies for the period March 12, 2020 through December 31, 2022. </w:t>
      </w:r>
      <w:r>
        <w:rPr>
          <w:rFonts w:ascii="Times New Roman" w:hAnsi="Times New Roman"/>
          <w:b w:val="false"/>
          <w:i w:val="false"/>
          <w:caps w:val="false"/>
          <w:smallCaps w:val="false"/>
          <w:sz w:val="20"/>
          <w:highlight w:val="white"/>
        </w:rPr>
        <w:t xml:space="preserve">The Company has certain lease arrangements that are linked to LIBOR. The Company is in the process of evaluating options for transitioning away from LIBOR and expects to complete this analysis by the time LIBOR is phased out. The Company did not elect to apply any of the expedients or exceptions as of and for the year ended </w:t>
      </w:r>
      <w:r>
        <w:rPr>
          <w:rFonts w:ascii="Times New Roman" w:hAnsi="Times New Roman"/>
          <w:b w:val="false"/>
          <w:i w:val="false"/>
          <w:caps w:val="false"/>
          <w:smallCaps w:val="false"/>
          <w:sz w:val="20"/>
        </w:rPr>
        <w:t xml:space="preserve">December </w:t>
      </w:r>
      <w:r>
        <w:rPr>
          <w:rFonts w:ascii="Times New Roman" w:hAnsi="Times New Roman"/>
          <w:b w:val="false"/>
          <w:i w:val="false"/>
          <w:caps w:val="false"/>
          <w:smallCaps w:val="false"/>
          <w:sz w:val="20"/>
          <w:highlight w:val="white"/>
        </w:rPr>
        <w:t>31, 2021 and is currently evaluating the impact on its consolidated financial statements and related disclosures upon adoption of this guidance.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128</w:t>
      </w:r>
    </w:p>
    <w:p>
      <w:pPr>
        <w:pStyle w:val="HorizontalLine"/>
        <w:rPr/>
      </w:pPr>
      <w:r>
        <w:rPr/>
      </w:r>
    </w:p>
    <w:p>
      <w:pPr>
        <w:pStyle w:val="TextBody"/>
        <w:spacing w:before="0" w:after="0"/>
        <w:rPr/>
      </w:pPr>
      <w:r>
        <w:rPr/>
        <w:t> </w:t>
      </w:r>
    </w:p>
    <w:tbl>
      <w:tblPr>
        <w:tblW w:w="5350" w:type="dxa"/>
        <w:jc w:val="left"/>
        <w:tblInd w:w="0" w:type="dxa"/>
        <w:tblCellMar>
          <w:top w:w="0" w:type="dxa"/>
          <w:left w:w="0" w:type="dxa"/>
          <w:bottom w:w="0" w:type="dxa"/>
          <w:right w:w="0" w:type="dxa"/>
        </w:tblCellMar>
      </w:tblPr>
      <w:tblGrid>
        <w:gridCol w:w="170"/>
        <w:gridCol w:w="5180"/>
      </w:tblGrid>
      <w:tr>
        <w:trPr/>
        <w:tc>
          <w:tcPr>
            <w:tcW w:w="17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3.</w:t>
            </w:r>
          </w:p>
        </w:tc>
        <w:tc>
          <w:tcPr>
            <w:tcW w:w="518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Collaboration Agreements, License Agreement and Revenues</w:t>
            </w:r>
          </w:p>
        </w:tc>
      </w:tr>
    </w:tbl>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Astellas Agreements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Japan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June 2005, the Company entered into a collaboration agreement with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(such amounts were fully received as of July 2016), (ii) up to $95.0 million in milestone payments upon achievement of specified regulatory milestone events, and (iii) up to approximately $15.0 million in milestone payments upon the achievement of specified commercial sales milestone. The Japan Agreement also provides for tiered payments based on net sales of product (as defined) in the low 20% range of the list price published by the Japanese Ministry of Health, Labour and Welfare, adjusted for certain elements, after commercial launch.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fourth quarter of 2020, the Japanese Ministry of Health, Labour and Welfare approved EVRENZO® (roxadustat) for the treatment of anemia of CKD in adult patients not on dialysis. This approval triggered a $15.0 million milestone payable to the Company by Astellas under the Japan Agreement. Accordingly, the consideration of $15.0 million associated with this milestone was included in the transaction price and allocated to performance obligations under the Japan Agreement in the fourth quarter of 2020, substantially all of which was recognized as revenue during the year ended December 31, 2020 from performance obligations satisfied or partially satisfied.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September 2019, the Japanese Ministry of Health, Labour and Welfare approved EVRENZO® (generic name: roxadustat; tradename EVRENZO® in Japan) for the treatment of anemia associated with CKD in dialysis patients. This approval triggered a $12.5 million milestone payable to the Company by Astellas under the Japan Agreement. Accordingly, the consideration of $12.5 million associated with this milestone was included in the transaction price and allocated to performance obligations under the Japan Agreement in the third quarter of 2019, substantially all of which was recognized as revenue during the year ended December 31, 2019 from performance obligations satisfied or partially satisfied.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aggregate amount of the considerations received under the Japan Agreement, through December 31, 2021 totals $105.1 million, excluding drug product revenue that is discussed separately below.</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2018, FibroGen and Astellas entered into an amendment to the Japan Agreement that allows Astellas to manufacture roxadustat drug product for commercialization in Japan (the “Japan Amendment”). Under this amendment, FibroGen would continue to manufacture and supply roxadustat API to Astellas for the roxadustat commercial launch in Japan. The commercial terms of the Japan Agreement relating to the transfer price for roxadustat for commercial use remain substantially the same, reflecting an adjustment for the manufacture of drug product by Astellas rather than FibroGen. The related drug product revenue, as described in details under </w:t>
      </w:r>
      <w:r>
        <w:rPr>
          <w:rFonts w:ascii="Times New Roman" w:hAnsi="Times New Roman"/>
          <w:b w:val="false"/>
          <w:i/>
          <w:caps w:val="false"/>
          <w:smallCaps w:val="false"/>
          <w:sz w:val="20"/>
        </w:rPr>
        <w:t>Drug Product Revenue</w:t>
      </w:r>
      <w:r>
        <w:rPr>
          <w:rFonts w:ascii="Times New Roman" w:hAnsi="Times New Roman"/>
          <w:b w:val="false"/>
          <w:i w:val="false"/>
          <w:caps w:val="false"/>
          <w:smallCaps w:val="false"/>
          <w:sz w:val="20"/>
        </w:rPr>
        <w:t xml:space="preserve"> section below, were $2.1 million, $4.3 million and $(36.3) million in the years ended December 31, 2021, 2020 and 2019, respectively.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Europe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comprised of (i) 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w:t>
      </w:r>
    </w:p>
    <w:p>
      <w:pPr>
        <w:pStyle w:val="HorizontalLine"/>
        <w:rPr/>
      </w:pPr>
      <w:r>
        <w:rPr/>
      </w:r>
    </w:p>
    <w:p>
      <w:pPr>
        <w:pStyle w:val="TextBody"/>
        <w:spacing w:before="0" w:after="0"/>
        <w:rPr/>
      </w:pPr>
      <w:r>
        <w:rPr/>
        <w:t>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third quarter of 2021, the European Commission approved EVRENZO® (roxadustat) for the treatment of adult patients with symptomatic anemia associated with CKD. Astellas has launched EVRENZO in Germany, the United Kingdom, the Netherlands, and Austria. This approval triggered a total of $120.0 million milestone payable to the Company by Astellas under the Europe Agreement. Accordingly, the consideration of $120.0 million associated with these milestones was included in the transaction price and allocated to performance obligations under the Europe Agreement, all of which was recognized as revenue during the year ended December 31, 2021 from performance obligations satisfied.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second quarter of 2019, the Company received positive topline results from analyses of pooled major adverse cardiovascular event (“MACE”) and MACE+ data from its Phase 3 trials evaluating roxadustat as a treatment for dialysis and non-dialysis CKD patients, enabling Astellas to prepare for a Marketing Authorization Application (“MAA”) submission to the European Medicines Agency in the second quarter of 2020, following the Company’s NDA submission to the FDA that was accepted for review in February 2020. The Company evaluated the two regulatory milestone payments associated with the planned MAA submission and concluded that these milestones became probable of being achieved in the second quarter of 2019. Accordingly, the total consideration of $130.0 million associated with these milestones was included in the transaction price and allocated to performance obligations under the Europe Agreement in the second quarter of 2019, of which $128.8 million was recognized as revenue during the year ended December 31, 2019 and immaterial amounts for the years ended December 31, 2021 and 2020, from performance obligations satisfied or partially satisfied. According to the Europe Agreement, these milestone payments are billable to Astellas upon the submission of an MAA, therefore this $130.0 million was an unbilled contract asset as of December 31, 2019, and billed to Astellas upon the submission of an MAA in the second quarter of 2020 with the total $130.0 million received during the same quarter.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aggregate amount of the considerations received under the Europe Agreement through December 31, 2021 totals $660.0 million, excluding drug product revenue that is discussed separately below.</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Europe Agreement, Astellas has an option to purchase roxadustat bulk drug product in support of commercial supplies. The Company fulfilled an inventory transfer obligation under the terms of the Europe Agreement in the fourth quarter of 2020. During the first quarter of 2021, the Company entered into an Astellas EU Supply Agreement (“EU Supply Agreement”) under the Europe Agreement to define general forecast, order, supply and payment terms for Astellas to purchase roxadustat bulk drug product from FibroGen in support of commercial supplies. The Company transferred bulk drug product to Astellas as pre-commercial supply for process validation purposes during the first quarter and commercial product during the fourth quarter of 2021. The Company recognized the related fully burdened manufacturing costs of $1.0 million as drug product revenue during the year ended December 21, 2021, and recorded the consideration of $25.9 million from these inventory transfers as deferred revenue as of December 31, 2021. See details under </w:t>
      </w:r>
      <w:r>
        <w:rPr>
          <w:rFonts w:ascii="Times New Roman" w:hAnsi="Times New Roman"/>
          <w:b w:val="false"/>
          <w:i/>
          <w:caps w:val="false"/>
          <w:smallCaps w:val="false"/>
          <w:sz w:val="20"/>
        </w:rPr>
        <w:t>Drug Product Revenue</w:t>
      </w:r>
      <w:r>
        <w:rPr>
          <w:rFonts w:ascii="Times New Roman" w:hAnsi="Times New Roman"/>
          <w:b w:val="false"/>
          <w:i w:val="false"/>
          <w:caps w:val="false"/>
          <w:smallCaps w:val="false"/>
          <w:sz w:val="20"/>
        </w:rPr>
        <w:t xml:space="preserve"> section below.</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Accounting for the Astellas Agreements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each of the Astellas agreements, the Company has evaluated the promised services within the respective arrangements and has identified performance obligations representing those services and bundles of services that are distinct.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the transaction price for the Japan Agreement, excluding manufacturing services that is discussed separately below, included $40.1 million of non-contingent upfront payments, $65.0 million of variable consideration related to payments for milestones considered probable of being achieved, and $11.9 million of variable consideration related to co-development billings. The transaction price for the Europe Agreement, excluding manufacturing services that is discussed separately below, included $320.0 million of non-contingent upfront payments, $340.0 million of variable consideration related to payments for milestones considered probable of being achieved, and $219.9 million of variable consideration related to co-development billings.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revenue recognition purposes, the Company determined that the term of each collaboration agreement with Astellas begins on the effective date and ends upon the completion of all performance obligations contained in the agreement. The contract term is defined as the period in which parties to the contract have present and enforceable rights and obligations. The Company believes that the requirement to continue funding development for a substantive period of time and loss of product rights, along with non-refundable upfront payments already remitted by Astellas, create significant disincentive for Astellas to exercise its right to terminate the agreements.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Astellas agreements, the Company allocated the transaction price to the various performance obligations based on the relative SSP of each performance obligation, with the exception of co-development billings allocated entirely to co-development services performance obligations.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technology license under the Japan Agreement and the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promised services that were analyzed, along with their general timing of satisfaction and recognition as revenue, are as follows:</w:t>
      </w:r>
    </w:p>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tcPr>
          <w:p>
            <w:pPr>
              <w:pStyle w:val="TableContents"/>
              <w:spacing w:before="120" w:after="0"/>
              <w:jc w:val="left"/>
              <w:rPr>
                <w:b w:val="false"/>
                <w:i/>
                <w:strike w:val="false"/>
                <w:dstrike w:val="false"/>
                <w:u w:val="none"/>
                <w:effect w:val="none"/>
              </w:rPr>
            </w:pPr>
            <w:r>
              <w:rPr>
                <w:b w:val="false"/>
                <w:i/>
                <w:strike w:val="false"/>
                <w:dstrike w:val="false"/>
                <w:u w:val="none"/>
                <w:effect w:val="none"/>
              </w:rPr>
              <w:t>(1)</w:t>
            </w:r>
          </w:p>
        </w:tc>
        <w:tc>
          <w:tcPr>
            <w:tcW w:w="9986" w:type="dxa"/>
            <w:tcBorders/>
            <w:shd w:fill="auto" w:val="clear"/>
          </w:tcPr>
          <w:p>
            <w:pPr>
              <w:pStyle w:val="TableContents"/>
              <w:spacing w:before="120" w:after="0"/>
              <w:jc w:val="left"/>
              <w:rPr>
                <w:b w:val="false"/>
                <w:i/>
              </w:rPr>
            </w:pPr>
            <w:r>
              <w:rPr>
                <w:b w:val="false"/>
                <w:i/>
                <w:color w:val="000000"/>
              </w:rPr>
              <w:t>License to the Company’s technology existing at the effective date of the agreements.</w:t>
            </w:r>
            <w:r>
              <w:rPr>
                <w:b w:val="false"/>
                <w:i/>
                <w:caps w:val="false"/>
                <w:smallCaps w:val="false"/>
                <w:color w:val="000000"/>
              </w:rPr>
              <w:t xml:space="preserve"> </w:t>
            </w:r>
            <w:r>
              <w:rPr>
                <w:b w:val="false"/>
                <w:i w:val="false"/>
                <w:caps w:val="false"/>
                <w:smallCaps w:val="false"/>
                <w:color w:val="000000"/>
              </w:rPr>
              <w:t>For both of the Astellas agreements, the license was delivered at the beginning of the agreement term. In both cases, the Company concluded at the time of the agreement that its collaboration partner, Astellas, would have the knowledge and capabilities to fully exploit the licenses without the Company’s further involvement. However, the Japan Agreement has contractual limitations that might affect Astellas’ ability to fully exploit the license and therefore, potentially, the conclusion as to whether the license is capable of being distinct. In the Japan Agreement, Astellas does not have the right to manufacture commercial supplies of the drug. In order to determine whether this characteristic of the agreement should lead to a conclusion that the license was not distinct in the context of the agreement, the Company considered the ability of Astellas to benefit from the license together with other resources readily available to Astellas. Finally,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w:t>
            </w:r>
          </w:p>
        </w:tc>
      </w:tr>
    </w:tbl>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Manufacturing rights. </w:t>
      </w:r>
      <w:r>
        <w:rPr>
          <w:rFonts w:ascii="Times New Roman" w:hAnsi="Times New Roman"/>
          <w:b w:val="false"/>
          <w:i w:val="false"/>
          <w:caps w:val="false"/>
          <w:smallCaps w:val="false"/>
          <w:sz w:val="20"/>
        </w:rPr>
        <w:t>In the case of the Japan Agreement, the Company retained manufacturing rights largely because of the way the parties chose for FibroGen to be compensated under the agreement. At the time the agreement was signed, the Company believed that it was more advantageous upon commercialization to have a transfer price revenue model in place as opposed to a traditional sales-based model. The manufacturing process does not require specialized knowledge or expertise uniquely held by FibroGen, and notwithstanding contractual restrictions, Astellas could employ manufacturing services from readily available third parties in order to benefit from the license. Therefore, along with the foregoing paragraph, the Company determined that the license in Japan is a distinct performance obligation despite the retention of manufacturing rights by the Company.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summary, the Company concludes that item (1) represents a performance obligation. The portion of the transaction price allocated to this performance obligation based on a relative SSP basis is recognized as revenue in its entirety at the point in time the license transfers to Astellas.</w:t>
      </w:r>
    </w:p>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tcPr>
          <w:p>
            <w:pPr>
              <w:pStyle w:val="TableContents"/>
              <w:spacing w:before="240" w:after="0"/>
              <w:jc w:val="left"/>
              <w:rPr>
                <w:b w:val="false"/>
                <w:i/>
                <w:strike w:val="false"/>
                <w:dstrike w:val="false"/>
                <w:u w:val="none"/>
                <w:effect w:val="none"/>
              </w:rPr>
            </w:pPr>
            <w:r>
              <w:rPr>
                <w:b w:val="false"/>
                <w:i/>
                <w:strike w:val="false"/>
                <w:dstrike w:val="false"/>
                <w:u w:val="none"/>
                <w:effect w:val="none"/>
              </w:rPr>
              <w:t>(2)</w:t>
            </w:r>
          </w:p>
        </w:tc>
        <w:tc>
          <w:tcPr>
            <w:tcW w:w="9986" w:type="dxa"/>
            <w:tcBorders/>
            <w:shd w:fill="auto" w:val="clear"/>
          </w:tcPr>
          <w:p>
            <w:pPr>
              <w:pStyle w:val="TableContents"/>
              <w:spacing w:before="240" w:after="0"/>
              <w:jc w:val="left"/>
              <w:rPr>
                <w:b w:val="false"/>
                <w:i/>
              </w:rPr>
            </w:pPr>
            <w:r>
              <w:rPr>
                <w:b w:val="false"/>
                <w:i/>
                <w:color w:val="000000"/>
              </w:rPr>
              <w:t xml:space="preserve">Co-development services (Europe Agreement). </w:t>
            </w:r>
            <w:r>
              <w:rPr>
                <w:b w:val="false"/>
                <w:i w:val="false"/>
                <w:caps w:val="false"/>
                <w:smallCaps w:val="false"/>
                <w:color w:val="000000"/>
              </w:rPr>
              <w:t xml:space="preserve">This promise relates to co-development services that were reasonably expected to be performed by the 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and out-of-pocket expenses incurred relative to total expected costs to be incurred. The measure of progress is updated each reporting period. Co-development services related to CKD continued over its development period through August 2021. In addition, the Company accounts for the indications related to chemotherapy-induced anemia and myelodysplastic syndromes separately through the end of 2021 and the third quarter of 2024, respectively. There was no provision for co-development services in the Japan Agreement.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131</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tcPr>
          <w:p>
            <w:pPr>
              <w:pStyle w:val="TableContents"/>
              <w:spacing w:before="240" w:after="0"/>
              <w:jc w:val="left"/>
              <w:rPr>
                <w:b w:val="false"/>
                <w:i/>
                <w:strike w:val="false"/>
                <w:dstrike w:val="false"/>
                <w:u w:val="none"/>
                <w:effect w:val="none"/>
              </w:rPr>
            </w:pPr>
            <w:r>
              <w:rPr>
                <w:b w:val="false"/>
                <w:i/>
                <w:strike w:val="false"/>
                <w:dstrike w:val="false"/>
                <w:u w:val="none"/>
                <w:effect w:val="none"/>
              </w:rPr>
              <w:t>(3)</w:t>
            </w:r>
          </w:p>
        </w:tc>
        <w:tc>
          <w:tcPr>
            <w:tcW w:w="9962" w:type="dxa"/>
            <w:tcBorders/>
            <w:shd w:fill="auto" w:val="clear"/>
          </w:tcPr>
          <w:p>
            <w:pPr>
              <w:pStyle w:val="TableContents"/>
              <w:spacing w:before="240" w:after="0"/>
              <w:jc w:val="left"/>
              <w:rPr>
                <w:b w:val="false"/>
                <w:i/>
              </w:rPr>
            </w:pPr>
            <w:r>
              <w:rPr>
                <w:b w:val="false"/>
                <w:i/>
                <w:color w:val="000000"/>
              </w:rPr>
              <w:t xml:space="preserve">License to the Company’s technology developed during the term of the agreement and development (referred to as “when and if available”) and information sharing services. </w:t>
            </w:r>
            <w:r>
              <w:rPr>
                <w:b w:val="false"/>
                <w:i w:val="false"/>
                <w:caps w:val="false"/>
                <w:smallCaps w:val="false"/>
                <w:color w:val="000000"/>
              </w:rPr>
              <w:t>These promises are generally satisfied throughout the term of the agreements.</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240" w:after="0"/>
              <w:jc w:val="left"/>
              <w:rPr>
                <w:b w:val="false"/>
                <w:i/>
                <w:strike w:val="false"/>
                <w:dstrike w:val="false"/>
                <w:u w:val="none"/>
                <w:effect w:val="none"/>
              </w:rPr>
            </w:pPr>
            <w:r>
              <w:rPr>
                <w:b w:val="false"/>
                <w:i/>
                <w:strike w:val="false"/>
                <w:dstrike w:val="false"/>
                <w:u w:val="none"/>
                <w:effect w:val="none"/>
              </w:rPr>
              <w:t>(4)</w:t>
            </w:r>
          </w:p>
        </w:tc>
        <w:tc>
          <w:tcPr>
            <w:tcW w:w="9960" w:type="dxa"/>
            <w:tcBorders/>
            <w:shd w:fill="auto" w:val="clear"/>
          </w:tcPr>
          <w:p>
            <w:pPr>
              <w:pStyle w:val="TableContents"/>
              <w:spacing w:before="240" w:after="0"/>
              <w:jc w:val="left"/>
              <w:rPr>
                <w:b w:val="false"/>
                <w:i/>
              </w:rPr>
            </w:pPr>
            <w:r>
              <w:rPr>
                <w:b w:val="false"/>
                <w:i/>
                <w:color w:val="000000"/>
              </w:rPr>
              <w:t>Manufacturing of clinical supplies of products.</w:t>
            </w:r>
            <w:r>
              <w:rPr>
                <w:b w:val="false"/>
                <w:i/>
                <w:caps w:val="false"/>
                <w:smallCaps w:val="false"/>
                <w:color w:val="000000"/>
              </w:rPr>
              <w:t xml:space="preserve"> </w:t>
            </w:r>
            <w:r>
              <w:rPr>
                <w:b w:val="false"/>
                <w:i w:val="false"/>
                <w:caps w:val="false"/>
                <w:smallCaps w:val="false"/>
                <w:color w:val="000000"/>
              </w:rPr>
              <w:t>This promise is satisfied as supplies for clinical product are delivered for use in the Company’s clinical trial programs during the development period, or pre-commercialization period.</w:t>
            </w:r>
          </w:p>
        </w:tc>
      </w:tr>
    </w:tbl>
    <w:tbl>
      <w:tblPr>
        <w:tblW w:w="10205" w:type="dxa"/>
        <w:jc w:val="left"/>
        <w:tblInd w:w="0" w:type="dxa"/>
        <w:tblCellMar>
          <w:top w:w="0" w:type="dxa"/>
          <w:left w:w="0" w:type="dxa"/>
          <w:bottom w:w="0" w:type="dxa"/>
          <w:right w:w="0" w:type="dxa"/>
        </w:tblCellMar>
      </w:tblPr>
      <w:tblGrid>
        <w:gridCol w:w="286"/>
        <w:gridCol w:w="9919"/>
      </w:tblGrid>
      <w:tr>
        <w:trPr/>
        <w:tc>
          <w:tcPr>
            <w:tcW w:w="286" w:type="dxa"/>
            <w:tcBorders/>
            <w:shd w:fill="auto" w:val="clear"/>
          </w:tcPr>
          <w:p>
            <w:pPr>
              <w:pStyle w:val="TableContents"/>
              <w:spacing w:before="240" w:after="0"/>
              <w:jc w:val="left"/>
              <w:rPr>
                <w:b w:val="false"/>
                <w:i/>
                <w:strike w:val="false"/>
                <w:dstrike w:val="false"/>
                <w:u w:val="none"/>
                <w:effect w:val="none"/>
              </w:rPr>
            </w:pPr>
            <w:r>
              <w:rPr>
                <w:b w:val="false"/>
                <w:i/>
                <w:strike w:val="false"/>
                <w:dstrike w:val="false"/>
                <w:u w:val="none"/>
                <w:effect w:val="none"/>
              </w:rPr>
              <w:t>(5)</w:t>
            </w:r>
          </w:p>
        </w:tc>
        <w:tc>
          <w:tcPr>
            <w:tcW w:w="9919" w:type="dxa"/>
            <w:tcBorders/>
            <w:shd w:fill="auto" w:val="clear"/>
          </w:tcPr>
          <w:p>
            <w:pPr>
              <w:pStyle w:val="TableContents"/>
              <w:spacing w:before="240" w:after="0"/>
              <w:jc w:val="left"/>
              <w:rPr>
                <w:b w:val="false"/>
                <w:i/>
              </w:rPr>
            </w:pPr>
            <w:r>
              <w:rPr>
                <w:b w:val="false"/>
                <w:i/>
                <w:color w:val="000000"/>
              </w:rPr>
              <w:t>Committee service</w:t>
            </w:r>
            <w:r>
              <w:rPr>
                <w:b w:val="false"/>
                <w:i w:val="false"/>
                <w:caps w:val="false"/>
                <w:smallCaps w:val="false"/>
                <w:color w:val="000000"/>
              </w:rPr>
              <w:t>. This promise is satisfied throughout the course of the agreements as meetings are attended.</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Items (2)-(5) are bundled into a single performance obligation that is distinct given the fact that all are highly interrelated during the development period (pre-commercial phase of development) such that satisfying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240" w:after="0"/>
              <w:jc w:val="left"/>
              <w:rPr>
                <w:b w:val="false"/>
                <w:i/>
                <w:strike w:val="false"/>
                <w:dstrike w:val="false"/>
                <w:u w:val="none"/>
                <w:effect w:val="none"/>
              </w:rPr>
            </w:pPr>
            <w:r>
              <w:rPr>
                <w:b w:val="false"/>
                <w:i/>
                <w:strike w:val="false"/>
                <w:dstrike w:val="false"/>
                <w:u w:val="none"/>
                <w:effect w:val="none"/>
              </w:rPr>
              <w:t>(6)</w:t>
            </w:r>
          </w:p>
        </w:tc>
        <w:tc>
          <w:tcPr>
            <w:tcW w:w="9975" w:type="dxa"/>
            <w:tcBorders/>
            <w:shd w:fill="auto" w:val="clear"/>
          </w:tcPr>
          <w:p>
            <w:pPr>
              <w:pStyle w:val="TableContents"/>
              <w:spacing w:before="240" w:after="0"/>
              <w:jc w:val="left"/>
              <w:rPr>
                <w:b w:val="false"/>
                <w:i/>
              </w:rPr>
            </w:pPr>
            <w:r>
              <w:rPr>
                <w:b w:val="false"/>
                <w:i/>
                <w:color w:val="000000"/>
              </w:rPr>
              <w:t>Manufacturing commercial supplies of products.</w:t>
            </w:r>
            <w:r>
              <w:rPr>
                <w:b w:val="false"/>
                <w:i/>
                <w:caps w:val="false"/>
                <w:smallCaps w:val="false"/>
                <w:color w:val="000000"/>
              </w:rPr>
              <w:t xml:space="preserve"> </w:t>
            </w:r>
            <w:r>
              <w:rPr>
                <w:b w:val="false"/>
                <w:i w:val="false"/>
                <w:caps w:val="false"/>
                <w:smallCaps w:val="false"/>
                <w:color w:val="000000"/>
              </w:rPr>
              <w:t xml:space="preserve">This promised service is distinct as services are not interrelated with any of the other performance 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Japan Amendment, the drug product revenue represents variable consideration and is estimated based on the quantity of product shipped, actual listed price for roxadustat issued by the Japanese Ministry of Health, Labour and Welfare and possible future changes to the listed price, adjusted for the timing of and estimated bulk product strength mix intended to be manufactured by Astellas, estimated cost to convert the API to bulk drug product tablets, and estimated yield from the manufacture of bulk product tablets, among others.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Europe Agreement, the drug product revenue amount represents variable consideration and is estimated based on the quantity of product transferred and an estimated price. The estimated price is based on the contractual transfer price percentage applied on the estimated weighted average net sales price per strength, which is estimated to be realized by Astellas from the end sale of roxadustat in its approved territories.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AstraZeneca Agreements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U.S./Rest of World (“RoW”) Agreement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(such amounts were fully received as of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(ii) up to $325.0 million in milestone payments upon achievement of specified regulatory milestone events, (iii) up to $160.0 million in milestone payments related to activity by potential competitors and (iv) up to approximately $325.0 million in milestone payments upon the achievement of specified commercial sales events.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U.S./RoW Agreement, the Company and AstraZeneca will equally share in the development costs of roxadustat not already paid for by Astellas, up to a total of $233.0 million (i.e. the Company’s share of development costs is $116.5 million, which was reached in 2015). Development costs incurred by FibroGen during the development period in excess of the $233.0 million (aggregated spend) are fully reimbursed by AstraZeneca. AstraZeneca will pay the Company tiered royalty payments on AstraZeneca’s future net sales (as defined in the agreement) of roxadustat in the low 20% range. In addition, the Company will receive a transfer price for shipment of commercial product based on a percentage of AstraZeneca’s net sales (as defined in the agreement) in the low- to mid-single digit range.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mentioned above, during the second quarter of 2019, the Company received positive topline results from analyses of pooled MACE and MACE+ data from its Phase 3 trials for roxadustat, enabling the Company’s NDA submission to the FDA. The Company evaluated the regulatory milestone payment associated with this planned NDA submission and concluded that this milestone became probable of being achieved in the second quarter of 2019. Accordingly, the consideration of $50.0 million associated with this milestone was included in the transaction price and allocated to performance obligations under the combined arrangement in the second quarter of 2019, of which $42.4 million was recognized as revenue during the year ended December 31, 2019 and immaterial amounts were recognized as revenue during the years ended December 31, 2021 and 2020, from performance obligations satisfied or partially satisfied. This milestone was fully received in April 2020.</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aggregate amount of the considerations received under the U.S./RoW Agreement through December 31, 2021 totals $439.0 million, excluding drug product revenue that is discussed separately below. In 2020, the Company entered into Commercial Supply Agreement under the U.S./RoW Agreement with AstraZeneca to define general forecast, order, supply and payment terms for AstraZeneca to purchase roxadustat bulk drug product from FibroGen in support of commercial supplies. The Company shipped bulk drug product to AstraZeneca as commercial supply during 2020, and the first and second quarter of 2021. In August 2021, the FDA Issued a complete response letter regarding roxadustat’s NDA for the treatment of anemia due to CKD in adult patients, stating that it could not be approved in its present form. The Company evaluated the impact of these developments in revising its estimates of variable consideration associated with drug product revenue and updated the estimated transaction price, and recorded $11.2 million as deferred revenue as of December 31, 2021. See details under </w:t>
      </w:r>
      <w:r>
        <w:rPr>
          <w:rFonts w:ascii="Times New Roman" w:hAnsi="Times New Roman"/>
          <w:b w:val="false"/>
          <w:i/>
          <w:caps w:val="false"/>
          <w:smallCaps w:val="false"/>
          <w:sz w:val="20"/>
        </w:rPr>
        <w:t>Drug Product Revenue</w:t>
      </w:r>
      <w:r>
        <w:rPr>
          <w:rFonts w:ascii="Times New Roman" w:hAnsi="Times New Roman"/>
          <w:b w:val="false"/>
          <w:i w:val="false"/>
          <w:caps w:val="false"/>
          <w:smallCaps w:val="false"/>
          <w:sz w:val="20"/>
        </w:rPr>
        <w:t xml:space="preserve"> section below.</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China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which was amended under the China Amendment discussed below in the third quarter of 2020, and provides for joint development costs (including capital and equipment costs for construction of the manufacturing plant in China), to be shared equally during the development period.  </w:t>
      </w:r>
    </w:p>
    <w:p>
      <w:pPr>
        <w:pStyle w:val="TextBody"/>
        <w:spacing w:before="240" w:after="0"/>
        <w:rPr>
          <w:rFonts w:ascii="Times New Roman" w:hAnsi="Times New Roman"/>
          <w:b w:val="false"/>
          <w:i w:val="false"/>
          <w:caps w:val="false"/>
          <w:smallCaps w:val="false"/>
          <w:sz w:val="20"/>
        </w:rPr>
      </w:pPr>
      <w:bookmarkStart w:id="39" w:name="C2"/>
      <w:bookmarkEnd w:id="39"/>
      <w:r>
        <w:rPr>
          <w:rFonts w:ascii="Times New Roman" w:hAnsi="Times New Roman"/>
          <w:b w:val="false"/>
          <w:i w:val="false"/>
          <w:caps w:val="false"/>
          <w:smallCaps w:val="false"/>
          <w:sz w:val="20"/>
        </w:rPr>
        <w:t xml:space="preserve">In December 2019, roxadustat has been included on the updated National Reimbursement Drug List (“NRDL”) released by China’s National Healthcare Security Administration for the treatment of anemia in CKD, covering patients who are non-dialysis dependent as well as those who are dialysis-dependent. The inclusion on the NRDL triggered a total of $22.0 million milestones payable to the Company by AstraZeneca. Accordingly, the total consideration of $22.0 million associated with these milestones was included in the transaction price and allocated to performance obligations under the combined arrangement, of which $18.7 million was recognized as revenue during the year ended December 31, 2019. This milestone payment was received during the first quarter of 2020. The Company continued to recognize related revenue during the years ended December 31, 2021 and 2020, from performance obligations satisfied or partially satisfied, and the amounts were not material.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aggregate amount of the considerations received for milestone and upfront payments under the China Agreement through December 31, 2021 totals $77.2 million.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China Amendment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2020, FibroGen Cayman, FibroGen Beijing, and FibroGen International (Hong Kong) Limited (collectively, “FibroGen China”) and AstraZeneca (together with FibroGen China, the “Parties”) entered into the China Amendment, effective July 1, 2020, relating to the development and commercialization of roxadustat in China. While the responsibilities of the Parties under the China Agreement remain largely the same, certain changes were made.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China Amendment, in September 2020, FibroGen Beijing and AstraZeneca completed the establishment of a jointly owned entity, Falikang, which performs roxadustat distribution, as well as conduct sales and marketing through AstraZeneca.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China Amendment, the interim period is defined as the period from April 1, 2020 to the time when Falikang is fully operational. Falikang became fully operational in January 2021. The calculation for profit or loss share related to sales of roxadustat in China has changed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the interim period during the year ended December 31, 2020 primarily included the following activities: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Co-promotion expenses: The China Amendment revised the payment arrangements and calculation of the historical unpaid co-promotion expenses to AstraZeneca for its sales and marketing efforts associated with the commercial sales for roxadustat in China since the product launch. Under the China Amendment, a portion of the historical unpaid co-promotion expenses was adjusted to reduce the amount owed by FibroGen Beijing and the current period co-promotion expenses are capped at a percentage of net roxadustat sales in China. As a result, in the third quarter of 2020, the Company reversed approximately $84.4 million of previously accrued co-promotion expenses payable, which was recorded as a reduction to selling, general and administrative expenses, where these expenses were initially recorded during the periods from the initiation of commercial activities in the first quarter of 2019 to the second quarter of 2020. The co-promotion expenses for the years ended December 31, 2021 and 2020, capped at a percentage of net roxadustat sales in China, were $4.7 million and $27.2 million, respectively, included in the selling, general and administrative expenses.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Profit share: Profit/loss share between FibroGen Beijing and AstraZeneca is based on a calculation of the current period net roxadustat sales in China and deductible expenses pursuant to the China Agreement. Based on the calculation revised under the China Amendment, profit was achieved during the third and fourth quarter of 2020. As a result, the Company recorded a profit share liability of $7.9 million and $7.0 million to AstraZeneca as of December 31, 2021 and 2020, respectively, in the accrued and other current liabilities, which correspondingly reduced the deferred revenue related to the performance obligation in accordance with the China Agreement.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Falikang became fully operational in January 2021, substantially all direct roxadustat product sales to distributors in China are made by Falikang, while FibroGen Beijing continues to sell roxadustat product directly in a few provinces in China. FibroGen Beijing manufactures and supplies commercial product to Falikang based on a gross transaction price, which is adjusted for the estimated profit share. In addition, AstraZeneca now bills the co-promotion expenses to Falikang and to FibroGen Beijing, respectively, for its services provided to the respective entity. Development costs continue to be shared 50/50 between the Parties.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year ended December 31, 2021, the Company recognized $35.6 million of net product revenue from the sales to Falikang, as described in details under </w:t>
      </w:r>
      <w:r>
        <w:rPr>
          <w:rFonts w:ascii="Times New Roman" w:hAnsi="Times New Roman"/>
          <w:b w:val="false"/>
          <w:i/>
          <w:caps w:val="false"/>
          <w:smallCaps w:val="false"/>
          <w:sz w:val="20"/>
        </w:rPr>
        <w:t>Product Revenue, Net</w:t>
      </w:r>
      <w:r>
        <w:rPr>
          <w:rFonts w:ascii="Times New Roman" w:hAnsi="Times New Roman"/>
          <w:b w:val="false"/>
          <w:i w:val="false"/>
          <w:caps w:val="false"/>
          <w:smallCaps w:val="false"/>
          <w:sz w:val="20"/>
        </w:rPr>
        <w:t xml:space="preserve"> section below.</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sales to Falikang, during the year ended December 31, 2021, the Company recognized $12.1 million of net product revenue from sales directly to distributors in a few provinces in China, </w:t>
      </w:r>
      <w:r>
        <w:rPr>
          <w:rFonts w:ascii="Times New Roman" w:hAnsi="Times New Roman"/>
          <w:b w:val="false"/>
          <w:i w:val="false"/>
          <w:caps w:val="false"/>
          <w:smallCaps w:val="false"/>
          <w:color w:val="000000"/>
          <w:sz w:val="20"/>
          <w:highlight w:val="white"/>
        </w:rPr>
        <w:t xml:space="preserve">as </w:t>
      </w:r>
      <w:r>
        <w:rPr>
          <w:rFonts w:ascii="Times New Roman" w:hAnsi="Times New Roman"/>
          <w:b w:val="false"/>
          <w:i w:val="false"/>
          <w:caps w:val="false"/>
          <w:smallCaps w:val="false"/>
          <w:sz w:val="20"/>
        </w:rPr>
        <w:t>described as direct sales</w:t>
      </w:r>
      <w:r>
        <w:rPr>
          <w:rFonts w:ascii="Times New Roman" w:hAnsi="Times New Roman"/>
          <w:b w:val="false"/>
          <w:i w:val="false"/>
          <w:caps w:val="false"/>
          <w:smallCaps w:val="false"/>
          <w:color w:val="000000"/>
          <w:sz w:val="20"/>
          <w:highlight w:val="white"/>
        </w:rPr>
        <w:t xml:space="preserve"> </w:t>
      </w:r>
      <w:r>
        <w:rPr>
          <w:rFonts w:ascii="Times New Roman" w:hAnsi="Times New Roman"/>
          <w:b w:val="false"/>
          <w:i w:val="false"/>
          <w:caps w:val="false"/>
          <w:smallCaps w:val="false"/>
          <w:sz w:val="20"/>
        </w:rPr>
        <w:t xml:space="preserve">under </w:t>
      </w:r>
      <w:r>
        <w:rPr>
          <w:rFonts w:ascii="Times New Roman" w:hAnsi="Times New Roman"/>
          <w:b w:val="false"/>
          <w:i/>
          <w:caps w:val="false"/>
          <w:smallCaps w:val="false"/>
          <w:sz w:val="20"/>
        </w:rPr>
        <w:t>Product Revenue, Net</w:t>
      </w:r>
      <w:r>
        <w:rPr>
          <w:rFonts w:ascii="Times New Roman" w:hAnsi="Times New Roman"/>
          <w:b w:val="false"/>
          <w:i w:val="false"/>
          <w:caps w:val="false"/>
          <w:smallCaps w:val="false"/>
          <w:sz w:val="20"/>
        </w:rPr>
        <w:t xml:space="preserve"> section below.</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134</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Accounting for the AstraZeneca Agreements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evaluated whether the U.S./RoW Agreement and the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The key points the Company considered in reaching this conclusion are as follows: </w:t>
      </w:r>
    </w:p>
    <w:tbl>
      <w:tblPr>
        <w:tblW w:w="10205" w:type="dxa"/>
        <w:jc w:val="left"/>
        <w:tblInd w:w="0" w:type="dxa"/>
        <w:tblCellMar>
          <w:top w:w="0" w:type="dxa"/>
          <w:left w:w="0" w:type="dxa"/>
          <w:bottom w:w="0" w:type="dxa"/>
          <w:right w:w="0" w:type="dxa"/>
        </w:tblCellMar>
      </w:tblPr>
      <w:tblGrid>
        <w:gridCol w:w="163"/>
        <w:gridCol w:w="10042"/>
      </w:tblGrid>
      <w:tr>
        <w:trPr/>
        <w:tc>
          <w:tcPr>
            <w:tcW w:w="163"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10042"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While the two agreements were largely negotiated separately, those negotiations proceeded concurrently, and were intended to be completed contemporaneously, presuming AstraZeneca decided to proceed with licenses in all regions available. </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9"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Throughout negotiations for both agreements, the Company and the counterparties understood and considered the possibility that one arrangement may be executed without the execution of the other arrangement. However, the preference for the Company and the counterparties during the negotiations was to execute both arrangements concurrently.  </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8"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two agreements were executed as separate agreements because different development, regulatory and commercial approaches required certain terms of the agreements to be structured differently, rather than because the Company or the counterparties considered the agreements to be fundamentally separate negotiations.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Accordingly, as the agreements are being accounted for as a single arrangement, upfront and other non-contingent consideration received and to be received has been and will be pooled together and allocated to each of the performance obligations in both the U.S./RoW Agreement and the China Agreement based on their relative SSPs.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each of the AstraZeneca agreements, the Company has evaluated the promised services within the respective arrangements and has identified performance obligations representing those services and bundled services that are distinct.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the transaction price for the U.S./RoW Agreement and the China Agreement, excluding manufacturing services that is discussed separately below, included $402.2 million of non-contingent upfront payments, $114.0 million of variable consideration related to payments for milestones considered probable of being achieved, $610.9 million of variable consideration related to co-development billings, offset by $7.0 million of variable consideration related to profit share under the China Amendment.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AstraZeneca agreements, the Company allocated the transaction price to the various performance obligations based on the relative SSP of each performance obligation, with the exception of co-development billings and commercial sale of product. Co-development billings under the U.S./RoW Agreement were allocated entirely to the U.S./RoW co-development services performance obligation, and co-development billings under the China Agreement were allocated entirely to the combined performance obligation under the China Agreement. Commercial sale of product under the U.S./ROW Agreement is entirely allocated to the manufacturing commercial supply of products performance obligation, and commercial sale of product under the China Agreement is allocated entirely to the combined China performance obligation.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revenue recognition purposes, the Company determined that the terms of its collaboration agreements with AstraZeneca begin on the effective date and end upon the completion of all performance obligations contained in the agreements. The contract term is defined as the period in which parties to the contract have present and enforceable rights and obligations. The Company believes that the requirement to continue funding development for a substantive period of time and the loss of product rights, along with non-refundable upfront payments already remitted by AstraZeneca, represent substantive termination penalties that create significant disincentive for AstraZeneca to exercise its right to terminate the agreement.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technology license under the AstraZeneca U.S./RoW Agreement, SSP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U.S./RoW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promised services that were analyzed, along with their general timing of satisfaction and recognition as revenue, are as follows:</w:t>
      </w:r>
    </w:p>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120" w:after="0"/>
              <w:jc w:val="left"/>
              <w:rPr>
                <w:b w:val="false"/>
                <w:i/>
                <w:strike w:val="false"/>
                <w:dstrike w:val="false"/>
                <w:u w:val="none"/>
                <w:effect w:val="none"/>
              </w:rPr>
            </w:pPr>
            <w:r>
              <w:rPr>
                <w:b w:val="false"/>
                <w:i/>
                <w:strike w:val="false"/>
                <w:dstrike w:val="false"/>
                <w:u w:val="none"/>
                <w:effect w:val="none"/>
              </w:rPr>
              <w:t>(1)</w:t>
            </w:r>
          </w:p>
        </w:tc>
        <w:tc>
          <w:tcPr>
            <w:tcW w:w="9984" w:type="dxa"/>
            <w:tcBorders/>
            <w:shd w:fill="auto" w:val="clear"/>
          </w:tcPr>
          <w:p>
            <w:pPr>
              <w:pStyle w:val="TableContents"/>
              <w:spacing w:before="120" w:after="0"/>
              <w:jc w:val="left"/>
              <w:rPr>
                <w:b w:val="false"/>
                <w:i/>
              </w:rPr>
            </w:pPr>
            <w:r>
              <w:rPr>
                <w:b w:val="false"/>
                <w:i/>
                <w:color w:val="000000"/>
              </w:rPr>
              <w:t>License to the Company’s technology existing at the effective date of the agreements.</w:t>
            </w:r>
            <w:r>
              <w:rPr>
                <w:b w:val="false"/>
                <w:i/>
                <w:caps w:val="false"/>
                <w:smallCaps w:val="false"/>
                <w:color w:val="000000"/>
              </w:rPr>
              <w:t xml:space="preserve"> </w:t>
            </w:r>
            <w:r>
              <w:rPr>
                <w:b w:val="false"/>
                <w:i w:val="false"/>
                <w:caps w:val="false"/>
                <w:smallCaps w:val="false"/>
                <w:color w:val="000000"/>
              </w:rPr>
              <w:t>For the U.S./RoW Agreement, the license was delivered at the beginning of the agreement term. The Company concluded that AstraZeneca has the knowledge and capabilities to fully exploit the license under the U.S./RoW Agreement without the Company’s further involvement. Finally, the Company considered the fact that at the time of delivery of the license, the development services were beyond the preclinical development phase and any remaining development work would not be expected to result in any significant modification or customization to the licensed technology. As such, the development services are separately identifiable from the licensed technology, indicating that the license is a distinct performance obligation. Therefore, the Company has concluded that the license is distinct and represents a performance obligation. The portion of the transaction price allocated to this performance obligation based on a relative SSP basis is recognized as revenue in its entirety at the point in time the license transfers to AstraZeneca.</w:t>
            </w:r>
          </w:p>
        </w:tc>
      </w:tr>
    </w:tbl>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240" w:after="0"/>
              <w:jc w:val="left"/>
              <w:rPr>
                <w:b w:val="false"/>
                <w:i/>
                <w:strike w:val="false"/>
                <w:dstrike w:val="false"/>
                <w:u w:val="none"/>
                <w:effect w:val="none"/>
              </w:rPr>
            </w:pPr>
            <w:r>
              <w:rPr>
                <w:b w:val="false"/>
                <w:i/>
                <w:strike w:val="false"/>
                <w:dstrike w:val="false"/>
                <w:u w:val="none"/>
                <w:effect w:val="none"/>
              </w:rPr>
              <w:t>(2)</w:t>
            </w:r>
          </w:p>
        </w:tc>
        <w:tc>
          <w:tcPr>
            <w:tcW w:w="9985" w:type="dxa"/>
            <w:tcBorders/>
            <w:shd w:fill="auto" w:val="clear"/>
          </w:tcPr>
          <w:p>
            <w:pPr>
              <w:pStyle w:val="TableContents"/>
              <w:spacing w:before="240" w:after="0"/>
              <w:jc w:val="left"/>
              <w:rPr>
                <w:b w:val="false"/>
                <w:i/>
              </w:rPr>
            </w:pPr>
            <w:r>
              <w:rPr>
                <w:b w:val="false"/>
                <w:i/>
                <w:color w:val="000000"/>
              </w:rPr>
              <w:t xml:space="preserve">Co-development services. </w:t>
            </w:r>
            <w:r>
              <w:rPr>
                <w:b w:val="false"/>
                <w:i w:val="false"/>
                <w:caps w:val="false"/>
                <w:smallCaps w:val="false"/>
                <w:color w:val="000000"/>
              </w:rPr>
              <w:t xml:space="preserve">This promise relates to co-development services that were reasonably expected to be performed by the Company at the time the collaboration agreement was signed and is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Co-development services related to CKD continued over its development period through the end of 2021. In addition, the Company accounts for the other significant indications related to chemotherapy-induced anemia and myelodysplastic syndromes separately over their development periods through the end of 2021 and the third quarter of 2024, respectively. </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240" w:after="0"/>
              <w:jc w:val="left"/>
              <w:rPr>
                <w:b w:val="false"/>
                <w:i/>
                <w:strike w:val="false"/>
                <w:dstrike w:val="false"/>
                <w:u w:val="none"/>
                <w:effect w:val="none"/>
              </w:rPr>
            </w:pPr>
            <w:r>
              <w:rPr>
                <w:b w:val="false"/>
                <w:i/>
                <w:strike w:val="false"/>
                <w:dstrike w:val="false"/>
                <w:u w:val="none"/>
                <w:effect w:val="none"/>
              </w:rPr>
              <w:t>(3)</w:t>
            </w:r>
          </w:p>
        </w:tc>
        <w:tc>
          <w:tcPr>
            <w:tcW w:w="9960" w:type="dxa"/>
            <w:tcBorders/>
            <w:shd w:fill="auto" w:val="clear"/>
          </w:tcPr>
          <w:p>
            <w:pPr>
              <w:pStyle w:val="TableContents"/>
              <w:spacing w:before="240" w:after="0"/>
              <w:jc w:val="left"/>
              <w:rPr>
                <w:b w:val="false"/>
                <w:i/>
              </w:rPr>
            </w:pPr>
            <w:r>
              <w:rPr>
                <w:b w:val="false"/>
                <w:i/>
                <w:color w:val="000000"/>
              </w:rPr>
              <w:t>Manufacturing of clinical supplies of products.</w:t>
            </w:r>
            <w:r>
              <w:rPr>
                <w:b w:val="false"/>
                <w:i/>
                <w:caps w:val="false"/>
                <w:smallCaps w:val="false"/>
                <w:color w:val="000000"/>
              </w:rPr>
              <w:t xml:space="preserve"> </w:t>
            </w:r>
            <w:r>
              <w:rPr>
                <w:b w:val="false"/>
                <w:i w:val="false"/>
                <w:caps w:val="false"/>
                <w:smallCaps w:val="false"/>
                <w:color w:val="000000"/>
              </w:rPr>
              <w:t>This promise is satisfied as supplies for clinical product are delivered for use in the Company’s clinical trial programs during the development period, or pre-commercialization period.</w:t>
            </w:r>
          </w:p>
        </w:tc>
      </w:tr>
    </w:tbl>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240" w:after="0"/>
              <w:jc w:val="left"/>
              <w:rPr>
                <w:b w:val="false"/>
                <w:i/>
                <w:strike w:val="false"/>
                <w:dstrike w:val="false"/>
                <w:u w:val="none"/>
                <w:effect w:val="none"/>
              </w:rPr>
            </w:pPr>
            <w:r>
              <w:rPr>
                <w:b w:val="false"/>
                <w:i/>
                <w:strike w:val="false"/>
                <w:dstrike w:val="false"/>
                <w:u w:val="none"/>
                <w:effect w:val="none"/>
              </w:rPr>
              <w:t>(4)</w:t>
            </w:r>
          </w:p>
        </w:tc>
        <w:tc>
          <w:tcPr>
            <w:tcW w:w="9935" w:type="dxa"/>
            <w:tcBorders/>
            <w:shd w:fill="auto" w:val="clear"/>
          </w:tcPr>
          <w:p>
            <w:pPr>
              <w:pStyle w:val="TableContents"/>
              <w:spacing w:before="240" w:after="0"/>
              <w:jc w:val="left"/>
              <w:rPr>
                <w:b w:val="false"/>
                <w:i/>
              </w:rPr>
            </w:pPr>
            <w:r>
              <w:rPr>
                <w:b w:val="false"/>
                <w:i/>
                <w:color w:val="000000"/>
              </w:rPr>
              <w:t>Information sharing and committee service.</w:t>
            </w:r>
            <w:r>
              <w:rPr>
                <w:b w:val="false"/>
                <w:i/>
                <w:caps w:val="false"/>
                <w:smallCaps w:val="false"/>
                <w:color w:val="000000"/>
              </w:rPr>
              <w:t xml:space="preserve"> </w:t>
            </w:r>
            <w:r>
              <w:rPr>
                <w:b w:val="false"/>
                <w:i w:val="false"/>
                <w:caps w:val="false"/>
                <w:smallCaps w:val="false"/>
                <w:color w:val="000000"/>
              </w:rPr>
              <w:t>These promises are satisfied throughout the course of the agreement as services are provided.</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Items (2)-(4) are bundled into a single performance obligation that is distinct given the fact that all are highly interrelated during the development period (pre-commercial phase of development) such that delivering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240" w:after="0"/>
              <w:jc w:val="left"/>
              <w:rPr>
                <w:b w:val="false"/>
                <w:i/>
                <w:strike w:val="false"/>
                <w:dstrike w:val="false"/>
                <w:u w:val="none"/>
                <w:effect w:val="none"/>
              </w:rPr>
            </w:pPr>
            <w:r>
              <w:rPr>
                <w:b w:val="false"/>
                <w:i/>
                <w:strike w:val="false"/>
                <w:dstrike w:val="false"/>
                <w:u w:val="none"/>
                <w:effect w:val="none"/>
              </w:rPr>
              <w:t>(5)</w:t>
            </w:r>
          </w:p>
        </w:tc>
        <w:tc>
          <w:tcPr>
            <w:tcW w:w="9981" w:type="dxa"/>
            <w:tcBorders/>
            <w:shd w:fill="auto" w:val="clear"/>
          </w:tcPr>
          <w:p>
            <w:pPr>
              <w:pStyle w:val="TableContents"/>
              <w:spacing w:before="240" w:after="0"/>
              <w:jc w:val="left"/>
              <w:rPr>
                <w:b w:val="false"/>
                <w:i/>
              </w:rPr>
            </w:pPr>
            <w:r>
              <w:rPr>
                <w:b w:val="false"/>
                <w:i/>
                <w:color w:val="000000"/>
              </w:rPr>
              <w:t xml:space="preserve">Manufacturing commercial supplies of products. </w:t>
            </w:r>
            <w:r>
              <w:rPr>
                <w:b w:val="false"/>
                <w:i w:val="false"/>
                <w:caps w:val="false"/>
                <w:smallCaps w:val="false"/>
                <w:color w:val="000000"/>
              </w:rPr>
              <w:t>This promise is distinct as services are not interrelated with any of the other performance obligations. Revenue is recognized as supplies are shipped for commercial use during the commercialization period. The drug product revenue amount represents variable consideration and is estimated based on the quantity of product shipped and an estimated price for each individual purchase order. The estimated price is based on the contractual transfer price percentage applied on the estimated weighted average net sales price, which is estimated to be realized by AstraZeneca from the end sale of roxadustat in its approved territories.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136</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China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promised services that were analyzed are consistent with the U.S./RoW Agreement, except for license to the Company’s technology existing at the effective date of the agreement, described as follows: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rPr>
              <w:t>License to the Company’s technology existing at the effective date of the agreement.</w:t>
            </w:r>
            <w:r>
              <w:rPr>
                <w:b w:val="false"/>
                <w:i w:val="false"/>
                <w:caps w:val="false"/>
                <w:smallCaps w:val="false"/>
                <w:color w:val="000000"/>
              </w:rPr>
              <w:t xml:space="preserve"> The license was delivered at the beginning of the agreement term. However, the China Agreement with AstraZeneca has contractual limitations that might affect AstraZeneca’s ability to fully exploit the license and therefore, potentially, the conclusion as to whether the license is distinct in the context of the agreement. In the China Agreement, AstraZeneca does not have the right to manufacture commercial supplies of the drug. In order to determine whether this characteristic of the arrangement should lead to a conclusion that the license was not distinct in the context of the agreement, the Company considered the ability of AstraZeneca to benefit from the license on its own or together with other resources readily available to AstraZeneca.</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The Company holds the rights to manufacture commercial drug product in China. Therefore, AstraZeneca cannot benefit from the license on its own or together with other readily available resources. Accordingly, all the promises identified, including the license, co-development services and manufacturing of commercial supplies, under the China Agreement have been bundled into a single performance obligation and amounts of the transaction price allocable to this performance obligation are deferred until control of the manufactured commercial drug product has begun to transfer to AstraZeneca.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accordance with the China Amendment, once Falikang is fully operational, which commenced in January 2021, substantially all product sales will be made by Falikang directly to the distributors in China, while the Company continues to sell directly in a few provinces in China. Revenue is recognized at a point in time when control of roxadustat commercial product is transferred to Falikang. For the Company’s direct sales of commercial drug product, revenue is recognized when control of the promised good is transferred to the customer in an amount that reflects the consideration that the Company expects to be entitled to in exchange for the product.</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Eluminex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2021, FibroGen exclusively licensed to Eluminex Biosciences (Suzhou) Limited (“Eluminex”) global rights to its investigational biosynthetic cornea derived from recombinant human collagen Type III.</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terms of the agreement with Eluminex (the “Eluminex Agreement”), Eluminex will make an $8.0 million upfront payment to FibroGen.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also be eligible to receive </w:t>
      </w:r>
      <w:r>
        <w:rPr>
          <w:rFonts w:ascii="Times New Roman" w:hAnsi="Times New Roman"/>
          <w:b w:val="false"/>
          <w:i w:val="false"/>
          <w:caps w:val="false"/>
          <w:smallCaps w:val="false"/>
          <w:color w:val="000000"/>
          <w:sz w:val="20"/>
        </w:rPr>
        <w:t>mid single-digit to low double-digit</w:t>
      </w:r>
      <w:r>
        <w:rPr>
          <w:rFonts w:ascii="Times New Roman" w:hAnsi="Times New Roman"/>
          <w:b w:val="false"/>
          <w:i w:val="false"/>
          <w:caps w:val="false"/>
          <w:smallCaps w:val="false"/>
          <w:sz w:val="20"/>
        </w:rPr>
        <w:t xml:space="preserve"> royalties based upon worldwide net sales</w:t>
      </w:r>
      <w:r>
        <w:rPr>
          <w:rFonts w:ascii="Times New Roman" w:hAnsi="Times New Roman"/>
          <w:b w:val="false"/>
          <w:i w:val="false"/>
          <w:caps w:val="false"/>
          <w:smallCaps w:val="false"/>
          <w:color w:val="000000"/>
          <w:sz w:val="20"/>
        </w:rPr>
        <w:t xml:space="preserve"> of cornea products, and low single-digit to mid single-digit royalties based upon worldwide net sales of other recombinant human collagen type III products that are not cornea products</w:t>
      </w:r>
      <w:r>
        <w:rPr>
          <w:rFonts w:ascii="Times New Roman" w:hAnsi="Times New Roman"/>
          <w:b w:val="false"/>
          <w:i w:val="false"/>
          <w:caps w:val="false"/>
          <w:smallCaps w:val="false"/>
          <w:sz w:val="20"/>
        </w:rPr>
        <w: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accounted for this agreement under ASC 606 and identified one performance obligation at inception of the agreement related to the granting of the license rights to the investigational biosynthetic cornea derived from recombinant human collagen Type III. The Company based its assessment on the determination that Eluminex can benefit from the granted license on its own by developing and commercializing the underlying product using its own resources. All components of the transaction price in the agreement were allocated to the single performance obligation. Additionally, the Company will be responsible for supplying the cornea product at 110% of its product manufacturing costs until its manufacturing technology is fully transferred to Eluminex. Supply of the cornea product will be managed by a separate agreement and is considered a separate performance obligation.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year ended December 31, 2021, the $8.0 million upfront license payment was recognized as license revenue for the performance obligation satisfied. This amount was recorded as an unbilled contract asset as of December 31, 2021 in the prepaid expenses and other current assets in the consolidated balance sheets. The remaining future variable consideration related to future manufacturing, clinical, regulatory milestone payments as described above were fully constrained because the Company cannot conclude that it is probable that a significant reversal of the amount of cumulative revenue recognized will not occur, given the inherent uncertainties of success with these future milestones. For commercial milestones and royalties, the Company determined that the license is the predominant item to which the royalties or sales-based milestones relate and revenue will be recognized when the corresponding milestones and royalties are earned.</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License Revenue and Development Revenue Recognized Under the Collaboration Agreements and License Agreement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 amounts identified below are included in the “License revenue” line item in the consolidated statements of operations. All other elements identified below are included in the “Development and other revenue” line item in the consolidated statements of operations.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Amounts recognized as license revenue and development revenue under the Japan Agreement with Astellas were as follows (in thousands):</w:t>
      </w:r>
    </w:p>
    <w:p>
      <w:pPr>
        <w:pStyle w:val="TextBody"/>
        <w:spacing w:before="0" w:after="0"/>
        <w:rPr/>
      </w:pPr>
      <w:r>
        <w:rPr/>
        <w:t> </w:t>
      </w:r>
    </w:p>
    <w:tbl>
      <w:tblPr>
        <w:tblW w:w="5513" w:type="dxa"/>
        <w:jc w:val="left"/>
        <w:tblInd w:w="0" w:type="dxa"/>
        <w:tblCellMar>
          <w:top w:w="0" w:type="dxa"/>
          <w:left w:w="0" w:type="dxa"/>
          <w:bottom w:w="28" w:type="dxa"/>
          <w:right w:w="0" w:type="dxa"/>
        </w:tblCellMar>
      </w:tblPr>
      <w:tblGrid>
        <w:gridCol w:w="950"/>
        <w:gridCol w:w="60"/>
        <w:gridCol w:w="2090"/>
        <w:gridCol w:w="60"/>
        <w:gridCol w:w="134"/>
        <w:gridCol w:w="361"/>
        <w:gridCol w:w="64"/>
        <w:gridCol w:w="64"/>
        <w:gridCol w:w="134"/>
        <w:gridCol w:w="637"/>
        <w:gridCol w:w="64"/>
        <w:gridCol w:w="64"/>
        <w:gridCol w:w="134"/>
        <w:gridCol w:w="637"/>
        <w:gridCol w:w="60"/>
      </w:tblGrid>
      <w:tr>
        <w:trPr/>
        <w:tc>
          <w:tcPr>
            <w:tcW w:w="9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0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293"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Agreement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0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Performance Obligation</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4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Japan</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090"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14,323</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0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3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248</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1,220</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transaction price related to consideration received and accounts receivable has been allocated to each of the following performance obligations under the Japan Agreement with Astellas, along with any associated deferred revenue as follows (in thousands):</w:t>
      </w:r>
    </w:p>
    <w:p>
      <w:pPr>
        <w:pStyle w:val="TextBody"/>
        <w:spacing w:before="0" w:after="0"/>
        <w:rPr/>
      </w:pPr>
      <w:r>
        <w:rPr/>
        <w:t> </w:t>
      </w:r>
    </w:p>
    <w:tbl>
      <w:tblPr>
        <w:tblW w:w="7802" w:type="dxa"/>
        <w:jc w:val="left"/>
        <w:tblInd w:w="0" w:type="dxa"/>
        <w:tblCellMar>
          <w:top w:w="0" w:type="dxa"/>
          <w:left w:w="0" w:type="dxa"/>
          <w:bottom w:w="28" w:type="dxa"/>
          <w:right w:w="0" w:type="dxa"/>
        </w:tblCellMar>
      </w:tblPr>
      <w:tblGrid>
        <w:gridCol w:w="2525"/>
        <w:gridCol w:w="60"/>
        <w:gridCol w:w="248"/>
        <w:gridCol w:w="1391"/>
        <w:gridCol w:w="60"/>
        <w:gridCol w:w="60"/>
        <w:gridCol w:w="531"/>
        <w:gridCol w:w="1108"/>
        <w:gridCol w:w="60"/>
        <w:gridCol w:w="60"/>
        <w:gridCol w:w="248"/>
        <w:gridCol w:w="1391"/>
        <w:gridCol w:w="60"/>
      </w:tblGrid>
      <w:tr>
        <w:trPr/>
        <w:tc>
          <w:tcPr>
            <w:tcW w:w="25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Japan Agreement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Cumulative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Through</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Deferred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Consideration</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Through</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2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3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100,347</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1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3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100,347</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25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revenue</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16,598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16,598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bottom w:val="doub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license and development</w:t>
            </w:r>
          </w:p>
          <w:p>
            <w:pPr>
              <w:pStyle w:val="TableContents"/>
              <w:spacing w:before="0" w:after="0"/>
              <w:ind w:left="274" w:right="0" w:hanging="0"/>
              <w:rPr>
                <w:caps w:val="false"/>
                <w:smallCaps w:val="false"/>
              </w:rPr>
            </w:pPr>
            <w:r>
              <w:rPr>
                <w:caps w:val="false"/>
                <w:smallCaps w:val="false"/>
              </w:rPr>
              <w:t xml:space="preserve">   </w:t>
            </w:r>
            <w:r>
              <w:rPr>
                <w:rFonts w:ascii="Times New Roman" w:hAnsi="Times New Roman"/>
                <w:b w:val="false"/>
                <w:i w:val="false"/>
                <w:caps w:val="false"/>
                <w:smallCaps w:val="false"/>
                <w:sz w:val="20"/>
              </w:rPr>
              <w:t>revenue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116,945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5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116,945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revenue recognized under the Japan Agreement for the year ended December 31, 2021 included immaterial revenue resulting from changes to estimated variable consideration in the current year relating to performance obligations satisfied or partially satisfied in previous periods. The Company does not expect material variable consideration from estimated future co-development billing beyond development period in the transaction price related to the Japan Agreement.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Amounts recognized as license revenue and development revenue under the Europe Agreement with Astellas were as follows (in thousands):</w:t>
      </w:r>
    </w:p>
    <w:tbl>
      <w:tblPr>
        <w:tblW w:w="5815" w:type="dxa"/>
        <w:jc w:val="left"/>
        <w:tblInd w:w="0" w:type="dxa"/>
        <w:tblCellMar>
          <w:top w:w="0" w:type="dxa"/>
          <w:left w:w="0" w:type="dxa"/>
          <w:bottom w:w="28" w:type="dxa"/>
          <w:right w:w="0" w:type="dxa"/>
        </w:tblCellMar>
      </w:tblPr>
      <w:tblGrid>
        <w:gridCol w:w="950"/>
        <w:gridCol w:w="60"/>
        <w:gridCol w:w="2090"/>
        <w:gridCol w:w="60"/>
        <w:gridCol w:w="125"/>
        <w:gridCol w:w="695"/>
        <w:gridCol w:w="60"/>
        <w:gridCol w:w="60"/>
        <w:gridCol w:w="125"/>
        <w:gridCol w:w="590"/>
        <w:gridCol w:w="60"/>
        <w:gridCol w:w="60"/>
        <w:gridCol w:w="125"/>
        <w:gridCol w:w="695"/>
        <w:gridCol w:w="60"/>
      </w:tblGrid>
      <w:tr>
        <w:trPr/>
        <w:tc>
          <w:tcPr>
            <w:tcW w:w="9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0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59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Agreement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0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Performance Obligation</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Europe</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09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108,434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117,470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0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17,954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28,172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transaction price related to consideration received and accounts receivable has been allocated to each of the following performance obligations under the Europe Agreement with Astellas, along with any associated deferred revenue as follows (in thousands):</w:t>
      </w:r>
    </w:p>
    <w:tbl>
      <w:tblPr>
        <w:tblW w:w="7802" w:type="dxa"/>
        <w:jc w:val="left"/>
        <w:tblInd w:w="0" w:type="dxa"/>
        <w:tblCellMar>
          <w:top w:w="0" w:type="dxa"/>
          <w:left w:w="0" w:type="dxa"/>
          <w:bottom w:w="28" w:type="dxa"/>
          <w:right w:w="0" w:type="dxa"/>
        </w:tblCellMar>
      </w:tblPr>
      <w:tblGrid>
        <w:gridCol w:w="2525"/>
        <w:gridCol w:w="60"/>
        <w:gridCol w:w="248"/>
        <w:gridCol w:w="1391"/>
        <w:gridCol w:w="60"/>
        <w:gridCol w:w="60"/>
        <w:gridCol w:w="531"/>
        <w:gridCol w:w="1108"/>
        <w:gridCol w:w="60"/>
        <w:gridCol w:w="60"/>
        <w:gridCol w:w="248"/>
        <w:gridCol w:w="1391"/>
        <w:gridCol w:w="60"/>
      </w:tblGrid>
      <w:tr>
        <w:trPr/>
        <w:tc>
          <w:tcPr>
            <w:tcW w:w="25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Europe Agreement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Cumulative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Through</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Deferred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Consideration</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Through</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596,385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1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2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596,385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270,641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5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270,641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license and development</w:t>
            </w:r>
          </w:p>
          <w:p>
            <w:pPr>
              <w:pStyle w:val="TableContents"/>
              <w:spacing w:before="0" w:after="0"/>
              <w:ind w:left="274" w:right="0" w:hanging="0"/>
              <w:rPr>
                <w:caps w:val="false"/>
                <w:smallCaps w:val="false"/>
              </w:rPr>
            </w:pPr>
            <w:r>
              <w:rPr>
                <w:caps w:val="false"/>
                <w:smallCaps w:val="false"/>
              </w:rPr>
              <w:t xml:space="preserve">   </w:t>
            </w:r>
            <w:r>
              <w:rPr>
                <w:rFonts w:ascii="Times New Roman" w:hAnsi="Times New Roman"/>
                <w:b w:val="false"/>
                <w:i w:val="false"/>
                <w:caps w:val="false"/>
                <w:smallCaps w:val="false"/>
                <w:sz w:val="20"/>
              </w:rPr>
              <w:t>revenue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867,026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5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867,026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revenue recognized under the Europe Agreement for the year ended December 31, 2021 included an increase in revenue of $1.0 million resulting from changes to estimated variable consideration in the current year relating to performance obligations satisfied or partially satisfied in previous periods. The remainder of the transaction price related to the Europe Agreement includes $12.9 million of variable consideration from estimated future co-development billing and is expected to be recognized over the remaining development service period.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Amounts recognized as license revenue and development revenue under the U.S./RoW and China Agreements with AstraZeneca were as follows (in thousands):</w:t>
      </w:r>
    </w:p>
    <w:p>
      <w:pPr>
        <w:pStyle w:val="TextBody"/>
        <w:spacing w:before="0" w:after="0"/>
        <w:rPr/>
      </w:pPr>
      <w:r>
        <w:rPr/>
        <w:t> </w:t>
      </w:r>
    </w:p>
    <w:tbl>
      <w:tblPr>
        <w:tblW w:w="6000" w:type="dxa"/>
        <w:jc w:val="left"/>
        <w:tblInd w:w="0" w:type="dxa"/>
        <w:tblCellMar>
          <w:top w:w="0" w:type="dxa"/>
          <w:left w:w="0" w:type="dxa"/>
          <w:bottom w:w="28" w:type="dxa"/>
          <w:right w:w="0" w:type="dxa"/>
        </w:tblCellMar>
      </w:tblPr>
      <w:tblGrid>
        <w:gridCol w:w="950"/>
        <w:gridCol w:w="60"/>
        <w:gridCol w:w="2465"/>
        <w:gridCol w:w="60"/>
        <w:gridCol w:w="125"/>
        <w:gridCol w:w="590"/>
        <w:gridCol w:w="60"/>
        <w:gridCol w:w="60"/>
        <w:gridCol w:w="125"/>
        <w:gridCol w:w="590"/>
        <w:gridCol w:w="80"/>
        <w:gridCol w:w="60"/>
        <w:gridCol w:w="125"/>
        <w:gridCol w:w="590"/>
        <w:gridCol w:w="60"/>
      </w:tblGrid>
      <w:tr>
        <w:trPr/>
        <w:tc>
          <w:tcPr>
            <w:tcW w:w="9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4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40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Agreement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4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Performance Obligation</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 RoW</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and China</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6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47,681</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Development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61,508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84,629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China performance obligation</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transaction price related to consideration received and accounts receivable has been allocated to each of the following performance obligations under the U.S./RoW Agreement and China Agreement, along with any associated deferred revenue as follows (in thousands):</w:t>
      </w:r>
    </w:p>
    <w:p>
      <w:pPr>
        <w:pStyle w:val="TextBody"/>
        <w:spacing w:before="0" w:after="0"/>
        <w:rPr/>
      </w:pPr>
      <w:r>
        <w:rPr/>
        <w:t> </w:t>
      </w:r>
    </w:p>
    <w:tbl>
      <w:tblPr>
        <w:tblW w:w="8722" w:type="dxa"/>
        <w:jc w:val="left"/>
        <w:tblInd w:w="0" w:type="dxa"/>
        <w:tblCellMar>
          <w:top w:w="0" w:type="dxa"/>
          <w:left w:w="0" w:type="dxa"/>
          <w:bottom w:w="28" w:type="dxa"/>
          <w:right w:w="0" w:type="dxa"/>
        </w:tblCellMar>
      </w:tblPr>
      <w:tblGrid>
        <w:gridCol w:w="3275"/>
        <w:gridCol w:w="60"/>
        <w:gridCol w:w="248"/>
        <w:gridCol w:w="1391"/>
        <w:gridCol w:w="60"/>
        <w:gridCol w:w="60"/>
        <w:gridCol w:w="248"/>
        <w:gridCol w:w="1391"/>
        <w:gridCol w:w="60"/>
        <w:gridCol w:w="230"/>
        <w:gridCol w:w="211"/>
        <w:gridCol w:w="1428"/>
        <w:gridCol w:w="60"/>
      </w:tblGrid>
      <w:tr>
        <w:trPr/>
        <w:tc>
          <w:tcPr>
            <w:tcW w:w="327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U.S. / RoW and China Agreements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Cumulative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Through</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Deferred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Consideration</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Through</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3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341,844</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3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30" w:type="dxa"/>
            <w:tcBorders/>
            <w:shd w:fill="CFF0FC"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21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4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341,844</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r>
      <w:tr>
        <w:trPr/>
        <w:tc>
          <w:tcPr>
            <w:tcW w:w="32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Co-development, information sharing &amp;</w:t>
            </w:r>
          </w:p>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committee services</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603,119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2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603,119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China performance obligation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4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35,568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4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171,516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bottom w:val="single" w:sz="6" w:space="0" w:color="000000"/>
            </w:tcBorders>
            <w:shd w:fill="CFF0FC" w:val="clear"/>
            <w:vAlign w:val="bottom"/>
          </w:tcPr>
          <w:p>
            <w:pPr>
              <w:pStyle w:val="TableContents"/>
              <w:spacing w:before="0" w:after="0"/>
              <w:ind w:left="0" w:right="0" w:hanging="0"/>
              <w:jc w:val="center"/>
              <w:rPr>
                <w:caps w:val="false"/>
                <w:smallCaps w:val="false"/>
              </w:rPr>
            </w:pPr>
            <w:r>
              <w:rPr>
                <w:caps w:val="false"/>
                <w:smallCaps w:val="false"/>
              </w:rPr>
              <w:t> </w:t>
            </w:r>
          </w:p>
        </w:tc>
        <w:tc>
          <w:tcPr>
            <w:tcW w:w="21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207,084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license and development</w:t>
            </w:r>
          </w:p>
          <w:p>
            <w:pPr>
              <w:pStyle w:val="TableContents"/>
              <w:spacing w:before="0" w:after="0"/>
              <w:ind w:left="274" w:right="0" w:hanging="0"/>
              <w:rPr>
                <w:caps w:val="false"/>
                <w:smallCaps w:val="false"/>
              </w:rPr>
            </w:pPr>
            <w:r>
              <w:rPr>
                <w:caps w:val="false"/>
                <w:smallCaps w:val="false"/>
              </w:rPr>
              <w:t xml:space="preserve">   </w:t>
            </w:r>
            <w:r>
              <w:rPr>
                <w:rFonts w:ascii="Times New Roman" w:hAnsi="Times New Roman"/>
                <w:b w:val="false"/>
                <w:i w:val="false"/>
                <w:caps w:val="false"/>
                <w:smallCaps w:val="false"/>
                <w:sz w:val="20"/>
              </w:rPr>
              <w:t>revenue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980,531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24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171,516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1,152,047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pBdr>
          <w:bottom w:val="single" w:sz="8" w:space="1" w:color="000000"/>
        </w:pBdr>
        <w:spacing w:before="0" w:after="0"/>
        <w:rPr/>
      </w:pPr>
      <w:r>
        <w:rPr/>
        <w:t> </w:t>
      </w:r>
    </w:p>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 </w:t>
            </w:r>
          </w:p>
        </w:tc>
        <w:tc>
          <w:tcPr>
            <w:tcW w:w="10041"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China performance obligation revenue is recognized as product revenue, as described in details under </w:t>
            </w:r>
            <w:r>
              <w:rPr>
                <w:rFonts w:ascii="Times New Roman" w:hAnsi="Times New Roman"/>
                <w:b w:val="false"/>
                <w:i/>
                <w:caps w:val="false"/>
                <w:smallCaps w:val="false"/>
                <w:sz w:val="20"/>
              </w:rPr>
              <w:t>Product Revenue, Net</w:t>
            </w:r>
            <w:r>
              <w:rPr>
                <w:rFonts w:ascii="Times New Roman" w:hAnsi="Times New Roman"/>
                <w:b w:val="false"/>
                <w:i w:val="false"/>
                <w:caps w:val="false"/>
                <w:smallCaps w:val="false"/>
                <w:sz w:val="20"/>
              </w:rPr>
              <w:t xml:space="preserve"> section below.</w:t>
            </w:r>
          </w:p>
        </w:tc>
      </w:tr>
    </w:tbl>
    <w:tbl>
      <w:tblPr>
        <w:tblW w:w="10205" w:type="dxa"/>
        <w:jc w:val="left"/>
        <w:tblInd w:w="0" w:type="dxa"/>
        <w:tblCellMar>
          <w:top w:w="0" w:type="dxa"/>
          <w:left w:w="0" w:type="dxa"/>
          <w:bottom w:w="0" w:type="dxa"/>
          <w:right w:w="0" w:type="dxa"/>
        </w:tblCellMar>
      </w:tblPr>
      <w:tblGrid>
        <w:gridCol w:w="163"/>
        <w:gridCol w:w="10042"/>
      </w:tblGrid>
      <w:tr>
        <w:trPr/>
        <w:tc>
          <w:tcPr>
            <w:tcW w:w="163"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 </w:t>
            </w:r>
          </w:p>
        </w:tc>
        <w:tc>
          <w:tcPr>
            <w:tcW w:w="10042"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Contract assets and liabilities related to rights and obligations in the same contract are recorded net on the consolidated balance sheets. As of December 31, 2021, deferred revenue included $162.4 million related to the U.S./RoW and China Agreement, which represents the net of $171.5 million of deferred revenue presented above and a $9.1 million unbilled co-development revenue under the China Amendment with AstraZeneca.</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revenue recognized under the U.S./RoW Agreement and China Agreement for the year ended December 31, 2021 included a reduction in revenue of $4.8 million resulting from changes to estimated variable consideration in the current year relating to performance obligations satisfied or partially satisfied in previous periods. The remainder of the transaction price related to the U.S./RoW Agreement and China Agreement includes $30.9 million of variable consideration from estimated future co-development billing and is expected to be recognized over the remaining development service period, except for amounts allocated to the China performance obligation. The amount allocated to the China performance obligation is expected to be recognized as the Company transfers control of the commercial drug product to Falikang.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Amounts recognized as revenue under the Eluminex were as follows (in thousands):</w:t>
      </w:r>
    </w:p>
    <w:tbl>
      <w:tblPr>
        <w:tblW w:w="5517" w:type="dxa"/>
        <w:jc w:val="left"/>
        <w:tblInd w:w="0" w:type="dxa"/>
        <w:tblCellMar>
          <w:top w:w="0" w:type="dxa"/>
          <w:left w:w="0" w:type="dxa"/>
          <w:bottom w:w="28" w:type="dxa"/>
          <w:right w:w="0" w:type="dxa"/>
        </w:tblCellMar>
      </w:tblPr>
      <w:tblGrid>
        <w:gridCol w:w="950"/>
        <w:gridCol w:w="60"/>
        <w:gridCol w:w="2090"/>
        <w:gridCol w:w="60"/>
        <w:gridCol w:w="177"/>
        <w:gridCol w:w="688"/>
        <w:gridCol w:w="85"/>
        <w:gridCol w:w="85"/>
        <w:gridCol w:w="177"/>
        <w:gridCol w:w="369"/>
        <w:gridCol w:w="85"/>
        <w:gridCol w:w="85"/>
        <w:gridCol w:w="177"/>
        <w:gridCol w:w="369"/>
        <w:gridCol w:w="60"/>
      </w:tblGrid>
      <w:tr>
        <w:trPr/>
        <w:tc>
          <w:tcPr>
            <w:tcW w:w="950" w:type="dxa"/>
            <w:tcBorders>
              <w:bottom w:val="single" w:sz="6" w:space="0" w:color="000000"/>
            </w:tcBorders>
            <w:shd w:fill="FFFFFF" w:val="clear"/>
            <w:vAlign w:val="bottom"/>
          </w:tcPr>
          <w:p>
            <w:pPr>
              <w:pStyle w:val="TableContents"/>
              <w:spacing w:before="0" w:after="0"/>
              <w:ind w:left="0" w:right="0" w:hanging="0"/>
              <w:jc w:val="center"/>
              <w:rPr/>
            </w:pPr>
            <w:r>
              <w:rPr/>
              <w:t> </w:t>
            </w:r>
          </w:p>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97"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Agreement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Performance Obligation</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Eluminex</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License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8,000</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Product Revenue,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revenue, net from the sales of roxadustat commercial product in China was as follows (in thousands):</w:t>
      </w:r>
    </w:p>
    <w:p>
      <w:pPr>
        <w:pStyle w:val="TextBody"/>
        <w:spacing w:before="0" w:after="0"/>
        <w:rPr/>
      </w:pPr>
      <w:r>
        <w:rPr/>
        <w:t> </w:t>
      </w:r>
    </w:p>
    <w:tbl>
      <w:tblPr>
        <w:tblW w:w="5735" w:type="dxa"/>
        <w:jc w:val="left"/>
        <w:tblInd w:w="0" w:type="dxa"/>
        <w:tblCellMar>
          <w:top w:w="0" w:type="dxa"/>
          <w:left w:w="0" w:type="dxa"/>
          <w:bottom w:w="28" w:type="dxa"/>
          <w:right w:w="0" w:type="dxa"/>
        </w:tblCellMar>
      </w:tblPr>
      <w:tblGrid>
        <w:gridCol w:w="3215"/>
        <w:gridCol w:w="60"/>
        <w:gridCol w:w="125"/>
        <w:gridCol w:w="650"/>
        <w:gridCol w:w="80"/>
        <w:gridCol w:w="60"/>
        <w:gridCol w:w="125"/>
        <w:gridCol w:w="590"/>
        <w:gridCol w:w="80"/>
        <w:gridCol w:w="60"/>
        <w:gridCol w:w="125"/>
        <w:gridCol w:w="485"/>
        <w:gridCol w:w="80"/>
      </w:tblGrid>
      <w:tr>
        <w:trPr/>
        <w:tc>
          <w:tcPr>
            <w:tcW w:w="3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8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Direct Sales:</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revenue</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13,727</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89,027</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Price adjustment</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Non-key account hospital listing award</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(9,325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Contractual sales rebate</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discounts and rebates</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bottom w:val="single" w:sz="6" w:space="0" w:color="000000"/>
            </w:tcBorders>
            <w:shd w:fill="FFFFFF" w:val="cle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returns</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CFF0FC" w:val="cle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 sales revenue, net</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12,070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72,498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Sales to Falikang:</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transaction price</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97,531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CFF0FC" w:val="cle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Profit share</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(34,759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transaction price</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62,772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in deferred revenue</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(27,204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to Falikang revenue, net</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35,568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double" w:sz="6" w:space="0" w:color="000000"/>
            </w:tcBorders>
            <w:shd w:fill="CFF0FC" w:val="clear"/>
            <w:vAlign w:val="bottom"/>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product revenue, net</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47,638</w:t>
            </w:r>
          </w:p>
        </w:tc>
        <w:tc>
          <w:tcPr>
            <w:tcW w:w="8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72,498</w:t>
            </w:r>
          </w:p>
        </w:tc>
        <w:tc>
          <w:tcPr>
            <w:tcW w:w="8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1,700</w:t>
            </w:r>
          </w:p>
        </w:tc>
        <w:tc>
          <w:tcPr>
            <w:tcW w:w="8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Direct Sales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revenue from direct roxadustat product sales to distributors in China is recognized in an amount that reflects the consideration that the Company expects to be entitled to in exchange for those products, net of sales rebates and discounts.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total discounts and rebates were $1.7 million, $16.4 million and $1.1 million for the years ended December 31, 2021, 2020 and 2019, respectively. The discounts and rebates for the years ended December 31, 2021 and 2019 primarily consisted of $1.0 million and $0.9 million, respectively, of price adjustments recorded based on government-listed price guidance and estimated channel inventory levels. The discounts and rebates also consisted of the contractual sales rebate calculated based on the stated percentage of gross sales by each distributor in the distribution agreement entered between FibroGen and each distributor. The contractual sales rebate was $0.8 million, $6.2 million and $0.1 million, respectively, for the years ended December 31, 2021, 2020 and 2019. In addition, in the second quarter of 2020, the Company amended the agreement with its pharmaceutical distributors, which triggered accounting modifications particularly related to the non-key account hospital listing award. For the year ended December 31, 2020, the non-key account hospital listing award was $9.3 million, which was recorded as a reduction to the revenue and calculated based on eligible non-key account hospital listings to date achieved by each distributor with certain requirements met during the period. All other rebates and discounts, including sales return allowance were immaterial for the periods presented.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rebates and discounts that the Company’s pharmaceutical distributors have earned are eligible to be applied against future sales orders, limited to certain maximums until such rebates and discounts are exhausted. These rebates and discounts are recorded as contract liabilities at the time they become eligible in the same period that the related revenue is recorded. Due to the distributor’s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calculated at the individual distributor level. The following table includes a roll-forward of the related contract liabilities (in thousands):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3688"/>
        <w:gridCol w:w="60"/>
        <w:gridCol w:w="250"/>
        <w:gridCol w:w="1302"/>
        <w:gridCol w:w="80"/>
        <w:gridCol w:w="60"/>
        <w:gridCol w:w="154"/>
        <w:gridCol w:w="676"/>
        <w:gridCol w:w="80"/>
        <w:gridCol w:w="60"/>
        <w:gridCol w:w="152"/>
        <w:gridCol w:w="723"/>
        <w:gridCol w:w="60"/>
        <w:gridCol w:w="60"/>
        <w:gridCol w:w="246"/>
        <w:gridCol w:w="779"/>
        <w:gridCol w:w="80"/>
        <w:gridCol w:w="60"/>
        <w:gridCol w:w="289"/>
        <w:gridCol w:w="1264"/>
        <w:gridCol w:w="82"/>
      </w:tblGrid>
      <w:tr>
        <w:trPr/>
        <w:tc>
          <w:tcPr>
            <w:tcW w:w="3688"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1552"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8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Additions</w:t>
            </w:r>
          </w:p>
        </w:tc>
        <w:tc>
          <w:tcPr>
            <w:tcW w:w="8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87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Deduction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0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Currency</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Translation</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and Other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553"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88"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revenue - Direct sales - contract liabilities</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2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(15,137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1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rPr>
            </w:pPr>
            <w:r>
              <w:rPr>
                <w:caps w:val="false"/>
                <w:smallCaps w:val="false"/>
              </w:rPr>
              <w:t> </w:t>
            </w:r>
          </w:p>
        </w:tc>
        <w:tc>
          <w:tcPr>
            <w:tcW w:w="15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13,645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rPr>
            </w:pPr>
            <w:r>
              <w:rPr>
                <w:caps w:val="false"/>
                <w:smallCaps w:val="false"/>
              </w:rPr>
              <w:t> </w:t>
            </w:r>
          </w:p>
        </w:tc>
        <w:tc>
          <w:tcPr>
            <w:tcW w:w="2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(3,176</w:t>
            </w:r>
          </w:p>
        </w:tc>
        <w:tc>
          <w:tcPr>
            <w:tcW w:w="82"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and 2020, the total contract liabilities was $3.2 million and $15.1 million, respectively, which was included in accrued and other current liabilities in the consolidated balance sheet. As of December 31, 2021 and 2020, the total rebates and discounts reflected as reductions to gross accounts receivable for direct sales was $1.1 million and $0.5 million, respectively.</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Sales to Falikang – China Performance Obligation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Falikang became fully operational in January 2021, substantially all direct roxadustat product sales to distributors in China are made by Falikang. FibroGen Beijing manufactures and supplies commercial product to Falikang. The net transaction price for FibroGen Beijing’s product sales to Falikang is based on a gross transaction price, which is adjusted to account for the 50/50 profit share for the period.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The roxadustat sales to Falikang marked the beginning of the Company’s China performance obligation under the Company’s agreements with AstraZeneca</w:t>
      </w:r>
      <w:r>
        <w:rPr>
          <w:rFonts w:ascii="Times New Roman" w:hAnsi="Times New Roman"/>
          <w:b w:val="false"/>
          <w:i/>
          <w:caps w:val="false"/>
          <w:smallCaps w:val="false"/>
          <w:color w:val="000000"/>
          <w:sz w:val="20"/>
          <w:highlight w:val="white"/>
        </w:rPr>
        <w:t>.</w:t>
      </w:r>
      <w:r>
        <w:rPr>
          <w:rFonts w:ascii="Times New Roman" w:hAnsi="Times New Roman"/>
          <w:b w:val="false"/>
          <w:i w:val="false"/>
          <w:caps w:val="false"/>
          <w:smallCaps w:val="false"/>
          <w:color w:val="000000"/>
          <w:sz w:val="20"/>
          <w:highlight w:val="white"/>
        </w:rPr>
        <w:t xml:space="preserve"> Product revenue is based on the transaction price of the China performance obligation. </w:t>
      </w:r>
      <w:r>
        <w:rPr>
          <w:rFonts w:ascii="Times New Roman" w:hAnsi="Times New Roman"/>
          <w:b w:val="false"/>
          <w:i w:val="false"/>
          <w:caps w:val="false"/>
          <w:smallCaps w:val="false"/>
          <w:color w:val="000000"/>
          <w:sz w:val="20"/>
        </w:rPr>
        <w:t xml:space="preserve">Revenue is recognized when control of the product is transferred to Falikang, </w:t>
      </w:r>
      <w:r>
        <w:rPr>
          <w:rFonts w:ascii="Times New Roman" w:hAnsi="Times New Roman"/>
          <w:b w:val="false"/>
          <w:i w:val="false"/>
          <w:caps w:val="false"/>
          <w:smallCaps w:val="false"/>
          <w:color w:val="000000"/>
          <w:sz w:val="20"/>
          <w:highlight w:val="white"/>
        </w:rPr>
        <w:t xml:space="preserve">in an amount that </w:t>
      </w:r>
      <w:r>
        <w:rPr>
          <w:rFonts w:ascii="Times New Roman" w:hAnsi="Times New Roman"/>
          <w:b w:val="false"/>
          <w:i w:val="false"/>
          <w:caps w:val="false"/>
          <w:smallCaps w:val="false"/>
          <w:color w:val="000000"/>
          <w:sz w:val="20"/>
        </w:rPr>
        <w:t>reflects the allocation of the transaction price to the performance obligation satisfied during the reporting period</w:t>
      </w:r>
      <w:r>
        <w:rPr>
          <w:rFonts w:ascii="Times New Roman" w:hAnsi="Times New Roman"/>
          <w:b w:val="false"/>
          <w:i w:val="false"/>
          <w:caps w:val="false"/>
          <w:smallCaps w:val="false"/>
          <w:color w:val="000000"/>
          <w:sz w:val="20"/>
          <w:highlight w:val="white"/>
        </w:rPr>
        <w:t xml:space="preserve">. </w:t>
      </w:r>
      <w:r>
        <w:rPr>
          <w:rFonts w:ascii="Times New Roman" w:hAnsi="Times New Roman"/>
          <w:b w:val="false"/>
          <w:i w:val="false"/>
          <w:caps w:val="false"/>
          <w:smallCaps w:val="false"/>
          <w:color w:val="000000"/>
          <w:sz w:val="20"/>
        </w:rPr>
        <w:t xml:space="preserve">Any net transaction price in excess of the revenue recognized is added to the deferred balance to date, and will </w:t>
      </w:r>
      <w:r>
        <w:rPr>
          <w:rFonts w:ascii="Times New Roman" w:hAnsi="Times New Roman"/>
          <w:b w:val="false"/>
          <w:i w:val="false"/>
          <w:caps w:val="false"/>
          <w:smallCaps w:val="false"/>
          <w:color w:val="000000"/>
          <w:sz w:val="20"/>
          <w:highlight w:val="white"/>
        </w:rPr>
        <w:t>be recognized over future periods as the performance obligations are satisfied</w:t>
      </w:r>
      <w:r>
        <w:rPr>
          <w:rFonts w:ascii="Times New Roman" w:hAnsi="Times New Roman"/>
          <w:b w:val="false"/>
          <w:i w:val="false"/>
          <w:caps w:val="false"/>
          <w:smallCaps w:val="false"/>
          <w:color w:val="000000"/>
          <w:sz w:val="20"/>
        </w:rPr>
        <w:t xml:space="preserve">. During the year ended December 31, 2021, following updates to its estimates, the Company deferred $27.2 million from the net transaction price to Falikang, which was included in the related deferred revenue of the China performance obligation.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includes a roll-forward of the related deferred revenue that is considered as a contract liability (in thousands):</w:t>
      </w:r>
    </w:p>
    <w:tbl>
      <w:tblPr>
        <w:tblW w:w="10205" w:type="dxa"/>
        <w:jc w:val="left"/>
        <w:tblInd w:w="0" w:type="dxa"/>
        <w:tblCellMar>
          <w:top w:w="0" w:type="dxa"/>
          <w:left w:w="0" w:type="dxa"/>
          <w:bottom w:w="28" w:type="dxa"/>
          <w:right w:w="0" w:type="dxa"/>
        </w:tblCellMar>
      </w:tblPr>
      <w:tblGrid>
        <w:gridCol w:w="3589"/>
        <w:gridCol w:w="60"/>
        <w:gridCol w:w="231"/>
        <w:gridCol w:w="1402"/>
        <w:gridCol w:w="80"/>
        <w:gridCol w:w="60"/>
        <w:gridCol w:w="133"/>
        <w:gridCol w:w="697"/>
        <w:gridCol w:w="80"/>
        <w:gridCol w:w="60"/>
        <w:gridCol w:w="343"/>
        <w:gridCol w:w="1633"/>
        <w:gridCol w:w="60"/>
        <w:gridCol w:w="60"/>
        <w:gridCol w:w="231"/>
        <w:gridCol w:w="1402"/>
        <w:gridCol w:w="84"/>
      </w:tblGrid>
      <w:tr>
        <w:trPr/>
        <w:tc>
          <w:tcPr>
            <w:tcW w:w="3589"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3"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Additions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6"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Recognized as Revenue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3"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89"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revenue - AstraZeneca China</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performance obligation - deferred revenue</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(137,338</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(69,746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6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35,568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(171,516</w:t>
            </w:r>
          </w:p>
        </w:tc>
        <w:tc>
          <w:tcPr>
            <w:tcW w:w="84"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December 31, 2021, approximately $10.6 million of the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reductions to gross accounts receivable related to product revenue to Falikang was $13.4 million as of December 31, 2021.</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141</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Drug Product Revenue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Drug product revenue was as follows (in thousands): </w:t>
      </w:r>
    </w:p>
    <w:tbl>
      <w:tblPr>
        <w:tblW w:w="4245" w:type="dxa"/>
        <w:jc w:val="left"/>
        <w:tblInd w:w="0" w:type="dxa"/>
        <w:tblCellMar>
          <w:top w:w="0" w:type="dxa"/>
          <w:left w:w="0" w:type="dxa"/>
          <w:bottom w:w="28" w:type="dxa"/>
          <w:right w:w="0" w:type="dxa"/>
        </w:tblCellMar>
      </w:tblPr>
      <w:tblGrid>
        <w:gridCol w:w="1790"/>
        <w:gridCol w:w="60"/>
        <w:gridCol w:w="125"/>
        <w:gridCol w:w="545"/>
        <w:gridCol w:w="80"/>
        <w:gridCol w:w="60"/>
        <w:gridCol w:w="125"/>
        <w:gridCol w:w="485"/>
        <w:gridCol w:w="60"/>
        <w:gridCol w:w="60"/>
        <w:gridCol w:w="125"/>
        <w:gridCol w:w="650"/>
        <w:gridCol w:w="80"/>
      </w:tblGrid>
      <w:tr>
        <w:trPr/>
        <w:tc>
          <w:tcPr>
            <w:tcW w:w="17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31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Astellas</w:t>
            </w:r>
          </w:p>
        </w:tc>
        <w:tc>
          <w:tcPr>
            <w:tcW w:w="60"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3,186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(36,324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7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AstraZeneca</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(2,224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4,625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bottom w:val="double" w:sz="6" w:space="0" w:color="000000"/>
            </w:tcBorders>
            <w:shd w:fill="CFF0FC" w:val="clear"/>
            <w:vAlign w:val="bottom"/>
          </w:tcPr>
          <w:p>
            <w:pPr>
              <w:pStyle w:val="TableContents"/>
              <w:spacing w:before="0" w:after="0"/>
              <w:ind w:left="41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Drug product revenue</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rPr>
            </w:pPr>
            <w:r>
              <w:rPr>
                <w:caps w:val="false"/>
                <w:smallCaps w:val="false"/>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8,906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(36,324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second quarter of 2020, the Company fulfilled shipment obligations under the terms of Japan Amendment with Astellas, and recognized related drug product revenue of $8.2 million in the same period.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years ended December 31, 2021, 2020 and 2019, the Company updated its estimate of variable consideration related to the API shipments fulfilled under the terms of the Japan Amendment with Astellas in 2018 and 2020, and recorded an adjustment to the drug product revenue of $2.1 million, $(4.0) million and $(36.3) million for the years ended December 31, 2021, 2020 and 2019, respectively. Specifically, the change in estimated variable consideration was based on the API held by Astellas at the period end, adjusted to reflect the changes in the estimated bulk product strength mix intended to be manufactured by Astellas, estimated cost to convert the API to bulk product tablets, and estimated yield from the manufacture of bulk product tablets, among others.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fourth quarter of 2021, the Company transferred bulk drug product for commercial purposes under the terms of the Europe Agreement and the EU Supply Agreement with Astellas, and recognized the related fully burdened manufacturing costs of $1.0 million as drug product revenue, and recorded $8.3 million as deferred revenue as of December 31, 2021, due to a high degree of uncertainty associated with the final consideration. During the first quarter of 2021, the Company transferred bulk drug product from process validation supplies for commercial purposes under the terms of the Europe Agreement and the EU Supply Agreement with Astellas. The Company recorded the consideration of $11.8 million from this inventory transfer as deferred revenue as of December 31, 2021, due to a high degree of uncertainty associated with the final consideration. During the fourth quarter of 2020, the Company transferred bulk drug product from process validation supplies for commercial purposes under the terms of the Europe Agreement with Astellas. As a result, the Company recorded $6.0 million as deferred revenue as of December 31, 2020, due to a high degree of uncertainty associated with the final consideration. The Company recognized royalty revenue of $0.2 million from this deferred revenue during the year ended December 31, 2021. The remainder of the deferred revenue will be recognized as and when uncertainty is resolved.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fourth quarter of 2021, the Company updated its estimate of variable consideration related to the bulk drug product inventory transfers fulfilled under the terms of the Europe Agreement and the EU Supply Agreement with Astellas, and recorded an unbilled contract asset of $49.8 million, which was offset by related deferred revenue under the Europe Agreement and EU Supply Agreement. Specifically, the change in estimated variable consideration was based on the bulk drug product held by Astellas at the period end, adjusted to reflect the changes in the estimated transfer price, among others.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first half of 2021 and during the year ended December 31, 2020, the Company shipped bulk drug product to AstraZeneca as commercial supply under the terms of the Master Supply Agreement. Based on the complete response letter issued by the FDA in August 2021, the Company evaluated the impact of these developments in revising its estimates of variable consideration associated with drug product revenue. As a result, the Company updated the estimated transaction price for these shipments, and recorded $11.2 million as deferred revenue as of December 31, 2021.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includes a roll-forward of the above-mentioned deferred revenues that are considered as contract liabilities related to drug product (in thousands):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2861"/>
        <w:gridCol w:w="60"/>
        <w:gridCol w:w="273"/>
        <w:gridCol w:w="1194"/>
        <w:gridCol w:w="80"/>
        <w:gridCol w:w="60"/>
        <w:gridCol w:w="133"/>
        <w:gridCol w:w="697"/>
        <w:gridCol w:w="80"/>
        <w:gridCol w:w="60"/>
        <w:gridCol w:w="477"/>
        <w:gridCol w:w="1283"/>
        <w:gridCol w:w="60"/>
        <w:gridCol w:w="60"/>
        <w:gridCol w:w="201"/>
        <w:gridCol w:w="956"/>
        <w:gridCol w:w="60"/>
        <w:gridCol w:w="60"/>
        <w:gridCol w:w="236"/>
        <w:gridCol w:w="1230"/>
        <w:gridCol w:w="84"/>
      </w:tblGrid>
      <w:tr>
        <w:trPr/>
        <w:tc>
          <w:tcPr>
            <w:tcW w:w="2861"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67"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Additions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Recognized as Revenue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7"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Presented Net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Against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Contract Asset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6"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6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Astellas - Japan Agreement</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7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7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(1,974</w:t>
            </w:r>
          </w:p>
        </w:tc>
        <w:tc>
          <w:tcPr>
            <w:tcW w:w="8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86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Astellas - Europe Agreement</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(69,874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49,788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(25,891</w:t>
            </w:r>
          </w:p>
        </w:tc>
        <w:tc>
          <w:tcPr>
            <w:tcW w:w="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861"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AstraZeneca - U.S. Agreement</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(11,171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(11,171</w:t>
            </w:r>
          </w:p>
        </w:tc>
        <w:tc>
          <w:tcPr>
            <w:tcW w:w="8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861" w:type="dxa"/>
            <w:tcBorders>
              <w:bottom w:val="double" w:sz="6" w:space="0" w:color="000000"/>
            </w:tcBorders>
            <w:shd w:fill="FFFFFF" w:val="cle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Drug product revenue - deferred revenue</w:t>
            </w:r>
          </w:p>
        </w:tc>
        <w:tc>
          <w:tcPr>
            <w:tcW w:w="60" w:type="dxa"/>
            <w:tcBorders>
              <w:bottom w:val="doub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7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(83,019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7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49,788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(39,036</w:t>
            </w:r>
          </w:p>
        </w:tc>
        <w:tc>
          <w:tcPr>
            <w:tcW w:w="84"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240" w:after="0"/>
        <w:ind w:left="72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4.Equity method investment - Variable Interest Entity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Falikang is a distribution entity jointly owned by AstraZeneca and FibroGen Beijing. FibroGen Beijing owns 51.1% of the outstanding shares of Falikang.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guidance under ASC 810, the Company concluded that Falikang qualifies as a VIE for U.S. GAAP purposes under ASC 810. As Falikang is a distribution joint venture between FibroGen Beijing and AstraZeneca,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U.S. GAAP accounting purposes. As a result, the Company accounts for its investment in Falikang under the equity method, and Falikang is not consolidated into the Company’s consolidated financial statements. Accordingly, the Company records its total investments in Falikang as an equity method investment in an unconsolidated VIE in the consolidated balance sheet. In addition, the Company recognizes its proportionate share of the reported profits or losses of Falikang as investment income (loss) in unconsolidated VIE in the consolidated statement of operations, and as an adjustment to its investment in Falikang in the consolidated balance sheet. Falikang has not incurred material profit or loss to date. The Company may provide shareholder loans to Falikang to meet necessary financial obligations as part of its operations. To date, these loans have been immaterial.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equity method investment in Falikang was as follows for the year ended December 31, 2021 (in thousands):</w:t>
      </w:r>
    </w:p>
    <w:p>
      <w:pPr>
        <w:pStyle w:val="TextBody"/>
        <w:spacing w:before="240" w:after="0"/>
        <w:rPr/>
      </w:pPr>
      <w:r>
        <w:rPr/>
        <w:t> </w:t>
      </w:r>
    </w:p>
    <w:tbl>
      <w:tblPr>
        <w:tblW w:w="9421" w:type="dxa"/>
        <w:jc w:val="left"/>
        <w:tblInd w:w="0" w:type="dxa"/>
        <w:tblCellMar>
          <w:top w:w="0" w:type="dxa"/>
          <w:left w:w="0" w:type="dxa"/>
          <w:bottom w:w="28" w:type="dxa"/>
          <w:right w:w="0" w:type="dxa"/>
        </w:tblCellMar>
      </w:tblPr>
      <w:tblGrid>
        <w:gridCol w:w="740"/>
        <w:gridCol w:w="60"/>
        <w:gridCol w:w="261"/>
        <w:gridCol w:w="1663"/>
        <w:gridCol w:w="185"/>
        <w:gridCol w:w="60"/>
        <w:gridCol w:w="335"/>
        <w:gridCol w:w="1304"/>
        <w:gridCol w:w="60"/>
        <w:gridCol w:w="60"/>
        <w:gridCol w:w="353"/>
        <w:gridCol w:w="1376"/>
        <w:gridCol w:w="60"/>
        <w:gridCol w:w="60"/>
        <w:gridCol w:w="360"/>
        <w:gridCol w:w="665"/>
        <w:gridCol w:w="60"/>
        <w:gridCol w:w="60"/>
        <w:gridCol w:w="335"/>
        <w:gridCol w:w="1304"/>
        <w:gridCol w:w="60"/>
      </w:tblGrid>
      <w:tr>
        <w:trPr/>
        <w:tc>
          <w:tcPr>
            <w:tcW w:w="74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Entity</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Ownership Percentage</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Share of Net Income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Currency</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Translation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Falikang</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51.1</w:t>
            </w:r>
          </w:p>
        </w:tc>
        <w:tc>
          <w:tcPr>
            <w:tcW w:w="18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3,825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Falikang is considered as a related party to the Company. See Note 13, </w:t>
      </w:r>
      <w:r>
        <w:rPr>
          <w:rFonts w:ascii="Times New Roman" w:hAnsi="Times New Roman"/>
          <w:b w:val="false"/>
          <w:i/>
          <w:caps w:val="false"/>
          <w:smallCaps w:val="false"/>
          <w:sz w:val="20"/>
        </w:rPr>
        <w:t>Related Party Transactions</w:t>
      </w:r>
      <w:r>
        <w:rPr>
          <w:rFonts w:ascii="Times New Roman" w:hAnsi="Times New Roman"/>
          <w:b w:val="false"/>
          <w:i w:val="false"/>
          <w:caps w:val="false"/>
          <w:smallCaps w:val="false"/>
          <w:sz w:val="20"/>
        </w:rPr>
        <w:t>, for related disclosures.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an ongoing basis, the Company will re-evaluate the VIE assessment based on changes in facts and circumstances, including but not limited to, the shareholder loans received by Falikang and the execution of any future significant agreements between Falikang and its shareholders and/or other third parties.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will assess the impairment of its equity method investment whenever events or changes in circumstances indicate that a decrease in value of the investment has occurred that is other than temporary.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143</w:t>
      </w:r>
    </w:p>
    <w:p>
      <w:pPr>
        <w:pStyle w:val="HorizontalLine"/>
        <w:rPr/>
      </w:pPr>
      <w:r>
        <w:rPr/>
      </w:r>
    </w:p>
    <w:p>
      <w:pPr>
        <w:pStyle w:val="TextBody"/>
        <w:spacing w:before="0" w:after="0"/>
        <w:rPr/>
      </w:pPr>
      <w:r>
        <w:rPr/>
        <w:t> </w:t>
      </w:r>
    </w:p>
    <w:tbl>
      <w:tblPr>
        <w:tblW w:w="2380" w:type="dxa"/>
        <w:jc w:val="left"/>
        <w:tblInd w:w="0" w:type="dxa"/>
        <w:tblCellMar>
          <w:top w:w="0" w:type="dxa"/>
          <w:left w:w="0" w:type="dxa"/>
          <w:bottom w:w="0" w:type="dxa"/>
          <w:right w:w="0" w:type="dxa"/>
        </w:tblCellMar>
      </w:tblPr>
      <w:tblGrid>
        <w:gridCol w:w="170"/>
        <w:gridCol w:w="2210"/>
      </w:tblGrid>
      <w:tr>
        <w:trPr/>
        <w:tc>
          <w:tcPr>
            <w:tcW w:w="17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5.</w:t>
            </w:r>
          </w:p>
        </w:tc>
        <w:tc>
          <w:tcPr>
            <w:tcW w:w="221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Fair Value Measurements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Level 1</w:t>
      </w:r>
      <w:r>
        <w:rPr>
          <w:rFonts w:ascii="Times New Roman" w:hAnsi="Times New Roman"/>
          <w:b w:val="false"/>
          <w:i w:val="false"/>
          <w:caps w:val="false"/>
          <w:smallCaps w:val="false"/>
          <w:sz w:val="20"/>
        </w:rPr>
        <w:t>: Quoted prices in active markets for identical assets or liabilities.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Level 2</w:t>
      </w:r>
      <w:r>
        <w:rPr>
          <w:rFonts w:ascii="Times New Roman" w:hAnsi="Times New Roman"/>
          <w:b w:val="false"/>
          <w:i w:val="false"/>
          <w:caps w:val="false"/>
          <w:smallCaps w:val="false"/>
          <w:sz w:val="20"/>
        </w:rPr>
        <w:t>: Observable inputs other than quoted prices in active markets for identical assets or liabilities.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Level 3</w:t>
      </w:r>
      <w:r>
        <w:rPr>
          <w:rFonts w:ascii="Times New Roman" w:hAnsi="Times New Roman"/>
          <w:b w:val="false"/>
          <w:i w:val="false"/>
          <w:caps w:val="false"/>
          <w:smallCaps w:val="false"/>
          <w:sz w:val="20"/>
        </w:rPr>
        <w:t>: Unobservable inputs.</w:t>
      </w:r>
    </w:p>
    <w:p>
      <w:pPr>
        <w:pStyle w:val="TextBody"/>
        <w:spacing w:before="240" w:after="0"/>
        <w:rPr>
          <w:rFonts w:ascii="Times New Roman" w:hAnsi="Times New Roman"/>
          <w:b w:val="false"/>
          <w:i w:val="false"/>
          <w:caps w:val="false"/>
          <w:smallCaps w:val="false"/>
          <w:sz w:val="20"/>
        </w:rPr>
      </w:pPr>
      <w:bookmarkStart w:id="40" w:name="T0"/>
      <w:bookmarkEnd w:id="40"/>
      <w:r>
        <w:rPr>
          <w:rFonts w:ascii="Times New Roman" w:hAnsi="Times New Roman"/>
          <w:b w:val="false"/>
          <w:i w:val="false"/>
          <w:caps w:val="false"/>
          <w:smallCaps w:val="false"/>
          <w:sz w:val="20"/>
        </w:rPr>
        <w:t xml:space="preserve">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 </w:t>
      </w:r>
      <w:r>
        <w:rPr>
          <w:rFonts w:ascii="Times New Roman" w:hAnsi="Times New Roman"/>
          <w:b w:val="false"/>
          <w:i w:val="false"/>
          <w:caps w:val="false"/>
          <w:smallCaps w:val="false"/>
          <w:color w:val="000000"/>
          <w:sz w:val="20"/>
        </w:rPr>
        <w:t xml:space="preserve">The availability of observable data is monitored to assess </w:t>
      </w:r>
      <w:r>
        <w:rPr>
          <w:rFonts w:ascii="Times New Roman" w:hAnsi="Times New Roman"/>
          <w:b w:val="false"/>
          <w:i w:val="false"/>
          <w:caps w:val="false"/>
          <w:smallCaps w:val="false"/>
          <w:sz w:val="20"/>
        </w:rPr>
        <w:t>appropriate</w:t>
      </w:r>
      <w:r>
        <w:rPr>
          <w:rFonts w:ascii="Times New Roman" w:hAnsi="Times New Roman"/>
          <w:b w:val="false"/>
          <w:i w:val="false"/>
          <w:caps w:val="false"/>
          <w:smallCaps w:val="false"/>
          <w:color w:val="000000"/>
          <w:sz w:val="20"/>
        </w:rPr>
        <w:t xml:space="preserve"> classification of financial instruments within the fair value hierarchy. Depending upon the availability of such inputs, specific securities may transfer between levels. In such instances, the transfer is reported at the end of the reporting period.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fair values of the Company’s financial assets that are measured on a recurring basis are as follows (in thousands):</w:t>
      </w:r>
    </w:p>
    <w:p>
      <w:pPr>
        <w:pStyle w:val="TextBody"/>
        <w:spacing w:before="0" w:after="0"/>
        <w:rPr/>
      </w:pPr>
      <w:r>
        <w:rPr/>
        <w:t> </w:t>
      </w:r>
    </w:p>
    <w:tbl>
      <w:tblPr>
        <w:tblW w:w="5799" w:type="dxa"/>
        <w:jc w:val="left"/>
        <w:tblInd w:w="0" w:type="dxa"/>
        <w:tblCellMar>
          <w:top w:w="0" w:type="dxa"/>
          <w:left w:w="0" w:type="dxa"/>
          <w:bottom w:w="28" w:type="dxa"/>
          <w:right w:w="0" w:type="dxa"/>
        </w:tblCellMar>
      </w:tblPr>
      <w:tblGrid>
        <w:gridCol w:w="2210"/>
        <w:gridCol w:w="60"/>
        <w:gridCol w:w="125"/>
        <w:gridCol w:w="695"/>
        <w:gridCol w:w="60"/>
        <w:gridCol w:w="60"/>
        <w:gridCol w:w="125"/>
        <w:gridCol w:w="695"/>
        <w:gridCol w:w="60"/>
        <w:gridCol w:w="60"/>
        <w:gridCol w:w="210"/>
        <w:gridCol w:w="439"/>
        <w:gridCol w:w="60"/>
        <w:gridCol w:w="60"/>
        <w:gridCol w:w="125"/>
        <w:gridCol w:w="695"/>
        <w:gridCol w:w="60"/>
      </w:tblGrid>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469"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58,801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58,801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bonds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182,646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182,646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69,079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69,079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bonds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91,522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91,522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Agency bonds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Asset-backed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27,087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27,087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government bonds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150,323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311,241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461,564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469"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Bond and mutual funds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Equity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590,347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590,347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590,591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8,144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598,735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for the years ended December 31, 2021 and 2020. During the fourth quarter of 2019, there was a $29.8 million transfer of assets from Level 1 to Level 2 as such US treasury notes and bills were changed to off-the-run when they were issued before the most recent issue and were still outstanding at measurement day.</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fair value of the Company’s financial liabilities related to lease obligations were derived by using an income approach, which required Level 3 inputs such as discounted estimated future cash flows, which were immaterial as of December 31, 2021 and 2020. There were no transfers of liabilities between levels for the years ended December 31, 2021, 2020 and 2019.</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144</w:t>
      </w:r>
    </w:p>
    <w:p>
      <w:pPr>
        <w:pStyle w:val="HorizontalLine"/>
        <w:rPr/>
      </w:pPr>
      <w:r>
        <w:rPr/>
      </w:r>
    </w:p>
    <w:p>
      <w:pPr>
        <w:pStyle w:val="TextBody"/>
        <w:spacing w:before="0" w:after="0"/>
        <w:rPr/>
      </w:pPr>
      <w:r>
        <w:rPr/>
        <w:t> </w:t>
      </w:r>
    </w:p>
    <w:p>
      <w:pPr>
        <w:pStyle w:val="TextBody"/>
        <w:spacing w:before="0" w:after="0"/>
        <w:rPr/>
      </w:pPr>
      <w:r>
        <w:rPr/>
        <w:t> </w:t>
      </w:r>
    </w:p>
    <w:tbl>
      <w:tblPr>
        <w:tblW w:w="760" w:type="dxa"/>
        <w:jc w:val="left"/>
        <w:tblInd w:w="0" w:type="dxa"/>
        <w:tblCellMar>
          <w:top w:w="0" w:type="dxa"/>
          <w:left w:w="0" w:type="dxa"/>
          <w:bottom w:w="0" w:type="dxa"/>
          <w:right w:w="0" w:type="dxa"/>
        </w:tblCellMar>
      </w:tblPr>
      <w:tblGrid>
        <w:gridCol w:w="170"/>
        <w:gridCol w:w="590"/>
      </w:tblGrid>
      <w:tr>
        <w:trPr/>
        <w:tc>
          <w:tcPr>
            <w:tcW w:w="17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6.</w:t>
            </w:r>
          </w:p>
        </w:tc>
        <w:tc>
          <w:tcPr>
            <w:tcW w:w="59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Leases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long-term property lease with Alexandria for its corporate headquarters in San Francisco, California, had an initial term of 15 years, scheduled to expire in 2023. The original lease was accounted for as a finance lease upon adoption of ASC 842, </w:t>
      </w:r>
      <w:r>
        <w:rPr>
          <w:rFonts w:ascii="Times New Roman" w:hAnsi="Times New Roman"/>
          <w:b w:val="false"/>
          <w:i/>
          <w:caps w:val="false"/>
          <w:smallCaps w:val="false"/>
          <w:sz w:val="20"/>
        </w:rPr>
        <w:t>Leases</w:t>
      </w:r>
      <w:r>
        <w:rPr>
          <w:rFonts w:ascii="Times New Roman" w:hAnsi="Times New Roman"/>
          <w:b w:val="false"/>
          <w:i w:val="false"/>
          <w:caps w:val="false"/>
          <w:smallCaps w:val="false"/>
          <w:sz w:val="20"/>
        </w:rPr>
        <w:t xml:space="preserve"> (“ASC 842”), at January 1, 2019.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June 1, 2021, the Company entered into an amendment with Alexandria to extend the lease to 2028 (“Lease Amendment”). Under the terms of the Lease Amendment, the Company has two optional rights to each extend the lease for an additional five years. The lease contract provides for a fixed annual rent, with scheduled increases of two percent that occur on each anniversary of the rent commencement date through 2023, and with scheduled increases of three percent that occur on each anniversary of the rent commencement date through 2028. This lease requires the Company to pay all costs of ownership, operation, and maintenance of the premises, including without limitation all operating costs, insurance costs, and taxes.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Company determined that the Lease Amendment was a lease modification, effective June 1, 2021, and thus reassessed the lease classification, remeasured the related lease liability using an updated discount rate, and adjusted the related right-of-use asset under the lease modification guidance under the ASC 842. Accordingly, on June 1, 2021, the Company determined that the modified lease be accounted for as an operating lease, and therefore derecognized the previous finance lease right-of-use asset of $24.6 million and the related finance lease liability of $32.6 million, and recognized an operating lease right-of-use asset of $93.2 million and the related operating lease liability of $101.2 million. Starting June 1, 2021, the cash payment related to this lease was classified as an operating activity, the impact of which was approximately $7.9 million to the consolidated statement of cash flow for the year ended December 31, 2021.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first quarter of 2021, after FibroGen Beijing’s previous long-term lease agreement expired, the Company entered into a new lease agreement with the landlord for the same pilot plant located in Beijing Yizhuang Biomedical Park of BDA. The new lease term is five year, scheduled to expire in 2026, and is treated as an operating lease. Accordingly, the Company recorded $3.4 million in the operating right-of-use assets and total operating lease liabilities, respectively. The lease contract provides for fixed quarterly rent payments, and requires the Company to pay operating and maintenance costs.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currently has several additional real estate leases for office spaces in Shanghai and Beijing, China, which are treated as operating leases. These leases have lease terms ranging from one to five years, expiring in 2023. These lease contracts provide for fixed quarterly rent payments, and require the Company to pay operating and maintenance costs, and a fixed amount for property management fees.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the Company has several immaterial lease arrangements in China and U.S. for office equipment, scientific devices and automobile leases, with contracted lease terms ranging from one to five years, treated as finance leases or operating leases, respectively.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lease assets and related lease liabilities were as follows (in thousands):</w:t>
      </w:r>
    </w:p>
    <w:p>
      <w:pPr>
        <w:pStyle w:val="TextBody"/>
        <w:spacing w:before="0" w:after="0"/>
        <w:rPr/>
      </w:pPr>
      <w:r>
        <w:rPr/>
        <w:t> </w:t>
      </w:r>
    </w:p>
    <w:tbl>
      <w:tblPr>
        <w:tblW w:w="8140" w:type="dxa"/>
        <w:jc w:val="left"/>
        <w:tblInd w:w="0" w:type="dxa"/>
        <w:tblCellMar>
          <w:top w:w="0" w:type="dxa"/>
          <w:left w:w="0" w:type="dxa"/>
          <w:bottom w:w="28" w:type="dxa"/>
          <w:right w:w="0" w:type="dxa"/>
        </w:tblCellMar>
      </w:tblPr>
      <w:tblGrid>
        <w:gridCol w:w="3125"/>
        <w:gridCol w:w="3140"/>
        <w:gridCol w:w="60"/>
        <w:gridCol w:w="125"/>
        <w:gridCol w:w="695"/>
        <w:gridCol w:w="80"/>
        <w:gridCol w:w="60"/>
        <w:gridCol w:w="125"/>
        <w:gridCol w:w="650"/>
        <w:gridCol w:w="80"/>
      </w:tblGrid>
      <w:tr>
        <w:trPr/>
        <w:tc>
          <w:tcPr>
            <w:tcW w:w="312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31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4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Sheet Line Item</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31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w:t>
            </w:r>
          </w:p>
        </w:tc>
        <w:tc>
          <w:tcPr>
            <w:tcW w:w="314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Right-of-use assets cost</w:t>
            </w:r>
          </w:p>
        </w:tc>
        <w:tc>
          <w:tcPr>
            <w:tcW w:w="31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50,477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FFFFFF"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amortization</w:t>
            </w:r>
          </w:p>
        </w:tc>
        <w:tc>
          <w:tcPr>
            <w:tcW w:w="31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(20,871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12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right-of-use assets, net</w:t>
            </w:r>
          </w:p>
        </w:tc>
        <w:tc>
          <w:tcPr>
            <w:tcW w:w="31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right-of-use assets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29,606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w:t>
            </w:r>
          </w:p>
        </w:tc>
        <w:tc>
          <w:tcPr>
            <w:tcW w:w="314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Right-of-use assets cost</w:t>
            </w:r>
          </w:p>
        </w:tc>
        <w:tc>
          <w:tcPr>
            <w:tcW w:w="31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100,912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3,934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FFFFFF"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amortization</w:t>
            </w:r>
          </w:p>
        </w:tc>
        <w:tc>
          <w:tcPr>
            <w:tcW w:w="31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(9,800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125" w:type="dxa"/>
            <w:tcBorders>
              <w:bottom w:val="single" w:sz="6" w:space="0" w:color="000000"/>
            </w:tcBorders>
            <w:shd w:fill="CFF0FC" w:val="cle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 net</w:t>
            </w:r>
          </w:p>
        </w:tc>
        <w:tc>
          <w:tcPr>
            <w:tcW w:w="314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91,112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double" w:sz="6" w:space="0" w:color="000000"/>
            </w:tcBorders>
            <w:shd w:fill="FFFFFF" w:val="clear"/>
          </w:tcPr>
          <w:p>
            <w:pPr>
              <w:pStyle w:val="TableContents"/>
              <w:spacing w:before="0" w:after="0"/>
              <w:ind w:left="68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assets</w:t>
            </w:r>
          </w:p>
        </w:tc>
        <w:tc>
          <w:tcPr>
            <w:tcW w:w="314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91,873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31,649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14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w:t>
            </w:r>
          </w:p>
        </w:tc>
        <w:tc>
          <w:tcPr>
            <w:tcW w:w="314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w:t>
            </w:r>
          </w:p>
        </w:tc>
        <w:tc>
          <w:tcPr>
            <w:tcW w:w="314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liabilities</w:t>
            </w:r>
          </w:p>
        </w:tc>
        <w:tc>
          <w:tcPr>
            <w:tcW w:w="314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liabilities, current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314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10,944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Non-current:</w:t>
            </w:r>
          </w:p>
        </w:tc>
        <w:tc>
          <w:tcPr>
            <w:tcW w:w="31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liabilities</w:t>
            </w:r>
          </w:p>
        </w:tc>
        <w:tc>
          <w:tcPr>
            <w:tcW w:w="314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liabilities, non-current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25,391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FFFFFF"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314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non-current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88,776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double" w:sz="6" w:space="0" w:color="000000"/>
            </w:tcBorders>
            <w:shd w:fill="CFF0FC" w:val="cle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liabilities</w:t>
            </w:r>
          </w:p>
        </w:tc>
        <w:tc>
          <w:tcPr>
            <w:tcW w:w="314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99,734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39,762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components of lease expense were as follows (in thousands):</w:t>
      </w:r>
    </w:p>
    <w:p>
      <w:pPr>
        <w:pStyle w:val="TextBody"/>
        <w:spacing w:before="0" w:after="0"/>
        <w:rPr/>
      </w:pPr>
      <w:r>
        <w:rPr/>
        <w:t> </w:t>
      </w:r>
    </w:p>
    <w:tbl>
      <w:tblPr>
        <w:tblW w:w="8350" w:type="dxa"/>
        <w:jc w:val="left"/>
        <w:tblInd w:w="0" w:type="dxa"/>
        <w:tblCellMar>
          <w:top w:w="0" w:type="dxa"/>
          <w:left w:w="0" w:type="dxa"/>
          <w:bottom w:w="28" w:type="dxa"/>
          <w:right w:w="0" w:type="dxa"/>
        </w:tblCellMar>
      </w:tblPr>
      <w:tblGrid>
        <w:gridCol w:w="2150"/>
        <w:gridCol w:w="3635"/>
        <w:gridCol w:w="60"/>
        <w:gridCol w:w="125"/>
        <w:gridCol w:w="590"/>
        <w:gridCol w:w="80"/>
        <w:gridCol w:w="60"/>
        <w:gridCol w:w="125"/>
        <w:gridCol w:w="590"/>
        <w:gridCol w:w="80"/>
        <w:gridCol w:w="60"/>
        <w:gridCol w:w="125"/>
        <w:gridCol w:w="590"/>
        <w:gridCol w:w="80"/>
      </w:tblGrid>
      <w:tr>
        <w:trPr/>
        <w:tc>
          <w:tcPr>
            <w:tcW w:w="21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36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Statement of Operations Line Item</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cost:</w:t>
            </w:r>
          </w:p>
        </w:tc>
        <w:tc>
          <w:tcPr>
            <w:tcW w:w="36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Amortization of</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right-of-use assets</w:t>
            </w:r>
          </w:p>
        </w:tc>
        <w:tc>
          <w:tcPr>
            <w:tcW w:w="36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goods sold;</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4,639</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10,369</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10,307</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on lease liabilities</w:t>
            </w:r>
          </w:p>
        </w:tc>
        <w:tc>
          <w:tcPr>
            <w:tcW w:w="363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2,373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cost</w:t>
            </w:r>
          </w:p>
        </w:tc>
        <w:tc>
          <w:tcPr>
            <w:tcW w:w="36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goods sold;</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 expenses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Sublease income</w:t>
            </w:r>
          </w:p>
        </w:tc>
        <w:tc>
          <w:tcPr>
            <w:tcW w:w="363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(1,271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150" w:type="dxa"/>
            <w:tcBorders>
              <w:bottom w:val="double" w:sz="6" w:space="0" w:color="000000"/>
            </w:tcBorders>
            <w:shd w:fill="FFFFFF"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cost</w:t>
            </w:r>
          </w:p>
        </w:tc>
        <w:tc>
          <w:tcPr>
            <w:tcW w:w="363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14,718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12,251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12,186</w:t>
            </w:r>
          </w:p>
        </w:tc>
        <w:tc>
          <w:tcPr>
            <w:tcW w:w="8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Supplemental cash flow information related to leases were as follows (in thousands):</w:t>
      </w:r>
    </w:p>
    <w:p>
      <w:pPr>
        <w:pStyle w:val="TextBody"/>
        <w:spacing w:before="0" w:after="0"/>
        <w:rPr/>
      </w:pPr>
      <w:r>
        <w:rPr/>
        <w:t> </w:t>
      </w:r>
    </w:p>
    <w:tbl>
      <w:tblPr>
        <w:tblW w:w="8905" w:type="dxa"/>
        <w:jc w:val="left"/>
        <w:tblInd w:w="0" w:type="dxa"/>
        <w:tblCellMar>
          <w:top w:w="0" w:type="dxa"/>
          <w:left w:w="0" w:type="dxa"/>
          <w:bottom w:w="28" w:type="dxa"/>
          <w:right w:w="0" w:type="dxa"/>
        </w:tblCellMar>
      </w:tblPr>
      <w:tblGrid>
        <w:gridCol w:w="6320"/>
        <w:gridCol w:w="60"/>
        <w:gridCol w:w="125"/>
        <w:gridCol w:w="650"/>
        <w:gridCol w:w="80"/>
        <w:gridCol w:w="60"/>
        <w:gridCol w:w="125"/>
        <w:gridCol w:w="590"/>
        <w:gridCol w:w="60"/>
        <w:gridCol w:w="60"/>
        <w:gridCol w:w="125"/>
        <w:gridCol w:w="590"/>
        <w:gridCol w:w="60"/>
      </w:tblGrid>
      <w:tr>
        <w:trPr/>
        <w:tc>
          <w:tcPr>
            <w:tcW w:w="632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paid for amounts included in the measurement of lease liabilities: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cash flows from 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cash flows from finance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cash flows from finance leases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5,489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Non-cash: Right-of-use assets obtained in exchange for new lease liabilities: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49,909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3,585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Non-cash: Increase (decrease) resulting from lease modification: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right-of-use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(24,654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93,222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liabilities, 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(12,587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liabilities, non-current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(20,009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20"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non-current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91,943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Lease term and discount rate were as follows:</w:t>
      </w:r>
    </w:p>
    <w:p>
      <w:pPr>
        <w:pStyle w:val="TextBody"/>
        <w:spacing w:before="0" w:after="0"/>
        <w:rPr/>
      </w:pPr>
      <w:r>
        <w:rPr/>
        <w:t> </w:t>
      </w:r>
    </w:p>
    <w:tbl>
      <w:tblPr>
        <w:tblW w:w="5293" w:type="dxa"/>
        <w:jc w:val="left"/>
        <w:tblInd w:w="0" w:type="dxa"/>
        <w:tblCellMar>
          <w:top w:w="0" w:type="dxa"/>
          <w:left w:w="0" w:type="dxa"/>
          <w:bottom w:w="28" w:type="dxa"/>
          <w:right w:w="0" w:type="dxa"/>
        </w:tblCellMar>
      </w:tblPr>
      <w:tblGrid>
        <w:gridCol w:w="3875"/>
        <w:gridCol w:w="60"/>
        <w:gridCol w:w="62"/>
        <w:gridCol w:w="396"/>
        <w:gridCol w:w="192"/>
        <w:gridCol w:w="62"/>
        <w:gridCol w:w="62"/>
        <w:gridCol w:w="399"/>
        <w:gridCol w:w="185"/>
      </w:tblGrid>
      <w:tr>
        <w:trPr/>
        <w:tc>
          <w:tcPr>
            <w:tcW w:w="387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5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remaining lease term (years):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1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discount rate:</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75"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w:t>
            </w:r>
          </w:p>
        </w:tc>
        <w:tc>
          <w:tcPr>
            <w:tcW w:w="19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4.39</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87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4.75</w:t>
            </w:r>
          </w:p>
        </w:tc>
        <w:tc>
          <w:tcPr>
            <w:tcW w:w="19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4.74</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Maturities of lease liabilities as of December 31, 2021 are as follows (in thousands):</w:t>
      </w:r>
    </w:p>
    <w:p>
      <w:pPr>
        <w:pStyle w:val="TextBody"/>
        <w:spacing w:before="0" w:after="0"/>
        <w:rPr/>
      </w:pPr>
      <w:r>
        <w:rPr/>
        <w:t> </w:t>
      </w:r>
    </w:p>
    <w:tbl>
      <w:tblPr>
        <w:tblW w:w="5680" w:type="dxa"/>
        <w:jc w:val="left"/>
        <w:tblInd w:w="0" w:type="dxa"/>
        <w:tblCellMar>
          <w:top w:w="0" w:type="dxa"/>
          <w:left w:w="0" w:type="dxa"/>
          <w:bottom w:w="28" w:type="dxa"/>
          <w:right w:w="0" w:type="dxa"/>
        </w:tblCellMar>
      </w:tblPr>
      <w:tblGrid>
        <w:gridCol w:w="2585"/>
        <w:gridCol w:w="60"/>
        <w:gridCol w:w="425"/>
        <w:gridCol w:w="885"/>
        <w:gridCol w:w="80"/>
        <w:gridCol w:w="60"/>
        <w:gridCol w:w="229"/>
        <w:gridCol w:w="1276"/>
        <w:gridCol w:w="80"/>
      </w:tblGrid>
      <w:tr>
        <w:trPr/>
        <w:tc>
          <w:tcPr>
            <w:tcW w:w="25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 Ending December 31,</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Finance Leases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Operating Leases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13,469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18,205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18,005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Beyond 2026</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35,877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future lease payments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117,753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Interest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(18,033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58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Present value of lease liabilities</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99,720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147</w:t>
      </w:r>
    </w:p>
    <w:p>
      <w:pPr>
        <w:pStyle w:val="HorizontalLine"/>
        <w:rPr/>
      </w:pPr>
      <w:r>
        <w:rPr/>
      </w:r>
    </w:p>
    <w:p>
      <w:pPr>
        <w:pStyle w:val="TextBody"/>
        <w:spacing w:before="0" w:after="0"/>
        <w:rPr/>
      </w:pPr>
      <w:r>
        <w:rPr/>
        <w:t> </w:t>
      </w:r>
    </w:p>
    <w:p>
      <w:pPr>
        <w:pStyle w:val="TextBody"/>
        <w:spacing w:before="0" w:after="0"/>
        <w:rPr/>
      </w:pPr>
      <w:r>
        <w:rPr/>
        <w:t> </w:t>
      </w:r>
    </w:p>
    <w:tbl>
      <w:tblPr>
        <w:tblW w:w="2470" w:type="dxa"/>
        <w:jc w:val="left"/>
        <w:tblInd w:w="0" w:type="dxa"/>
        <w:tblCellMar>
          <w:top w:w="0" w:type="dxa"/>
          <w:left w:w="0" w:type="dxa"/>
          <w:bottom w:w="0" w:type="dxa"/>
          <w:right w:w="0" w:type="dxa"/>
        </w:tblCellMar>
      </w:tblPr>
      <w:tblGrid>
        <w:gridCol w:w="170"/>
        <w:gridCol w:w="2300"/>
      </w:tblGrid>
      <w:tr>
        <w:trPr/>
        <w:tc>
          <w:tcPr>
            <w:tcW w:w="17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7.</w:t>
            </w:r>
          </w:p>
        </w:tc>
        <w:tc>
          <w:tcPr>
            <w:tcW w:w="230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Balance Sheet Components</w:t>
            </w:r>
          </w:p>
        </w:tc>
      </w:tr>
    </w:tbl>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Cash and Cash Equivalents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and cash equivalents consisted of the following (in thousands):</w:t>
      </w:r>
    </w:p>
    <w:p>
      <w:pPr>
        <w:pStyle w:val="TextBody"/>
        <w:spacing w:before="0" w:after="0"/>
        <w:rPr/>
      </w:pPr>
      <w:r>
        <w:rPr/>
        <w:t> </w:t>
      </w:r>
    </w:p>
    <w:tbl>
      <w:tblPr>
        <w:tblW w:w="4480" w:type="dxa"/>
        <w:jc w:val="left"/>
        <w:tblInd w:w="0" w:type="dxa"/>
        <w:tblCellMar>
          <w:top w:w="0" w:type="dxa"/>
          <w:left w:w="0" w:type="dxa"/>
          <w:bottom w:w="28" w:type="dxa"/>
          <w:right w:w="0" w:type="dxa"/>
        </w:tblCellMar>
      </w:tblPr>
      <w:tblGrid>
        <w:gridCol w:w="2600"/>
        <w:gridCol w:w="60"/>
        <w:gridCol w:w="125"/>
        <w:gridCol w:w="695"/>
        <w:gridCol w:w="60"/>
        <w:gridCol w:w="60"/>
        <w:gridCol w:w="125"/>
        <w:gridCol w:w="695"/>
        <w:gridCol w:w="60"/>
      </w:tblGrid>
      <w:tr>
        <w:trPr/>
        <w:tc>
          <w:tcPr>
            <w:tcW w:w="260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6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111,422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88,046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58,801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590,347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and cash equivalents</w:t>
            </w:r>
          </w:p>
        </w:tc>
        <w:tc>
          <w:tcPr>
            <w:tcW w:w="60" w:type="dxa"/>
            <w:tcBorders>
              <w:bottom w:val="doub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171,223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678,393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Investments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investments consist of available-for-sale debt investments and marketable equity investments. The amortized cost, gross unrealized holding gains or losses, and fair value of the Company’s investments by major investments type are summarized in the tables below (in thousands):</w:t>
      </w:r>
    </w:p>
    <w:p>
      <w:pPr>
        <w:pStyle w:val="TextBody"/>
        <w:spacing w:before="0" w:after="0"/>
        <w:rPr/>
      </w:pPr>
      <w:r>
        <w:rPr/>
        <w:t> </w:t>
      </w:r>
    </w:p>
    <w:tbl>
      <w:tblPr>
        <w:tblW w:w="7965" w:type="dxa"/>
        <w:jc w:val="left"/>
        <w:tblInd w:w="0" w:type="dxa"/>
        <w:tblCellMar>
          <w:top w:w="0" w:type="dxa"/>
          <w:left w:w="0" w:type="dxa"/>
          <w:bottom w:w="28" w:type="dxa"/>
          <w:right w:w="0" w:type="dxa"/>
        </w:tblCellMar>
      </w:tblPr>
      <w:tblGrid>
        <w:gridCol w:w="2210"/>
        <w:gridCol w:w="60"/>
        <w:gridCol w:w="204"/>
        <w:gridCol w:w="1136"/>
        <w:gridCol w:w="60"/>
        <w:gridCol w:w="60"/>
        <w:gridCol w:w="404"/>
        <w:gridCol w:w="1086"/>
        <w:gridCol w:w="60"/>
        <w:gridCol w:w="60"/>
        <w:gridCol w:w="358"/>
        <w:gridCol w:w="1132"/>
        <w:gridCol w:w="80"/>
        <w:gridCol w:w="60"/>
        <w:gridCol w:w="142"/>
        <w:gridCol w:w="793"/>
        <w:gridCol w:w="60"/>
      </w:tblGrid>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635"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Amortized 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Gross Unrealized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Holding Gains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Gross Unrealized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Holding Losses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Fair 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bonds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183,136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182,646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bonds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91,840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91,522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Agency bonds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23,275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Asset-backed securities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27,105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27,087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government bonds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9,165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9,154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investments</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402,664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401,763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635"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Amortized Cost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Gross Unrealized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Holding Gains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Gross Unrealized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Holding Losses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Fair 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Bond and mutual funds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8,147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Equity investments</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investments</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8,272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8,388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contractual maturities of the available-for-sale investments were as follows (in thousands):</w:t>
      </w:r>
    </w:p>
    <w:p>
      <w:pPr>
        <w:pStyle w:val="TextBody"/>
        <w:spacing w:before="0" w:after="0"/>
        <w:rPr/>
      </w:pPr>
      <w:r>
        <w:rPr/>
        <w:t> </w:t>
      </w:r>
    </w:p>
    <w:tbl>
      <w:tblPr>
        <w:tblW w:w="5139" w:type="dxa"/>
        <w:jc w:val="left"/>
        <w:tblInd w:w="0" w:type="dxa"/>
        <w:tblCellMar>
          <w:top w:w="0" w:type="dxa"/>
          <w:left w:w="0" w:type="dxa"/>
          <w:bottom w:w="28" w:type="dxa"/>
          <w:right w:w="0" w:type="dxa"/>
        </w:tblCellMar>
      </w:tblPr>
      <w:tblGrid>
        <w:gridCol w:w="3380"/>
        <w:gridCol w:w="60"/>
        <w:gridCol w:w="249"/>
        <w:gridCol w:w="1390"/>
        <w:gridCol w:w="60"/>
      </w:tblGrid>
      <w:tr>
        <w:trPr/>
        <w:tc>
          <w:tcPr>
            <w:tcW w:w="33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Within one year - Bond and mutual funds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233,967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After one year through three years</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167,796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8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investments</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401,763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periodically reviews its available-for-sale investments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years ended December 31, 2021, the Company did not recognize any other-than-temporary impairment loss.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148</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Inventories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Inventories consisted of the following (in thousands):</w:t>
      </w:r>
    </w:p>
    <w:p>
      <w:pPr>
        <w:pStyle w:val="TextBody"/>
        <w:spacing w:before="0" w:after="0"/>
        <w:rPr/>
      </w:pPr>
      <w:r>
        <w:rPr/>
        <w:t> </w:t>
      </w:r>
    </w:p>
    <w:tbl>
      <w:tblPr>
        <w:tblW w:w="3100" w:type="dxa"/>
        <w:jc w:val="left"/>
        <w:tblInd w:w="0" w:type="dxa"/>
        <w:tblCellMar>
          <w:top w:w="0" w:type="dxa"/>
          <w:left w:w="0" w:type="dxa"/>
          <w:bottom w:w="28" w:type="dxa"/>
          <w:right w:w="0" w:type="dxa"/>
        </w:tblCellMar>
      </w:tblPr>
      <w:tblGrid>
        <w:gridCol w:w="1430"/>
        <w:gridCol w:w="60"/>
        <w:gridCol w:w="125"/>
        <w:gridCol w:w="590"/>
        <w:gridCol w:w="60"/>
        <w:gridCol w:w="60"/>
        <w:gridCol w:w="125"/>
        <w:gridCol w:w="590"/>
        <w:gridCol w:w="60"/>
      </w:tblGrid>
      <w:tr>
        <w:trPr/>
        <w:tc>
          <w:tcPr>
            <w:tcW w:w="143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5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Raw materials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Work-in-progress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21,499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Finished goods</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8,153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6,113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inventories</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31,015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16,530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capitalizes inventory costs for FibroGen Beijing’s production of roxadustat for commercial sales purposes. The Company started capitalizing inventory costs for the U.S. entity in the second quarter of 2020 prior to regulatory approvals in the U.S., Europe and other territories. As of December 31, 2021 and 2020, inventory capitalized for the U.S. entity was 38% and 29% of the total inventory balance, respectively, which will be used for commercial launches in Europe and other territories where the Company has received regulatory approvals. The provision to write-down excess and obsolete inventory was immaterial as of December 31, 2021 and 2020.</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Prepaid expenses and other current assets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Prepaid expenses and other current assets consisted of the following (in thousands):</w:t>
      </w:r>
    </w:p>
    <w:p>
      <w:pPr>
        <w:pStyle w:val="TextBody"/>
        <w:spacing w:before="0" w:after="0"/>
        <w:rPr/>
      </w:pPr>
      <w:r>
        <w:rPr/>
        <w:t> </w:t>
      </w:r>
    </w:p>
    <w:tbl>
      <w:tblPr>
        <w:tblW w:w="5600" w:type="dxa"/>
        <w:jc w:val="left"/>
        <w:tblInd w:w="0" w:type="dxa"/>
        <w:tblCellMar>
          <w:top w:w="0" w:type="dxa"/>
          <w:left w:w="0" w:type="dxa"/>
          <w:bottom w:w="28" w:type="dxa"/>
          <w:right w:w="0" w:type="dxa"/>
        </w:tblCellMar>
      </w:tblPr>
      <w:tblGrid>
        <w:gridCol w:w="3830"/>
        <w:gridCol w:w="60"/>
        <w:gridCol w:w="125"/>
        <w:gridCol w:w="650"/>
        <w:gridCol w:w="80"/>
        <w:gridCol w:w="60"/>
        <w:gridCol w:w="125"/>
        <w:gridCol w:w="590"/>
        <w:gridCol w:w="80"/>
      </w:tblGrid>
      <w:tr>
        <w:trPr/>
        <w:tc>
          <w:tcPr>
            <w:tcW w:w="383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Unbilled contract assets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66,909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revenues from associated contracts</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(58,909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8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unbilled contract assets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assets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7,383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assets</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5,070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prepaid expenses and other current assets</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20,453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10,160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unbilled contract assets as of December 31, 2021 included $49.8 million related to transfer price true up for bulk drug product under the Europe Agreement with Astellas, $9.1 million related to unbilled co-development revenue under the China Amendment with AstraZeneca, and the $8.0 million unbilled upfront license payment under the Eluminex Agreement. The unbilled contract assets as of December 31, 2020 were related to unbilled co-development revenue under the China Amendment with AstraZeneca. See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for details.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Property and Equipment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Property and equipment consisted of the following (in thousands):</w:t>
      </w:r>
    </w:p>
    <w:p>
      <w:pPr>
        <w:pStyle w:val="TextBody"/>
        <w:spacing w:before="0" w:after="0"/>
        <w:rPr/>
      </w:pPr>
      <w:r>
        <w:rPr/>
        <w:t> </w:t>
      </w:r>
    </w:p>
    <w:tbl>
      <w:tblPr>
        <w:tblW w:w="4625" w:type="dxa"/>
        <w:jc w:val="left"/>
        <w:tblInd w:w="0" w:type="dxa"/>
        <w:tblCellMar>
          <w:top w:w="0" w:type="dxa"/>
          <w:left w:w="0" w:type="dxa"/>
          <w:bottom w:w="28" w:type="dxa"/>
          <w:right w:w="0" w:type="dxa"/>
        </w:tblCellMar>
      </w:tblPr>
      <w:tblGrid>
        <w:gridCol w:w="2585"/>
        <w:gridCol w:w="60"/>
        <w:gridCol w:w="125"/>
        <w:gridCol w:w="755"/>
        <w:gridCol w:w="80"/>
        <w:gridCol w:w="60"/>
        <w:gridCol w:w="125"/>
        <w:gridCol w:w="755"/>
        <w:gridCol w:w="80"/>
      </w:tblGrid>
      <w:tr>
        <w:trPr/>
        <w:tc>
          <w:tcPr>
            <w:tcW w:w="25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Leasehold improvements</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103,352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102,006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Laboratory equipment</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18,143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Machinery</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8,339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 equipment</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9,670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9,545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Furniture and fixtures</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Construction in progress</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property and equipment</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149,285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144,894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accumulated depreciation</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(121,008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(111,247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58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28,277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33,647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Depreciation expense for the years ended December 31, 2021, 2020 and 2019 was $10.2 million, $11.7 million, and $11.1 million, respectively.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149</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Accrued and Other Current Liabilities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Accrued and other current liabilities consisted of the following (in thousands):</w:t>
      </w:r>
    </w:p>
    <w:p>
      <w:pPr>
        <w:pStyle w:val="TextBody"/>
        <w:spacing w:before="0" w:after="0"/>
        <w:rPr/>
      </w:pPr>
      <w:r>
        <w:rPr/>
        <w:t> </w:t>
      </w:r>
    </w:p>
    <w:tbl>
      <w:tblPr>
        <w:tblW w:w="6115" w:type="dxa"/>
        <w:jc w:val="left"/>
        <w:tblInd w:w="0" w:type="dxa"/>
        <w:tblCellMar>
          <w:top w:w="0" w:type="dxa"/>
          <w:left w:w="0" w:type="dxa"/>
          <w:bottom w:w="28" w:type="dxa"/>
          <w:right w:w="0" w:type="dxa"/>
        </w:tblCellMar>
      </w:tblPr>
      <w:tblGrid>
        <w:gridCol w:w="4235"/>
        <w:gridCol w:w="60"/>
        <w:gridCol w:w="125"/>
        <w:gridCol w:w="695"/>
        <w:gridCol w:w="60"/>
        <w:gridCol w:w="60"/>
        <w:gridCol w:w="125"/>
        <w:gridCol w:w="695"/>
        <w:gridCol w:w="60"/>
      </w:tblGrid>
      <w:tr>
        <w:trPr/>
        <w:tc>
          <w:tcPr>
            <w:tcW w:w="423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6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Preclinical and clinical trial accruals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56,283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44,113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Acquired in-process research and development asset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Payroll and related accruals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liabilities to pharmaceutical distributors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15,137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co-promotion expenses - current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25,746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Roxadustat profit share to AstraZeneca</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7,895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taxes and other taxes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12,610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Professional services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6,074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accrued and other current liabilities</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172,588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118,333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w:t>
      </w:r>
      <w:r>
        <w:rPr>
          <w:rFonts w:ascii="Times New Roman" w:hAnsi="Times New Roman"/>
          <w:b w:val="false"/>
          <w:i w:val="false"/>
          <w:caps w:val="false"/>
          <w:smallCaps w:val="false"/>
          <w:color w:val="000000"/>
          <w:sz w:val="20"/>
        </w:rPr>
        <w:t xml:space="preserve">acquired IPR&amp;D asset of $35.0 million as of December 31, 2021 was related to the </w:t>
      </w:r>
      <w:r>
        <w:rPr>
          <w:rFonts w:ascii="Times New Roman" w:hAnsi="Times New Roman"/>
          <w:b w:val="false"/>
          <w:i w:val="false"/>
          <w:caps w:val="false"/>
          <w:smallCaps w:val="false"/>
          <w:sz w:val="20"/>
        </w:rPr>
        <w:t xml:space="preserve">upfront payment to HiFiBiO under the HiFiBiO Agreement. See Note 2, </w:t>
      </w:r>
      <w:r>
        <w:rPr>
          <w:rFonts w:ascii="Times New Roman" w:hAnsi="Times New Roman"/>
          <w:b w:val="false"/>
          <w:i/>
          <w:caps w:val="false"/>
          <w:smallCaps w:val="false"/>
          <w:sz w:val="20"/>
        </w:rPr>
        <w:t>Summary of Significant Accounting Policies - License Acquisition Agreement</w:t>
      </w:r>
      <w:r>
        <w:rPr>
          <w:rFonts w:ascii="Times New Roman" w:hAnsi="Times New Roman"/>
          <w:b w:val="false"/>
          <w:i w:val="false"/>
          <w:caps w:val="false"/>
          <w:smallCaps w:val="false"/>
          <w:sz w:val="20"/>
        </w:rPr>
        <w:t>, for details.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profit share liability to AstraZeneca as of December 31, 2021 and 2020 was $7.9 million and $7.0 million, respectively, which represented the profit/loss share between FibroGen Beijing and AstraZeneca that was calculated for the interim period pursuant to the China Amendment. This liability correspondingly reduced the deferred revenue related to the performance obligation in accordance with the China Amendment.</w:t>
      </w:r>
      <w:r>
        <w:rPr>
          <w:rFonts w:ascii="Times New Roman" w:hAnsi="Times New Roman"/>
          <w:b w:val="false"/>
          <w:i w:val="false"/>
          <w:caps w:val="false"/>
          <w:smallCaps w:val="false"/>
          <w:color w:val="FF0000"/>
          <w:sz w:val="20"/>
        </w:rPr>
        <w:t xml:space="preserve"> </w:t>
      </w:r>
      <w:r>
        <w:rPr>
          <w:rFonts w:ascii="Times New Roman" w:hAnsi="Times New Roman"/>
          <w:b w:val="false"/>
          <w:i w:val="false"/>
          <w:caps w:val="false"/>
          <w:smallCaps w:val="false"/>
          <w:sz w:val="20"/>
        </w:rPr>
        <w:t xml:space="preserve">See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for details.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Other Long-term Liabilities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long-term liabilities consisted of the following (in thousands):</w:t>
      </w:r>
    </w:p>
    <w:tbl>
      <w:tblPr>
        <w:tblW w:w="6988" w:type="dxa"/>
        <w:jc w:val="left"/>
        <w:tblInd w:w="0" w:type="dxa"/>
        <w:tblCellMar>
          <w:top w:w="0" w:type="dxa"/>
          <w:left w:w="0" w:type="dxa"/>
          <w:bottom w:w="28" w:type="dxa"/>
          <w:right w:w="0" w:type="dxa"/>
        </w:tblCellMar>
      </w:tblPr>
      <w:tblGrid>
        <w:gridCol w:w="3470"/>
        <w:gridCol w:w="60"/>
        <w:gridCol w:w="286"/>
        <w:gridCol w:w="1353"/>
        <w:gridCol w:w="60"/>
        <w:gridCol w:w="60"/>
        <w:gridCol w:w="286"/>
        <w:gridCol w:w="1353"/>
        <w:gridCol w:w="60"/>
      </w:tblGrid>
      <w:tr>
        <w:trPr/>
        <w:tc>
          <w:tcPr>
            <w:tcW w:w="347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long-term co-promotion expenses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5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5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27,424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tax liabilities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9,192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8,675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2,690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long-term liabilities</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5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26,018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5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38,789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3055" w:type="dxa"/>
        <w:jc w:val="left"/>
        <w:tblInd w:w="0" w:type="dxa"/>
        <w:tblCellMar>
          <w:top w:w="0" w:type="dxa"/>
          <w:left w:w="0" w:type="dxa"/>
          <w:bottom w:w="0" w:type="dxa"/>
          <w:right w:w="0" w:type="dxa"/>
        </w:tblCellMar>
      </w:tblPr>
      <w:tblGrid>
        <w:gridCol w:w="170"/>
        <w:gridCol w:w="2885"/>
      </w:tblGrid>
      <w:tr>
        <w:trPr/>
        <w:tc>
          <w:tcPr>
            <w:tcW w:w="17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8.</w:t>
            </w:r>
          </w:p>
        </w:tc>
        <w:tc>
          <w:tcPr>
            <w:tcW w:w="288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Product Development Obligations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Technology Development Center of the Republic of Finland (“TEKES”) product development obligations consist of 11 separate advances (each in the form of a note agreement) received by FibroGen Europe between 1996 and 2008 from TEKES. These advances are granted on a project-by-project basis to fund various product development efforts undertaken by FibroGen Europe only. Each separate note is denominated in EUR and bears interest (not compounded) calculated as one percentage point less than the Bank of Finland rate in effect at the time of the note, but no less than 3.0%.</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2021 and 2020, the Company had U.S. Dollar equivalent of $10.7 million and $11.6 million of principal outstanding, respectively, and $6.9 million and $7.1 million of interest accrued, respectively, which were presented in the product development obligations line on the consolidated balance sheets.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not a guarantor of these loans, and these loans are not repayable by FibroGen Europe until it has distributable funds.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150</w:t>
      </w:r>
    </w:p>
    <w:p>
      <w:pPr>
        <w:pStyle w:val="HorizontalLine"/>
        <w:rPr/>
      </w:pPr>
      <w:r>
        <w:rPr/>
      </w:r>
    </w:p>
    <w:p>
      <w:pPr>
        <w:pStyle w:val="TextBody"/>
        <w:spacing w:before="0" w:after="0"/>
        <w:rPr/>
      </w:pPr>
      <w:r>
        <w:rPr/>
        <w:t> </w:t>
      </w:r>
    </w:p>
    <w:tbl>
      <w:tblPr>
        <w:tblW w:w="2965" w:type="dxa"/>
        <w:jc w:val="left"/>
        <w:tblInd w:w="0" w:type="dxa"/>
        <w:tblCellMar>
          <w:top w:w="0" w:type="dxa"/>
          <w:left w:w="0" w:type="dxa"/>
          <w:bottom w:w="0" w:type="dxa"/>
          <w:right w:w="0" w:type="dxa"/>
        </w:tblCellMar>
      </w:tblPr>
      <w:tblGrid>
        <w:gridCol w:w="170"/>
        <w:gridCol w:w="2795"/>
      </w:tblGrid>
      <w:tr>
        <w:trPr/>
        <w:tc>
          <w:tcPr>
            <w:tcW w:w="17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9.</w:t>
            </w:r>
          </w:p>
        </w:tc>
        <w:tc>
          <w:tcPr>
            <w:tcW w:w="279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Commitments and Contingencies</w:t>
            </w:r>
          </w:p>
        </w:tc>
      </w:tr>
    </w:tbl>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Contract Obligations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the Company had the following outstanding non-cancelable purchase obligations (in thousands): </w:t>
      </w:r>
    </w:p>
    <w:p>
      <w:pPr>
        <w:pStyle w:val="TextBody"/>
        <w:spacing w:before="0" w:after="0"/>
        <w:rPr/>
      </w:pPr>
      <w:r>
        <w:rPr/>
        <w:t> </w:t>
      </w:r>
    </w:p>
    <w:tbl>
      <w:tblPr>
        <w:tblW w:w="6756" w:type="dxa"/>
        <w:jc w:val="left"/>
        <w:tblInd w:w="0" w:type="dxa"/>
        <w:tblCellMar>
          <w:top w:w="0" w:type="dxa"/>
          <w:left w:w="0" w:type="dxa"/>
          <w:bottom w:w="28" w:type="dxa"/>
          <w:right w:w="0" w:type="dxa"/>
        </w:tblCellMar>
      </w:tblPr>
      <w:tblGrid>
        <w:gridCol w:w="3365"/>
        <w:gridCol w:w="60"/>
        <w:gridCol w:w="171"/>
        <w:gridCol w:w="810"/>
        <w:gridCol w:w="82"/>
        <w:gridCol w:w="82"/>
        <w:gridCol w:w="171"/>
        <w:gridCol w:w="810"/>
        <w:gridCol w:w="82"/>
        <w:gridCol w:w="82"/>
        <w:gridCol w:w="171"/>
        <w:gridCol w:w="810"/>
        <w:gridCol w:w="60"/>
      </w:tblGrid>
      <w:tr>
        <w:trPr/>
        <w:tc>
          <w:tcPr>
            <w:tcW w:w="33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271"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Purchase Obligations</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Due In The Year Ending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271" w:type="dxa"/>
            <w:gridSpan w:val="10"/>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Manufacture and supply of pamrevlumab</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25,480</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19,918</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45,398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Manufacture and supply of roxadustat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14,591</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3,920</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purchases</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9,353</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9,353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bottom w:val="doub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purchase obligations</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49,424</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23,838</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73,262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expects to fulfill its commitments under these agreements in the normal course of business, and as such, no liability has been recorded.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Some of the Company’s license agreements provide for periodic maintenance fees over specified time periods, as well as payments by the Company upon the achievement of development, regulatory and commercial milestones. As of December 31, 2021, future milestone payments for research and pre-clinical stage development programs consisted of up to approximately $704.1 million in total potential future milestone payments under the Company’s license agreements with HiFiBiO (for Galectin-9 and CCR8), Medarex, Inc. and others. These milestone payments generally become due and payable only upon the achievement of certain developmental, clinical, regulatory and/or commercial milestones. The event triggering such payment or obligation has not yet occurred.</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Legal Proceedings and Other Matters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currently active legal action in its consolidated balance sheets as of December 31, 2021, as the Company could not predict the ultimate outcome of these matters, or reasonably estimate the potential exposure.</w:t>
      </w:r>
    </w:p>
    <w:p>
      <w:pPr>
        <w:pStyle w:val="TextBody"/>
        <w:spacing w:before="24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April 2021, three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FDA approval between November 2019 and December 2020. Plaintiffs seek to represent a class of persons or entities that purchased FibroGen securities between November 8, 2019 and April 6, 2021. In May 2021, two additional putative securities class action complaints were filed against Defendants alleging the same claims. One of the lawsuits alleges that Defendants made materially false and misleading statements between October 2017 and December 2020 and seeks to represent a class of persons or entities that purchased FibroGen securities between October 18, 2017 and April 6, 2021. The other lawsuit alleges that Defendants made materially false and misleading statements between December 2018 and February 2020 and seeks to represent a class of persons or entities that purchased FibroGen securities between December 20, 2018 and April 6, 2021. All plaintiffs seek unspecified monetary damages and other relief. On August 30, 2021, the Court consolidated the actions and appointed a group of lead plaintiffs.  Plaintiffs filed their consolidated amended complaint on October 29, 2021 and a corrected consolidated amended complaint on November 19, 2021 (the “Complaint”).  The Complaint alleges false and misleading statements between December 2018 and June 2021 and seeks to represent a class of persons or entities that purchased FibroGen securities between December 20, 2018 and July 15, 2021.  Defendants filed motions to dismiss the Complaint on January 14, 2021.  Plaintiffs’ opposition to Defendants’ motions to dismiss is due March 4, 2022 and Defendants’ reply briefs are due April 8, 2022.  A hearing on Defendants’ motions to dismiss has been set for April 28, 2022.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July 30, 2021, a purported shareholder derivative complaint was filed in the U.S. District Court for the Northern District of California. The complaint names as defendants ten of FibroGen’s current and former officers and directors, as well as FibroGen as nominal defendant, and asserts state and federal claims based on some of the same alleged misstatements as the securities class action complaint. The complaint seeks unspecified damages, attorneys’ fees, and other costs. The parties have agreed to stay the action pending resolution of a forthcoming motion to dismiss the securities class action.  On December 27, 2021, a second purported shareholder derivative complaint was filed in the U.S. District Court for the District of Delaware. The complaint names seventeen of FibroGen’s current and former officers and directors as defendants, as well as FibroGen as nominal defendant, and asserts state and federal claims based on some of the same alleged misstatements as the securities class action complaint, as well as allegations of insider trading against certain defendants. The complaint seeks unspecified damages, attorneys’ fees, and other costs.  Defendants have not been served in the second action.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fourth quarter of 2021, the Company received a subpoena from the SEC requesting documents related to roxadustat’s pooled cardiovascular safety data.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Indemnification Agreements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152</w:t>
      </w:r>
    </w:p>
    <w:p>
      <w:pPr>
        <w:pStyle w:val="HorizontalLine"/>
        <w:rPr/>
      </w:pPr>
      <w:r>
        <w:rPr/>
      </w:r>
    </w:p>
    <w:p>
      <w:pPr>
        <w:pStyle w:val="TextBody"/>
        <w:spacing w:before="0" w:after="0"/>
        <w:rPr/>
      </w:pPr>
      <w:r>
        <w:rPr/>
        <w:t> </w:t>
      </w:r>
    </w:p>
    <w:tbl>
      <w:tblPr>
        <w:tblW w:w="3535" w:type="dxa"/>
        <w:jc w:val="left"/>
        <w:tblInd w:w="0" w:type="dxa"/>
        <w:tblCellMar>
          <w:top w:w="0" w:type="dxa"/>
          <w:left w:w="0" w:type="dxa"/>
          <w:bottom w:w="0" w:type="dxa"/>
          <w:right w:w="0" w:type="dxa"/>
        </w:tblCellMar>
      </w:tblPr>
      <w:tblGrid>
        <w:gridCol w:w="275"/>
        <w:gridCol w:w="3260"/>
      </w:tblGrid>
      <w:tr>
        <w:trPr/>
        <w:tc>
          <w:tcPr>
            <w:tcW w:w="27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10.</w:t>
            </w:r>
          </w:p>
        </w:tc>
        <w:tc>
          <w:tcPr>
            <w:tcW w:w="326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Equity and Stock-based Compensation</w:t>
            </w:r>
          </w:p>
        </w:tc>
      </w:tr>
    </w:tbl>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Common Stock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Shares of Common Stock outstanding, shares of stock plans outstanding and shares reserved for future issuance related to stock options and RSU grants and the Company’s Employee Stock Purchase Plan (“ESPP”) purchases are as follows (in thousands):</w:t>
      </w:r>
    </w:p>
    <w:p>
      <w:pPr>
        <w:pStyle w:val="TextBody"/>
        <w:spacing w:before="0" w:after="0"/>
        <w:rPr/>
      </w:pPr>
      <w:r>
        <w:rPr/>
        <w:t> </w:t>
      </w:r>
    </w:p>
    <w:tbl>
      <w:tblPr>
        <w:tblW w:w="6255" w:type="dxa"/>
        <w:jc w:val="left"/>
        <w:tblInd w:w="0" w:type="dxa"/>
        <w:tblCellMar>
          <w:top w:w="0" w:type="dxa"/>
          <w:left w:w="0" w:type="dxa"/>
          <w:bottom w:w="28" w:type="dxa"/>
          <w:right w:w="0" w:type="dxa"/>
        </w:tblCellMar>
      </w:tblPr>
      <w:tblGrid>
        <w:gridCol w:w="4505"/>
        <w:gridCol w:w="60"/>
        <w:gridCol w:w="60"/>
        <w:gridCol w:w="695"/>
        <w:gridCol w:w="60"/>
        <w:gridCol w:w="60"/>
        <w:gridCol w:w="60"/>
        <w:gridCol w:w="695"/>
        <w:gridCol w:w="60"/>
      </w:tblGrid>
      <w:tr>
        <w:trPr/>
        <w:tc>
          <w:tcPr>
            <w:tcW w:w="45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outstanding</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92,881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91,441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 options outstanding</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8,967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RSUs outstanding</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reserved for future stock options and RSUs grant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10,253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reserved for future ESPP offering</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4,771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4,070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shares of common stock reserved</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119,176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114,604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Stock Plans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Stock Option and RSU Plans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Company’s Amended and Restated 2005 Stock Plan (“2005 Stock Plan”), the Company may issue shares of Common Stock and options to purchase Common Stock and other forms of equity incentives to employees, directors and consultants. Options granted under the 2005 Stock Plan may be incentive stock options or nonqualified stock options. Incentive stock options may be granted only to employees and officers of the Company. Nonqualified stock options and stock purchase rights may be granted to employees, directors and consultants. The board of directors has the authority to determine to whom options will be granted, the number of options, the term and the exercise price. Options are to be granted at an exercise price not less than fair market value for an incentive stock option or a nonqualified stock option. Options generally vest over four years. Options expire no more than 10 years after the date of grant. Upon the effective date of the registration statement related to the Company’s initial public offering, the 2005 Plan was amended to cease the grant of any additional awards thereunder, although the Company will continue to issue common stock upon the exercise of previously granted stock options under the 2005 Plan.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September 2014, the Company adopted a 2014 Equity Incentive Plan (the “2014 Plan”) which became effective on November 13, 2014. The 2014 Plan is the successor equity compensation plan to the 2005 Plan. The 2014 Plan will terminate on November 12, 2024. The 2014 Plan provides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(25% vesting on the first anniversary of the vesting base date and quarterly thereafter over the next 3 years). Options generally expire ten years from the date of grant unless the optionee is a 10% stockholder, in which case the term will be five years from the date of grant. Unvested options exercised are subject to the Company’s repurchase right. Shares reserved for issuance increases on January 1 of each year commencing on January 1, 2016 and ending on January 1, 2024 by the lesser of (i) the amount equal to 4% of the number of shares issued and outstanding on December 31 immediately prior to the date of increase or (ii) such lower number of shares as may be determined by the board of directors. As of December 31, 2021, the Company has reserved 10,252,944 shares of its common stock that remains unissued for issuance under the 2014 Plan.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Issuance of shares upon share option exercise or share unit conversion is made through issuance of new shares authorized under the plan.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2021 and 2020, no shares of Common Stock were subject to repurchase by the Company.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 option transactions, including forfeited options granted under the 2014 Plan as well as prior plans, are summarized below:</w:t>
      </w:r>
    </w:p>
    <w:p>
      <w:pPr>
        <w:pStyle w:val="TextBody"/>
        <w:spacing w:before="0" w:after="0"/>
        <w:rPr/>
      </w:pPr>
      <w:r>
        <w:rPr/>
        <w:t> </w:t>
      </w:r>
    </w:p>
    <w:tbl>
      <w:tblPr>
        <w:tblW w:w="10032" w:type="dxa"/>
        <w:jc w:val="left"/>
        <w:tblInd w:w="0" w:type="dxa"/>
        <w:tblCellMar>
          <w:top w:w="0" w:type="dxa"/>
          <w:left w:w="0" w:type="dxa"/>
          <w:bottom w:w="28" w:type="dxa"/>
          <w:right w:w="0" w:type="dxa"/>
        </w:tblCellMar>
      </w:tblPr>
      <w:tblGrid>
        <w:gridCol w:w="3950"/>
        <w:gridCol w:w="60"/>
        <w:gridCol w:w="119"/>
        <w:gridCol w:w="1085"/>
        <w:gridCol w:w="80"/>
        <w:gridCol w:w="60"/>
        <w:gridCol w:w="222"/>
        <w:gridCol w:w="862"/>
        <w:gridCol w:w="60"/>
        <w:gridCol w:w="60"/>
        <w:gridCol w:w="273"/>
        <w:gridCol w:w="1741"/>
        <w:gridCol w:w="60"/>
        <w:gridCol w:w="60"/>
        <w:gridCol w:w="262"/>
        <w:gridCol w:w="1018"/>
        <w:gridCol w:w="60"/>
      </w:tblGrid>
      <w:tr>
        <w:trPr/>
        <w:tc>
          <w:tcPr>
            <w:tcW w:w="39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Shares</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Weighted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Average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Exercise per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1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Weighted</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Average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Remaining Contractual</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Life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8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Aggregate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Intrinsic Value</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9,290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32.94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3,452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Expired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35.40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doub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December 31, 2021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8,967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34.84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2,622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 and expected to vest, December 31,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Exercisable at 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5,241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total intrinsic value of options exercised during the years ended December 31, 2021, 2020 and 2019 was $13.1 million, $89.6 million, and $59.2 million, respectively.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RSU activity:</w:t>
      </w:r>
    </w:p>
    <w:tbl>
      <w:tblPr>
        <w:tblW w:w="5764" w:type="dxa"/>
        <w:jc w:val="left"/>
        <w:tblInd w:w="0" w:type="dxa"/>
        <w:tblCellMar>
          <w:top w:w="0" w:type="dxa"/>
          <w:left w:w="0" w:type="dxa"/>
          <w:bottom w:w="28" w:type="dxa"/>
          <w:right w:w="0" w:type="dxa"/>
        </w:tblCellMar>
      </w:tblPr>
      <w:tblGrid>
        <w:gridCol w:w="2600"/>
        <w:gridCol w:w="60"/>
        <w:gridCol w:w="131"/>
        <w:gridCol w:w="1073"/>
        <w:gridCol w:w="80"/>
        <w:gridCol w:w="60"/>
        <w:gridCol w:w="348"/>
        <w:gridCol w:w="1352"/>
        <w:gridCol w:w="60"/>
      </w:tblGrid>
      <w:tr>
        <w:trPr/>
        <w:tc>
          <w:tcPr>
            <w:tcW w:w="26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Shares</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thousands)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0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Fair Value at Grant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at December 31, 2020</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5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37.66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42.28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at December 31, 2021</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8"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52"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30.60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Among the vested RSUs during the year ended December 31, 2021, 538,607 shares were released and issued, while the remaining was withheld for the related payroll taxes. The estimated weighted-average fair value of the awards granted during the years ended December 31, 2021, 2020 and 2019 was $30.19, $29.99 and $54.74, respectively.</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ESPP</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September 2014, the Company adopted a 2014 ESPP that became effective on November 13, 2014. The 2014 ESPP is designed to enable eligible employees to periodically purchase shares of the Company’s common stock at a discount through payroll deductions of up to 15% of their eligible compensation, subject to any plan or IRS limitations.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ESPP is intended to qualify as an ESPP under Section 423 of the Internal Revenue Code. The Company has reserved 1,600,000 shares of its common stock for issuance under the 2014 ESPP and shares reserved for issuance increases January 1 of each year commencing January 1, 2016 by the lesser of (i) a number of shares equal to 1% of the total number of outstanding shares of common stock on December 31 immediately prior to the date of increase; (ii) 1,200,000 shares or (iii) such number of shares as may be determined by the board of directors. There were 213,505 shares, 143,876 shares and 135,115 shares purchased by employees under the 2014 Purchased Plan for the years ended December 31, 2021, 2020 and 2019, respectively.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expected term of 2014 ESPP shares is the average of the remaining purchase periods under each offering period.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Stock-Based Compensation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expense was recorded directly to research and development and selling, general and administrative expense for the years ended December 31, 2021, 2020 and 2019 was as follows (in thousands):</w:t>
      </w:r>
    </w:p>
    <w:p>
      <w:pPr>
        <w:pStyle w:val="TextBody"/>
        <w:spacing w:before="0" w:after="0"/>
        <w:rPr/>
      </w:pPr>
      <w:r>
        <w:rPr/>
        <w:t> </w:t>
      </w:r>
    </w:p>
    <w:tbl>
      <w:tblPr>
        <w:tblW w:w="5855" w:type="dxa"/>
        <w:jc w:val="left"/>
        <w:tblInd w:w="0" w:type="dxa"/>
        <w:tblCellMar>
          <w:top w:w="0" w:type="dxa"/>
          <w:left w:w="0" w:type="dxa"/>
          <w:bottom w:w="28" w:type="dxa"/>
          <w:right w:w="0" w:type="dxa"/>
        </w:tblCellMar>
      </w:tblPr>
      <w:tblGrid>
        <w:gridCol w:w="3350"/>
        <w:gridCol w:w="60"/>
        <w:gridCol w:w="125"/>
        <w:gridCol w:w="590"/>
        <w:gridCol w:w="60"/>
        <w:gridCol w:w="60"/>
        <w:gridCol w:w="125"/>
        <w:gridCol w:w="590"/>
        <w:gridCol w:w="60"/>
        <w:gridCol w:w="60"/>
        <w:gridCol w:w="125"/>
        <w:gridCol w:w="590"/>
        <w:gridCol w:w="60"/>
      </w:tblGrid>
      <w:tr>
        <w:trPr/>
        <w:tc>
          <w:tcPr>
            <w:tcW w:w="33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8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46,229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41,015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30,614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26,491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25,252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stock-based compensation expense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71,161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72,720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66,267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estimates the fair value of stock options using the Black-Scholes option valuation model. The fair value of employee stock options is being amortized on a straight-line basis over the requisite service period of the awards. The fair market value of common stock is based on the closing price of the Company’s common stock as reported on the Nasdaq Global Select Market on the date of the grant.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fair value of employee stock-based compensation is estimated using the following assumptions: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u w:val="single"/>
              </w:rPr>
              <w:t>Expected Term.</w:t>
            </w:r>
            <w:r>
              <w:rPr>
                <w:b w:val="false"/>
                <w:i w:val="false"/>
                <w:caps w:val="false"/>
                <w:smallCaps w:val="false"/>
                <w:color w:val="000000"/>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u w:val="single"/>
              </w:rPr>
              <w:t>Expected Volatility.</w:t>
            </w:r>
            <w:r>
              <w:rPr>
                <w:b w:val="false"/>
                <w:i w:val="false"/>
                <w:caps w:val="false"/>
                <w:smallCaps w:val="false"/>
                <w:color w:val="000000"/>
              </w:rPr>
              <w:t xml:space="preserve"> The Company considers its historical volatility data for volatility considerations for its ESPP. </w:t>
            </w:r>
            <w:r>
              <w:rPr>
                <w:b w:val="false"/>
                <w:i w:val="false"/>
                <w:caps w:val="false"/>
                <w:smallCaps w:val="false"/>
                <w:highlight w:val="white"/>
              </w:rPr>
              <w:t>Historically, the expected volatility for all other stock-based compensation was based upon a blend of the Company’s and comparable public entities’ historical volatility. Since the third quarter of 2020, the</w:t>
            </w:r>
            <w:r>
              <w:rPr>
                <w:b w:val="false"/>
                <w:i w:val="false"/>
                <w:caps w:val="false"/>
                <w:smallCaps w:val="false"/>
                <w:color w:val="000000"/>
              </w:rPr>
              <w:t xml:space="preserve"> expected volatility for all other stock-based compensation is currently based upon the Company’s historical volatility data.</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u w:val="single"/>
              </w:rPr>
              <w:t>Risk-Free Interest Rate.</w:t>
            </w:r>
            <w:r>
              <w:rPr>
                <w:b w:val="false"/>
                <w:i w:val="false"/>
                <w:caps w:val="false"/>
                <w:smallCaps w:val="false"/>
                <w:color w:val="000000"/>
              </w:rPr>
              <w:t xml:space="preserve"> Expressed as a weighted-average, the risk-free interest rate assumption is based on the U.S. Treasury instruments whose term was consistent with the expected term of the Company’s stock options.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9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u w:val="single"/>
              </w:rPr>
              <w:t>Expected Dividend Yield.</w:t>
            </w:r>
            <w:r>
              <w:rPr>
                <w:b w:val="false"/>
                <w:i w:val="false"/>
                <w:caps w:val="false"/>
                <w:smallCaps w:val="false"/>
                <w:color w:val="000000"/>
              </w:rPr>
              <w:t xml:space="preserve"> The Company has never declared or paid any cash dividends and does not plan to pay cash dividends in the foreseeable future.</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assumptions used to estimate the fair value of stock options granted and ESPPs using the Black-Scholes option valuation model were as follows:</w:t>
      </w:r>
    </w:p>
    <w:p>
      <w:pPr>
        <w:pStyle w:val="TextBody"/>
        <w:spacing w:before="0" w:after="0"/>
        <w:rPr/>
      </w:pPr>
      <w:r>
        <w:rPr/>
        <w:t> </w:t>
      </w:r>
    </w:p>
    <w:tbl>
      <w:tblPr>
        <w:tblW w:w="6812" w:type="dxa"/>
        <w:jc w:val="left"/>
        <w:tblInd w:w="0" w:type="dxa"/>
        <w:tblCellMar>
          <w:top w:w="0" w:type="dxa"/>
          <w:left w:w="0" w:type="dxa"/>
          <w:bottom w:w="28" w:type="dxa"/>
          <w:right w:w="0" w:type="dxa"/>
        </w:tblCellMar>
      </w:tblPr>
      <w:tblGrid>
        <w:gridCol w:w="3125"/>
        <w:gridCol w:w="60"/>
        <w:gridCol w:w="203"/>
        <w:gridCol w:w="791"/>
        <w:gridCol w:w="60"/>
        <w:gridCol w:w="185"/>
        <w:gridCol w:w="60"/>
        <w:gridCol w:w="182"/>
        <w:gridCol w:w="707"/>
        <w:gridCol w:w="60"/>
        <w:gridCol w:w="185"/>
        <w:gridCol w:w="60"/>
        <w:gridCol w:w="182"/>
        <w:gridCol w:w="707"/>
        <w:gridCol w:w="60"/>
        <w:gridCol w:w="185"/>
      </w:tblGrid>
      <w:tr>
        <w:trPr/>
        <w:tc>
          <w:tcPr>
            <w:tcW w:w="312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627"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r>
      <w:tr>
        <w:trPr/>
        <w:tc>
          <w:tcPr>
            <w:tcW w:w="312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term (in years)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estimated fair value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ESPPs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term (in years)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0.5 - 2.0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0.5 - 2.0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0.5 - 2.0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47.1 - 104.4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9"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47.5 - 77.1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9"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48.1 - 62.1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0.0 - 2.2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0.1 - 2.9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1.3 - 2.9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estimated fair value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there was $56.4 million of total unrecognized compensation costs, net of estimated forfeitures, related to non-vested stock option awards granted that will be recognized on a straight-line basis over the weighted-average period of 2.57 years. As of December 31, 2021, there was $52.3 million of total unrecognized compensation costs, net of estimated forfeitures, related to non-vested RSUs granted that will be recognized on a straight-line basis over the weighted-average period of 2.29 years.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155</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Warrants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year ended December 31, 2019, a warrant to purchase 4,430 shares of our common stock was exercised and there was no warrant to purchase shares of Common Stock outstanding at December 31, 2021 and 2020.</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Subsidiary Stock and Non-Controlling Interests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FibroGen Europe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and 2020, respectively, FibroGen Europe had a total of 42,619,022 shares of Preferred Stock outstanding, of which there were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FibroGen, Inc. Common Stock. The holders of FibroGen Europe’s shares of Preferred Stock (“Preferred Shares”) have the following rights, preferences and privileges: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Dividend Rights — </w:t>
      </w:r>
      <w:r>
        <w:rPr>
          <w:rFonts w:ascii="Times New Roman" w:hAnsi="Times New Roman"/>
          <w:b w:val="false"/>
          <w:i w:val="false"/>
          <w:caps w:val="false"/>
          <w:smallCaps w:val="false"/>
          <w:sz w:val="20"/>
        </w:rPr>
        <w:t>When the assets of FibroGen Europe are distributed (except for distribution in a liquidation), Preferred Shares shall have the same 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Pre-emptive Right — </w:t>
      </w:r>
      <w:r>
        <w:rPr>
          <w:rFonts w:ascii="Times New Roman" w:hAnsi="Times New Roman"/>
          <w:b w:val="false"/>
          <w:i w:val="false"/>
          <w:caps w:val="false"/>
          <w:smallCaps w:val="false"/>
          <w:sz w:val="20"/>
        </w:rPr>
        <w:t xml:space="preserve">Preferred Shares shall have pre-emptive subscription right in accordance with the Finnish Limited Liability Companies Act if additional shares are issued, option rights are given, or convertible loan is taken,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however</w:t>
      </w:r>
      <w:r>
        <w:rPr>
          <w:rFonts w:ascii="Times New Roman" w:hAnsi="Times New Roman"/>
          <w:b w:val="false"/>
          <w:i w:val="false"/>
          <w:caps w:val="false"/>
          <w:smallCaps w:val="false"/>
          <w:sz w:val="20"/>
        </w:rPr>
        <w:t>, that the foregoing pre-emptive right does not apply to a directed share issue, for which two thirds (2/3) of the voting shares represented at a general meeting of shareholders approve for an important legitimate cause.</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Redemption Right — </w:t>
      </w:r>
      <w:r>
        <w:rPr>
          <w:rFonts w:ascii="Times New Roman" w:hAnsi="Times New Roman"/>
          <w:b w:val="false"/>
          <w:i w:val="false"/>
          <w:caps w:val="false"/>
          <w:smallCaps w:val="false"/>
          <w:sz w:val="20"/>
        </w:rPr>
        <w:t>If a Preferred Share can be redeemed by a majority shareholder owning more than ninety percent (90%) of the shares of FibroGen Europe in accordance with the provisions of the Finnish Limited Liability Companies Act, the minority holders of Preferred Shares have the right to request redemption of their shares.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Voting Right — </w:t>
      </w:r>
      <w:r>
        <w:rPr>
          <w:rFonts w:ascii="Times New Roman" w:hAnsi="Times New Roman"/>
          <w:b w:val="false"/>
          <w:i w:val="false"/>
          <w:caps w:val="false"/>
          <w:smallCaps w:val="false"/>
          <w:sz w:val="20"/>
        </w:rPr>
        <w:t>Each share has one vote. Preferred Shares have voting rights only in situations that are specifically</w:t>
      </w:r>
      <w:r>
        <w:rPr>
          <w:rFonts w:ascii="Times New Roman" w:hAnsi="Times New Roman"/>
          <w:b w:val="false"/>
          <w:i/>
          <w:caps w:val="false"/>
          <w:smallCaps w:val="false"/>
          <w:sz w:val="20"/>
        </w:rPr>
        <w:t xml:space="preserve"> provided in the Articles of Association, which include a merger transaction and directed share issue. In addition, Preferred Shares have right to vote in a general shareholder meeting for amending the Articles of Association if the amendment will affect the rights of Preferred Shares.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Conversion Right </w:t>
      </w:r>
      <w:r>
        <w:rPr>
          <w:rFonts w:ascii="Times New Roman" w:hAnsi="Times New Roman"/>
          <w:b w:val="false"/>
          <w:i w:val="false"/>
          <w:caps w:val="false"/>
          <w:smallCaps w:val="false"/>
          <w:sz w:val="20"/>
        </w:rPr>
        <w:t>(1-for-1 basis into Common Stock of FibroGen Europe):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Europe and certain other European states. Commercial use means there is income generated from the first commercial sale of the products incorporating the above-mentioned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tc>
      </w:tr>
    </w:tbl>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Liquidation Right — </w:t>
      </w:r>
      <w:r>
        <w:rPr>
          <w:rFonts w:ascii="Times New Roman" w:hAnsi="Times New Roman"/>
          <w:b w:val="false"/>
          <w:i w:val="false"/>
          <w:caps w:val="false"/>
          <w:smallCaps w:val="false"/>
          <w:sz w:val="20"/>
        </w:rPr>
        <w:t>In the event of a dissolution of FibroGen Europe, holders of Preferred Shares are entitled to be paid in an amount equal to the 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156</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FibroGen Cayman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FibroGen Cayman had 6,758,000 Series A Preference Shares outstanding as of December 31, 2021 and 2020, respectively. The holders of the FibroGen Cayman Series A Preference Shares have the following rights, preferences and privileges: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Liquidation — </w:t>
      </w:r>
      <w:r>
        <w:rPr>
          <w:rFonts w:ascii="Times New Roman" w:hAnsi="Times New Roman"/>
          <w:b w:val="false"/>
          <w:i w:val="false"/>
          <w:caps w:val="false"/>
          <w:smallCaps w:val="false"/>
          <w:sz w:val="20"/>
        </w:rPr>
        <w:t>In the event of liquidation, dissolution, or winding up of the Company, either voluntary or involuntary, including by means of a merger, the holders of FibroGen Cayman Series A Preference Shares are entitled to be paid an amount equal to the product of the number of shares held by a holder of shares of FibroGen Cayman Series A Preference Shares and the original issue price of $1.00 (subject to equitable adjustment for any stock dividend, combination, split, reclassification, recapitalization) plus all declared and unpaid dividends thereon.</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Conversion — </w:t>
      </w:r>
      <w:r>
        <w:rPr>
          <w:rFonts w:ascii="Times New Roman" w:hAnsi="Times New Roman"/>
          <w:b w:val="false"/>
          <w:i w:val="false"/>
          <w:caps w:val="false"/>
          <w:smallCaps w:val="false"/>
          <w:sz w:val="20"/>
        </w:rPr>
        <w:t>Each share of FibroGen Cayman Series A Preference Shares is convertible into the number of fully paid and non-assessable shares of Common Stock of FibroGen Cayman that results from dividing the original issue price by the conversion price in effect at the time of the conversion, subject to adjustments for stock splits, stock dividends, reclassifications and like events. The FibroGen Cayman Series A Preference Shares have a conversion price that is equal to the original issuance price such that the conversion ratio to FibroGen Cayman Common Stock is 1:1 as of all periods presented.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Voting — </w:t>
      </w:r>
      <w:r>
        <w:rPr>
          <w:rFonts w:ascii="Times New Roman" w:hAnsi="Times New Roman"/>
          <w:b w:val="false"/>
          <w:i w:val="false"/>
          <w:caps w:val="false"/>
          <w:smallCaps w:val="false"/>
          <w:sz w:val="20"/>
        </w:rPr>
        <w:t>The holders of FibroGen Cayman Series A Preference Shares are entitled to vote together with the FibroGen Cayman Common Stockholders on all matters submitted for a vote of the stockholders. The holder of each share of FibroGen Cayman Series A Preference Shares has the number of votes equal to the number of shares of FibroGen Cayman Common Stock into which it is convertible.</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Dividends — </w:t>
      </w:r>
      <w:r>
        <w:rPr>
          <w:rFonts w:ascii="Times New Roman" w:hAnsi="Times New Roman"/>
          <w:b w:val="false"/>
          <w:i w:val="false"/>
          <w:caps w:val="false"/>
          <w:smallCaps w:val="false"/>
          <w:sz w:val="20"/>
        </w:rPr>
        <w:t>The holders of FibroGen Cayman Series A Preference Shares are entitled to receive cash dividends when and if declared, at a rate of 6%.</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Non-Controlling Interests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Non-controlling interest positions related to the issuance of subsidiary stock as described above are reported as a separate component of consolidated equity from the equity attributable to the Company’s stockholders at December 31, 2021 and 2020. In addition, the Company does not allocate losses to the non-controlling interests as the outstanding shares representing the non-controlling interest do not represent a residual equity interest in the subsidiary.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January 2013, FibroGen Cayman entered into a $0.6 million convertible promissory note. The note bears simple interest at a rate of two percent (2.00%) per annum, accrued on an annual basis in arrears. The outstanding principal balance and unpaid accrued interest on the note is due and payable upon the earlier of (a) the effectiveness of the initial public offering of FibroGen Cayman or (b) the eight year anniversary of the date of the note. As of December 31, 2020, the total outstanding principal balance and accrued interest were $0.7 million and recorded in the other long-term liabilities in the consolidated balance sheets. During the year ended December 31, 2021, at the option of the lender, the $0.7 million total outstanding principal balance and unpaid accrued interest on the note were converted into Series A Preferred Stock of FibroGen Cayman, and was recorded as an addition to the non-controlling interest of the Company.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Upon the initial public offering and as described above, all eligible FibroGen Europe preferred shares were exchanged for 958,996 shares of FibroGen Common Stock. No other FibroGen Europe shares have the right to be exchanged for FibroGen, Inc. Common Stock.</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157</w:t>
      </w:r>
    </w:p>
    <w:p>
      <w:pPr>
        <w:pStyle w:val="HorizontalLine"/>
        <w:rPr/>
      </w:pPr>
      <w:r>
        <w:rPr/>
      </w:r>
    </w:p>
    <w:p>
      <w:pPr>
        <w:pStyle w:val="TextBody"/>
        <w:spacing w:before="0" w:after="0"/>
        <w:rPr/>
      </w:pPr>
      <w:r>
        <w:rPr/>
        <w:t> </w:t>
      </w:r>
    </w:p>
    <w:tbl>
      <w:tblPr>
        <w:tblW w:w="1900" w:type="dxa"/>
        <w:jc w:val="left"/>
        <w:tblInd w:w="0" w:type="dxa"/>
        <w:tblCellMar>
          <w:top w:w="0" w:type="dxa"/>
          <w:left w:w="0" w:type="dxa"/>
          <w:bottom w:w="0" w:type="dxa"/>
          <w:right w:w="0" w:type="dxa"/>
        </w:tblCellMar>
      </w:tblPr>
      <w:tblGrid>
        <w:gridCol w:w="275"/>
        <w:gridCol w:w="1625"/>
      </w:tblGrid>
      <w:tr>
        <w:trPr/>
        <w:tc>
          <w:tcPr>
            <w:tcW w:w="27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11.</w:t>
            </w:r>
          </w:p>
        </w:tc>
        <w:tc>
          <w:tcPr>
            <w:tcW w:w="162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Net Loss Per Share</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Potential common shares that would have the effect of increasing diluted earnings per share are considered to be anti-dilutive and as such, these shares are not included in the calculation of diluted earnings per share. During the years ended December 31, 2021, 2020 and 2019, the Company reported a net loss. Therefore, dilutive common shares are not assumed to have been issued since their effect is anti-dilutive.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Diluted weighted average shares excluded the following potential common shares related to stock options, restricted stock units and shares to be purchased under the employee stock purchase plan for the three years presented as they were anti-dilutive (in thousands):</w:t>
      </w:r>
    </w:p>
    <w:p>
      <w:pPr>
        <w:pStyle w:val="TextBody"/>
        <w:spacing w:before="0" w:after="0"/>
        <w:rPr/>
      </w:pPr>
      <w:r>
        <w:rPr/>
        <w:t> </w:t>
      </w:r>
    </w:p>
    <w:tbl>
      <w:tblPr>
        <w:tblW w:w="4399" w:type="dxa"/>
        <w:jc w:val="left"/>
        <w:tblInd w:w="0" w:type="dxa"/>
        <w:tblCellMar>
          <w:top w:w="0" w:type="dxa"/>
          <w:left w:w="0" w:type="dxa"/>
          <w:bottom w:w="28" w:type="dxa"/>
          <w:right w:w="0" w:type="dxa"/>
        </w:tblCellMar>
      </w:tblPr>
      <w:tblGrid>
        <w:gridCol w:w="1985"/>
        <w:gridCol w:w="60"/>
        <w:gridCol w:w="69"/>
        <w:gridCol w:w="685"/>
        <w:gridCol w:w="69"/>
        <w:gridCol w:w="69"/>
        <w:gridCol w:w="69"/>
        <w:gridCol w:w="563"/>
        <w:gridCol w:w="69"/>
        <w:gridCol w:w="69"/>
        <w:gridCol w:w="69"/>
        <w:gridCol w:w="563"/>
        <w:gridCol w:w="60"/>
      </w:tblGrid>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94"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Employee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8,461</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6,694</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7,602</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RSUs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1,538</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564</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1,187</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ESPP</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417</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306</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10,416</w:t>
            </w:r>
          </w:p>
        </w:tc>
        <w:tc>
          <w:tcPr>
            <w:tcW w:w="69"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7,564</w:t>
            </w:r>
          </w:p>
        </w:tc>
        <w:tc>
          <w:tcPr>
            <w:tcW w:w="69"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9,050</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480" w:type="dxa"/>
        <w:jc w:val="left"/>
        <w:tblInd w:w="0" w:type="dxa"/>
        <w:tblCellMar>
          <w:top w:w="0" w:type="dxa"/>
          <w:left w:w="0" w:type="dxa"/>
          <w:bottom w:w="0" w:type="dxa"/>
          <w:right w:w="0" w:type="dxa"/>
        </w:tblCellMar>
      </w:tblPr>
      <w:tblGrid>
        <w:gridCol w:w="275"/>
        <w:gridCol w:w="1205"/>
      </w:tblGrid>
      <w:tr>
        <w:trPr/>
        <w:tc>
          <w:tcPr>
            <w:tcW w:w="275" w:type="dxa"/>
            <w:tcBorders/>
            <w:shd w:fill="auto" w:val="clear"/>
          </w:tcPr>
          <w:p>
            <w:pPr>
              <w:pStyle w:val="TableContents"/>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12.</w:t>
            </w:r>
          </w:p>
        </w:tc>
        <w:tc>
          <w:tcPr>
            <w:tcW w:w="1205" w:type="dxa"/>
            <w:tcBorders/>
            <w:shd w:fill="auto" w:val="clear"/>
          </w:tcPr>
          <w:p>
            <w:pPr>
              <w:pStyle w:val="TableContents"/>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Income Taxes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components of loss before income taxes are as follows (in thousands):</w:t>
      </w:r>
    </w:p>
    <w:p>
      <w:pPr>
        <w:pStyle w:val="TextBody"/>
        <w:spacing w:before="0" w:after="0"/>
        <w:rPr/>
      </w:pPr>
      <w:r>
        <w:rPr/>
        <w:t> </w:t>
      </w:r>
    </w:p>
    <w:tbl>
      <w:tblPr>
        <w:tblW w:w="6110" w:type="dxa"/>
        <w:jc w:val="left"/>
        <w:tblInd w:w="0" w:type="dxa"/>
        <w:tblCellMar>
          <w:top w:w="0" w:type="dxa"/>
          <w:left w:w="0" w:type="dxa"/>
          <w:bottom w:w="28" w:type="dxa"/>
          <w:right w:w="0" w:type="dxa"/>
        </w:tblCellMar>
      </w:tblPr>
      <w:tblGrid>
        <w:gridCol w:w="3155"/>
        <w:gridCol w:w="60"/>
        <w:gridCol w:w="125"/>
        <w:gridCol w:w="755"/>
        <w:gridCol w:w="80"/>
        <w:gridCol w:w="60"/>
        <w:gridCol w:w="125"/>
        <w:gridCol w:w="755"/>
        <w:gridCol w:w="80"/>
        <w:gridCol w:w="60"/>
        <w:gridCol w:w="125"/>
        <w:gridCol w:w="650"/>
        <w:gridCol w:w="80"/>
      </w:tblGrid>
      <w:tr>
        <w:trPr/>
        <w:tc>
          <w:tcPr>
            <w:tcW w:w="31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81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Domestic</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(268,499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(195,617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5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(22,184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(79,180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15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provision for income taxes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(290,683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(188,729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(76,642</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provision for income taxes consists of the following (in thousands):</w:t>
      </w:r>
    </w:p>
    <w:p>
      <w:pPr>
        <w:pStyle w:val="TextBody"/>
        <w:spacing w:before="0" w:after="0"/>
        <w:rPr/>
      </w:pPr>
      <w:r>
        <w:rPr/>
        <w:t> </w:t>
      </w:r>
    </w:p>
    <w:tbl>
      <w:tblPr>
        <w:tblW w:w="5076" w:type="dxa"/>
        <w:jc w:val="left"/>
        <w:tblInd w:w="0" w:type="dxa"/>
        <w:tblCellMar>
          <w:top w:w="0" w:type="dxa"/>
          <w:left w:w="0" w:type="dxa"/>
          <w:bottom w:w="28" w:type="dxa"/>
          <w:right w:w="0" w:type="dxa"/>
        </w:tblCellMar>
      </w:tblPr>
      <w:tblGrid>
        <w:gridCol w:w="2660"/>
        <w:gridCol w:w="60"/>
        <w:gridCol w:w="177"/>
        <w:gridCol w:w="475"/>
        <w:gridCol w:w="85"/>
        <w:gridCol w:w="85"/>
        <w:gridCol w:w="177"/>
        <w:gridCol w:w="475"/>
        <w:gridCol w:w="85"/>
        <w:gridCol w:w="85"/>
        <w:gridCol w:w="177"/>
        <w:gridCol w:w="475"/>
        <w:gridCol w:w="60"/>
      </w:tblGrid>
      <w:tr>
        <w:trPr/>
        <w:tc>
          <w:tcPr>
            <w:tcW w:w="26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96"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Federal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360</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CFF0FC"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360</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Federal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bottom w:val="sing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deferred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provision for income taxes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360</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doub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is the reconciliation between the statutory federal income tax rate and the Company’s effective tax rate:</w:t>
      </w:r>
    </w:p>
    <w:p>
      <w:pPr>
        <w:pStyle w:val="TextBody"/>
        <w:spacing w:before="0" w:after="0"/>
        <w:rPr/>
      </w:pPr>
      <w:r>
        <w:rPr/>
        <w:t> </w:t>
      </w:r>
    </w:p>
    <w:tbl>
      <w:tblPr>
        <w:tblW w:w="7031" w:type="dxa"/>
        <w:jc w:val="left"/>
        <w:tblInd w:w="0" w:type="dxa"/>
        <w:tblCellMar>
          <w:top w:w="0" w:type="dxa"/>
          <w:left w:w="0" w:type="dxa"/>
          <w:bottom w:w="28" w:type="dxa"/>
          <w:right w:w="0" w:type="dxa"/>
        </w:tblCellMar>
      </w:tblPr>
      <w:tblGrid>
        <w:gridCol w:w="4490"/>
        <w:gridCol w:w="65"/>
        <w:gridCol w:w="479"/>
        <w:gridCol w:w="267"/>
        <w:gridCol w:w="65"/>
        <w:gridCol w:w="65"/>
        <w:gridCol w:w="479"/>
        <w:gridCol w:w="267"/>
        <w:gridCol w:w="65"/>
        <w:gridCol w:w="65"/>
        <w:gridCol w:w="479"/>
        <w:gridCol w:w="245"/>
      </w:tblGrid>
      <w:tr>
        <w:trPr/>
        <w:tc>
          <w:tcPr>
            <w:tcW w:w="449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2296"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2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2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 at statutory federal rate</w:t>
            </w:r>
          </w:p>
        </w:tc>
        <w:tc>
          <w:tcPr>
            <w:tcW w:w="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21.0</w:t>
            </w:r>
          </w:p>
        </w:tc>
        <w:tc>
          <w:tcPr>
            <w:tcW w:w="2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rPr>
            </w:pPr>
            <w:r>
              <w:rPr>
                <w:caps w:val="false"/>
                <w:smallCaps w:val="false"/>
              </w:rPr>
              <w:t> </w:t>
            </w:r>
          </w:p>
        </w:tc>
        <w:tc>
          <w:tcPr>
            <w:tcW w:w="47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21.0</w:t>
            </w:r>
          </w:p>
        </w:tc>
        <w:tc>
          <w:tcPr>
            <w:tcW w:w="2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 tax</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2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479" w:type="dxa"/>
            <w:tcBorders/>
            <w:shd w:fill="FFFFFF" w:val="clear"/>
            <w:tcMar>
              <w:bottom w:w="0" w:type="dxa"/>
            </w:tcMar>
            <w:vAlign w:val="bottom"/>
          </w:tcPr>
          <w:p>
            <w:pPr>
              <w:pStyle w:val="TableContents"/>
              <w:spacing w:before="0" w:after="0"/>
              <w:ind w:left="0" w:right="0" w:hanging="0"/>
              <w:jc w:val="right"/>
              <w:rPr>
                <w:caps w:val="false"/>
                <w:smallCaps w:val="false"/>
              </w:rPr>
            </w:pPr>
            <w:r>
              <w:rPr>
                <w:caps w:val="false"/>
                <w:smallCaps w:val="false"/>
              </w:rPr>
              <w:t>—</w:t>
            </w:r>
          </w:p>
        </w:tc>
        <w:tc>
          <w:tcPr>
            <w:tcW w:w="2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 expense</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2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2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Benefit due to intercompany transfer of assets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41.7</w:t>
            </w:r>
          </w:p>
        </w:tc>
        <w:tc>
          <w:tcPr>
            <w:tcW w:w="2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Valuation allowance on intercompany transfer of assets</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(41.7</w:t>
            </w:r>
          </w:p>
        </w:tc>
        <w:tc>
          <w:tcPr>
            <w:tcW w:w="2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operating losses not benefitted</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w:t>
            </w:r>
          </w:p>
        </w:tc>
        <w:tc>
          <w:tcPr>
            <w:tcW w:w="2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w:t>
            </w:r>
          </w:p>
        </w:tc>
        <w:tc>
          <w:tcPr>
            <w:tcW w:w="2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net operating losses not benefitted</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2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w:t>
            </w:r>
          </w:p>
        </w:tc>
        <w:tc>
          <w:tcPr>
            <w:tcW w:w="2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(21.7</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Deduction limitation on executive compensation</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w:t>
            </w:r>
          </w:p>
        </w:tc>
        <w:tc>
          <w:tcPr>
            <w:tcW w:w="2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(0.8</w:t>
            </w:r>
          </w:p>
        </w:tc>
        <w:tc>
          <w:tcPr>
            <w:tcW w:w="26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9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w:t>
            </w:r>
          </w:p>
        </w:tc>
        <w:tc>
          <w:tcPr>
            <w:tcW w:w="26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w:t>
            </w:r>
          </w:p>
        </w:tc>
        <w:tc>
          <w:tcPr>
            <w:tcW w:w="26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90" w:type="dxa"/>
            <w:tcBorders>
              <w:bottom w:val="doub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67"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w:t>
            </w:r>
          </w:p>
        </w:tc>
        <w:tc>
          <w:tcPr>
            <w:tcW w:w="267"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w:t>
            </w:r>
          </w:p>
        </w:tc>
        <w:tc>
          <w:tcPr>
            <w:tcW w:w="24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components of the Company’s deferred tax assets are as follows (in thousands):</w:t>
      </w:r>
    </w:p>
    <w:p>
      <w:pPr>
        <w:pStyle w:val="TextBody"/>
        <w:spacing w:before="0" w:after="0"/>
        <w:rPr/>
      </w:pPr>
      <w:r>
        <w:rPr/>
        <w:t> </w:t>
      </w:r>
    </w:p>
    <w:tbl>
      <w:tblPr>
        <w:tblW w:w="6050" w:type="dxa"/>
        <w:jc w:val="left"/>
        <w:tblInd w:w="0" w:type="dxa"/>
        <w:tblCellMar>
          <w:top w:w="0" w:type="dxa"/>
          <w:left w:w="0" w:type="dxa"/>
          <w:bottom w:w="28" w:type="dxa"/>
          <w:right w:w="0" w:type="dxa"/>
        </w:tblCellMar>
      </w:tblPr>
      <w:tblGrid>
        <w:gridCol w:w="4010"/>
        <w:gridCol w:w="60"/>
        <w:gridCol w:w="125"/>
        <w:gridCol w:w="755"/>
        <w:gridCol w:w="80"/>
        <w:gridCol w:w="60"/>
        <w:gridCol w:w="125"/>
        <w:gridCol w:w="755"/>
        <w:gridCol w:w="80"/>
      </w:tblGrid>
      <w:tr>
        <w:trPr/>
        <w:tc>
          <w:tcPr>
            <w:tcW w:w="401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Federal and state net operating loss carryforwards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167,135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134,033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 credit carryforwards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78,832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62,465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net operating loss carryforwards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38,117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10,399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 obligations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8,243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Reserves and accruals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5,875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13,550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Intangible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84,625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75,915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Subtotal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426,167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342,897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Valuation allowance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(409,810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(337,824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deferred tax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16,357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5,073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Fixed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(16,357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(5,073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vAlign w:val="bottom"/>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deferred tax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(16,357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(5,073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bottom w:val="double" w:sz="6" w:space="0" w:color="000000"/>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net deferred tax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valuation allowance increased by $72.0 million, $124.0 million and $19.9 million for the years ended December 31, 2021, 2020 and 2019, respectively. Due to uncertainty surrounding the realization of the favorable tax attributes in the future tax returns, the Company has established a valuation allowance against its otherwise recognizable net deferred tax assets.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intends to continue maintaining a full valuation allowance on its deferred tax assets until there is sufficient evidence to support the reversal of all or some portion of this allowance. However, given the anticipated future foreign earnings, the Company believes that there is a reasonable possibility that within the next 12 months, sufficient positive evidence may become available to reach a conclusion that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the Company is able to actually achieve.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2020, the Company transferred certain intellectual property rights relating to its Chinese business between its wholly owned subsidiaries that are based in different tax jurisdictions. The transferor entity was not subject to income taxes in its local jurisdiction. The acquiring entity of the intellectual property is entitled to amortize the acquisition price of the intangible assets for tax purposes. In accordance with ASU 2016-16, </w:t>
      </w:r>
      <w:r>
        <w:rPr>
          <w:rFonts w:ascii="Times New Roman" w:hAnsi="Times New Roman"/>
          <w:b w:val="false"/>
          <w:i/>
          <w:caps w:val="false"/>
          <w:smallCaps w:val="false"/>
          <w:sz w:val="20"/>
        </w:rPr>
        <w:t>Intra-Entity Transfers of Assets Other Than Inventory</w:t>
      </w:r>
      <w:r>
        <w:rPr>
          <w:rFonts w:ascii="Times New Roman" w:hAnsi="Times New Roman"/>
          <w:b w:val="false"/>
          <w:i w:val="false"/>
          <w:caps w:val="false"/>
          <w:smallCaps w:val="false"/>
          <w:sz w:val="20"/>
        </w:rPr>
        <w:t>, the Company recognized a deferred tax asset of $78.7 million for the temporary difference arising from the acquirer’s excess tax basis. Furthermore, based upon the weight of available evidence, the Company recognized a full valuation allowance against this deferred tax asset since it does not currently believe that realization of this gross deductible temporary difference is more likely than not. Accordingly, this inter-company transfer did not have a material impact to the Company’s consolidated financial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December 31, 2021, the Company had net operating loss carryforwards available to offset future taxable income of approximately $764.1 million and $134.6 million for federal and state tax purposes, respectively. These carryforwards will begin to expire in 2026 for federal and 2022 for state purposes, if not utilized before these dates. The Company also had foreign net operating loss carryforwards of approximately $198.7 million, which expire between 2022 and 2031 if not utilized.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December 31, 2021, the Company had approximately $87.8 million of federal and $36.6 million of California research and development tax credit and other tax credit carryforwards available to offset future taxable income. The federal credits begin to expire in 2022 and the California research credits have no expiration dates.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Federal and state tax laws impose substantial restrictions on the utilization of net operating loss and credit carryforwards in the event of an “ownership change” for tax purposes, as defined in IRC Section 382. The Company reviewed its stock ownership for year ended December 31, 2021 and concluded no ownership changes occurred which would result in a reduction of its net operating loss or in its research and development credits expiring unused. If additional ownership change occurs, the utilization of net operating loss and credit carryforwards could be significantly reduced.</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Uncertain Tax Positions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had unrecognized tax benefits of approximately $57.7 million as of December 31, 2021. Approximately $0.7 million of unrecognized tax benefits, if recognized, would affect the effective tax rate. The interest accrued as of December 31, 2021 and 2020 was immaterial.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reconciliation of the beginning and ending amounts of unrecognized income tax benefits during the three years ended December 31, 2021 is as follows (in thousands):</w:t>
      </w:r>
    </w:p>
    <w:p>
      <w:pPr>
        <w:pStyle w:val="TextBody"/>
        <w:spacing w:before="0" w:after="0"/>
        <w:rPr/>
      </w:pPr>
      <w:r>
        <w:rPr/>
        <w:t> </w:t>
      </w:r>
    </w:p>
    <w:tbl>
      <w:tblPr>
        <w:tblW w:w="4605" w:type="dxa"/>
        <w:jc w:val="left"/>
        <w:tblInd w:w="0" w:type="dxa"/>
        <w:tblCellMar>
          <w:top w:w="0" w:type="dxa"/>
          <w:left w:w="0" w:type="dxa"/>
          <w:bottom w:w="28" w:type="dxa"/>
          <w:right w:w="0" w:type="dxa"/>
        </w:tblCellMar>
      </w:tblPr>
      <w:tblGrid>
        <w:gridCol w:w="2960"/>
        <w:gridCol w:w="60"/>
        <w:gridCol w:w="263"/>
        <w:gridCol w:w="1242"/>
        <w:gridCol w:w="80"/>
      </w:tblGrid>
      <w:tr>
        <w:trPr/>
        <w:tc>
          <w:tcPr>
            <w:tcW w:w="29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Federal and State</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as of December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4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Decrease due to prior positions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6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due to current year position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as of 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32,263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Decrease due to prior positions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6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due to current year position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16,448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as of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48,574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Decrease due to prior positions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due to current year position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exchange rate differential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as of December 31,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57,671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Unrecognized tax benefits may change during the next twelve months for items that arise in the ordinary course of business. The Company does not anticipate a material change to its unrecognized tax benefits over the next twelve months that would affect the Company’s effective tax rate.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classifies interest and penalties as a component of tax expense, if any.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2012 to 2021. The Company is not currently under audit in any tax jurisdiction.</w:t>
      </w:r>
    </w:p>
    <w:tbl>
      <w:tblPr>
        <w:tblW w:w="2620" w:type="dxa"/>
        <w:jc w:val="left"/>
        <w:tblInd w:w="0" w:type="dxa"/>
        <w:tblCellMar>
          <w:top w:w="0" w:type="dxa"/>
          <w:left w:w="0" w:type="dxa"/>
          <w:bottom w:w="0" w:type="dxa"/>
          <w:right w:w="0" w:type="dxa"/>
        </w:tblCellMar>
      </w:tblPr>
      <w:tblGrid>
        <w:gridCol w:w="275"/>
        <w:gridCol w:w="2345"/>
      </w:tblGrid>
      <w:tr>
        <w:trPr/>
        <w:tc>
          <w:tcPr>
            <w:tcW w:w="27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13.</w:t>
            </w:r>
          </w:p>
        </w:tc>
        <w:tc>
          <w:tcPr>
            <w:tcW w:w="234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Related Party Transactions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Astellas is an equity investor in the Company and considered a related party. During the years ended December 31, 2021, 2020 and 2019, the Company recorded license and development revenue related to collaboration agreements with Astellas of $130.4 million, $33.5 million, and $158.8 million, respectively.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years ended December 31, 2021, 2020 and 2019, the Company also recorded drug product revenue from Astellas of $3.2 million, $4.3 million, and $(36.3) million, respectively. See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xml:space="preserve">, for details.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years ended December 31, 2021, 2020 and 2019, the Company recorded expense related to collaboration agreements with Astellas of $0.2 million, $0.5 million and $2.8 million, respectively.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2021 and 2020, accounts receivable from Astellas were $10.9 million and $4.1 million, respectively.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and 2020, total deferred revenue from Astellas were $27.9 million and $7.5 million, respectively.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the amount due to Astellas was immaterial. As of December 31, 2020, amount due to Astellas was $1.1 million.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Falikang, an entity jointly owned by FibroGen Beijing and AstraZeneca is an unconsolidated VIE accounted for as an equity method investment, and considered as a related party to the Company. FibroGen Beijing owns 51.1% of Falikang’s equity. See Note 4, </w:t>
      </w:r>
      <w:r>
        <w:rPr>
          <w:rFonts w:ascii="Times New Roman" w:hAnsi="Times New Roman"/>
          <w:b w:val="false"/>
          <w:i/>
          <w:caps w:val="false"/>
          <w:smallCaps w:val="false"/>
          <w:sz w:val="20"/>
        </w:rPr>
        <w:t>Equity method investment - Variable Interest Entity</w:t>
      </w:r>
      <w:r>
        <w:rPr>
          <w:rFonts w:ascii="Times New Roman" w:hAnsi="Times New Roman"/>
          <w:b w:val="false"/>
          <w:i w:val="false"/>
          <w:caps w:val="false"/>
          <w:smallCaps w:val="false"/>
          <w:sz w:val="20"/>
        </w:rPr>
        <w:t xml:space="preserve">, for details.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year ended December 31, 2021, the net product revenue from Falikang was $35.6 million. See Note 3, </w:t>
      </w:r>
      <w:r>
        <w:rPr>
          <w:rFonts w:ascii="Times New Roman" w:hAnsi="Times New Roman"/>
          <w:b w:val="false"/>
          <w:i/>
          <w:caps w:val="false"/>
          <w:smallCaps w:val="false"/>
          <w:sz w:val="20"/>
        </w:rPr>
        <w:t>Collaboration Agreements, License Agreement and Revenues</w:t>
      </w:r>
      <w:r>
        <w:rPr>
          <w:rFonts w:ascii="Times New Roman" w:hAnsi="Times New Roman"/>
          <w:b w:val="false"/>
          <w:i w:val="false"/>
          <w:caps w:val="false"/>
          <w:smallCaps w:val="false"/>
          <w:sz w:val="20"/>
        </w:rPr>
        <w:t>, for details.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years ended December 31, 2021 and 2020, the investment income (loss) in Falikang was $1.0 million and $(0.2) million, respectively. As of December 31, 2021 and 2020, the Company’s equity method investment in Falikang was $3.8 million and $2.7 million, respectively. See Note 4, </w:t>
      </w:r>
      <w:r>
        <w:rPr>
          <w:rFonts w:ascii="Times New Roman" w:hAnsi="Times New Roman"/>
          <w:b w:val="false"/>
          <w:i/>
          <w:caps w:val="false"/>
          <w:smallCaps w:val="false"/>
          <w:sz w:val="20"/>
        </w:rPr>
        <w:t>Equity method investment - Variable Interest Entity</w:t>
      </w:r>
      <w:r>
        <w:rPr>
          <w:rFonts w:ascii="Times New Roman" w:hAnsi="Times New Roman"/>
          <w:b w:val="false"/>
          <w:i w:val="false"/>
          <w:caps w:val="false"/>
          <w:smallCaps w:val="false"/>
          <w:sz w:val="20"/>
        </w:rPr>
        <w:t>, for details.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accounts receivable, net, from Falikang was zero. As of December 31, 2021, the advanced payment from Falikang, classified as deferred revenue, was $1.2 million.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2021, there was no miscellaneous receivables from Falikang. As of December 31, 2020, prepaid expenses and other current assets included miscellaneous receivables from Falikang of $0.9 million.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161</w:t>
      </w:r>
    </w:p>
    <w:p>
      <w:pPr>
        <w:pStyle w:val="HorizontalLine"/>
        <w:rPr/>
      </w:pPr>
      <w:r>
        <w:rPr/>
      </w:r>
    </w:p>
    <w:p>
      <w:pPr>
        <w:pStyle w:val="TextBody"/>
        <w:spacing w:before="0" w:after="0"/>
        <w:rPr/>
      </w:pPr>
      <w:r>
        <w:rPr/>
        <w:t> </w:t>
      </w:r>
    </w:p>
    <w:tbl>
      <w:tblPr>
        <w:tblW w:w="3505" w:type="dxa"/>
        <w:jc w:val="left"/>
        <w:tblInd w:w="0" w:type="dxa"/>
        <w:tblCellMar>
          <w:top w:w="0" w:type="dxa"/>
          <w:left w:w="0" w:type="dxa"/>
          <w:bottom w:w="0" w:type="dxa"/>
          <w:right w:w="0" w:type="dxa"/>
        </w:tblCellMar>
      </w:tblPr>
      <w:tblGrid>
        <w:gridCol w:w="275"/>
        <w:gridCol w:w="3230"/>
      </w:tblGrid>
      <w:tr>
        <w:trPr/>
        <w:tc>
          <w:tcPr>
            <w:tcW w:w="27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14.</w:t>
            </w:r>
          </w:p>
        </w:tc>
        <w:tc>
          <w:tcPr>
            <w:tcW w:w="323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Segment and Geographic Information</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determined that the chief executive officer is the chief operating decision maker (“CODM”). The CODM reviews financial information presented for the Company’s various clinical trial programs as well as results on a consolidated basis. License revenues and development revenues received are not allocated to various programs for purposes of determining a profit measure and resource allocation decisions are made by the CODM based primarily on consolidated results. As such, the Company has concluded that it operates as one segment. Supplemental enterprise-wide information has been presented below.</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Geographic Revenues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provide a more meaningful disclosure along with the developments in its business, the Company changed its methodology of summarizing geographic revenues to be by the region that the revenue is generated, from the previously reported by the bill-to region. Accordingly, the information for the year ended December 31, 2020 and 2019 were recalculated. Geographic revenues, which are based on the region that revenue is generated, are as follows (in thousands):</w:t>
      </w:r>
    </w:p>
    <w:p>
      <w:pPr>
        <w:pStyle w:val="TextBody"/>
        <w:spacing w:before="0" w:after="0"/>
        <w:rPr/>
      </w:pPr>
      <w:r>
        <w:rPr/>
        <w:t> </w:t>
      </w:r>
    </w:p>
    <w:tbl>
      <w:tblPr>
        <w:tblW w:w="3985" w:type="dxa"/>
        <w:jc w:val="left"/>
        <w:tblInd w:w="0" w:type="dxa"/>
        <w:tblCellMar>
          <w:top w:w="0" w:type="dxa"/>
          <w:left w:w="0" w:type="dxa"/>
          <w:bottom w:w="28" w:type="dxa"/>
          <w:right w:w="0" w:type="dxa"/>
        </w:tblCellMar>
      </w:tblPr>
      <w:tblGrid>
        <w:gridCol w:w="1145"/>
        <w:gridCol w:w="60"/>
        <w:gridCol w:w="125"/>
        <w:gridCol w:w="695"/>
        <w:gridCol w:w="60"/>
        <w:gridCol w:w="60"/>
        <w:gridCol w:w="125"/>
        <w:gridCol w:w="695"/>
        <w:gridCol w:w="60"/>
        <w:gridCol w:w="60"/>
        <w:gridCol w:w="125"/>
        <w:gridCol w:w="695"/>
        <w:gridCol w:w="80"/>
      </w:tblGrid>
      <w:tr>
        <w:trPr/>
        <w:tc>
          <w:tcPr>
            <w:tcW w:w="114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Europe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131,243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145,641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Japan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(23,167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1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China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55,640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73,361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20,967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46,121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65,180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113,134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235,309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176,319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256,577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Geographic Assets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Geographic information for inventory is as follows (in thousands):</w:t>
      </w:r>
    </w:p>
    <w:tbl>
      <w:tblPr>
        <w:tblW w:w="3775" w:type="dxa"/>
        <w:jc w:val="left"/>
        <w:tblInd w:w="0" w:type="dxa"/>
        <w:tblCellMar>
          <w:top w:w="0" w:type="dxa"/>
          <w:left w:w="0" w:type="dxa"/>
          <w:bottom w:w="28" w:type="dxa"/>
          <w:right w:w="0" w:type="dxa"/>
        </w:tblCellMar>
      </w:tblPr>
      <w:tblGrid>
        <w:gridCol w:w="2105"/>
        <w:gridCol w:w="60"/>
        <w:gridCol w:w="125"/>
        <w:gridCol w:w="590"/>
        <w:gridCol w:w="60"/>
        <w:gridCol w:w="60"/>
        <w:gridCol w:w="125"/>
        <w:gridCol w:w="590"/>
        <w:gridCol w:w="60"/>
      </w:tblGrid>
      <w:tr>
        <w:trPr/>
        <w:tc>
          <w:tcPr>
            <w:tcW w:w="210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By geographic location: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bottom w:val="single" w:sz="6" w:space="0" w:color="000000"/>
            </w:tcBorders>
            <w:shd w:fill="CFF0FC"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China</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25,493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15,450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bottom w:val="double" w:sz="6" w:space="0" w:color="000000"/>
            </w:tcBorders>
            <w:shd w:fill="FFFFFF" w:val="cle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inventory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31,015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16,530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shd w:fill="CFF0FC" w:val="clear"/>
            <w:tcMar>
              <w:bottom w:w="0" w:type="dxa"/>
            </w:tcMar>
          </w:tcPr>
          <w:p>
            <w:pPr>
              <w:pStyle w:val="TableContents"/>
              <w:spacing w:before="0" w:after="0"/>
              <w:ind w:left="41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By inventory ownership:</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shd w:fill="CFF0FC"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bottom w:val="single" w:sz="6" w:space="0" w:color="000000"/>
            </w:tcBorders>
            <w:shd w:fill="FFFFFF"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China</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11,815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05" w:type="dxa"/>
            <w:tcBorders>
              <w:bottom w:val="double" w:sz="6" w:space="0" w:color="000000"/>
            </w:tcBorders>
            <w:shd w:fill="CFF0FC" w:val="cle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inventory</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31,015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16,530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Property and equipment, net by geographic location are as follows (in thousands):</w:t>
      </w:r>
    </w:p>
    <w:p>
      <w:pPr>
        <w:pStyle w:val="TextBody"/>
        <w:spacing w:before="0" w:after="0"/>
        <w:rPr/>
      </w:pPr>
      <w:r>
        <w:rPr/>
        <w:t> </w:t>
      </w:r>
    </w:p>
    <w:tbl>
      <w:tblPr>
        <w:tblW w:w="4120" w:type="dxa"/>
        <w:jc w:val="left"/>
        <w:tblInd w:w="0" w:type="dxa"/>
        <w:tblCellMar>
          <w:top w:w="0" w:type="dxa"/>
          <w:left w:w="0" w:type="dxa"/>
          <w:bottom w:w="28" w:type="dxa"/>
          <w:right w:w="0" w:type="dxa"/>
        </w:tblCellMar>
      </w:tblPr>
      <w:tblGrid>
        <w:gridCol w:w="2450"/>
        <w:gridCol w:w="60"/>
        <w:gridCol w:w="125"/>
        <w:gridCol w:w="590"/>
        <w:gridCol w:w="60"/>
        <w:gridCol w:w="60"/>
        <w:gridCol w:w="125"/>
        <w:gridCol w:w="590"/>
        <w:gridCol w:w="60"/>
      </w:tblGrid>
      <w:tr>
        <w:trPr/>
        <w:tc>
          <w:tcPr>
            <w:tcW w:w="24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20,673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China</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13,275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12,974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property and equipment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28,277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33,647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Finance lease right-of-use assets and operating lease right-of-use assets, net by geographic location are as follows (in thousands):</w:t>
      </w:r>
    </w:p>
    <w:p>
      <w:pPr>
        <w:pStyle w:val="TextBody"/>
        <w:spacing w:before="0" w:after="0"/>
        <w:rPr/>
      </w:pPr>
      <w:r>
        <w:rPr/>
        <w:t> </w:t>
      </w:r>
    </w:p>
    <w:tbl>
      <w:tblPr>
        <w:tblW w:w="4900" w:type="dxa"/>
        <w:jc w:val="left"/>
        <w:tblInd w:w="0" w:type="dxa"/>
        <w:tblCellMar>
          <w:top w:w="0" w:type="dxa"/>
          <w:left w:w="0" w:type="dxa"/>
          <w:bottom w:w="28" w:type="dxa"/>
          <w:right w:w="0" w:type="dxa"/>
        </w:tblCellMar>
      </w:tblPr>
      <w:tblGrid>
        <w:gridCol w:w="3230"/>
        <w:gridCol w:w="60"/>
        <w:gridCol w:w="125"/>
        <w:gridCol w:w="590"/>
        <w:gridCol w:w="60"/>
        <w:gridCol w:w="60"/>
        <w:gridCol w:w="125"/>
        <w:gridCol w:w="590"/>
        <w:gridCol w:w="60"/>
      </w:tblGrid>
      <w:tr>
        <w:trPr/>
        <w:tc>
          <w:tcPr>
            <w:tcW w:w="323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29,551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China</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finance lease right-of-use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29,606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87,113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China</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3,999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1,996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right-of-use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91,112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Customer Concentration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revenues to date have been generated from the following collaboration partners and distribution entity that respectively accounted for 10% or more of the Company’s total revenue and accounts receivable:</w:t>
      </w:r>
    </w:p>
    <w:p>
      <w:pPr>
        <w:pStyle w:val="TextBody"/>
        <w:spacing w:before="0" w:after="0"/>
        <w:rPr/>
      </w:pPr>
      <w:r>
        <w:rPr/>
        <w:t> </w:t>
      </w:r>
    </w:p>
    <w:tbl>
      <w:tblPr>
        <w:tblW w:w="7777" w:type="dxa"/>
        <w:jc w:val="left"/>
        <w:tblInd w:w="0" w:type="dxa"/>
        <w:tblCellMar>
          <w:top w:w="0" w:type="dxa"/>
          <w:left w:w="0" w:type="dxa"/>
          <w:bottom w:w="28" w:type="dxa"/>
          <w:right w:w="0" w:type="dxa"/>
        </w:tblCellMar>
      </w:tblPr>
      <w:tblGrid>
        <w:gridCol w:w="2030"/>
        <w:gridCol w:w="60"/>
        <w:gridCol w:w="96"/>
        <w:gridCol w:w="372"/>
        <w:gridCol w:w="298"/>
        <w:gridCol w:w="96"/>
        <w:gridCol w:w="96"/>
        <w:gridCol w:w="420"/>
        <w:gridCol w:w="298"/>
        <w:gridCol w:w="96"/>
        <w:gridCol w:w="96"/>
        <w:gridCol w:w="429"/>
        <w:gridCol w:w="185"/>
        <w:gridCol w:w="60"/>
        <w:gridCol w:w="200"/>
        <w:gridCol w:w="869"/>
        <w:gridCol w:w="618"/>
        <w:gridCol w:w="200"/>
        <w:gridCol w:w="200"/>
        <w:gridCol w:w="873"/>
        <w:gridCol w:w="185"/>
      </w:tblGrid>
      <w:tr>
        <w:trPr/>
        <w:tc>
          <w:tcPr>
            <w:tcW w:w="2030"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7" w:type="dxa"/>
            <w:gridSpan w:val="10"/>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Percentage of Revenue</w:t>
            </w:r>
          </w:p>
        </w:tc>
        <w:tc>
          <w:tcPr>
            <w:tcW w:w="185"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960" w:type="dxa"/>
            <w:gridSpan w:val="6"/>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Percentage of Accounts Receivable</w:t>
            </w:r>
          </w:p>
        </w:tc>
        <w:tc>
          <w:tcPr>
            <w:tcW w:w="185"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97" w:type="dxa"/>
            <w:gridSpan w:val="10"/>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 December 31,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960"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2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1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2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2019</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Astellas—Related party</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2"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p>
        </w:tc>
        <w:tc>
          <w:tcPr>
            <w:tcW w:w="298"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0"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298"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w:t>
            </w:r>
          </w:p>
        </w:tc>
        <w:tc>
          <w:tcPr>
            <w:tcW w:w="185"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tc>
        <w:tc>
          <w:tcPr>
            <w:tcW w:w="618"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0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185"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3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AstraZeneca</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2"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298"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0"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w:t>
            </w:r>
          </w:p>
        </w:tc>
        <w:tc>
          <w:tcPr>
            <w:tcW w:w="298"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tc>
        <w:tc>
          <w:tcPr>
            <w:tcW w:w="1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tc>
        <w:tc>
          <w:tcPr>
            <w:tcW w:w="618"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0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c>
          <w:tcPr>
            <w:tcW w:w="18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03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Falikang—Related party</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2"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298"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1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0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started selling roxadustat in China since late 2019 through a growing number of pharmaceutical distributors located in China. In January 2021, Falikang became fully operational and substantially all direct product sales to distributors in China were made by Falikang, while FibroGen Beijing continued to sell product directly in a few provinces in China during 2021. The aggregate revenue from FibroGen Beijing’s direct sales to distributors for the year ended December 31, 2021 and the aggregate accounts receivable from direct sales to distributors as of December 31, 2021 were immaterial. For the year ended December 31, 2020, the aggregate revenue from distributors represented 42% of the consolidated revenue, with no individual distributor representing over 10% of the total revenue. As of December 31, 2020, the aggregate accounts receivable from distributors represented 64% of the consolidated accounts receivable, with no material balance from any individual distributor. The aggregate revenue from distributors for the year ended December 31, 2019 and the aggregate accounts receivable from distributors as of December 31, 2019 were immaterial.</w:t>
      </w:r>
    </w:p>
    <w:p>
      <w:pPr>
        <w:pStyle w:val="TextBody"/>
        <w:spacing w:before="12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41" w:name="SCHEDULE_II"/>
      <w:bookmarkEnd w:id="41"/>
      <w:r>
        <w:rPr>
          <w:rFonts w:ascii="Times New Roman" w:hAnsi="Times New Roman"/>
          <w:b/>
          <w:i w:val="false"/>
          <w:caps w:val="false"/>
          <w:smallCaps w:val="false"/>
          <w:sz w:val="20"/>
        </w:rPr>
        <w:t>Schedule II: Valuation and Qualifying Accounts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w:t>
      </w:r>
    </w:p>
    <w:p>
      <w:pPr>
        <w:pStyle w:val="TextBody"/>
        <w:spacing w:before="0" w:after="0"/>
        <w:rPr/>
      </w:pPr>
      <w:r>
        <w:rPr/>
        <w:t> </w:t>
      </w:r>
    </w:p>
    <w:tbl>
      <w:tblPr>
        <w:tblW w:w="9562" w:type="dxa"/>
        <w:jc w:val="left"/>
        <w:tblInd w:w="0" w:type="dxa"/>
        <w:tblCellMar>
          <w:top w:w="0" w:type="dxa"/>
          <w:left w:w="0" w:type="dxa"/>
          <w:bottom w:w="0" w:type="dxa"/>
          <w:right w:w="0" w:type="dxa"/>
        </w:tblCellMar>
      </w:tblPr>
      <w:tblGrid>
        <w:gridCol w:w="3740"/>
        <w:gridCol w:w="60"/>
        <w:gridCol w:w="167"/>
        <w:gridCol w:w="933"/>
        <w:gridCol w:w="60"/>
        <w:gridCol w:w="60"/>
        <w:gridCol w:w="166"/>
        <w:gridCol w:w="933"/>
        <w:gridCol w:w="60"/>
        <w:gridCol w:w="60"/>
        <w:gridCol w:w="151"/>
        <w:gridCol w:w="798"/>
        <w:gridCol w:w="80"/>
        <w:gridCol w:w="60"/>
        <w:gridCol w:w="160"/>
        <w:gridCol w:w="834"/>
        <w:gridCol w:w="80"/>
        <w:gridCol w:w="60"/>
        <w:gridCol w:w="158"/>
        <w:gridCol w:w="882"/>
        <w:gridCol w:w="60"/>
      </w:tblGrid>
      <w:tr>
        <w:trPr/>
        <w:tc>
          <w:tcPr>
            <w:tcW w:w="374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Charged</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9"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Charged</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 Other</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0"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9"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(Credited)</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9"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Accounts -</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8"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0"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Beginning of</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9"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 Statement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9"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4"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Deductions,</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bottom w:val="single" w:sz="6" w:space="0" w:color="000000"/>
            </w:tcBorders>
            <w:shd w:fill="FFFFFF" w:val="clear"/>
            <w:tcMar>
              <w:bottom w:w="28"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0"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9"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of Operation</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9"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and Equity</w:t>
            </w:r>
          </w:p>
        </w:tc>
        <w:tc>
          <w:tcPr>
            <w:tcW w:w="8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4"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w:t>
            </w:r>
          </w:p>
        </w:tc>
        <w:tc>
          <w:tcPr>
            <w:tcW w:w="8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0"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End of Year</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CFF0FC" w:val="clear"/>
            <w:vAlign w:val="cente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Valuation allowances for deferred tax assets</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98"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top w:val="sing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Year ended December 31, 2021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337,824</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71,986</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409,810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Year ended December 31, 2020</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213,847</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123,977</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337,824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Year ended December 31, 2019</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193,987</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19,860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213,847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CFF0FC" w:val="clear"/>
            <w:vAlign w:val="cente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Allowances for rebates and discounts</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33"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98"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Year ended December 31, 2021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548</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44,258</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(734</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(29,629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14,443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Year ended December 31, 2020</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1,102</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16,497</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(14,867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(2,184</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Year ended December 31, 2019</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3"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42" w:name="ITEM_9_CHANGES_IN_DISAGREEMENTS_WITH_ACC"/>
      <w:bookmarkEnd w:id="42"/>
      <w:r>
        <w:rPr>
          <w:rFonts w:ascii="Times New Roman" w:hAnsi="Times New Roman"/>
          <w:b/>
          <w:i w:val="false"/>
          <w:caps w:val="false"/>
          <w:smallCaps w:val="false"/>
          <w:sz w:val="20"/>
        </w:rPr>
        <w:t>ITEM 9. CHANGES IN AND DISAGREEMENTS WITH ACCOUNTANTS ON ACCOUNTING AND FINANCIAL DISCLOSURE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360" w:after="0"/>
        <w:rPr>
          <w:rFonts w:ascii="Times New Roman" w:hAnsi="Times New Roman"/>
          <w:b/>
          <w:i w:val="false"/>
          <w:caps w:val="false"/>
          <w:smallCaps w:val="false"/>
          <w:sz w:val="20"/>
        </w:rPr>
      </w:pPr>
      <w:bookmarkStart w:id="43" w:name="ITEM_9A_CONTROLS_PROCEDURES"/>
      <w:bookmarkEnd w:id="43"/>
      <w:r>
        <w:rPr>
          <w:rFonts w:ascii="Times New Roman" w:hAnsi="Times New Roman"/>
          <w:b/>
          <w:i w:val="false"/>
          <w:caps w:val="false"/>
          <w:smallCaps w:val="false"/>
          <w:sz w:val="20"/>
        </w:rPr>
        <w:t>ITEM 9A. CONTROLS AND PROCEDURES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Attached as exhibits 31.1 and 31.2 to this Annual Report on Form 10-K for the year ended December 31, 2021 (“Annual Report”)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includes the information concerning the controls evaluation referred to in the Rule 13a-14(a) and 15d-15(e) Certifications.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Evaluation of Disclosure Controls and Procedures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management, with the participation of our Chief Executive Officer and our Chief Financial Officer, has evaluated the effectiveness of our disclosure controls and procedures as of </w:t>
      </w:r>
      <w:r>
        <w:rPr>
          <w:rFonts w:ascii="Times New Roman" w:hAnsi="Times New Roman"/>
          <w:b w:val="false"/>
          <w:i w:val="false"/>
          <w:caps w:val="false"/>
          <w:smallCaps w:val="false"/>
          <w:color w:val="000000"/>
          <w:sz w:val="20"/>
        </w:rPr>
        <w:t>December 31, 2021, the end of the period covered by this Annual Report.</w:t>
      </w:r>
      <w:r>
        <w:rPr>
          <w:rFonts w:ascii="Times New Roman" w:hAnsi="Times New Roman"/>
          <w:b w:val="false"/>
          <w:i w:val="false"/>
          <w:caps w:val="false"/>
          <w:smallCaps w:val="false"/>
          <w:sz w:val="20"/>
        </w:rPr>
        <w:t xml:space="preserve"> Disclosure controls and procedures (as defined in Rules 13a-15(e) and 15d-15(e) under the </w:t>
      </w:r>
      <w:r>
        <w:rPr>
          <w:rFonts w:ascii="Times New Roman" w:hAnsi="Times New Roman"/>
          <w:b w:val="false"/>
          <w:i w:val="false"/>
          <w:caps w:val="false"/>
          <w:smallCaps w:val="false"/>
          <w:color w:val="000000"/>
          <w:sz w:val="20"/>
        </w:rPr>
        <w:t>Securities Exchange Act of 1934, as amended (the “</w:t>
      </w:r>
      <w:r>
        <w:rPr>
          <w:rFonts w:ascii="Times New Roman" w:hAnsi="Times New Roman"/>
          <w:b w:val="false"/>
          <w:i w:val="false"/>
          <w:caps w:val="false"/>
          <w:smallCaps w:val="false"/>
          <w:sz w:val="20"/>
        </w:rPr>
        <w:t xml:space="preserve">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our evaluation, the Chief Executive Officer and Chief Financial Officer have concluded that our disclosure controls and procedures were effective at the reasonable assurance level as of December 31, 2021.</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Management’s Annual Report on Internal Control over Financial Reporting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Management, with the participation and under the supervision of our Chief Executive Officer and our Chief Financial Officer, evaluated our internal control over financial reporting as of December 31, 2021, the end of our fiscal year, using the criteria established in </w:t>
      </w:r>
      <w:r>
        <w:rPr>
          <w:rFonts w:ascii="Times New Roman" w:hAnsi="Times New Roman"/>
          <w:b w:val="false"/>
          <w:i/>
          <w:caps w:val="false"/>
          <w:smallCaps w:val="false"/>
          <w:color w:val="000000"/>
          <w:sz w:val="20"/>
        </w:rPr>
        <w:t xml:space="preserve">Internal Control - Integrated Framework </w:t>
      </w:r>
      <w:r>
        <w:rPr>
          <w:rFonts w:ascii="Times New Roman" w:hAnsi="Times New Roman"/>
          <w:b w:val="false"/>
          <w:i w:val="false"/>
          <w:caps w:val="false"/>
          <w:smallCaps w:val="false"/>
          <w:color w:val="000000"/>
          <w:sz w:val="20"/>
        </w:rPr>
        <w:t xml:space="preserve">(2013) set forth by the Committee of Sponsoring Organizations of the Treadway Commission.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our evaluation, our management has concluded that our internal control over financial reporting was effective as of December 31, 2021 to provide reasonable assurance regarding the reliability of financial reporting and the preparation of financial statements for external purposes in accordance with generally accepted accounting principles.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effectiveness of the Company’s internal control over financial reporting as of December 31, 2021 has been audited by PricewaterhouseCoopers LLP, an independent registered public accounting firm, as stated in their report that appears herein.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165</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Remediation of Previously Disclosed Material Weaknesses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material weakness is a deficiency, or combination of deficiencies, in internal control over financial reporting, such that there is a reasonable possibility that a material misstatement of annual or interim financial statements will not be prevented or detected on a timely basis. As previously </w:t>
      </w:r>
      <w:r>
        <w:rPr>
          <w:rFonts w:ascii="Times New Roman" w:hAnsi="Times New Roman"/>
          <w:b w:val="false"/>
          <w:i w:val="false"/>
          <w:caps w:val="false"/>
          <w:smallCaps w:val="false"/>
          <w:color w:val="000000"/>
          <w:sz w:val="20"/>
        </w:rPr>
        <w:t>reported in our Annual Report on Form 10-K for the year ended December 31, 2020</w:t>
      </w:r>
      <w:r>
        <w:rPr>
          <w:rFonts w:ascii="Times New Roman" w:hAnsi="Times New Roman"/>
          <w:b w:val="false"/>
          <w:i w:val="false"/>
          <w:caps w:val="false"/>
          <w:smallCaps w:val="false"/>
          <w:sz w:val="20"/>
        </w:rPr>
        <w:t xml:space="preserve">, as of September 30, 2020, we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operations.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During the year ended December 31, 2021, our management, with the oversight of the Audit Committee of our Board of Directors, designed and implemented measures to remediate the control deficiencies contributing to these material weaknesses and completed testing of the design and operating effectiveness of all remediated controls.  These remediation efforts included the following:</w:t>
      </w:r>
    </w:p>
    <w:tbl>
      <w:tblPr>
        <w:tblW w:w="8365" w:type="dxa"/>
        <w:jc w:val="left"/>
        <w:tblInd w:w="0" w:type="dxa"/>
        <w:tblCellMar>
          <w:top w:w="0" w:type="dxa"/>
          <w:left w:w="0" w:type="dxa"/>
          <w:bottom w:w="0" w:type="dxa"/>
          <w:right w:w="0" w:type="dxa"/>
        </w:tblCellMar>
      </w:tblPr>
      <w:tblGrid>
        <w:gridCol w:w="110"/>
        <w:gridCol w:w="8255"/>
      </w:tblGrid>
      <w:tr>
        <w:trPr/>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We hired additional resources to strengthen our accounting and internal audit functions.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We finalized the implementation of a comprehensive annual risk assessment process to identify and design our control activities related to the above-mentioned material weaknesses. In addition, we continue to assess risks on a continuous basis to timely identify new exposures or risk categories as business practices change and, as applicable, update our existing internal control framework to ensure that it has identified, developed and deployed the appropriate business process controls to meet the objectives and address the risks identified.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9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We identified and designed new controls and procedures associated with drug product revenue, and where applicable, have implemented new procedures and controls during the fourth quarter of 2020 and the year ended December 31, 2021.</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Through testing of our internal controls, management has determined that the controls related to the remediation actions discussed above were effectively designed and operated effectively for a sufficient period of time to enable us to conclude that the material weaknesses have been remediated as of December 31, 2021.</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Limitations on the Effectiveness of Controls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Changes in Internal Control over Financial Reporting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were no changes in our internal control over financial reporting identified in connection with the evaluation required by Rule 13a-15(d) and 15d-15(d) of the Exchange Act that occurred during the most recent fiscal quarter ended December 31, 2021 that materially affected, or is reasonably likely to materially affect, our internal control over financial reporting.</w:t>
      </w:r>
    </w:p>
    <w:p>
      <w:pPr>
        <w:pStyle w:val="TextBody"/>
        <w:spacing w:before="360" w:after="0"/>
        <w:rPr>
          <w:rFonts w:ascii="Times New Roman" w:hAnsi="Times New Roman"/>
          <w:b/>
          <w:i w:val="false"/>
          <w:caps w:val="false"/>
          <w:smallCaps w:val="false"/>
          <w:sz w:val="20"/>
        </w:rPr>
      </w:pPr>
      <w:bookmarkStart w:id="44" w:name="ITEM_9B_OR_INFORMATION"/>
      <w:bookmarkEnd w:id="44"/>
      <w:r>
        <w:rPr>
          <w:rFonts w:ascii="Times New Roman" w:hAnsi="Times New Roman"/>
          <w:b/>
          <w:i w:val="false"/>
          <w:caps w:val="false"/>
          <w:smallCaps w:val="false"/>
          <w:sz w:val="20"/>
        </w:rPr>
        <w:t>ITEM 9B. OTHER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360" w:after="0"/>
        <w:rPr>
          <w:rFonts w:ascii="Times New Roman" w:hAnsi="Times New Roman"/>
          <w:b/>
          <w:i w:val="false"/>
          <w:caps w:val="false"/>
          <w:smallCaps w:val="false"/>
          <w:sz w:val="20"/>
        </w:rPr>
      </w:pPr>
      <w:bookmarkStart w:id="45" w:name="ITEM_9C_FRGN_JURI"/>
      <w:bookmarkEnd w:id="45"/>
      <w:r>
        <w:rPr>
          <w:rFonts w:ascii="Times New Roman" w:hAnsi="Times New Roman"/>
          <w:b/>
          <w:i w:val="false"/>
          <w:caps w:val="false"/>
          <w:smallCaps w:val="false"/>
          <w:sz w:val="20"/>
        </w:rPr>
        <w:t>Item 9C. Disclosure Regarding Foreign Jurisdictions that Prevent Inspections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independent registered public accounting firm, PricewaterhouseCoopers LLP, is headquartered in the U.S. and was not identified in the Public Company Accounting Oversight Board (“PCAOB”) report dated December 16, 2021 as a firm that the PCAOB was unable to inspect.  Therefore, the Holding Foreign Companies Accountable Act does not apply to us.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166</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46" w:name="PART_III"/>
      <w:bookmarkEnd w:id="46"/>
      <w:r>
        <w:rPr>
          <w:rFonts w:ascii="Times New Roman" w:hAnsi="Times New Roman"/>
          <w:b/>
          <w:i w:val="false"/>
          <w:caps w:val="false"/>
          <w:smallCaps w:val="false"/>
          <w:sz w:val="20"/>
        </w:rPr>
        <w:t>PART III</w:t>
      </w:r>
    </w:p>
    <w:p>
      <w:pPr>
        <w:pStyle w:val="TextBody"/>
        <w:spacing w:before="240" w:after="0"/>
        <w:rPr>
          <w:rFonts w:ascii="Times New Roman" w:hAnsi="Times New Roman"/>
          <w:b/>
          <w:i w:val="false"/>
          <w:caps w:val="false"/>
          <w:smallCaps w:val="false"/>
          <w:sz w:val="20"/>
        </w:rPr>
      </w:pPr>
      <w:bookmarkStart w:id="47" w:name="ITEM_10_DIRECTORS_EXECUTIVE_FICERS_CORPO"/>
      <w:bookmarkEnd w:id="47"/>
      <w:r>
        <w:rPr>
          <w:rFonts w:ascii="Times New Roman" w:hAnsi="Times New Roman"/>
          <w:b/>
          <w:i w:val="false"/>
          <w:caps w:val="false"/>
          <w:smallCaps w:val="false"/>
          <w:sz w:val="20"/>
        </w:rPr>
        <w:t>ITEM 10. DIRECTORS, EXECUTIVE OFFICERS AND CORPORATE GOVERNANCE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is incorporated by reference to our Proxy Statement for our 2022 Annual Meeting of Stockholders to be filed with the SEC within 120 days after the end of the fiscal year ended December 31, 2021.</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Code of Conduct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adopted a Code of Business Conduct that applies to all of our directors, officers and employees. A copy of our Code of Business Conduct can be found on our website (</w:t>
      </w:r>
      <w:r>
        <w:rPr>
          <w:rFonts w:ascii="Times New Roman" w:hAnsi="Times New Roman"/>
          <w:b w:val="false"/>
          <w:i w:val="false"/>
          <w:caps w:val="false"/>
          <w:smallCaps w:val="false"/>
          <w:color w:val="000000"/>
          <w:sz w:val="20"/>
          <w:u w:val="single"/>
        </w:rPr>
        <w:t>www.FibroGen.com</w:t>
      </w:r>
      <w:r>
        <w:rPr>
          <w:rFonts w:ascii="Times New Roman" w:hAnsi="Times New Roman"/>
          <w:b w:val="false"/>
          <w:i w:val="false"/>
          <w:caps w:val="false"/>
          <w:smallCaps w:val="false"/>
          <w:color w:val="000000"/>
          <w:sz w:val="20"/>
        </w:rPr>
        <w:t>) under “Corporate Governance.” The contents of our website are not a part of this report.</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pStyle w:val="TextBody"/>
        <w:spacing w:before="360" w:after="0"/>
        <w:rPr>
          <w:rFonts w:ascii="Times New Roman" w:hAnsi="Times New Roman"/>
          <w:b/>
          <w:i w:val="false"/>
          <w:caps w:val="false"/>
          <w:smallCaps w:val="false"/>
          <w:sz w:val="20"/>
        </w:rPr>
      </w:pPr>
      <w:bookmarkStart w:id="48" w:name="ITEM_11_EXECUTIVE_COMPENSATION"/>
      <w:bookmarkEnd w:id="48"/>
      <w:r>
        <w:rPr>
          <w:rFonts w:ascii="Times New Roman" w:hAnsi="Times New Roman"/>
          <w:b/>
          <w:i w:val="false"/>
          <w:caps w:val="false"/>
          <w:smallCaps w:val="false"/>
          <w:sz w:val="20"/>
        </w:rPr>
        <w:t>ITEM 11. EXECUTIVE COMPENSATION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is incorporated by reference to our Proxy Statement for our 2022 Annual Meeting of Stockholders to be filed with the SEC within 120 days after the end of the fiscal year ended December 31, 2021.</w:t>
      </w:r>
    </w:p>
    <w:p>
      <w:pPr>
        <w:pStyle w:val="TextBody"/>
        <w:spacing w:before="360" w:after="0"/>
        <w:rPr>
          <w:rFonts w:ascii="Times New Roman" w:hAnsi="Times New Roman"/>
          <w:b/>
          <w:i w:val="false"/>
          <w:caps w:val="false"/>
          <w:smallCaps w:val="false"/>
          <w:sz w:val="20"/>
        </w:rPr>
      </w:pPr>
      <w:bookmarkStart w:id="49" w:name="ITEM_12_SECURITY_OWNERSHIP_CERTAIN_BENEF"/>
      <w:bookmarkEnd w:id="49"/>
      <w:r>
        <w:rPr>
          <w:rFonts w:ascii="Times New Roman" w:hAnsi="Times New Roman"/>
          <w:b/>
          <w:i w:val="false"/>
          <w:caps w:val="false"/>
          <w:smallCaps w:val="false"/>
          <w:sz w:val="20"/>
        </w:rPr>
        <w:t>ITEM 12. SECURITY OWNERSHIP OF CERTAIN BENEFICIAL OWNERS AND MANAGEMENT AND RELATED STOCKHOLDER MATTERS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is incorporated by reference to our Proxy Statement for our 2022 Annual Meeting of Stockholders to be filed with the SEC within 120 days after the end of the fiscal year ended December 31, 2021.</w:t>
      </w:r>
    </w:p>
    <w:p>
      <w:pPr>
        <w:pStyle w:val="TextBody"/>
        <w:spacing w:before="360" w:after="0"/>
        <w:rPr>
          <w:rFonts w:ascii="Times New Roman" w:hAnsi="Times New Roman"/>
          <w:b/>
          <w:i w:val="false"/>
          <w:caps w:val="false"/>
          <w:smallCaps w:val="false"/>
          <w:sz w:val="20"/>
        </w:rPr>
      </w:pPr>
      <w:bookmarkStart w:id="50" w:name="ITEM_13_CERTAIN_RELATIONSHIPS_RELATED_TR"/>
      <w:bookmarkEnd w:id="50"/>
      <w:r>
        <w:rPr>
          <w:rFonts w:ascii="Times New Roman" w:hAnsi="Times New Roman"/>
          <w:b/>
          <w:i w:val="false"/>
          <w:caps w:val="false"/>
          <w:smallCaps w:val="false"/>
          <w:sz w:val="20"/>
        </w:rPr>
        <w:t>ITEM 13. CERTAIN RELATIONSHIPS AND RELATED TRANSACTIONS, AND DIRECTOR INDEPENDENCE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is incorporated by reference to our Proxy Statement for our 2022 Annual Meeting of Stockholders to be filed with the SEC within 120 days after the end of the fiscal year ended December 31, 2021.</w:t>
      </w:r>
    </w:p>
    <w:p>
      <w:pPr>
        <w:pStyle w:val="TextBody"/>
        <w:spacing w:before="360" w:after="0"/>
        <w:rPr>
          <w:rFonts w:ascii="Times New Roman" w:hAnsi="Times New Roman"/>
          <w:b/>
          <w:i w:val="false"/>
          <w:caps w:val="false"/>
          <w:smallCaps w:val="false"/>
          <w:sz w:val="20"/>
        </w:rPr>
      </w:pPr>
      <w:bookmarkStart w:id="51" w:name="ITEM_14_PRINCIPAL_ACCOUNTING_FEES_SERVIC"/>
      <w:bookmarkEnd w:id="51"/>
      <w:r>
        <w:rPr>
          <w:rFonts w:ascii="Times New Roman" w:hAnsi="Times New Roman"/>
          <w:b/>
          <w:i w:val="false"/>
          <w:caps w:val="false"/>
          <w:smallCaps w:val="false"/>
          <w:sz w:val="20"/>
        </w:rPr>
        <w:t>ITEM 14. PRINCIPAL ACCOUNTING FEES AND SERVICES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is incorporated by reference to our Proxy Statement for our 2022 Annual Meeting of Stockholders to be filed with the SEC within 120 days after the end of the fiscal year ended December 31, 2021.</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167</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52" w:name="PART_IV"/>
      <w:bookmarkEnd w:id="52"/>
      <w:r>
        <w:rPr>
          <w:rFonts w:ascii="Times New Roman" w:hAnsi="Times New Roman"/>
          <w:b/>
          <w:i w:val="false"/>
          <w:caps w:val="false"/>
          <w:smallCaps w:val="false"/>
          <w:sz w:val="20"/>
        </w:rPr>
        <w:t>PART IV</w:t>
      </w:r>
    </w:p>
    <w:p>
      <w:pPr>
        <w:pStyle w:val="TextBody"/>
        <w:spacing w:before="240" w:after="0"/>
        <w:rPr>
          <w:rFonts w:ascii="Times New Roman" w:hAnsi="Times New Roman"/>
          <w:b/>
          <w:i w:val="false"/>
          <w:caps w:val="false"/>
          <w:smallCaps w:val="false"/>
          <w:sz w:val="20"/>
        </w:rPr>
      </w:pPr>
      <w:bookmarkStart w:id="53" w:name="ITEM_15_EXHIBITS_FINANCIAL_STATEMENT_SCH"/>
      <w:bookmarkEnd w:id="53"/>
      <w:r>
        <w:rPr>
          <w:rFonts w:ascii="Times New Roman" w:hAnsi="Times New Roman"/>
          <w:b/>
          <w:i w:val="false"/>
          <w:caps w:val="false"/>
          <w:smallCaps w:val="false"/>
          <w:sz w:val="20"/>
        </w:rPr>
        <w:t>ITEM 15. EXHIBITS AND FINANCIAL STATEMENT SCHEDULES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(a) </w:t>
      </w:r>
      <w:r>
        <w:rPr>
          <w:rFonts w:ascii="Times New Roman" w:hAnsi="Times New Roman"/>
          <w:b w:val="false"/>
          <w:i w:val="false"/>
          <w:caps w:val="false"/>
          <w:smallCaps w:val="false"/>
          <w:sz w:val="20"/>
        </w:rPr>
        <w:t>We have filed the following documents as part of this Annual Report:</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1. Consolidated Financial Statements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Information in response to this Item is included in Part II, Item 8 of this Annual Report.</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2. Financial Statement Schedules</w:t>
      </w:r>
    </w:p>
    <w:p>
      <w:pPr>
        <w:pStyle w:val="TextBody"/>
        <w:spacing w:before="120" w:after="0"/>
        <w:rPr/>
      </w:pPr>
      <w:r>
        <w:rPr>
          <w:rFonts w:ascii="Times New Roman" w:hAnsi="Times New Roman"/>
          <w:b w:val="false"/>
          <w:i w:val="false"/>
          <w:caps w:val="false"/>
          <w:smallCaps w:val="false"/>
          <w:sz w:val="20"/>
        </w:rPr>
        <w:t xml:space="preserve">Schedule II is included on page </w:t>
      </w:r>
      <w:hyperlink w:anchor="SCHEDULE_II">
        <w:r>
          <w:rPr>
            <w:rStyle w:val="InternetLink"/>
            <w:rFonts w:ascii="Times New Roman" w:hAnsi="Times New Roman"/>
            <w:b w:val="false"/>
            <w:i w:val="false"/>
            <w:caps w:val="false"/>
            <w:smallCaps w:val="false"/>
            <w:strike w:val="false"/>
            <w:dstrike w:val="false"/>
            <w:sz w:val="20"/>
            <w:u w:val="none"/>
            <w:effect w:val="none"/>
          </w:rPr>
          <w:t>164</w:t>
        </w:r>
      </w:hyperlink>
      <w:r>
        <w:rPr>
          <w:rFonts w:ascii="Times New Roman" w:hAnsi="Times New Roman"/>
          <w:b w:val="false"/>
          <w:i w:val="false"/>
          <w:caps w:val="false"/>
          <w:smallCaps w:val="false"/>
          <w:sz w:val="20"/>
        </w:rPr>
        <w:t>. All other schedules are omitted because they are not required or the required information is included in the consolidated financial statements or notes thereto.</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3. Exhibits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Item 15(b) below.</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(b) </w:t>
      </w:r>
      <w:r>
        <w:rPr>
          <w:rFonts w:ascii="Times New Roman" w:hAnsi="Times New Roman"/>
          <w:b/>
          <w:i/>
          <w:caps w:val="false"/>
          <w:smallCaps w:val="false"/>
          <w:sz w:val="20"/>
        </w:rPr>
        <w:t>Exhibits</w:t>
      </w:r>
      <w:r>
        <w:rPr>
          <w:rFonts w:ascii="Times New Roman" w:hAnsi="Times New Roman"/>
          <w:b/>
          <w:i w:val="false"/>
          <w:caps w:val="false"/>
          <w:smallCaps w:val="false"/>
          <w:sz w:val="20"/>
        </w:rPr>
        <w:t>—</w:t>
      </w:r>
      <w:r>
        <w:rPr>
          <w:rFonts w:ascii="Times New Roman" w:hAnsi="Times New Roman"/>
          <w:b w:val="false"/>
          <w:i w:val="false"/>
          <w:caps w:val="false"/>
          <w:smallCaps w:val="false"/>
          <w:sz w:val="20"/>
        </w:rPr>
        <w:t>We have filed, or incorporated into this Annual Report by reference, the exhibits listed below. Where an exhibit is incorporated by reference, the number in parentheses indicates the document to which cross-reference is made. Refer to the end of this table for a listing of cross-reference documents.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37"/>
        <w:gridCol w:w="60"/>
        <w:gridCol w:w="4722"/>
        <w:gridCol w:w="1779"/>
        <w:gridCol w:w="60"/>
        <w:gridCol w:w="500"/>
        <w:gridCol w:w="60"/>
        <w:gridCol w:w="631"/>
        <w:gridCol w:w="180"/>
        <w:gridCol w:w="60"/>
        <w:gridCol w:w="660"/>
        <w:gridCol w:w="60"/>
        <w:gridCol w:w="696"/>
      </w:tblGrid>
      <w:tr>
        <w:trPr/>
        <w:tc>
          <w:tcPr>
            <w:tcW w:w="737" w:type="dxa"/>
            <w:tcBorders>
              <w:bottom w:val="sing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847" w:type="dxa"/>
            <w:gridSpan w:val="8"/>
            <w:tcBorders>
              <w:bottom w:val="single" w:sz="6" w:space="0" w:color="000000"/>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Incorporation By Reference</w:t>
            </w:r>
          </w:p>
        </w:tc>
      </w:tr>
      <w:tr>
        <w:trPr/>
        <w:tc>
          <w:tcPr>
            <w:tcW w:w="737" w:type="dxa"/>
            <w:tcBorders>
              <w:bottom w:val="sing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Number</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Description</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Form</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 File No.</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Filing Date</w:t>
            </w:r>
          </w:p>
        </w:tc>
      </w:tr>
      <w:tr>
        <w:trPr/>
        <w:tc>
          <w:tcPr>
            <w:tcW w:w="737" w:type="dxa"/>
            <w:tcBorders>
              <w:top w:val="single" w:sz="6" w:space="0" w:color="000000"/>
            </w:tcBorders>
            <w:shd w:fill="FFFFFF"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561" w:type="dxa"/>
            <w:gridSpan w:val="3"/>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2"/>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gridSpan w:val="3"/>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0"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6"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3.1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shd w:fill="FFFFFF" w:val="clear"/>
            <w:tcMar>
              <w:bottom w:w="0" w:type="dxa"/>
            </w:tcMar>
          </w:tcPr>
          <w:p>
            <w:pPr>
              <w:pStyle w:val="TableContents"/>
              <w:spacing w:before="0" w:after="0"/>
              <w:ind w:left="0" w:right="0" w:hanging="0"/>
              <w:rPr/>
            </w:pPr>
            <w:hyperlink r:id="rId8">
              <w:r>
                <w:rPr>
                  <w:rStyle w:val="InternetLink"/>
                  <w:rFonts w:ascii="Times New Roman" w:hAnsi="Times New Roman"/>
                  <w:b w:val="false"/>
                  <w:i w:val="false"/>
                  <w:caps w:val="false"/>
                  <w:smallCaps w:val="false"/>
                  <w:strike w:val="false"/>
                  <w:dstrike w:val="false"/>
                  <w:sz w:val="20"/>
                  <w:u w:val="none"/>
                  <w:effect w:val="none"/>
                </w:rPr>
                <w:t>Amended and Restated Certificate of Incorporation of FibroGen, Inc.</w:t>
              </w:r>
            </w:hyperlink>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8-K</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11/21/2014</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561" w:type="dxa"/>
            <w:gridSpan w:val="3"/>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2"/>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gridSpan w:val="3"/>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0"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6"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3.2</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shd w:fill="FFFFFF" w:val="clear"/>
            <w:tcMar>
              <w:bottom w:w="0" w:type="dxa"/>
            </w:tcMar>
          </w:tcPr>
          <w:p>
            <w:pPr>
              <w:pStyle w:val="TableContents"/>
              <w:spacing w:before="0" w:after="0"/>
              <w:ind w:left="0" w:right="0" w:hanging="0"/>
              <w:rPr/>
            </w:pPr>
            <w:hyperlink r:id="rId9">
              <w:r>
                <w:rPr>
                  <w:rStyle w:val="InternetLink"/>
                  <w:rFonts w:ascii="Times New Roman" w:hAnsi="Times New Roman"/>
                  <w:b w:val="false"/>
                  <w:i w:val="false"/>
                  <w:caps w:val="false"/>
                  <w:smallCaps w:val="false"/>
                  <w:strike w:val="false"/>
                  <w:dstrike w:val="false"/>
                  <w:sz w:val="20"/>
                  <w:u w:val="none"/>
                  <w:effect w:val="none"/>
                </w:rPr>
                <w:t>Amended and Restated Bylaws of FibroGen, Inc.</w:t>
              </w:r>
            </w:hyperlink>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10/23/2014</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561" w:type="dxa"/>
            <w:gridSpan w:val="3"/>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2"/>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gridSpan w:val="3"/>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0"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6"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shd w:fill="FFFFFF" w:val="clear"/>
            <w:tcMar>
              <w:bottom w:w="0" w:type="dxa"/>
            </w:tcMar>
          </w:tcPr>
          <w:p>
            <w:pPr>
              <w:pStyle w:val="TableContents"/>
              <w:spacing w:before="0" w:after="0"/>
              <w:ind w:left="0" w:right="0" w:hanging="0"/>
              <w:rPr/>
            </w:pPr>
            <w:hyperlink r:id="rId10">
              <w:r>
                <w:rPr>
                  <w:rStyle w:val="InternetLink"/>
                  <w:rFonts w:ascii="Times New Roman" w:hAnsi="Times New Roman"/>
                  <w:b w:val="false"/>
                  <w:i w:val="false"/>
                  <w:caps w:val="false"/>
                  <w:smallCaps w:val="false"/>
                  <w:strike w:val="false"/>
                  <w:dstrike w:val="false"/>
                  <w:sz w:val="20"/>
                  <w:u w:val="none"/>
                  <w:effect w:val="none"/>
                </w:rPr>
                <w:t>Form of Common Stock Certificate.</w:t>
              </w:r>
            </w:hyperlink>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8-K</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11/21/2014</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561" w:type="dxa"/>
            <w:gridSpan w:val="3"/>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2"/>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gridSpan w:val="3"/>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0"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6"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4.2</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shd w:fill="FFFFFF" w:val="clear"/>
            <w:tcMar>
              <w:bottom w:w="0" w:type="dxa"/>
            </w:tcMar>
          </w:tcPr>
          <w:p>
            <w:pPr>
              <w:pStyle w:val="TableContents"/>
              <w:spacing w:before="0" w:after="0"/>
              <w:ind w:left="0" w:right="0" w:hanging="0"/>
              <w:rPr/>
            </w:pPr>
            <w:hyperlink r:id="rId11">
              <w:r>
                <w:rPr>
                  <w:rStyle w:val="InternetLink"/>
                  <w:rFonts w:ascii="Times New Roman" w:hAnsi="Times New Roman"/>
                  <w:b w:val="false"/>
                  <w:i w:val="false"/>
                  <w:caps w:val="false"/>
                  <w:smallCaps w:val="false"/>
                  <w:strike w:val="false"/>
                  <w:dstrike w:val="false"/>
                  <w:sz w:val="20"/>
                  <w:u w:val="none"/>
                  <w:effect w:val="none"/>
                </w:rPr>
                <w:t>Shareholders’ Agreement by and among FibroGen International (Cayman) Limited and certain of its shareholders, dated as of September 8, 2017.</w:t>
              </w:r>
            </w:hyperlink>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11/8/2017</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561" w:type="dxa"/>
            <w:gridSpan w:val="3"/>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2"/>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gridSpan w:val="3"/>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0"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6"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4.3</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shd w:fill="FFFFFF" w:val="clear"/>
            <w:tcMar>
              <w:bottom w:w="0" w:type="dxa"/>
            </w:tcMar>
          </w:tcPr>
          <w:p>
            <w:pPr>
              <w:pStyle w:val="TableContents"/>
              <w:spacing w:before="0" w:after="0"/>
              <w:ind w:left="0" w:right="0" w:hanging="0"/>
              <w:rPr/>
            </w:pPr>
            <w:hyperlink r:id="rId12">
              <w:r>
                <w:rPr>
                  <w:rStyle w:val="InternetLink"/>
                  <w:rFonts w:ascii="Times New Roman" w:hAnsi="Times New Roman"/>
                  <w:b w:val="false"/>
                  <w:i w:val="false"/>
                  <w:caps w:val="false"/>
                  <w:smallCaps w:val="false"/>
                  <w:strike w:val="false"/>
                  <w:dstrike w:val="false"/>
                  <w:sz w:val="20"/>
                  <w:u w:val="none"/>
                  <w:effect w:val="none"/>
                </w:rPr>
                <w:t>Common Stock Purchase Agreement by and between FibroGen, Inc. and AstraZeneca AB, dated as of October 20, 2014.</w:t>
              </w:r>
            </w:hyperlink>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10/24/2014</w:t>
            </w:r>
          </w:p>
        </w:tc>
      </w:tr>
      <w:tr>
        <w:trPr/>
        <w:tc>
          <w:tcPr>
            <w:tcW w:w="73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center"/>
          </w:tcPr>
          <w:p>
            <w:pPr>
              <w:pStyle w:val="TableContents"/>
              <w:spacing w:before="0" w:after="0"/>
              <w:ind w:left="0" w:right="0" w:hanging="0"/>
              <w:rPr/>
            </w:pPr>
            <w:r>
              <w:rPr/>
              <w:t> </w:t>
            </w:r>
          </w:p>
        </w:tc>
        <w:tc>
          <w:tcPr>
            <w:tcW w:w="4722" w:type="dxa"/>
            <w:tcBorders/>
            <w:shd w:fill="FFFFFF" w:val="clear"/>
            <w:tcMar>
              <w:bottom w:w="0" w:type="dxa"/>
            </w:tcMar>
          </w:tcPr>
          <w:p>
            <w:pPr>
              <w:pStyle w:val="TableContents"/>
              <w:spacing w:before="0" w:after="0"/>
              <w:ind w:left="0" w:right="0" w:hanging="0"/>
              <w:rPr/>
            </w:pPr>
            <w:r>
              <w:rPr/>
              <w:t> </w:t>
            </w:r>
          </w:p>
        </w:tc>
        <w:tc>
          <w:tcPr>
            <w:tcW w:w="1839" w:type="dxa"/>
            <w:gridSpan w:val="2"/>
            <w:tcBorders/>
            <w:shd w:fill="FFFFFF" w:val="clear"/>
            <w:tcMar>
              <w:bottom w:w="0" w:type="dxa"/>
            </w:tcMar>
            <w:vAlign w:val="center"/>
          </w:tcPr>
          <w:p>
            <w:pPr>
              <w:pStyle w:val="TableContents"/>
              <w:spacing w:before="0" w:after="0"/>
              <w:ind w:left="0" w:right="0" w:hanging="0"/>
              <w:rPr/>
            </w:pPr>
            <w:r>
              <w:rPr/>
              <w:t> </w:t>
            </w:r>
          </w:p>
        </w:tc>
        <w:tc>
          <w:tcPr>
            <w:tcW w:w="50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31" w:type="dxa"/>
            <w:tcBorders/>
            <w:shd w:fill="FFFFFF" w:val="clear"/>
            <w:tcMar>
              <w:bottom w:w="0" w:type="dxa"/>
            </w:tcMar>
          </w:tcPr>
          <w:p>
            <w:pPr>
              <w:pStyle w:val="TableContents"/>
              <w:spacing w:before="0" w:after="0"/>
              <w:ind w:left="0" w:right="0" w:hanging="0"/>
              <w:jc w:val="center"/>
              <w:rPr/>
            </w:pPr>
            <w:r>
              <w:rPr/>
              <w:t> </w:t>
            </w:r>
          </w:p>
        </w:tc>
        <w:tc>
          <w:tcPr>
            <w:tcW w:w="240" w:type="dxa"/>
            <w:gridSpan w:val="2"/>
            <w:tcBorders/>
            <w:shd w:fill="FFFFFF" w:val="clear"/>
            <w:tcMar>
              <w:bottom w:w="0" w:type="dxa"/>
            </w:tcMar>
          </w:tcPr>
          <w:p>
            <w:pPr>
              <w:pStyle w:val="TableContents"/>
              <w:spacing w:before="0" w:after="0"/>
              <w:ind w:left="0" w:right="0" w:hanging="0"/>
              <w:rPr/>
            </w:pPr>
            <w:r>
              <w:rPr/>
              <w:t> </w:t>
            </w:r>
          </w:p>
        </w:tc>
        <w:tc>
          <w:tcPr>
            <w:tcW w:w="66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 w:type="dxa"/>
            <w:tcBorders/>
            <w:shd w:fill="FFFFFF" w:val="clear"/>
            <w:tcMar>
              <w:bottom w:w="0" w:type="dxa"/>
            </w:tcMar>
          </w:tcPr>
          <w:p>
            <w:pPr>
              <w:pStyle w:val="TableContents"/>
              <w:spacing w:before="0" w:after="0"/>
              <w:ind w:left="0" w:right="0" w:hanging="0"/>
              <w:jc w:val="center"/>
              <w:rPr/>
            </w:pPr>
            <w:r>
              <w:rPr/>
              <w:t> </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4.4</w:t>
            </w:r>
          </w:p>
        </w:tc>
        <w:tc>
          <w:tcPr>
            <w:tcW w:w="60" w:type="dxa"/>
            <w:tcBorders/>
            <w:shd w:fill="FFFFFF" w:val="clear"/>
            <w:tcMar>
              <w:bottom w:w="0" w:type="dxa"/>
            </w:tcMar>
            <w:vAlign w:val="center"/>
          </w:tcPr>
          <w:p>
            <w:pPr>
              <w:pStyle w:val="TableContents"/>
              <w:spacing w:before="0" w:after="0"/>
              <w:ind w:left="0" w:right="0" w:hanging="0"/>
              <w:rPr/>
            </w:pPr>
            <w:r>
              <w:rPr/>
              <w:t> </w:t>
            </w:r>
          </w:p>
        </w:tc>
        <w:tc>
          <w:tcPr>
            <w:tcW w:w="6501" w:type="dxa"/>
            <w:gridSpan w:val="2"/>
            <w:tcBorders/>
            <w:shd w:fill="FFFFFF" w:val="clear"/>
            <w:tcMar>
              <w:bottom w:w="0" w:type="dxa"/>
            </w:tcMar>
          </w:tcPr>
          <w:p>
            <w:pPr>
              <w:pStyle w:val="TableContents"/>
              <w:spacing w:before="0" w:after="0"/>
              <w:ind w:left="0" w:right="0" w:hanging="0"/>
              <w:rPr/>
            </w:pPr>
            <w:hyperlink r:id="rId13">
              <w:r>
                <w:rPr>
                  <w:rStyle w:val="InternetLink"/>
                  <w:rFonts w:ascii="Times New Roman" w:hAnsi="Times New Roman"/>
                  <w:b w:val="false"/>
                  <w:i w:val="false"/>
                  <w:caps w:val="false"/>
                  <w:smallCaps w:val="false"/>
                  <w:strike w:val="false"/>
                  <w:dstrike w:val="false"/>
                  <w:sz w:val="20"/>
                  <w:u w:val="none"/>
                  <w:effect w:val="none"/>
                </w:rPr>
                <w:t>Description of Capital Stock of FibroGen, Inc.</w:t>
              </w:r>
            </w:hyperlink>
          </w:p>
        </w:tc>
        <w:tc>
          <w:tcPr>
            <w:tcW w:w="60" w:type="dxa"/>
            <w:tcBorders/>
            <w:shd w:fill="FFFFFF" w:val="clear"/>
            <w:tcMar>
              <w:bottom w:w="0" w:type="dxa"/>
            </w:tcMar>
            <w:vAlign w:val="center"/>
          </w:tcPr>
          <w:p>
            <w:pPr>
              <w:pStyle w:val="TableContents"/>
              <w:spacing w:before="0" w:after="0"/>
              <w:ind w:left="0" w:right="0" w:hanging="0"/>
              <w:rPr/>
            </w:pPr>
            <w:r>
              <w:rPr/>
              <w:t> </w:t>
            </w:r>
          </w:p>
        </w:tc>
        <w:tc>
          <w:tcPr>
            <w:tcW w:w="50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Mar>
              <w:bottom w:w="0" w:type="dxa"/>
            </w:tcMar>
          </w:tcPr>
          <w:p>
            <w:pPr>
              <w:pStyle w:val="TableContents"/>
              <w:spacing w:before="0" w:after="0"/>
              <w:ind w:left="0" w:right="0" w:hanging="0"/>
              <w:rPr/>
            </w:pPr>
            <w:r>
              <w:rPr/>
              <w:t> </w:t>
            </w:r>
          </w:p>
        </w:tc>
        <w:tc>
          <w:tcPr>
            <w:tcW w:w="811" w:type="dxa"/>
            <w:gridSpan w:val="2"/>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Mar>
              <w:bottom w:w="0" w:type="dxa"/>
            </w:tcMar>
          </w:tcPr>
          <w:p>
            <w:pPr>
              <w:pStyle w:val="TableContents"/>
              <w:spacing w:before="0" w:after="0"/>
              <w:ind w:left="0" w:right="0" w:hanging="0"/>
              <w:rPr/>
            </w:pPr>
            <w:r>
              <w:rPr/>
              <w:t> </w:t>
            </w:r>
          </w:p>
        </w:tc>
        <w:tc>
          <w:tcPr>
            <w:tcW w:w="66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60" w:type="dxa"/>
            <w:tcBorders/>
            <w:shd w:fill="FFFFFF" w:val="clear"/>
            <w:tcMar>
              <w:bottom w:w="0" w:type="dxa"/>
            </w:tcMar>
          </w:tcPr>
          <w:p>
            <w:pPr>
              <w:pStyle w:val="TableContents"/>
              <w:spacing w:before="0" w:after="0"/>
              <w:ind w:left="0" w:right="0" w:hanging="0"/>
              <w:rPr/>
            </w:pPr>
            <w:r>
              <w:rPr/>
              <w:t> </w:t>
            </w:r>
          </w:p>
        </w:tc>
        <w:tc>
          <w:tcPr>
            <w:tcW w:w="69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3/2/2020</w:t>
            </w:r>
          </w:p>
        </w:tc>
      </w:tr>
      <w:tr>
        <w:trPr/>
        <w:tc>
          <w:tcPr>
            <w:tcW w:w="73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center"/>
          </w:tcPr>
          <w:p>
            <w:pPr>
              <w:pStyle w:val="TableContents"/>
              <w:spacing w:before="0" w:after="0"/>
              <w:ind w:left="0" w:right="0" w:hanging="0"/>
              <w:rPr/>
            </w:pPr>
            <w:r>
              <w:rPr/>
              <w:t> </w:t>
            </w:r>
          </w:p>
        </w:tc>
        <w:tc>
          <w:tcPr>
            <w:tcW w:w="6501" w:type="dxa"/>
            <w:gridSpan w:val="2"/>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center"/>
          </w:tcPr>
          <w:p>
            <w:pPr>
              <w:pStyle w:val="TableContents"/>
              <w:spacing w:before="0" w:after="0"/>
              <w:ind w:left="0" w:right="0" w:hanging="0"/>
              <w:rPr/>
            </w:pPr>
            <w:r>
              <w:rPr/>
              <w:t> </w:t>
            </w:r>
          </w:p>
        </w:tc>
        <w:tc>
          <w:tcPr>
            <w:tcW w:w="50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811" w:type="dxa"/>
            <w:gridSpan w:val="2"/>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6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 w:type="dxa"/>
            <w:tcBorders/>
            <w:shd w:fill="FFFFFF" w:val="clear"/>
            <w:tcMar>
              <w:bottom w:w="0" w:type="dxa"/>
            </w:tcMar>
          </w:tcPr>
          <w:p>
            <w:pPr>
              <w:pStyle w:val="TableContents"/>
              <w:spacing w:before="0" w:after="0"/>
              <w:ind w:left="0" w:right="0" w:hanging="0"/>
              <w:jc w:val="center"/>
              <w:rPr/>
            </w:pPr>
            <w:r>
              <w:rPr/>
              <w:t> </w:t>
            </w:r>
          </w:p>
        </w:tc>
      </w:tr>
      <w:tr>
        <w:trPr/>
        <w:tc>
          <w:tcPr>
            <w:tcW w:w="737"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10.1(i)+</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shd w:fill="FFFFFF" w:val="clear"/>
            <w:tcMar>
              <w:bottom w:w="0" w:type="dxa"/>
            </w:tcMar>
          </w:tcPr>
          <w:p>
            <w:pPr>
              <w:pStyle w:val="TableContents"/>
              <w:spacing w:before="0" w:after="0"/>
              <w:ind w:left="0" w:right="0" w:hanging="0"/>
              <w:rPr/>
            </w:pPr>
            <w:hyperlink r:id="rId14">
              <w:r>
                <w:rPr>
                  <w:rStyle w:val="InternetLink"/>
                  <w:rFonts w:ascii="Times New Roman" w:hAnsi="Times New Roman"/>
                  <w:b w:val="false"/>
                  <w:i w:val="false"/>
                  <w:caps w:val="false"/>
                  <w:smallCaps w:val="false"/>
                  <w:strike w:val="false"/>
                  <w:dstrike w:val="false"/>
                  <w:sz w:val="20"/>
                  <w:u w:val="none"/>
                  <w:effect w:val="none"/>
                </w:rPr>
                <w:t>FibroGen, Inc. Amended and Restated 2005 Stock Plan.</w:t>
              </w:r>
            </w:hyperlink>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10.3(i)</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561" w:type="dxa"/>
            <w:gridSpan w:val="3"/>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2"/>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gridSpan w:val="3"/>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0"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6"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7"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10.1(ii)+</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shd w:fill="FFFFFF" w:val="clear"/>
            <w:tcMar>
              <w:bottom w:w="0" w:type="dxa"/>
            </w:tcMar>
          </w:tcPr>
          <w:p>
            <w:pPr>
              <w:pStyle w:val="TableContents"/>
              <w:spacing w:before="0" w:after="0"/>
              <w:ind w:left="0" w:right="0" w:hanging="0"/>
              <w:rPr/>
            </w:pPr>
            <w:hyperlink r:id="rId15">
              <w:r>
                <w:rPr>
                  <w:rStyle w:val="InternetLink"/>
                  <w:rFonts w:ascii="Times New Roman" w:hAnsi="Times New Roman"/>
                  <w:b w:val="false"/>
                  <w:i w:val="false"/>
                  <w:caps w:val="false"/>
                  <w:smallCaps w:val="false"/>
                  <w:strike w:val="false"/>
                  <w:dstrike w:val="false"/>
                  <w:sz w:val="20"/>
                  <w:u w:val="none"/>
                  <w:effect w:val="none"/>
                </w:rPr>
                <w:t>Forms of stock option agreement, restricted stock purchase agreement and stock appreciation right agreement under the FibroGen, Inc. Amended and Restated 2005 Stock Plan.</w:t>
              </w:r>
            </w:hyperlink>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10.3(ii)</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561" w:type="dxa"/>
            <w:gridSpan w:val="3"/>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2"/>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gridSpan w:val="3"/>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0"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6"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7"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10.1(iii)+</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01" w:type="dxa"/>
            <w:gridSpan w:val="2"/>
            <w:tcBorders/>
            <w:shd w:fill="FFFFFF" w:val="clear"/>
            <w:tcMar>
              <w:bottom w:w="0" w:type="dxa"/>
            </w:tcMar>
          </w:tcPr>
          <w:p>
            <w:pPr>
              <w:pStyle w:val="TableContents"/>
              <w:spacing w:before="0" w:after="0"/>
              <w:ind w:left="0" w:right="0" w:hanging="0"/>
              <w:rPr/>
            </w:pPr>
            <w:hyperlink r:id="rId16">
              <w:r>
                <w:rPr>
                  <w:rStyle w:val="InternetLink"/>
                  <w:rFonts w:ascii="Times New Roman" w:hAnsi="Times New Roman"/>
                  <w:b w:val="false"/>
                  <w:i w:val="false"/>
                  <w:caps w:val="false"/>
                  <w:smallCaps w:val="false"/>
                  <w:strike w:val="false"/>
                  <w:dstrike w:val="false"/>
                  <w:sz w:val="20"/>
                  <w:u w:val="none"/>
                  <w:effect w:val="none"/>
                </w:rPr>
                <w:t>Form of stock option agreement under the FibroGen, Inc. Amended and Restated 2005 Stock Plan applicable to options exchanged pursuant to FibroGen, Inc.’s 2010 amendment and exchange offer.</w:t>
              </w:r>
            </w:hyperlink>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10.3(iii)</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73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561" w:type="dxa"/>
            <w:gridSpan w:val="3"/>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gridSpan w:val="2"/>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gridSpan w:val="3"/>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20"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6" w:type="dxa"/>
            <w:gridSpan w:val="2"/>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168</w:t>
      </w:r>
    </w:p>
    <w:p>
      <w:pPr>
        <w:pStyle w:val="HorizontalLine"/>
        <w:rPr/>
      </w:pPr>
      <w:r>
        <w:rPr/>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475"/>
        <w:gridCol w:w="60"/>
        <w:gridCol w:w="7463"/>
        <w:gridCol w:w="60"/>
        <w:gridCol w:w="311"/>
        <w:gridCol w:w="60"/>
        <w:gridCol w:w="690"/>
        <w:gridCol w:w="60"/>
        <w:gridCol w:w="464"/>
        <w:gridCol w:w="60"/>
        <w:gridCol w:w="502"/>
      </w:tblGrid>
      <w:tr>
        <w:trPr/>
        <w:tc>
          <w:tcPr>
            <w:tcW w:w="4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10.1(iv)+</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463" w:type="dxa"/>
            <w:tcBorders/>
            <w:shd w:fill="FFFFFF" w:val="clear"/>
          </w:tcPr>
          <w:p>
            <w:pPr>
              <w:pStyle w:val="TableContents"/>
              <w:spacing w:before="0" w:after="0"/>
              <w:ind w:left="0" w:right="0" w:hanging="0"/>
              <w:rPr/>
            </w:pPr>
            <w:hyperlink r:id="rId17">
              <w:r>
                <w:rPr>
                  <w:rStyle w:val="InternetLink"/>
                  <w:rFonts w:ascii="Times New Roman" w:hAnsi="Times New Roman"/>
                  <w:b w:val="false"/>
                  <w:i w:val="false"/>
                  <w:caps w:val="false"/>
                  <w:smallCaps w:val="false"/>
                  <w:strike w:val="false"/>
                  <w:dstrike w:val="false"/>
                  <w:sz w:val="20"/>
                  <w:u w:val="none"/>
                  <w:effect w:val="none"/>
                </w:rPr>
                <w:t>Form of 2010 amendment to the form of stock option agreement under the FibroGen, Inc. Amended and Restated 2005 Stock Plan applicable to options amended pursuant to FibroGen, Inc.’s 2010 amendment and exchange offer.</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10.3(iv)</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4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2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2"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10.1(v)+</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463" w:type="dxa"/>
            <w:tcBorders/>
            <w:shd w:fill="FFFFFF" w:val="clear"/>
          </w:tcPr>
          <w:p>
            <w:pPr>
              <w:pStyle w:val="TableContents"/>
              <w:spacing w:before="0" w:after="0"/>
              <w:ind w:left="0" w:right="0" w:hanging="0"/>
              <w:rPr/>
            </w:pPr>
            <w:hyperlink r:id="rId18">
              <w:r>
                <w:rPr>
                  <w:rStyle w:val="InternetLink"/>
                  <w:rFonts w:ascii="Times New Roman" w:hAnsi="Times New Roman"/>
                  <w:b w:val="false"/>
                  <w:i w:val="false"/>
                  <w:caps w:val="false"/>
                  <w:smallCaps w:val="false"/>
                  <w:strike w:val="false"/>
                  <w:dstrike w:val="false"/>
                  <w:sz w:val="20"/>
                  <w:u w:val="none"/>
                  <w:effect w:val="none"/>
                </w:rPr>
                <w:t>Form of 2013 amendment to the form of stock option agreement under the FibroGen, Inc. Amended and Restated 2005 Stock Plan applicable to options amended or exchanged pursuant to FibroGen, Inc.’s 2010 amendment and exchange offer.</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10.3(v)</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4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2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2"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463" w:type="dxa"/>
            <w:tcBorders/>
            <w:shd w:fill="FFFFFF" w:val="clear"/>
          </w:tcPr>
          <w:p>
            <w:pPr>
              <w:pStyle w:val="TableContents"/>
              <w:spacing w:before="0" w:after="0"/>
              <w:ind w:left="0" w:right="0" w:hanging="0"/>
              <w:rPr/>
            </w:pPr>
            <w:hyperlink r:id="rId19">
              <w:r>
                <w:rPr>
                  <w:rStyle w:val="InternetLink"/>
                  <w:rFonts w:ascii="Times New Roman" w:hAnsi="Times New Roman"/>
                  <w:b w:val="false"/>
                  <w:i w:val="false"/>
                  <w:caps w:val="false"/>
                  <w:smallCaps w:val="false"/>
                  <w:strike w:val="false"/>
                  <w:dstrike w:val="false"/>
                  <w:sz w:val="20"/>
                  <w:u w:val="none"/>
                  <w:effect w:val="none"/>
                </w:rPr>
                <w:t>FibroGen, Inc. 2014 Equity Incentive Plan and forms of agreement thereunder.</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11/12/2014</w:t>
            </w:r>
          </w:p>
        </w:tc>
      </w:tr>
      <w:tr>
        <w:trPr/>
        <w:tc>
          <w:tcPr>
            <w:tcW w:w="4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2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2"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463" w:type="dxa"/>
            <w:tcBorders/>
            <w:shd w:fill="FFFFFF" w:val="clear"/>
          </w:tcPr>
          <w:p>
            <w:pPr>
              <w:pStyle w:val="TableContents"/>
              <w:spacing w:before="0" w:after="0"/>
              <w:ind w:left="0" w:right="0" w:hanging="0"/>
              <w:rPr/>
            </w:pPr>
            <w:hyperlink r:id="rId20">
              <w:r>
                <w:rPr>
                  <w:rStyle w:val="InternetLink"/>
                  <w:rFonts w:ascii="Times New Roman" w:hAnsi="Times New Roman"/>
                  <w:b w:val="false"/>
                  <w:i w:val="false"/>
                  <w:caps w:val="false"/>
                  <w:smallCaps w:val="false"/>
                  <w:strike w:val="false"/>
                  <w:dstrike w:val="false"/>
                  <w:sz w:val="20"/>
                  <w:u w:val="none"/>
                  <w:effect w:val="none"/>
                </w:rPr>
                <w:t>FibroGen, Inc. 2014 Employee Stock Purchase Plan.</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11/12/2014</w:t>
            </w:r>
          </w:p>
        </w:tc>
      </w:tr>
      <w:tr>
        <w:trPr/>
        <w:tc>
          <w:tcPr>
            <w:tcW w:w="4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2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2"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463" w:type="dxa"/>
            <w:tcBorders/>
            <w:shd w:fill="FFFFFF" w:val="clear"/>
          </w:tcPr>
          <w:p>
            <w:pPr>
              <w:pStyle w:val="TableContents"/>
              <w:spacing w:before="0" w:after="0"/>
              <w:ind w:left="0" w:right="0" w:hanging="0"/>
              <w:rPr/>
            </w:pPr>
            <w:hyperlink r:id="rId21">
              <w:r>
                <w:rPr>
                  <w:rStyle w:val="InternetLink"/>
                  <w:rFonts w:ascii="Times New Roman" w:hAnsi="Times New Roman"/>
                  <w:b w:val="false"/>
                  <w:i w:val="false"/>
                  <w:caps w:val="false"/>
                  <w:smallCaps w:val="false"/>
                  <w:strike w:val="false"/>
                  <w:dstrike w:val="false"/>
                  <w:sz w:val="20"/>
                  <w:u w:val="none"/>
                  <w:effect w:val="none"/>
                </w:rPr>
                <w:t>FibroGen, Inc. Non-Employee Director Compensation Policy, as amended.</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5/7/2020</w:t>
            </w:r>
          </w:p>
        </w:tc>
      </w:tr>
      <w:tr>
        <w:trPr/>
        <w:tc>
          <w:tcPr>
            <w:tcW w:w="4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2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2"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463" w:type="dxa"/>
            <w:tcBorders/>
            <w:shd w:fill="FFFFFF" w:val="clear"/>
          </w:tcPr>
          <w:p>
            <w:pPr>
              <w:pStyle w:val="TableContents"/>
              <w:spacing w:before="0" w:after="0"/>
              <w:ind w:left="0" w:right="0" w:hanging="0"/>
              <w:rPr/>
            </w:pPr>
            <w:hyperlink r:id="rId22">
              <w:r>
                <w:rPr>
                  <w:rStyle w:val="InternetLink"/>
                  <w:rFonts w:ascii="Times New Roman" w:hAnsi="Times New Roman"/>
                  <w:b w:val="false"/>
                  <w:i w:val="false"/>
                  <w:caps w:val="false"/>
                  <w:smallCaps w:val="false"/>
                  <w:strike w:val="false"/>
                  <w:dstrike w:val="false"/>
                  <w:sz w:val="20"/>
                  <w:u w:val="none"/>
                  <w:effect w:val="none"/>
                </w:rPr>
                <w:t>FibroGen, Inc. 2018 Bonus Plan.</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8-K</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2/16/2018</w:t>
            </w:r>
          </w:p>
        </w:tc>
      </w:tr>
      <w:tr>
        <w:trPr/>
        <w:tc>
          <w:tcPr>
            <w:tcW w:w="4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2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2"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463" w:type="dxa"/>
            <w:tcBorders/>
            <w:shd w:fill="FFFFFF" w:val="clear"/>
          </w:tcPr>
          <w:p>
            <w:pPr>
              <w:pStyle w:val="TableContents"/>
              <w:spacing w:before="0" w:after="0"/>
              <w:ind w:left="0" w:right="0" w:hanging="0"/>
              <w:rPr/>
            </w:pPr>
            <w:hyperlink r:id="rId23">
              <w:r>
                <w:rPr>
                  <w:rStyle w:val="InternetLink"/>
                  <w:rFonts w:ascii="Times New Roman" w:hAnsi="Times New Roman"/>
                  <w:b w:val="false"/>
                  <w:i w:val="false"/>
                  <w:caps w:val="false"/>
                  <w:smallCaps w:val="false"/>
                  <w:strike w:val="false"/>
                  <w:dstrike w:val="false"/>
                  <w:sz w:val="20"/>
                  <w:u w:val="none"/>
                  <w:effect w:val="none"/>
                </w:rPr>
                <w:t>Lease Agreement by and between FibroGen, Inc. and X-4 Dolphin LLC, dated as of September 22, 2006; as amended by First Amendment to Lease by and between FibroGen, Inc. and X-4 Dolphin LLC, dated as of October 10, 2007; as amended by Second Amendment to Lease by and between FibroGen, Inc. and X-4 Dolphin LLC, dated as of June 29, 2009; as amended by Third Amendment to Lease by and between FibroGen, Inc. and Are-San Francisco No. 43, LLC (as successor in interest to X-4 Dolphin LLC), dated as of May 19, 2011; as amended by Fourth Amendment to Lease by and between FibroGen, Inc. and Are-San Francisco No. 43, LLC, dated as of September 8, 2011.</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4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63"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463" w:type="dxa"/>
            <w:tcBorders/>
            <w:shd w:fill="FFFFFF" w:val="clear"/>
          </w:tcPr>
          <w:p>
            <w:pPr>
              <w:pStyle w:val="TableContents"/>
              <w:spacing w:before="0" w:after="0"/>
              <w:ind w:left="0" w:right="0" w:hanging="0"/>
              <w:rPr/>
            </w:pPr>
            <w:hyperlink r:id="rId24">
              <w:r>
                <w:rPr>
                  <w:rStyle w:val="InternetLink"/>
                  <w:rFonts w:ascii="Times New Roman" w:hAnsi="Times New Roman"/>
                  <w:b w:val="false"/>
                  <w:i w:val="false"/>
                  <w:caps w:val="false"/>
                  <w:smallCaps w:val="false"/>
                  <w:strike w:val="false"/>
                  <w:dstrike w:val="false"/>
                  <w:sz w:val="20"/>
                  <w:u w:val="none"/>
                  <w:effect w:val="none"/>
                </w:rPr>
                <w:t>Lease for Premises in Beijing BDA Biomedical Park by and among Beijing FibroGen Medical Technology Development Co., Ltd., Beijing Economic and Technology Investment Development Parent Company and Beijing BDA International Biological Pharmaceutical Investment Management Co., Ltd., effective as of February 1, 2013, as supplemented by the Supplementary Agreement to Lease of Premises in Beijing BDA Biomedical Park by and among Beijing FibroGen Medical Technology Development Co., Ltd., Beijing Economic Technology Investment Development Parent Company and Beijing BDA International Biological Pharmaceutical Investment Management Co., Ltd., dated as of January 30, 2013.</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6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4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2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2"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169</w:t>
      </w:r>
    </w:p>
    <w:p>
      <w:pPr>
        <w:pStyle w:val="HorizontalLine"/>
        <w:rPr/>
      </w:pPr>
      <w:r>
        <w:rPr/>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529"/>
        <w:gridCol w:w="60"/>
        <w:gridCol w:w="7261"/>
        <w:gridCol w:w="60"/>
        <w:gridCol w:w="323"/>
        <w:gridCol w:w="60"/>
        <w:gridCol w:w="741"/>
        <w:gridCol w:w="60"/>
        <w:gridCol w:w="503"/>
        <w:gridCol w:w="60"/>
        <w:gridCol w:w="548"/>
      </w:tblGrid>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25">
              <w:r>
                <w:rPr>
                  <w:rStyle w:val="InternetLink"/>
                  <w:rFonts w:ascii="Times New Roman" w:hAnsi="Times New Roman"/>
                  <w:b w:val="false"/>
                  <w:i w:val="false"/>
                  <w:caps w:val="false"/>
                  <w:smallCaps w:val="false"/>
                  <w:strike w:val="false"/>
                  <w:dstrike w:val="false"/>
                  <w:sz w:val="20"/>
                  <w:u w:val="none"/>
                  <w:effect w:val="none"/>
                </w:rPr>
                <w:t>Form of Employment Offer Letter.</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2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26">
              <w:r>
                <w:rPr>
                  <w:rStyle w:val="InternetLink"/>
                  <w:rFonts w:ascii="Times New Roman" w:hAnsi="Times New Roman"/>
                  <w:b w:val="false"/>
                  <w:i w:val="false"/>
                  <w:caps w:val="false"/>
                  <w:smallCaps w:val="false"/>
                  <w:strike w:val="false"/>
                  <w:dstrike w:val="false"/>
                  <w:sz w:val="20"/>
                  <w:u w:val="none"/>
                  <w:effect w:val="none"/>
                </w:rPr>
                <w:t>Collaboration Agreement, by and between FibroGen, Inc. and Astellas Pharma Inc., effective as of June 1, 2005.</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11/5/2020</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2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10.9(i)†</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27">
              <w:r>
                <w:rPr>
                  <w:rStyle w:val="InternetLink"/>
                  <w:rFonts w:ascii="Times New Roman" w:hAnsi="Times New Roman"/>
                  <w:b w:val="false"/>
                  <w:i w:val="false"/>
                  <w:caps w:val="false"/>
                  <w:smallCaps w:val="false"/>
                  <w:strike w:val="false"/>
                  <w:dstrike w:val="false"/>
                  <w:sz w:val="20"/>
                  <w:u w:val="none"/>
                  <w:effect w:val="none"/>
                </w:rPr>
                <w:t>Amendment No. 1 to Collaboration Agreement, by and between FibroGen, Inc. and Astellas Pharma Inc., effective as of January 1, 2013.</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Pr>
          <w:p>
            <w:pPr>
              <w:pStyle w:val="TableContents"/>
              <w:spacing w:before="0" w:after="0"/>
              <w:ind w:left="0" w:right="0" w:hanging="0"/>
              <w:rPr/>
            </w:pPr>
            <w:r>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10.9(i)</w:t>
            </w:r>
          </w:p>
        </w:tc>
        <w:tc>
          <w:tcPr>
            <w:tcW w:w="60" w:type="dxa"/>
            <w:tcBorders/>
            <w:shd w:fill="FFFFFF" w:val="clear"/>
          </w:tcPr>
          <w:p>
            <w:pPr>
              <w:pStyle w:val="TableContents"/>
              <w:spacing w:before="0" w:after="0"/>
              <w:ind w:left="0" w:right="0" w:hanging="0"/>
              <w:rPr/>
            </w:pPr>
            <w:r>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2/27/2019</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2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28">
              <w:r>
                <w:rPr>
                  <w:rStyle w:val="InternetLink"/>
                  <w:rFonts w:ascii="Times New Roman" w:hAnsi="Times New Roman"/>
                  <w:b w:val="false"/>
                  <w:i w:val="false"/>
                  <w:caps w:val="false"/>
                  <w:smallCaps w:val="false"/>
                  <w:strike w:val="false"/>
                  <w:dstrike w:val="false"/>
                  <w:sz w:val="20"/>
                  <w:u w:val="none"/>
                  <w:effect w:val="none"/>
                </w:rPr>
                <w:t>Anemia License and Collaboration Agreement, by and between FibroGen, Inc. and Astellas Pharma Inc., effective as of April 28, 2006.</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2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29">
              <w:r>
                <w:rPr>
                  <w:rStyle w:val="InternetLink"/>
                  <w:rFonts w:ascii="Times New Roman" w:hAnsi="Times New Roman"/>
                  <w:b w:val="false"/>
                  <w:i w:val="false"/>
                  <w:caps w:val="false"/>
                  <w:smallCaps w:val="false"/>
                  <w:strike w:val="false"/>
                  <w:dstrike w:val="false"/>
                  <w:sz w:val="20"/>
                  <w:u w:val="none"/>
                  <w:effect w:val="none"/>
                </w:rPr>
                <w:t>Amendment to Anemia License and Collaboration Agreement, by and between FibroGen, Inc. and Astellas Pharma Inc., effective as of August 31, 2006.</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10.13</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2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30">
              <w:r>
                <w:rPr>
                  <w:rStyle w:val="InternetLink"/>
                  <w:rFonts w:ascii="Times New Roman" w:hAnsi="Times New Roman"/>
                  <w:b w:val="false"/>
                  <w:i w:val="false"/>
                  <w:caps w:val="false"/>
                  <w:smallCaps w:val="false"/>
                  <w:strike w:val="false"/>
                  <w:dstrike w:val="false"/>
                  <w:sz w:val="20"/>
                  <w:u w:val="none"/>
                  <w:effect w:val="none"/>
                </w:rPr>
                <w:t>Amendment No. 2 to Anemia License and Collaboration Agreement, by and between FibroGen, Inc. and Astellas Pharma Inc., effective as of December 1, 2006.</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10.14</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2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10.13†</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31">
              <w:r>
                <w:rPr>
                  <w:rStyle w:val="InternetLink"/>
                  <w:rFonts w:ascii="Times New Roman" w:hAnsi="Times New Roman"/>
                  <w:b w:val="false"/>
                  <w:i w:val="false"/>
                  <w:caps w:val="false"/>
                  <w:smallCaps w:val="false"/>
                  <w:strike w:val="false"/>
                  <w:dstrike w:val="false"/>
                  <w:sz w:val="20"/>
                  <w:u w:val="none"/>
                  <w:effect w:val="none"/>
                </w:rPr>
                <w:t>Supplement to Anemia License and Collaboration Agreement, by and between FibroGen, Inc. and Astellas Pharma Inc., effective as of April 28, 2006.</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10.15</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2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10.14†</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32">
              <w:r>
                <w:rPr>
                  <w:rStyle w:val="InternetLink"/>
                  <w:rFonts w:ascii="Times New Roman" w:hAnsi="Times New Roman"/>
                  <w:b w:val="false"/>
                  <w:i w:val="false"/>
                  <w:caps w:val="false"/>
                  <w:smallCaps w:val="false"/>
                  <w:strike w:val="false"/>
                  <w:dstrike w:val="false"/>
                  <w:sz w:val="20"/>
                  <w:u w:val="none"/>
                  <w:effect w:val="none"/>
                </w:rPr>
                <w:t>Amendment No. 3 to Anemia License and Collaboration Agreement, by and between FibroGen, Inc. and Astellas Pharma Inc., dated as of May 10, 2012.</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10.16</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2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10.15†</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33">
              <w:r>
                <w:rPr>
                  <w:rStyle w:val="InternetLink"/>
                  <w:rFonts w:ascii="Times New Roman" w:hAnsi="Times New Roman"/>
                  <w:b w:val="false"/>
                  <w:i w:val="false"/>
                  <w:caps w:val="false"/>
                  <w:smallCaps w:val="false"/>
                  <w:strike w:val="false"/>
                  <w:dstrike w:val="false"/>
                  <w:sz w:val="20"/>
                  <w:u w:val="none"/>
                  <w:effect w:val="none"/>
                </w:rPr>
                <w:t>Amended and Restated License, Development and Commercialization Agreement (China) by and among FibroGen China Anemia Holdings, Ltd., Beijing FibroGen Medical Technology Development Co., Ltd., FibroGen International (Hong Kong) Limited and AstraZeneca AB, effective as of July 30, 2013.</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11/5/2020</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10.16†</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61" w:type="dxa"/>
            <w:tcBorders/>
            <w:shd w:fill="FFFFFF" w:val="clear"/>
          </w:tcPr>
          <w:p>
            <w:pPr>
              <w:pStyle w:val="TableContents"/>
              <w:spacing w:before="0" w:after="0"/>
              <w:ind w:left="0" w:right="0" w:hanging="0"/>
              <w:rPr/>
            </w:pPr>
            <w:hyperlink r:id="rId34">
              <w:r>
                <w:rPr>
                  <w:rStyle w:val="InternetLink"/>
                  <w:rFonts w:ascii="Times New Roman" w:hAnsi="Times New Roman"/>
                  <w:b w:val="false"/>
                  <w:i w:val="false"/>
                  <w:caps w:val="false"/>
                  <w:smallCaps w:val="false"/>
                  <w:strike w:val="false"/>
                  <w:dstrike w:val="false"/>
                  <w:sz w:val="20"/>
                  <w:u w:val="none"/>
                  <w:effect w:val="none"/>
                </w:rPr>
                <w:t>Amended and Restated License, Development and Commercialization Agreement (for the U.S. and Certain Other Territories) by and between FibroGen, Inc. and AstraZeneca AB, effective as of July 30, 2013.</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11/5/2020</w:t>
            </w:r>
          </w:p>
        </w:tc>
      </w:tr>
      <w:tr>
        <w:trPr/>
        <w:tc>
          <w:tcPr>
            <w:tcW w:w="529"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2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3"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w:t>
      </w:r>
    </w:p>
    <w:p>
      <w:pPr>
        <w:pStyle w:val="HorizontalLine"/>
        <w:rPr/>
      </w:pPr>
      <w:r>
        <w:rPr/>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511"/>
        <w:gridCol w:w="60"/>
        <w:gridCol w:w="7249"/>
        <w:gridCol w:w="60"/>
        <w:gridCol w:w="338"/>
        <w:gridCol w:w="60"/>
        <w:gridCol w:w="744"/>
        <w:gridCol w:w="60"/>
        <w:gridCol w:w="485"/>
        <w:gridCol w:w="60"/>
        <w:gridCol w:w="578"/>
      </w:tblGrid>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10.17</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49" w:type="dxa"/>
            <w:tcBorders/>
            <w:shd w:fill="FFFFFF" w:val="clear"/>
          </w:tcPr>
          <w:p>
            <w:pPr>
              <w:pStyle w:val="TableContents"/>
              <w:spacing w:before="0" w:after="0"/>
              <w:ind w:left="0" w:right="0" w:hanging="0"/>
              <w:rPr/>
            </w:pPr>
            <w:hyperlink r:id="rId35">
              <w:r>
                <w:rPr>
                  <w:rStyle w:val="InternetLink"/>
                  <w:rFonts w:ascii="Times New Roman" w:hAnsi="Times New Roman"/>
                  <w:b w:val="false"/>
                  <w:i w:val="false"/>
                  <w:caps w:val="false"/>
                  <w:smallCaps w:val="false"/>
                  <w:strike w:val="false"/>
                  <w:dstrike w:val="false"/>
                  <w:sz w:val="20"/>
                  <w:u w:val="none"/>
                  <w:effect w:val="none"/>
                </w:rPr>
                <w:t>Research and Commercialization Agreement by and among FibroGen, Inc., GenPharm International Inc., Medarex, Inc. and FibroPharma, Inc., effective as of July 9, 1998.</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51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09"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3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10.18</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49" w:type="dxa"/>
            <w:tcBorders/>
            <w:shd w:fill="FFFFFF" w:val="clear"/>
          </w:tcPr>
          <w:p>
            <w:pPr>
              <w:pStyle w:val="TableContents"/>
              <w:spacing w:before="0" w:after="0"/>
              <w:ind w:left="0" w:right="0" w:hanging="0"/>
              <w:rPr/>
            </w:pPr>
            <w:hyperlink r:id="rId36">
              <w:r>
                <w:rPr>
                  <w:rStyle w:val="InternetLink"/>
                  <w:rFonts w:ascii="Times New Roman" w:hAnsi="Times New Roman"/>
                  <w:b w:val="false"/>
                  <w:i w:val="false"/>
                  <w:caps w:val="false"/>
                  <w:smallCaps w:val="false"/>
                  <w:strike w:val="false"/>
                  <w:dstrike w:val="false"/>
                  <w:sz w:val="20"/>
                  <w:u w:val="none"/>
                  <w:effect w:val="none"/>
                </w:rPr>
                <w:t>Amendment No. 1 to Research and Commercialization Agreement by and among FibroGen, Inc., GenPharm International Inc., Medarex, Inc. and FibroPharma, Inc., effective as of June 30, 2001.</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10.22</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10/1/2014</w:t>
            </w:r>
          </w:p>
        </w:tc>
      </w:tr>
      <w:tr>
        <w:trPr/>
        <w:tc>
          <w:tcPr>
            <w:tcW w:w="51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09"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3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10.19†</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49" w:type="dxa"/>
            <w:tcBorders/>
            <w:shd w:fill="FFFFFF" w:val="clear"/>
          </w:tcPr>
          <w:p>
            <w:pPr>
              <w:pStyle w:val="TableContents"/>
              <w:spacing w:before="0" w:after="0"/>
              <w:ind w:left="0" w:right="0" w:hanging="0"/>
              <w:rPr/>
            </w:pPr>
            <w:hyperlink r:id="rId37">
              <w:r>
                <w:rPr>
                  <w:rStyle w:val="InternetLink"/>
                  <w:rFonts w:ascii="Times New Roman" w:hAnsi="Times New Roman"/>
                  <w:b w:val="false"/>
                  <w:i w:val="false"/>
                  <w:caps w:val="false"/>
                  <w:smallCaps w:val="false"/>
                  <w:strike w:val="false"/>
                  <w:dstrike w:val="false"/>
                  <w:sz w:val="20"/>
                  <w:u w:val="none"/>
                  <w:effect w:val="none"/>
                </w:rPr>
                <w:t>Amendment No. 2 to Research and Commercialization Agreement by and among FibroGen, Inc., GenPharm International Inc., Medarex, Inc. and FibroPharma, Inc., effective as of January 28, 2002.</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11/5/2020</w:t>
            </w:r>
          </w:p>
        </w:tc>
      </w:tr>
      <w:tr>
        <w:trPr/>
        <w:tc>
          <w:tcPr>
            <w:tcW w:w="51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09"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3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49" w:type="dxa"/>
            <w:tcBorders/>
            <w:shd w:fill="FFFFFF" w:val="clear"/>
          </w:tcPr>
          <w:p>
            <w:pPr>
              <w:pStyle w:val="TableContents"/>
              <w:spacing w:before="0" w:after="0"/>
              <w:ind w:left="0" w:right="0" w:hanging="0"/>
              <w:rPr/>
            </w:pPr>
            <w:hyperlink r:id="rId38">
              <w:r>
                <w:rPr>
                  <w:rStyle w:val="InternetLink"/>
                  <w:rFonts w:ascii="Times New Roman" w:hAnsi="Times New Roman"/>
                  <w:b w:val="false"/>
                  <w:i w:val="false"/>
                  <w:caps w:val="false"/>
                  <w:smallCaps w:val="false"/>
                  <w:strike w:val="false"/>
                  <w:dstrike w:val="false"/>
                  <w:sz w:val="20"/>
                  <w:u w:val="none"/>
                  <w:effect w:val="none"/>
                </w:rPr>
                <w:t>Form of Indemnity Agreement by and between FibroGen, Inc. and its directors and officers.</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333-199069</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10.27</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10/23/2014</w:t>
            </w:r>
          </w:p>
        </w:tc>
      </w:tr>
      <w:tr>
        <w:trPr/>
        <w:tc>
          <w:tcPr>
            <w:tcW w:w="51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309"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38"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10.21†</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hyperlink r:id="rId39">
              <w:r>
                <w:rPr>
                  <w:rStyle w:val="InternetLink"/>
                </w:rPr>
                <w:t>State-Owned Construction Land Use Right Granting Contract by and between FibroGen (China) Medical Technology Development Co., Ltd. and The Bureau of Land and Resources of Cangzhou, dated as of February 24, 2017</w:t>
              </w:r>
            </w:hyperlink>
            <w:r>
              <w:rPr>
                <w:rFonts w:ascii="Times New Roman" w:hAnsi="Times New Roman"/>
                <w:b w:val="false"/>
                <w:i w:val="false"/>
                <w:caps w:val="false"/>
                <w:smallCaps w:val="false"/>
                <w:strike w:val="false"/>
                <w:dstrike w:val="false"/>
                <w:sz w:val="20"/>
                <w:u w:val="none"/>
                <w:effect w:val="none"/>
              </w:rPr>
              <w:t>.</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10.32</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5/9/2017</w:t>
            </w:r>
          </w:p>
        </w:tc>
      </w:tr>
      <w:tr>
        <w:trPr/>
        <w:tc>
          <w:tcPr>
            <w:tcW w:w="511"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pPr>
            <w:r>
              <w:rPr/>
              <w:t> </w:t>
            </w:r>
          </w:p>
        </w:tc>
      </w:tr>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10.22†</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hyperlink r:id="rId40">
              <w:r>
                <w:rPr>
                  <w:rStyle w:val="InternetLink"/>
                </w:rPr>
                <w:t>Commercial Supply Agreement by and between FibroGen, Inc. and Catalent Pharma Solutions, LLC, effective as of January 1, 2020</w:t>
              </w:r>
            </w:hyperlink>
            <w:r>
              <w:rPr>
                <w:rFonts w:ascii="Times New Roman" w:hAnsi="Times New Roman"/>
                <w:b w:val="false"/>
                <w:i w:val="false"/>
                <w:caps w:val="false"/>
                <w:smallCaps w:val="false"/>
                <w:strike w:val="false"/>
                <w:dstrike w:val="false"/>
                <w:sz w:val="20"/>
                <w:u w:val="none"/>
                <w:effect w:val="none"/>
              </w:rPr>
              <w:t>.</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10.28</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3/2/2020</w:t>
            </w:r>
          </w:p>
        </w:tc>
      </w:tr>
      <w:tr>
        <w:trPr/>
        <w:tc>
          <w:tcPr>
            <w:tcW w:w="511"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pPr>
            <w:r>
              <w:rPr/>
              <w:t> </w:t>
            </w:r>
          </w:p>
        </w:tc>
      </w:tr>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10.23†</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hyperlink r:id="rId41">
              <w:r>
                <w:rPr>
                  <w:rStyle w:val="InternetLink"/>
                </w:rPr>
                <w:t>Master Supply Agreement by and among FibroGen, Inc., Shanghai SynTheAll Pharmaceutical Co., Ltd. and STA Pharmaceutical Hong Kong Limited, effective March 2, 2020</w:t>
              </w:r>
            </w:hyperlink>
            <w:r>
              <w:rPr>
                <w:rFonts w:ascii="Times New Roman" w:hAnsi="Times New Roman"/>
                <w:b w:val="false"/>
                <w:i w:val="false"/>
                <w:caps w:val="false"/>
                <w:smallCaps w:val="false"/>
                <w:strike w:val="false"/>
                <w:dstrike w:val="false"/>
                <w:sz w:val="20"/>
                <w:u w:val="none"/>
                <w:effect w:val="none"/>
              </w:rPr>
              <w:t>.</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8-K</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99.1</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3/24/2020</w:t>
            </w:r>
          </w:p>
        </w:tc>
      </w:tr>
      <w:tr>
        <w:trPr/>
        <w:tc>
          <w:tcPr>
            <w:tcW w:w="511"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pPr>
            <w:r>
              <w:rPr/>
              <w:t> </w:t>
            </w:r>
          </w:p>
        </w:tc>
      </w:tr>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10.24†</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hyperlink r:id="rId42">
              <w:r>
                <w:rPr>
                  <w:rStyle w:val="InternetLink"/>
                </w:rPr>
                <w:t>Amendment No.1 to Master Supply Agreement by and among FibroGen, Inc., Shanghai SynTheAll Pharmaceutical Co., Ltd. and STA Pharmaceutical Hong Kong Limited, effective May 11, 2020</w:t>
              </w:r>
            </w:hyperlink>
            <w:r>
              <w:rPr>
                <w:rFonts w:ascii="Times New Roman" w:hAnsi="Times New Roman"/>
                <w:b w:val="false"/>
                <w:i w:val="false"/>
                <w:caps w:val="false"/>
                <w:smallCaps w:val="false"/>
                <w:strike w:val="false"/>
                <w:dstrike w:val="false"/>
                <w:sz w:val="20"/>
                <w:u w:val="none"/>
                <w:effect w:val="none"/>
              </w:rPr>
              <w:t>.</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8/6/2020</w:t>
            </w:r>
          </w:p>
        </w:tc>
      </w:tr>
      <w:tr>
        <w:trPr/>
        <w:tc>
          <w:tcPr>
            <w:tcW w:w="511"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pPr>
            <w:r>
              <w:rPr/>
              <w:t> </w:t>
            </w:r>
          </w:p>
        </w:tc>
      </w:tr>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10.25†</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hyperlink r:id="rId43">
              <w:r>
                <w:rPr>
                  <w:rStyle w:val="InternetLink"/>
                </w:rPr>
                <w:t>Second Amended and Restated License, Development and Commercialization Agreement by and among FibroGen China Anemia Holdings, Ltd., FibroGen China Medical Technology Development Co., Ltd., FibroGen International (Hong Kong) Limited, and AstraZeneca AB, effective July 1, 2020</w:t>
              </w:r>
            </w:hyperlink>
            <w:r>
              <w:rPr>
                <w:rFonts w:ascii="Times New Roman" w:hAnsi="Times New Roman"/>
                <w:b w:val="false"/>
                <w:i w:val="false"/>
                <w:caps w:val="false"/>
                <w:smallCaps w:val="false"/>
                <w:strike w:val="false"/>
                <w:dstrike w:val="false"/>
                <w:sz w:val="20"/>
                <w:u w:val="none"/>
                <w:effect w:val="none"/>
              </w:rPr>
              <w:t>.</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8/6/2020</w:t>
            </w:r>
          </w:p>
        </w:tc>
      </w:tr>
      <w:tr>
        <w:trPr/>
        <w:tc>
          <w:tcPr>
            <w:tcW w:w="511"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pPr>
            <w:r>
              <w:rPr/>
              <w:t> </w:t>
            </w:r>
          </w:p>
        </w:tc>
      </w:tr>
      <w:tr>
        <w:trPr/>
        <w:tc>
          <w:tcPr>
            <w:tcW w:w="5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10.26†</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hyperlink r:id="rId44">
              <w:r>
                <w:rPr>
                  <w:rStyle w:val="InternetLink"/>
                </w:rPr>
                <w:t>Amendment No. 1 to the Amended and Restated License, Development and Commercialization Agreement by and between FibroGen, Inc. and AstraZeneca AB, effective July 1, 2020</w:t>
              </w:r>
            </w:hyperlink>
            <w:r>
              <w:rPr>
                <w:rFonts w:ascii="Times New Roman" w:hAnsi="Times New Roman"/>
                <w:b w:val="false"/>
                <w:i w:val="false"/>
                <w:caps w:val="false"/>
                <w:smallCaps w:val="false"/>
                <w:strike w:val="false"/>
                <w:dstrike w:val="false"/>
                <w:sz w:val="20"/>
                <w:u w:val="none"/>
                <w:effect w:val="none"/>
              </w:rPr>
              <w:t>.</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8/6/2020</w:t>
            </w:r>
          </w:p>
        </w:tc>
      </w:tr>
      <w:tr>
        <w:trPr/>
        <w:tc>
          <w:tcPr>
            <w:tcW w:w="511"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249"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38"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74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578" w:type="dxa"/>
            <w:tcBorders/>
            <w:shd w:fill="FFFFFF" w:val="clear"/>
          </w:tcPr>
          <w:p>
            <w:pPr>
              <w:pStyle w:val="TableContents"/>
              <w:spacing w:before="0" w:after="0"/>
              <w:ind w:left="0" w:right="0" w:hanging="0"/>
              <w:jc w:val="center"/>
              <w:rPr/>
            </w:pPr>
            <w:r>
              <w:rPr/>
              <w:t>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171</w:t>
      </w:r>
    </w:p>
    <w:p>
      <w:pPr>
        <w:pStyle w:val="HorizontalLine"/>
        <w:rPr/>
      </w:pPr>
      <w:r>
        <w:rPr/>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567"/>
        <w:gridCol w:w="60"/>
        <w:gridCol w:w="7166"/>
        <w:gridCol w:w="60"/>
        <w:gridCol w:w="342"/>
        <w:gridCol w:w="60"/>
        <w:gridCol w:w="691"/>
        <w:gridCol w:w="60"/>
        <w:gridCol w:w="485"/>
        <w:gridCol w:w="60"/>
        <w:gridCol w:w="654"/>
      </w:tblGrid>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10.27†</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r:id="rId45">
              <w:r>
                <w:rPr>
                  <w:rStyle w:val="InternetLink"/>
                </w:rPr>
                <w:t>Amendment No. 2 to Master Supply Agreement by and among FibroGen, Inc., Shanghai SynTheAll Pharmaceutical Co., Ltd. and STA Pharmaceutical Hong Kong Limited, effective July 24, 2020</w:t>
              </w:r>
            </w:hyperlink>
            <w:r>
              <w:rPr>
                <w:rFonts w:ascii="Times New Roman" w:hAnsi="Times New Roman"/>
                <w:b w:val="false"/>
                <w:i w:val="false"/>
                <w:caps w:val="false"/>
                <w:smallCaps w:val="false"/>
                <w:strike w:val="false"/>
                <w:dstrike w:val="false"/>
                <w:sz w:val="20"/>
                <w:u w:val="none"/>
                <w:effect w:val="none"/>
              </w:rPr>
              <w:t>.</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11/5/2020</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10.28†</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r:id="rId46">
              <w:r>
                <w:rPr>
                  <w:rStyle w:val="InternetLink"/>
                </w:rPr>
                <w:t>Master Supply Agreement by and between FibroGen, Inc. and AstraZeneca UK Limited, effective September 10, 2020</w:t>
              </w:r>
            </w:hyperlink>
            <w:r>
              <w:rPr>
                <w:rFonts w:ascii="Times New Roman" w:hAnsi="Times New Roman"/>
                <w:b w:val="false"/>
                <w:i w:val="false"/>
                <w:caps w:val="false"/>
                <w:smallCaps w:val="false"/>
                <w:strike w:val="false"/>
                <w:dstrike w:val="false"/>
                <w:sz w:val="20"/>
                <w:u w:val="none"/>
                <w:effect w:val="none"/>
              </w:rPr>
              <w:t>.</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11/5/2020</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10.29†</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r:id="rId47">
              <w:r>
                <w:rPr>
                  <w:rStyle w:val="InternetLink"/>
                  <w:rFonts w:ascii="Times New Roman" w:hAnsi="Times New Roman"/>
                  <w:b w:val="false"/>
                  <w:i w:val="false"/>
                  <w:caps w:val="false"/>
                  <w:smallCaps w:val="false"/>
                  <w:strike w:val="false"/>
                  <w:dstrike w:val="false"/>
                  <w:sz w:val="20"/>
                  <w:u w:val="none"/>
                  <w:effect w:val="none"/>
                </w:rPr>
                <w:t>Master Services Agreement by and between FibroGen, Inc. and Samsung Biologics Co., Ltd., effective as of October 30, 2020.</w:t>
              </w:r>
            </w:hyperlink>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3/1/2021</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10.30†</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r:id="rId48">
              <w:r>
                <w:rPr>
                  <w:rStyle w:val="InternetLink"/>
                  <w:rFonts w:ascii="Times New Roman" w:hAnsi="Times New Roman"/>
                  <w:b w:val="false"/>
                  <w:i w:val="false"/>
                  <w:caps w:val="false"/>
                  <w:smallCaps w:val="false"/>
                  <w:strike w:val="false"/>
                  <w:dstrike w:val="false"/>
                  <w:sz w:val="20"/>
                  <w:u w:val="none"/>
                  <w:effect w:val="none"/>
                </w:rPr>
                <w:t>Product Specific Agreement by and between FibroGen, Inc. and Samsung Biologics Co., Ltd., effective as of October 30, 2020.</w:t>
              </w:r>
            </w:hyperlink>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10.36</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3/1/2021</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10.31†</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r:id="rId49">
              <w:r>
                <w:rPr>
                  <w:rStyle w:val="InternetLink"/>
                  <w:rFonts w:ascii="Times New Roman" w:hAnsi="Times New Roman"/>
                  <w:b w:val="false"/>
                  <w:i w:val="false"/>
                  <w:caps w:val="false"/>
                  <w:smallCaps w:val="false"/>
                  <w:strike w:val="false"/>
                  <w:dstrike w:val="false"/>
                  <w:sz w:val="20"/>
                  <w:u w:val="none"/>
                  <w:effect w:val="none"/>
                </w:rPr>
                <w:t>Astellas EU Supply Agreement by and between FibroGen, Inc. and Astellas Pharma Europe Ltd, effective as of January 1, 2021.</w:t>
              </w:r>
            </w:hyperlink>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5/10/2021</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10.32†</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r:id="rId50">
              <w:r>
                <w:rPr>
                  <w:rStyle w:val="InternetLink"/>
                  <w:rFonts w:ascii="Times New Roman" w:hAnsi="Times New Roman"/>
                  <w:b w:val="false"/>
                  <w:i w:val="false"/>
                  <w:caps w:val="false"/>
                  <w:smallCaps w:val="false"/>
                  <w:strike w:val="false"/>
                  <w:dstrike w:val="false"/>
                  <w:sz w:val="20"/>
                  <w:u w:val="none"/>
                  <w:effect w:val="none"/>
                </w:rPr>
                <w:t>Amendment No. 3 to Master Supply Agreement by and among FibroGen, Inc., Shanghai  SynTheAll Pharmaceutical Co., Ltd., and STA Pharmaceutical Hong Kong Limited, dated as of January 12, 2021.</w:t>
              </w:r>
            </w:hyperlink>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5/10/2021</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10.33</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r:id="rId51">
              <w:r>
                <w:rPr>
                  <w:rStyle w:val="InternetLink"/>
                  <w:rFonts w:ascii="Times New Roman" w:hAnsi="Times New Roman"/>
                  <w:b w:val="false"/>
                  <w:i w:val="false"/>
                  <w:caps w:val="false"/>
                  <w:smallCaps w:val="false"/>
                  <w:strike w:val="false"/>
                  <w:dstrike w:val="false"/>
                  <w:sz w:val="20"/>
                  <w:u w:val="none"/>
                  <w:effect w:val="none"/>
                </w:rPr>
                <w:t>Sixth Amendment to the Lease by and between ARE-San Francisco No., 43, LLC and FibroGen, Inc. as of June 1, 2021.</w:t>
              </w:r>
            </w:hyperlink>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8/9/2021</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10.34†</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r:id="rId52">
              <w:r>
                <w:rPr>
                  <w:rStyle w:val="InternetLink"/>
                  <w:rFonts w:ascii="Times New Roman" w:hAnsi="Times New Roman"/>
                  <w:b w:val="false"/>
                  <w:i w:val="false"/>
                  <w:caps w:val="false"/>
                  <w:smallCaps w:val="false"/>
                  <w:strike w:val="false"/>
                  <w:dstrike w:val="false"/>
                  <w:sz w:val="20"/>
                  <w:u w:val="none"/>
                  <w:effect w:val="none"/>
                </w:rPr>
                <w:t>Exclusive License and Option Agreement by and between FibroGen, Inc. and HiFiBiO (HK) Limited (D.B.A. HiFiBiO Therapeutics), as of June 16, 2021.</w:t>
              </w:r>
            </w:hyperlink>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8/9/2021</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r:id="rId53">
              <w:r>
                <w:rPr>
                  <w:rStyle w:val="InternetLink"/>
                  <w:rFonts w:ascii="Times New Roman" w:hAnsi="Times New Roman"/>
                  <w:b w:val="false"/>
                  <w:i w:val="false"/>
                  <w:caps w:val="false"/>
                  <w:smallCaps w:val="false"/>
                  <w:strike w:val="false"/>
                  <w:dstrike w:val="false"/>
                  <w:sz w:val="20"/>
                  <w:u w:val="none"/>
                  <w:effect w:val="none"/>
                </w:rPr>
                <w:t>Exclusive License Agreement by and between FibroGen, Inc. and Eluminex Biosciences (Suzhou) Limited, as of July 16, 2021.</w:t>
              </w:r>
            </w:hyperlink>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11/9/2021</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10.36*†</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hyperlink w:anchor="fgen-ex1036_220.htm">
              <w:r>
                <w:rPr>
                  <w:rStyle w:val="InternetLink"/>
                  <w:rFonts w:ascii="Times New Roman" w:hAnsi="Times New Roman"/>
                  <w:b w:val="false"/>
                  <w:i w:val="false"/>
                  <w:caps w:val="false"/>
                  <w:smallCaps w:val="false"/>
                  <w:strike w:val="false"/>
                  <w:dstrike w:val="false"/>
                  <w:sz w:val="20"/>
                  <w:u w:val="none"/>
                  <w:effect w:val="none"/>
                </w:rPr>
                <w:t>Amendment No. 4 to Master Supply Agreement by and among FibroGen, Inc., Shanghai SynTheAll Pharmaceutical Co., Ltd., and STA Pharmaceutical Hong Kong Limited, dated as of October 29, 2021.</w:t>
              </w:r>
            </w:hyperlink>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67"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7166" w:type="dxa"/>
            <w:tcBorders/>
            <w:shd w:fill="FFFFFF" w:val="clea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4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91"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rPr/>
            </w:pPr>
            <w:r>
              <w:rPr/>
              <w:t> </w:t>
            </w:r>
          </w:p>
        </w:tc>
        <w:tc>
          <w:tcPr>
            <w:tcW w:w="654" w:type="dxa"/>
            <w:tcBorders/>
            <w:shd w:fill="FFFFFF" w:val="clear"/>
          </w:tcPr>
          <w:p>
            <w:pPr>
              <w:pStyle w:val="TableContents"/>
              <w:spacing w:before="0" w:after="0"/>
              <w:ind w:left="0" w:right="0" w:hanging="0"/>
              <w:jc w:val="center"/>
              <w:rPr/>
            </w:pPr>
            <w:r>
              <w:rPr/>
              <w:t> </w:t>
            </w:r>
          </w:p>
        </w:tc>
      </w:tr>
      <w:tr>
        <w:trPr/>
        <w:tc>
          <w:tcPr>
            <w:tcW w:w="56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10.37+</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166" w:type="dxa"/>
            <w:tcBorders/>
            <w:shd w:fill="FFFFFF" w:val="clear"/>
          </w:tcPr>
          <w:p>
            <w:pPr>
              <w:pStyle w:val="TableContents"/>
              <w:spacing w:before="0" w:after="0"/>
              <w:ind w:left="0" w:right="0" w:hanging="0"/>
              <w:rPr/>
            </w:pPr>
            <w:hyperlink r:id="rId54">
              <w:r>
                <w:rPr>
                  <w:rStyle w:val="InternetLink"/>
                  <w:rFonts w:ascii="Times New Roman" w:hAnsi="Times New Roman"/>
                  <w:b w:val="false"/>
                  <w:i w:val="false"/>
                  <w:caps w:val="false"/>
                  <w:smallCaps w:val="false"/>
                  <w:strike w:val="false"/>
                  <w:dstrike w:val="false"/>
                  <w:sz w:val="20"/>
                  <w:u w:val="none"/>
                  <w:effect w:val="none"/>
                </w:rPr>
                <w:t>Offer Letter, by and between FibroGen, Inc. and James Schoeneck, dated as of September 18, 2019.</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11/12/2019</w:t>
            </w:r>
          </w:p>
        </w:tc>
      </w:tr>
      <w:tr>
        <w:trPr/>
        <w:tc>
          <w:tcPr>
            <w:tcW w:w="567"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26"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02"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172</w:t>
      </w:r>
    </w:p>
    <w:p>
      <w:pPr>
        <w:pStyle w:val="HorizontalLine"/>
        <w:rPr/>
      </w:pPr>
      <w:r>
        <w:rPr/>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16"/>
        <w:gridCol w:w="60"/>
        <w:gridCol w:w="7211"/>
        <w:gridCol w:w="60"/>
        <w:gridCol w:w="335"/>
        <w:gridCol w:w="60"/>
        <w:gridCol w:w="671"/>
        <w:gridCol w:w="60"/>
        <w:gridCol w:w="485"/>
        <w:gridCol w:w="60"/>
        <w:gridCol w:w="587"/>
      </w:tblGrid>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10.38+</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r:id="rId55">
              <w:r>
                <w:rPr>
                  <w:rStyle w:val="InternetLink"/>
                  <w:rFonts w:ascii="Times New Roman" w:hAnsi="Times New Roman"/>
                  <w:b w:val="false"/>
                  <w:i w:val="false"/>
                  <w:caps w:val="false"/>
                  <w:smallCaps w:val="false"/>
                  <w:strike w:val="false"/>
                  <w:dstrike w:val="false"/>
                  <w:sz w:val="20"/>
                  <w:u w:val="none"/>
                  <w:effect w:val="none"/>
                </w:rPr>
                <w:t>Offer Letter, by and between FibroGen, Inc. and Christine Chung, dated as of June 17, 2008.</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Pr>
          <w:p>
            <w:pPr>
              <w:pStyle w:val="TableContents"/>
              <w:spacing w:before="0" w:after="0"/>
              <w:ind w:left="0" w:right="0" w:hanging="0"/>
              <w:rPr/>
            </w:pPr>
            <w:r>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10.32</w:t>
            </w:r>
          </w:p>
        </w:tc>
        <w:tc>
          <w:tcPr>
            <w:tcW w:w="60" w:type="dxa"/>
            <w:tcBorders/>
            <w:shd w:fill="FFFFFF" w:val="clear"/>
          </w:tcPr>
          <w:p>
            <w:pPr>
              <w:pStyle w:val="TableContents"/>
              <w:spacing w:before="0" w:after="0"/>
              <w:ind w:left="0" w:right="0" w:hanging="0"/>
              <w:rPr/>
            </w:pPr>
            <w:r>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3/2/2020</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10.39+</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r:id="rId56">
              <w:r>
                <w:rPr>
                  <w:rStyle w:val="InternetLink"/>
                  <w:rFonts w:ascii="Times New Roman" w:hAnsi="Times New Roman"/>
                  <w:b w:val="false"/>
                  <w:i w:val="false"/>
                  <w:caps w:val="false"/>
                  <w:smallCaps w:val="false"/>
                  <w:strike w:val="false"/>
                  <w:dstrike w:val="false"/>
                  <w:sz w:val="20"/>
                  <w:u w:val="none"/>
                  <w:effect w:val="none"/>
                </w:rPr>
                <w:t>Offer Letter, by and between FibroGen, Inc. and Elias Kouchakji, dated as of January 24, 2014.</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Pr>
          <w:p>
            <w:pPr>
              <w:pStyle w:val="TableContents"/>
              <w:spacing w:before="0" w:after="0"/>
              <w:ind w:left="0" w:right="0" w:hanging="0"/>
              <w:rPr/>
            </w:pPr>
            <w:r>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10.33</w:t>
            </w:r>
          </w:p>
        </w:tc>
        <w:tc>
          <w:tcPr>
            <w:tcW w:w="60" w:type="dxa"/>
            <w:tcBorders/>
            <w:shd w:fill="FFFFFF" w:val="clear"/>
          </w:tcPr>
          <w:p>
            <w:pPr>
              <w:pStyle w:val="TableContents"/>
              <w:spacing w:before="0" w:after="0"/>
              <w:ind w:left="0" w:right="0" w:hanging="0"/>
              <w:rPr/>
            </w:pPr>
            <w:r>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3/2/2020</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r:id="rId57">
              <w:r>
                <w:rPr>
                  <w:rStyle w:val="InternetLink"/>
                  <w:rFonts w:ascii="Times New Roman" w:hAnsi="Times New Roman"/>
                  <w:b w:val="false"/>
                  <w:i w:val="false"/>
                  <w:caps w:val="false"/>
                  <w:smallCaps w:val="false"/>
                  <w:strike w:val="false"/>
                  <w:dstrike w:val="false"/>
                  <w:sz w:val="20"/>
                  <w:u w:val="none"/>
                  <w:effect w:val="none"/>
                </w:rPr>
                <w:t>Offer Letter, by and between FibroGen, Inc. and Enrique Conterno, dated as of December 17, 2019.</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Pr>
          <w:p>
            <w:pPr>
              <w:pStyle w:val="TableContents"/>
              <w:spacing w:before="0" w:after="0"/>
              <w:ind w:left="0" w:right="0" w:hanging="0"/>
              <w:rPr/>
            </w:pPr>
            <w:r>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10.34</w:t>
            </w:r>
          </w:p>
        </w:tc>
        <w:tc>
          <w:tcPr>
            <w:tcW w:w="60" w:type="dxa"/>
            <w:tcBorders/>
            <w:shd w:fill="FFFFFF" w:val="clear"/>
          </w:tcPr>
          <w:p>
            <w:pPr>
              <w:pStyle w:val="TableContents"/>
              <w:spacing w:before="0" w:after="0"/>
              <w:ind w:left="0" w:right="0" w:hanging="0"/>
              <w:rPr/>
            </w:pPr>
            <w:r>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3/2/2020</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r:id="rId58">
              <w:r>
                <w:rPr>
                  <w:rStyle w:val="InternetLink"/>
                  <w:rFonts w:ascii="Times New Roman" w:hAnsi="Times New Roman"/>
                  <w:b w:val="false"/>
                  <w:i w:val="false"/>
                  <w:caps w:val="false"/>
                  <w:smallCaps w:val="false"/>
                  <w:strike w:val="false"/>
                  <w:dstrike w:val="false"/>
                  <w:sz w:val="20"/>
                  <w:u w:val="none"/>
                  <w:effect w:val="none"/>
                </w:rPr>
                <w:t>Offer Letter, by and between FibroGen, Inc. and Thane Wettig, dated as of May 7, 2020.</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pPr>
            <w:r>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FFFFFF" w:val="clear"/>
          </w:tcPr>
          <w:p>
            <w:pPr>
              <w:pStyle w:val="TableContents"/>
              <w:spacing w:before="0" w:after="0"/>
              <w:ind w:left="0" w:right="0" w:hanging="0"/>
              <w:rPr/>
            </w:pPr>
            <w:r>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8/6/2020</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r:id="rId59">
              <w:r>
                <w:rPr>
                  <w:rStyle w:val="InternetLink"/>
                  <w:rFonts w:ascii="Times New Roman" w:hAnsi="Times New Roman"/>
                  <w:b w:val="false"/>
                  <w:i w:val="false"/>
                  <w:caps w:val="false"/>
                  <w:smallCaps w:val="false"/>
                  <w:strike w:val="false"/>
                  <w:dstrike w:val="false"/>
                  <w:sz w:val="20"/>
                  <w:u w:val="none"/>
                  <w:effect w:val="none"/>
                </w:rPr>
                <w:t>Offer Letter, by and between FibroGen, Inc. and Mark Eisner, dated as of October 22, 2020.</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10.44</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3/1/2021</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10.43+</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r:id="rId60">
              <w:r>
                <w:rPr>
                  <w:rStyle w:val="InternetLink"/>
                  <w:rFonts w:ascii="Times New Roman" w:hAnsi="Times New Roman"/>
                  <w:b w:val="false"/>
                  <w:i w:val="false"/>
                  <w:caps w:val="false"/>
                  <w:smallCaps w:val="false"/>
                  <w:strike w:val="false"/>
                  <w:dstrike w:val="false"/>
                  <w:sz w:val="20"/>
                  <w:u w:val="none"/>
                  <w:effect w:val="none"/>
                </w:rPr>
                <w:t>Transition, Separation, and Consulting Agreement by and between FibroGen, Inc. and K. Peony Yu, dated as of November 27, 2020.</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5/10/2021</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10.44+</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r:id="rId61">
              <w:r>
                <w:rPr>
                  <w:rStyle w:val="InternetLink"/>
                  <w:rFonts w:ascii="Times New Roman" w:hAnsi="Times New Roman"/>
                  <w:b w:val="false"/>
                  <w:i w:val="false"/>
                  <w:caps w:val="false"/>
                  <w:smallCaps w:val="false"/>
                  <w:strike w:val="false"/>
                  <w:dstrike w:val="false"/>
                  <w:sz w:val="20"/>
                  <w:u w:val="none"/>
                  <w:effect w:val="none"/>
                </w:rPr>
                <w:t>Offer Letter by and between FibroGen, Inc. and Juan Graham, effective as of July 30, 2021.</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11/9/2021</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10.45+</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r:id="rId62">
              <w:r>
                <w:rPr>
                  <w:rStyle w:val="InternetLink"/>
                  <w:rFonts w:ascii="Times New Roman" w:hAnsi="Times New Roman"/>
                  <w:b w:val="false"/>
                  <w:i w:val="false"/>
                  <w:caps w:val="false"/>
                  <w:smallCaps w:val="false"/>
                  <w:strike w:val="false"/>
                  <w:dstrike w:val="false"/>
                  <w:sz w:val="20"/>
                  <w:u w:val="none"/>
                  <w:effect w:val="none"/>
                </w:rPr>
                <w:t>Transition Agreement by and between FibroGen, Inc. and Pat Cotroneo, dated as of August 14, 2021.</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11/9/2021</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10.46+</w:t>
            </w:r>
          </w:p>
        </w:tc>
        <w:tc>
          <w:tcPr>
            <w:tcW w:w="60" w:type="dxa"/>
            <w:tcBorders/>
            <w:shd w:fill="FFFFFF" w:val="clear"/>
            <w:vAlign w:val="center"/>
          </w:tcPr>
          <w:p>
            <w:pPr>
              <w:pStyle w:val="TableContents"/>
              <w:spacing w:before="0" w:after="0"/>
              <w:ind w:left="0" w:right="0" w:hanging="0"/>
              <w:rPr/>
            </w:pPr>
            <w:r>
              <w:rPr/>
              <w:t> </w:t>
            </w:r>
          </w:p>
        </w:tc>
        <w:tc>
          <w:tcPr>
            <w:tcW w:w="7211" w:type="dxa"/>
            <w:tcBorders/>
            <w:shd w:fill="FFFFFF" w:val="clear"/>
          </w:tcPr>
          <w:p>
            <w:pPr>
              <w:pStyle w:val="TableContents"/>
              <w:spacing w:before="0" w:after="0"/>
              <w:ind w:left="0" w:right="0" w:hanging="0"/>
              <w:rPr/>
            </w:pPr>
            <w:hyperlink r:id="rId63">
              <w:r>
                <w:rPr>
                  <w:rStyle w:val="InternetLink"/>
                </w:rPr>
                <w:t>Form of Executive Officer Change in Control and Severance Agreement</w:t>
              </w:r>
            </w:hyperlink>
            <w:r>
              <w:rPr>
                <w:rFonts w:ascii="Times New Roman" w:hAnsi="Times New Roman"/>
                <w:b w:val="false"/>
                <w:i w:val="false"/>
                <w:caps w:val="false"/>
                <w:smallCaps w:val="false"/>
                <w:strike w:val="false"/>
                <w:dstrike w:val="false"/>
                <w:sz w:val="20"/>
                <w:u w:val="none"/>
                <w:effect w:val="none"/>
              </w:rPr>
              <w:t>.</w:t>
            </w:r>
          </w:p>
        </w:tc>
        <w:tc>
          <w:tcPr>
            <w:tcW w:w="60" w:type="dxa"/>
            <w:tcBorders/>
            <w:shd w:fill="FFFFFF" w:val="clear"/>
            <w:vAlign w:val="center"/>
          </w:tcPr>
          <w:p>
            <w:pPr>
              <w:pStyle w:val="TableContents"/>
              <w:spacing w:before="0" w:after="0"/>
              <w:ind w:left="0" w:right="0" w:hanging="0"/>
              <w:rPr/>
            </w:pPr>
            <w:r>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10-K</w:t>
            </w:r>
          </w:p>
        </w:tc>
        <w:tc>
          <w:tcPr>
            <w:tcW w:w="60" w:type="dxa"/>
            <w:tcBorders/>
            <w:shd w:fill="FFFFFF" w:val="clear"/>
          </w:tcPr>
          <w:p>
            <w:pPr>
              <w:pStyle w:val="TableContents"/>
              <w:spacing w:before="0" w:after="0"/>
              <w:ind w:left="0" w:right="0" w:hanging="0"/>
              <w:rPr/>
            </w:pPr>
            <w:r>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w:t>
            </w:r>
          </w:p>
        </w:tc>
        <w:tc>
          <w:tcPr>
            <w:tcW w:w="60" w:type="dxa"/>
            <w:tcBorders/>
            <w:shd w:fill="FFFFFF" w:val="clear"/>
          </w:tcPr>
          <w:p>
            <w:pPr>
              <w:pStyle w:val="TableContents"/>
              <w:spacing w:before="0" w:after="0"/>
              <w:ind w:left="0" w:right="0" w:hanging="0"/>
              <w:rPr/>
            </w:pPr>
            <w:r>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3/2/2020</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r:id="rId64">
              <w:r>
                <w:rPr>
                  <w:rStyle w:val="InternetLink"/>
                  <w:rFonts w:ascii="Times New Roman" w:hAnsi="Times New Roman"/>
                  <w:b w:val="false"/>
                  <w:i w:val="false"/>
                  <w:caps w:val="false"/>
                  <w:smallCaps w:val="false"/>
                  <w:strike w:val="false"/>
                  <w:dstrike w:val="false"/>
                  <w:sz w:val="20"/>
                  <w:u w:val="none"/>
                  <w:effect w:val="none"/>
                </w:rPr>
                <w:t>Subsidiaries of FibroGen, Inc.</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10-Q</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001-36740</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8/9/2021</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w:anchor="fgen-ex231_12.htm">
              <w:r>
                <w:rPr>
                  <w:rStyle w:val="InternetLink"/>
                  <w:rFonts w:ascii="Times New Roman" w:hAnsi="Times New Roman"/>
                  <w:b w:val="false"/>
                  <w:i w:val="false"/>
                  <w:caps w:val="false"/>
                  <w:smallCaps w:val="false"/>
                  <w:strike w:val="false"/>
                  <w:dstrike w:val="false"/>
                  <w:sz w:val="20"/>
                  <w:u w:val="none"/>
                  <w:effect w:val="none"/>
                </w:rPr>
                <w:t>Consent of PricewaterhouseCoopers LLP.</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w:anchor="POWER_OF_ATTORNEY">
              <w:r>
                <w:rPr>
                  <w:rStyle w:val="InternetLink"/>
                  <w:rFonts w:ascii="Times New Roman" w:hAnsi="Times New Roman"/>
                  <w:b w:val="false"/>
                  <w:i w:val="false"/>
                  <w:caps w:val="false"/>
                  <w:smallCaps w:val="false"/>
                  <w:strike w:val="false"/>
                  <w:dstrike w:val="false"/>
                  <w:sz w:val="20"/>
                  <w:u w:val="none"/>
                  <w:effect w:val="none"/>
                </w:rPr>
                <w:t>Power of Attorney (included in signature pages).</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w:anchor="fgen-ex311_11.htm">
              <w:r>
                <w:rPr>
                  <w:rStyle w:val="InternetLink"/>
                  <w:rFonts w:ascii="Times New Roman" w:hAnsi="Times New Roman"/>
                  <w:b w:val="false"/>
                  <w:i w:val="false"/>
                  <w:caps w:val="false"/>
                  <w:smallCaps w:val="false"/>
                  <w:strike w:val="false"/>
                  <w:dstrike w:val="false"/>
                  <w:sz w:val="20"/>
                  <w:u w:val="none"/>
                  <w:effect w:val="none"/>
                </w:rPr>
                <w:t>Certification of Chief Executive Officer, as required by Rule 13a-14(a) or Rule 15d-14(a).</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w:anchor="fgen-ex312_8.htm">
              <w:r>
                <w:rPr>
                  <w:rStyle w:val="InternetLink"/>
                  <w:rFonts w:ascii="Times New Roman" w:hAnsi="Times New Roman"/>
                  <w:b w:val="false"/>
                  <w:i w:val="false"/>
                  <w:caps w:val="false"/>
                  <w:smallCaps w:val="false"/>
                  <w:strike w:val="false"/>
                  <w:dstrike w:val="false"/>
                  <w:sz w:val="20"/>
                  <w:u w:val="none"/>
                  <w:effect w:val="none"/>
                </w:rPr>
                <w:t>Certification of Chief Financial Officer, as required by Rule 13a-14(a) or Rule 15d-14(a).</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pPr>
            <w:hyperlink w:anchor="fgen-ex321_13.htm">
              <w:r>
                <w:rPr>
                  <w:rStyle w:val="InternetLink"/>
                  <w:rFonts w:ascii="Times New Roman" w:hAnsi="Times New Roman"/>
                  <w:b w:val="false"/>
                  <w:i w:val="false"/>
                  <w:caps w:val="false"/>
                  <w:smallCaps w:val="false"/>
                  <w:strike w:val="false"/>
                  <w:dstrike w:val="false"/>
                  <w:sz w:val="20"/>
                  <w:u w:val="none"/>
                  <w:effect w:val="none"/>
                </w:rPr>
                <w:t>Certification of Principal Executive Officer and Principal Financial Officer, as required by Rule 13a-14(b) or Rule 15d-14(b) and Section 1350 of Chapter 63 of Title 18 of the United States Code (18 U.S.C. §1350)(1).</w:t>
              </w:r>
            </w:hyperlink>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101.INS*</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Instance Document: the instance document does not appear in the Interactive Data File because its XBRL tags are embedded within the Inline XBRL document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101.SCH*</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Schema Linkbase Document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616"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71"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101.CAL*</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Calculation Linkbase Document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173</w:t>
      </w:r>
    </w:p>
    <w:p>
      <w:pPr>
        <w:pStyle w:val="HorizontalLine"/>
        <w:rPr/>
      </w:pPr>
      <w:r>
        <w:rPr/>
      </w:r>
    </w:p>
    <w:p>
      <w:pPr>
        <w:pStyle w:val="TextBody"/>
        <w:spacing w:before="0" w:after="0"/>
        <w:ind w:left="0" w:right="0" w:hanging="0"/>
        <w:rPr/>
      </w:pPr>
      <w:r>
        <w:rPr/>
        <w:t> </w:t>
      </w:r>
    </w:p>
    <w:tbl>
      <w:tblPr>
        <w:tblW w:w="8685" w:type="dxa"/>
        <w:jc w:val="left"/>
        <w:tblInd w:w="0" w:type="dxa"/>
        <w:tblCellMar>
          <w:top w:w="0" w:type="dxa"/>
          <w:left w:w="0" w:type="dxa"/>
          <w:bottom w:w="0" w:type="dxa"/>
          <w:right w:w="0" w:type="dxa"/>
        </w:tblCellMar>
      </w:tblPr>
      <w:tblGrid>
        <w:gridCol w:w="875"/>
        <w:gridCol w:w="60"/>
        <w:gridCol w:w="6470"/>
        <w:gridCol w:w="60"/>
        <w:gridCol w:w="260"/>
        <w:gridCol w:w="60"/>
        <w:gridCol w:w="260"/>
        <w:gridCol w:w="60"/>
        <w:gridCol w:w="260"/>
        <w:gridCol w:w="60"/>
        <w:gridCol w:w="260"/>
      </w:tblGrid>
      <w:tr>
        <w:trPr/>
        <w:tc>
          <w:tcPr>
            <w:tcW w:w="8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30"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101.DEF*</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47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Definition Linkbase Document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8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30"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101.LAB*</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47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Labels Linkbase Document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8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30"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101.PRE*</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47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Presentation Linkbase Document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8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530"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gridSpan w:val="2"/>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47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Cover Page Interactive Data File (embedded within the inline XBRL document)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w:t>
            </w:r>
          </w:p>
        </w:tc>
      </w:tr>
    </w:tbl>
    <w:p>
      <w:pPr>
        <w:pStyle w:val="TextBody"/>
        <w:pBdr>
          <w:bottom w:val="single" w:sz="8" w:space="1" w:color="000000"/>
        </w:pBdr>
        <w:spacing w:before="0" w:after="0"/>
        <w:rPr/>
      </w:pPr>
      <w:r>
        <w:rPr/>
        <w:t> </w:t>
      </w:r>
    </w:p>
    <w:tbl>
      <w:tblPr>
        <w:tblW w:w="1585" w:type="dxa"/>
        <w:jc w:val="left"/>
        <w:tblInd w:w="0" w:type="dxa"/>
        <w:tblCellMar>
          <w:top w:w="0" w:type="dxa"/>
          <w:left w:w="0" w:type="dxa"/>
          <w:bottom w:w="0" w:type="dxa"/>
          <w:right w:w="0" w:type="dxa"/>
        </w:tblCellMar>
      </w:tblPr>
      <w:tblGrid>
        <w:gridCol w:w="140"/>
        <w:gridCol w:w="1445"/>
      </w:tblGrid>
      <w:tr>
        <w:trPr/>
        <w:tc>
          <w:tcPr>
            <w:tcW w:w="14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w:t>
            </w:r>
          </w:p>
        </w:tc>
        <w:tc>
          <w:tcPr>
            <w:tcW w:w="144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Filed herewith.</w:t>
            </w:r>
          </w:p>
        </w:tc>
      </w:tr>
    </w:tbl>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rPr>
                <w:caps w:val="false"/>
                <w:smallCaps w:val="false"/>
              </w:rPr>
            </w:pPr>
            <w:r>
              <w:rPr>
                <w:caps w:val="false"/>
                <w:smallCaps w:val="false"/>
              </w:rPr>
              <w:t>†</w:t>
            </w:r>
          </w:p>
        </w:tc>
        <w:tc>
          <w:tcPr>
            <w:tcW w:w="1006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Portions of this exhibit (indicated by asterisks) have been omitted as the Company has determined that (i) the omitted information is not material and (ii) the omitted information would likely cause competitive harm if publicly disclosed.</w:t>
            </w:r>
          </w:p>
        </w:tc>
      </w:tr>
    </w:tbl>
    <w:tbl>
      <w:tblPr>
        <w:tblW w:w="4645" w:type="dxa"/>
        <w:jc w:val="left"/>
        <w:tblInd w:w="0" w:type="dxa"/>
        <w:tblCellMar>
          <w:top w:w="0" w:type="dxa"/>
          <w:left w:w="0" w:type="dxa"/>
          <w:bottom w:w="0" w:type="dxa"/>
          <w:right w:w="0" w:type="dxa"/>
        </w:tblCellMar>
      </w:tblPr>
      <w:tblGrid>
        <w:gridCol w:w="125"/>
        <w:gridCol w:w="4520"/>
      </w:tblGrid>
      <w:tr>
        <w:trPr/>
        <w:tc>
          <w:tcPr>
            <w:tcW w:w="12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452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Indicates a management contract or compensatory plan.</w:t>
            </w:r>
          </w:p>
        </w:tc>
      </w:tr>
    </w:tbl>
    <w:tbl>
      <w:tblPr>
        <w:tblW w:w="10205" w:type="dxa"/>
        <w:jc w:val="left"/>
        <w:tblInd w:w="0" w:type="dxa"/>
        <w:tblCellMar>
          <w:top w:w="0" w:type="dxa"/>
          <w:left w:w="0" w:type="dxa"/>
          <w:bottom w:w="0" w:type="dxa"/>
          <w:right w:w="0" w:type="dxa"/>
        </w:tblCellMar>
      </w:tblPr>
      <w:tblGrid>
        <w:gridCol w:w="231"/>
        <w:gridCol w:w="9974"/>
      </w:tblGrid>
      <w:tr>
        <w:trPr/>
        <w:tc>
          <w:tcPr>
            <w:tcW w:w="231"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74"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tc>
      </w:tr>
    </w:tbl>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(c) </w:t>
      </w:r>
      <w:r>
        <w:rPr>
          <w:rFonts w:ascii="Times New Roman" w:hAnsi="Times New Roman"/>
          <w:b/>
          <w:i/>
          <w:caps w:val="false"/>
          <w:smallCaps w:val="false"/>
          <w:sz w:val="20"/>
        </w:rPr>
        <w:t>Financial Statement Schedules</w:t>
      </w:r>
      <w:r>
        <w:rPr>
          <w:rFonts w:ascii="Times New Roman" w:hAnsi="Times New Roman"/>
          <w:b/>
          <w:i w:val="false"/>
          <w:caps w:val="false"/>
          <w:smallCaps w:val="false"/>
          <w:sz w:val="20"/>
        </w:rPr>
        <w:t>—</w:t>
      </w:r>
      <w:r>
        <w:rPr>
          <w:rFonts w:ascii="Times New Roman" w:hAnsi="Times New Roman"/>
          <w:b w:val="false"/>
          <w:i w:val="false"/>
          <w:caps w:val="false"/>
          <w:smallCaps w:val="false"/>
          <w:sz w:val="20"/>
        </w:rPr>
        <w:t>See (a) 2 above. All other financial statement schedules are omitted because they are not applicable because the requested information is included in the consolidated financial statements or notes thereto.</w:t>
      </w:r>
    </w:p>
    <w:p>
      <w:pPr>
        <w:pStyle w:val="TextBody"/>
        <w:spacing w:before="360" w:after="0"/>
        <w:rPr>
          <w:rFonts w:ascii="Times New Roman" w:hAnsi="Times New Roman"/>
          <w:b/>
          <w:i w:val="false"/>
          <w:caps w:val="false"/>
          <w:smallCaps w:val="false"/>
          <w:sz w:val="20"/>
        </w:rPr>
      </w:pPr>
      <w:bookmarkStart w:id="54" w:name="ITEM_16_FORM_10K_SUMMARY"/>
      <w:bookmarkEnd w:id="54"/>
      <w:r>
        <w:rPr>
          <w:rFonts w:ascii="Times New Roman" w:hAnsi="Times New Roman"/>
          <w:b/>
          <w:i w:val="false"/>
          <w:caps w:val="false"/>
          <w:smallCaps w:val="false"/>
          <w:sz w:val="20"/>
        </w:rPr>
        <w:t>ITEM 16.  FORM 10-K SUMMARY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174</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55" w:name="SIGNATURES"/>
      <w:bookmarkEnd w:id="55"/>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Section 13 or 15(d) of the Securities Exchange Act of 1934, as amended, the registrant has duly caused this Annual Report to be signed on its behalf by the undersigned, thereunto duly authorized, in the City of San Francisco, State of California.</w:t>
      </w:r>
    </w:p>
    <w:p>
      <w:pPr>
        <w:pStyle w:val="TextBody"/>
        <w:spacing w:before="0" w:after="0"/>
        <w:rPr/>
      </w:pPr>
      <w:r>
        <w:rPr/>
        <w:t> </w:t>
      </w:r>
    </w:p>
    <w:tbl>
      <w:tblPr>
        <w:tblW w:w="6615" w:type="dxa"/>
        <w:jc w:val="left"/>
        <w:tblInd w:w="0" w:type="dxa"/>
        <w:tblCellMar>
          <w:top w:w="0" w:type="dxa"/>
          <w:left w:w="0" w:type="dxa"/>
          <w:bottom w:w="0" w:type="dxa"/>
          <w:right w:w="0" w:type="dxa"/>
        </w:tblCellMar>
      </w:tblPr>
      <w:tblGrid>
        <w:gridCol w:w="1985"/>
        <w:gridCol w:w="60"/>
        <w:gridCol w:w="500"/>
        <w:gridCol w:w="60"/>
        <w:gridCol w:w="4010"/>
      </w:tblGrid>
      <w:tr>
        <w:trPr/>
        <w:tc>
          <w:tcPr>
            <w:tcW w:w="198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70" w:type="dxa"/>
            <w:gridSpan w:val="3"/>
            <w:tcBorders/>
            <w:shd w:fill="auto" w:val="clea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FIBROGEN, INC.</w:t>
            </w:r>
          </w:p>
        </w:tc>
      </w:tr>
      <w:tr>
        <w:trPr/>
        <w:tc>
          <w:tcPr>
            <w:tcW w:w="1985"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00"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010" w:type="dxa"/>
            <w:tcBorders/>
            <w:shd w:fill="auto" w:val="clear"/>
          </w:tcPr>
          <w:p>
            <w:pPr>
              <w:pStyle w:val="TableContents"/>
              <w:spacing w:before="0" w:after="0"/>
              <w:ind w:left="0" w:right="0" w:hanging="0"/>
              <w:rPr/>
            </w:pPr>
            <w:r>
              <w:rPr/>
              <w:t> </w:t>
            </w:r>
          </w:p>
        </w:tc>
      </w:tr>
      <w:tr>
        <w:trPr/>
        <w:tc>
          <w:tcPr>
            <w:tcW w:w="198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February 28, 2022</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rPr>
            </w:pPr>
            <w:r>
              <w:rPr>
                <w:caps w:val="false"/>
                <w:smallCaps w:val="false"/>
              </w:rPr>
              <w:t> </w:t>
            </w:r>
          </w:p>
        </w:tc>
        <w:tc>
          <w:tcPr>
            <w:tcW w:w="50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rPr>
            </w:pPr>
            <w:r>
              <w:rPr>
                <w:caps w:val="false"/>
                <w:smallCaps w:val="false"/>
              </w:rPr>
              <w:t> </w:t>
            </w:r>
          </w:p>
        </w:tc>
        <w:tc>
          <w:tcPr>
            <w:tcW w:w="401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Enrique Conterno</w:t>
            </w:r>
          </w:p>
        </w:tc>
      </w:tr>
      <w:tr>
        <w:trPr/>
        <w:tc>
          <w:tcPr>
            <w:tcW w:w="1985"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500"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010"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Enrique Conterno</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Executive Officer</w:t>
            </w:r>
          </w:p>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(Principal Executive Officer)</w:t>
            </w:r>
          </w:p>
        </w:tc>
      </w:tr>
      <w:tr>
        <w:trPr/>
        <w:tc>
          <w:tcPr>
            <w:tcW w:w="1985"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500"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010" w:type="dxa"/>
            <w:tcBorders/>
            <w:shd w:fill="auto" w:val="clear"/>
          </w:tcPr>
          <w:p>
            <w:pPr>
              <w:pStyle w:val="TableContents"/>
              <w:spacing w:before="0" w:after="0"/>
              <w:ind w:left="0" w:right="0" w:hanging="0"/>
              <w:rPr/>
            </w:pPr>
            <w:r>
              <w:rPr/>
              <w:t> </w:t>
            </w:r>
          </w:p>
        </w:tc>
      </w:tr>
      <w:tr>
        <w:trPr/>
        <w:tc>
          <w:tcPr>
            <w:tcW w:w="198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February 28, 2022</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rPr>
            </w:pPr>
            <w:r>
              <w:rPr>
                <w:caps w:val="false"/>
                <w:smallCaps w:val="false"/>
              </w:rPr>
              <w:t> </w:t>
            </w:r>
          </w:p>
        </w:tc>
        <w:tc>
          <w:tcPr>
            <w:tcW w:w="50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    </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rPr>
            </w:pPr>
            <w:r>
              <w:rPr>
                <w:caps w:val="false"/>
                <w:smallCaps w:val="false"/>
              </w:rPr>
              <w:t> </w:t>
            </w:r>
          </w:p>
        </w:tc>
        <w:tc>
          <w:tcPr>
            <w:tcW w:w="401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Juan Graham</w:t>
            </w:r>
          </w:p>
        </w:tc>
      </w:tr>
      <w:tr>
        <w:trPr/>
        <w:tc>
          <w:tcPr>
            <w:tcW w:w="1985"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500"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010"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Juan Graham</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Senior Vice President and Chief Financial Officer</w:t>
            </w:r>
          </w:p>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(Principal Financial and Accounting Officer)</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56" w:name="POWER_OF_ATTORNEY"/>
      <w:bookmarkEnd w:id="56"/>
      <w:r>
        <w:rPr>
          <w:rFonts w:ascii="Times New Roman" w:hAnsi="Times New Roman"/>
          <w:b/>
          <w:i w:val="false"/>
          <w:caps w:val="false"/>
          <w:smallCaps w:val="false"/>
          <w:sz w:val="20"/>
        </w:rPr>
        <w:t>POWER OF ATTORNEY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KNOW ALL PERSONS BY THESE PRESENTS, that each person whose signature appears below constitutes and appoints Enrique Conterno and Juan Graham, jointly and severally, his or her attorneys-in-fact, each with the power of substitution, for him or her in any and all capacities, to sign any amendments to this Annual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206"/>
        <w:gridCol w:w="60"/>
        <w:gridCol w:w="6515"/>
        <w:gridCol w:w="60"/>
        <w:gridCol w:w="1364"/>
      </w:tblGrid>
      <w:tr>
        <w:trPr/>
        <w:tc>
          <w:tcPr>
            <w:tcW w:w="2206"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Signature</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Title</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Date</w:t>
            </w:r>
          </w:p>
        </w:tc>
      </w:tr>
      <w:tr>
        <w:trPr/>
        <w:tc>
          <w:tcPr>
            <w:tcW w:w="2206"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Enrique Conterno</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Chief Executive Officer </w:t>
            </w:r>
          </w:p>
          <w:p>
            <w:pPr>
              <w:pStyle w:val="TableContents"/>
              <w:spacing w:before="0" w:after="0"/>
              <w:ind w:left="0" w:right="0" w:hanging="0"/>
              <w:rPr>
                <w:rFonts w:ascii="Times New Roman" w:hAnsi="Times New Roman"/>
                <w:b w:val="false"/>
                <w:i/>
                <w:caps w:val="false"/>
                <w:smallCaps w:val="false"/>
                <w:sz w:val="20"/>
              </w:rPr>
            </w:pPr>
            <w:r>
              <w:rPr>
                <w:rFonts w:ascii="Times New Roman" w:hAnsi="Times New Roman"/>
                <w:b w:val="false"/>
                <w:i/>
                <w:caps w:val="false"/>
                <w:smallCaps w:val="false"/>
                <w:sz w:val="20"/>
              </w:rPr>
              <w:t>(Principal Executive Officer)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Enrique Conterno</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Juan Graham</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Senior Vice President and Chief Financial Officer </w:t>
            </w:r>
            <w:r>
              <w:rPr>
                <w:rFonts w:ascii="Times New Roman" w:hAnsi="Times New Roman"/>
                <w:b w:val="false"/>
                <w:i/>
                <w:caps w:val="false"/>
                <w:smallCaps w:val="false"/>
                <w:sz w:val="20"/>
              </w:rPr>
              <w:t>(Principal Financial and Accounting Officer)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Juan Graham</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James A. Schoeneck</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Chairman of the Board and 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James A. Schoeneck</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Suzanne Blaug</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Suzanne Blaug</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Aoife Brennan, M.B., B.Ch.</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Aoife Brennan, M.B., B.Ch.</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Benjamin F. Cravatt, Ph.D.</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Benjamin F. Cravatt, Ph.D.</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Jeffrey L. Edwards</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Jeffrey L. Edwards</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Jeffrey W. Henderson</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Jeffrey W. Henderson</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Maykin Ho, Ph.D.</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Maykin Ho, Ph.D.</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Thomas F. Kearns Jr.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Thomas F. Kearns Jr.</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Gerald Lema</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Gerald Lema</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r>
        <w:trPr/>
        <w:tc>
          <w:tcPr>
            <w:tcW w:w="2206"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Rory B. Riggs</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515"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1364" w:type="dxa"/>
            <w:vMerge w:val="restart"/>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February 28, 2022</w:t>
            </w:r>
          </w:p>
        </w:tc>
      </w:tr>
      <w:tr>
        <w:trPr/>
        <w:tc>
          <w:tcPr>
            <w:tcW w:w="2206"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Rory B. Riggs</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515" w:type="dxa"/>
            <w:vMerge w:val="continue"/>
            <w:tcBorders/>
            <w:shd w:fill="auto" w:val="clear"/>
            <w:vAlign w:val="center"/>
          </w:tcPr>
          <w:p>
            <w:pPr>
              <w:pStyle w:val="Normal"/>
              <w:rPr/>
            </w:pPr>
            <w:r>
              <w:rPr/>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364" w:type="dxa"/>
            <w:vMerge w:val="continue"/>
            <w:tcBorders/>
            <w:shd w:fill="auto" w:val="clear"/>
            <w:vAlign w:val="center"/>
          </w:tcPr>
          <w:p>
            <w:pPr>
              <w:pStyle w:val="Normal"/>
              <w:rPr/>
            </w:pPr>
            <w:r>
              <w:rPr/>
            </w:r>
          </w:p>
        </w:tc>
      </w:tr>
      <w:tr>
        <w:trPr/>
        <w:tc>
          <w:tcPr>
            <w:tcW w:w="2206" w:type="dxa"/>
            <w:tcBorders/>
            <w:shd w:fill="auto" w:val="clear"/>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5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64" w:type="dxa"/>
            <w:tcBorders/>
            <w:shd w:fill="auto" w:val="clear"/>
            <w:vAlign w:val="center"/>
          </w:tcPr>
          <w:p>
            <w:pPr>
              <w:pStyle w:val="TableContents"/>
              <w:spacing w:before="0" w:after="0"/>
              <w:ind w:left="0" w:right="0" w:hanging="0"/>
              <w:rPr/>
            </w:pPr>
            <w:r>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176</w:t>
      </w:r>
      <w:r>
        <w:br w:type="page"/>
      </w:r>
    </w:p>
    <w:p>
      <w:pPr>
        <w:pStyle w:val="Normal"/>
        <w:spacing w:before="0" w:after="0"/>
        <w:rPr>
          <w:sz w:val="4"/>
          <w:szCs w:val="4"/>
        </w:rPr>
      </w:pPr>
      <w:r>
        <w:rPr>
          <w:sz w:val="4"/>
          <w:szCs w:val="4"/>
        </w:rPr>
      </w:r>
      <w:bookmarkStart w:id="57" w:name="fgen-ex1036_220.htm"/>
      <w:bookmarkStart w:id="58" w:name="ksfgenex1036_220"/>
      <w:bookmarkStart w:id="59" w:name="fgen-ex1036_220.htm"/>
      <w:bookmarkStart w:id="60" w:name="ksfgenex1036_220"/>
      <w:bookmarkEnd w:id="59"/>
      <w:bookmarkEnd w:id="60"/>
    </w:p>
    <w:tbl>
      <w:tblPr>
        <w:tblW w:w="180" w:type="dxa"/>
        <w:jc w:val="left"/>
        <w:tblInd w:w="0" w:type="dxa"/>
        <w:tblCellMar>
          <w:top w:w="0" w:type="dxa"/>
          <w:left w:w="0" w:type="dxa"/>
          <w:bottom w:w="0" w:type="dxa"/>
          <w:right w:w="0" w:type="dxa"/>
        </w:tblCellMar>
      </w:tblPr>
      <w:tblGrid>
        <w:gridCol w:w="60"/>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r>
    </w:tbl>
    <w:p>
      <w:pPr>
        <w:pStyle w:val="TextBody"/>
        <w:spacing w:before="0" w:after="0"/>
        <w:rPr/>
      </w:pPr>
      <w:r>
        <w:rPr/>
        <w:t> </w:t>
      </w:r>
    </w:p>
    <w:p>
      <w:pPr>
        <w:pStyle w:val="TextBody"/>
        <w:spacing w:before="0" w:after="480"/>
        <w:jc w:val="both"/>
        <w:rPr>
          <w:rFonts w:ascii="Times New Roman" w:hAnsi="Times New Roman"/>
          <w:b/>
          <w:i w:val="false"/>
          <w:caps w:val="false"/>
          <w:smallCaps w:val="false"/>
          <w:sz w:val="22"/>
        </w:rPr>
      </w:pPr>
      <w:r>
        <w:rPr>
          <w:rFonts w:ascii="Times New Roman" w:hAnsi="Times New Roman"/>
          <w:b/>
          <w:i w:val="false"/>
          <w:caps w:val="false"/>
          <w:smallCaps w:val="false"/>
          <w:sz w:val="22"/>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jc w:val="right"/>
        <w:rPr>
          <w:rFonts w:ascii="times new roman" w:hAnsi="times new roman"/>
          <w:b/>
          <w:i w:val="false"/>
          <w:caps w:val="false"/>
          <w:smallCaps w:val="false"/>
          <w:sz w:val="22"/>
        </w:rPr>
      </w:pPr>
      <w:r>
        <w:rPr>
          <w:rFonts w:ascii="times new roman" w:hAnsi="times new roman"/>
          <w:b/>
          <w:i w:val="false"/>
          <w:caps w:val="false"/>
          <w:smallCaps w:val="false"/>
          <w:sz w:val="22"/>
        </w:rPr>
        <w:t>Exhibit 10.36</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Amendment No. 4 To Master Supply Agreement</w:t>
      </w:r>
    </w:p>
    <w:p>
      <w:pPr>
        <w:pStyle w:val="TextBody"/>
        <w:spacing w:before="0" w:after="0"/>
        <w:rPr/>
      </w:pPr>
      <w:r>
        <w:rPr/>
        <w:t> </w:t>
      </w:r>
    </w:p>
    <w:p>
      <w:pPr>
        <w:pStyle w:val="TextBody"/>
        <w:spacing w:before="0" w:after="0"/>
        <w:jc w:val="both"/>
        <w:rPr>
          <w:caps w:val="false"/>
          <w:smallCaps w:val="false"/>
        </w:rPr>
      </w:pPr>
      <w:r>
        <w:rPr>
          <w:rFonts w:ascii="Times New Roman" w:hAnsi="Times New Roman"/>
          <w:b/>
          <w:i w:val="false"/>
          <w:caps w:val="false"/>
          <w:smallCaps w:val="false"/>
          <w:sz w:val="24"/>
        </w:rPr>
        <w:t xml:space="preserve">This Amendment No. 4 </w:t>
      </w:r>
      <w:r>
        <w:rPr>
          <w:rFonts w:ascii="Times New Roman" w:hAnsi="Times New Roman"/>
          <w:b w:val="false"/>
          <w:i w:val="false"/>
          <w:caps w:val="false"/>
          <w:smallCaps w:val="false"/>
          <w:sz w:val="24"/>
        </w:rPr>
        <w:t>(the “</w:t>
      </w:r>
      <w:r>
        <w:rPr>
          <w:rFonts w:ascii="Times New Roman" w:hAnsi="Times New Roman"/>
          <w:b/>
          <w:i w:val="false"/>
          <w:caps w:val="false"/>
          <w:smallCaps w:val="false"/>
          <w:sz w:val="24"/>
        </w:rPr>
        <w:t>Fourth Amendment”</w:t>
      </w:r>
      <w:r>
        <w:rPr>
          <w:rFonts w:ascii="Times New Roman" w:hAnsi="Times New Roman"/>
          <w:b w:val="false"/>
          <w:i w:val="false"/>
          <w:caps w:val="false"/>
          <w:smallCaps w:val="false"/>
          <w:sz w:val="24"/>
        </w:rPr>
        <w:t xml:space="preserve">) is entered into as of </w:t>
      </w:r>
      <w:r>
        <w:rPr>
          <w:rFonts w:ascii="Times New Roman" w:hAnsi="Times New Roman"/>
          <w:b/>
          <w:i w:val="false"/>
          <w:caps w:val="false"/>
          <w:smallCaps w:val="false"/>
          <w:sz w:val="24"/>
        </w:rPr>
        <w:t xml:space="preserve">October 29, 2021, </w:t>
      </w:r>
      <w:r>
        <w:rPr>
          <w:rFonts w:ascii="Times New Roman" w:hAnsi="Times New Roman"/>
          <w:b w:val="false"/>
          <w:i w:val="false"/>
          <w:caps w:val="false"/>
          <w:smallCaps w:val="false"/>
          <w:sz w:val="24"/>
        </w:rPr>
        <w:t>and effective as of</w:t>
      </w:r>
      <w:r>
        <w:rPr>
          <w:rFonts w:ascii="Times New Roman" w:hAnsi="Times New Roman"/>
          <w:b/>
          <w:i w:val="false"/>
          <w:caps w:val="false"/>
          <w:smallCaps w:val="false"/>
          <w:sz w:val="24"/>
        </w:rPr>
        <w:t xml:space="preserve"> July 13, 2021 </w:t>
      </w:r>
      <w:r>
        <w:rPr>
          <w:rFonts w:ascii="Times New Roman" w:hAnsi="Times New Roman"/>
          <w:b w:val="false"/>
          <w:i w:val="false"/>
          <w:caps w:val="false"/>
          <w:smallCaps w:val="false"/>
          <w:sz w:val="24"/>
        </w:rPr>
        <w:t>(the “</w:t>
      </w:r>
      <w:r>
        <w:rPr>
          <w:rFonts w:ascii="Times New Roman" w:hAnsi="Times New Roman"/>
          <w:b/>
          <w:i w:val="false"/>
          <w:caps w:val="false"/>
          <w:smallCaps w:val="false"/>
          <w:sz w:val="24"/>
        </w:rPr>
        <w:t>Fourth Amendment Effective Date”</w:t>
      </w:r>
      <w:r>
        <w:rPr>
          <w:rFonts w:ascii="Times New Roman" w:hAnsi="Times New Roman"/>
          <w:b w:val="false"/>
          <w:i w:val="false"/>
          <w:caps w:val="false"/>
          <w:smallCaps w:val="false"/>
          <w:sz w:val="24"/>
        </w:rPr>
        <w:t>) by and among: FibroGen, Inc. and its Affiliates (collectively, “</w:t>
      </w:r>
      <w:r>
        <w:rPr>
          <w:rFonts w:ascii="Times New Roman" w:hAnsi="Times New Roman"/>
          <w:b/>
          <w:i w:val="false"/>
          <w:caps w:val="false"/>
          <w:smallCaps w:val="false"/>
          <w:sz w:val="24"/>
        </w:rPr>
        <w:t>FibroGen”</w:t>
      </w:r>
      <w:r>
        <w:rPr>
          <w:rFonts w:ascii="Times New Roman" w:hAnsi="Times New Roman"/>
          <w:b w:val="false"/>
          <w:i w:val="false"/>
          <w:caps w:val="false"/>
          <w:smallCaps w:val="false"/>
          <w:sz w:val="24"/>
        </w:rPr>
        <w:t>); and Shanghai SynTheAll Pharmaceutical Co., Ltd (d/b/a “</w:t>
      </w:r>
      <w:r>
        <w:rPr>
          <w:rFonts w:eastAsia="Times New Roman"/>
          <w:b w:val="false"/>
          <w:i w:val="false"/>
          <w:caps w:val="false"/>
          <w:smallCaps w:val="false"/>
          <w:spacing w:val="20"/>
          <w:sz w:val="24"/>
        </w:rPr>
        <w:t>上海合全药业有限公司</w:t>
      </w:r>
      <w:r>
        <w:rPr>
          <w:rFonts w:eastAsia="Times New Roman"/>
          <w:b/>
          <w:i w:val="false"/>
          <w:caps w:val="false"/>
          <w:smallCaps w:val="false"/>
          <w:sz w:val="24"/>
        </w:rPr>
        <w:t>”</w:t>
      </w:r>
      <w:r>
        <w:rPr>
          <w:rFonts w:ascii="Times New Roman" w:hAnsi="Times New Roman"/>
          <w:b w:val="false"/>
          <w:i w:val="false"/>
          <w:caps w:val="false"/>
          <w:smallCaps w:val="false"/>
          <w:sz w:val="24"/>
        </w:rPr>
        <w:t>) (“</w:t>
      </w:r>
      <w:r>
        <w:rPr>
          <w:rFonts w:ascii="Times New Roman" w:hAnsi="Times New Roman"/>
          <w:b/>
          <w:i w:val="false"/>
          <w:caps w:val="false"/>
          <w:smallCaps w:val="false"/>
          <w:sz w:val="24"/>
        </w:rPr>
        <w:t>Shanghai STA”</w:t>
      </w:r>
      <w:r>
        <w:rPr>
          <w:rFonts w:ascii="Times New Roman" w:hAnsi="Times New Roman"/>
          <w:b w:val="false"/>
          <w:i w:val="false"/>
          <w:caps w:val="false"/>
          <w:smallCaps w:val="false"/>
          <w:sz w:val="24"/>
        </w:rPr>
        <w:t>); and STA Pharmaceutical Hong Kong Limited (d/b/a “</w:t>
      </w:r>
      <w:r>
        <w:rPr>
          <w:rFonts w:eastAsia="SimSun"/>
          <w:b w:val="false"/>
          <w:i w:val="false"/>
          <w:caps w:val="false"/>
          <w:smallCaps w:val="false"/>
          <w:spacing w:val="20"/>
          <w:sz w:val="24"/>
        </w:rPr>
        <w:t>合全药业香港有限公司</w:t>
      </w:r>
      <w:r>
        <w:rPr>
          <w:rFonts w:eastAsia="Times New Roman"/>
          <w:b/>
          <w:i w:val="false"/>
          <w:caps w:val="false"/>
          <w:smallCaps w:val="false"/>
          <w:sz w:val="24"/>
        </w:rPr>
        <w:t>”</w:t>
      </w:r>
      <w:r>
        <w:rPr>
          <w:rFonts w:ascii="Times New Roman" w:hAnsi="Times New Roman"/>
          <w:b w:val="false"/>
          <w:i w:val="false"/>
          <w:caps w:val="false"/>
          <w:smallCaps w:val="false"/>
          <w:sz w:val="24"/>
        </w:rPr>
        <w:t>) (“</w:t>
      </w:r>
      <w:r>
        <w:rPr>
          <w:rFonts w:ascii="Times New Roman" w:hAnsi="Times New Roman"/>
          <w:b/>
          <w:i w:val="false"/>
          <w:caps w:val="false"/>
          <w:smallCaps w:val="false"/>
          <w:sz w:val="24"/>
        </w:rPr>
        <w:t>STA Hong Kong”</w:t>
      </w:r>
      <w:r>
        <w:rPr>
          <w:rFonts w:ascii="Times New Roman" w:hAnsi="Times New Roman"/>
          <w:b w:val="false"/>
          <w:i w:val="false"/>
          <w:caps w:val="false"/>
          <w:smallCaps w:val="false"/>
          <w:sz w:val="24"/>
        </w:rPr>
        <w:t>) (STA Hong Kong, Shanghai STA, and each of their Affiliates are collectively referred to as “</w:t>
      </w:r>
      <w:r>
        <w:rPr>
          <w:rFonts w:ascii="Times New Roman" w:hAnsi="Times New Roman"/>
          <w:b/>
          <w:i w:val="false"/>
          <w:caps w:val="false"/>
          <w:smallCaps w:val="false"/>
          <w:sz w:val="24"/>
        </w:rPr>
        <w:t>STA”</w:t>
      </w:r>
      <w:r>
        <w:rPr>
          <w:rFonts w:ascii="Times New Roman" w:hAnsi="Times New Roman"/>
          <w:b w:val="false"/>
          <w:i w:val="false"/>
          <w:caps w:val="false"/>
          <w:smallCaps w:val="false"/>
          <w:sz w:val="24"/>
        </w:rPr>
        <w:t>).  This Fourth Amendment amends the Master Supply Agreement entered into by and between STA and FibroGen on March 2, 2020 (the “</w:t>
      </w:r>
      <w:r>
        <w:rPr>
          <w:rFonts w:ascii="Times New Roman" w:hAnsi="Times New Roman"/>
          <w:b/>
          <w:i w:val="false"/>
          <w:caps w:val="false"/>
          <w:smallCaps w:val="false"/>
          <w:sz w:val="24"/>
        </w:rPr>
        <w:t>Master Supply Agreement”</w:t>
      </w:r>
      <w:r>
        <w:rPr>
          <w:rFonts w:ascii="Times New Roman" w:hAnsi="Times New Roman"/>
          <w:b w:val="false"/>
          <w:i w:val="false"/>
          <w:caps w:val="false"/>
          <w:smallCaps w:val="false"/>
          <w:sz w:val="24"/>
        </w:rPr>
        <w:t>), as amended by Amendment No. 1 effective as of May 11, 2020, Amendment No.2 effective as of July 24, 2020, and Amendment No.3 entered into as of January 12, 2021 and effective as of October 1, 2020 (collectively, the “</w:t>
      </w:r>
      <w:r>
        <w:rPr>
          <w:rFonts w:ascii="Times New Roman" w:hAnsi="Times New Roman"/>
          <w:b/>
          <w:i w:val="false"/>
          <w:caps w:val="false"/>
          <w:smallCaps w:val="false"/>
          <w:sz w:val="24"/>
        </w:rPr>
        <w:t>Prior Amendments”</w:t>
      </w:r>
      <w:r>
        <w:rPr>
          <w:rFonts w:ascii="Times New Roman" w:hAnsi="Times New Roman"/>
          <w:b w:val="false"/>
          <w:i w:val="false"/>
          <w:caps w:val="false"/>
          <w:smallCaps w:val="false"/>
          <w:sz w:val="24"/>
        </w:rPr>
        <w:t>). STA and FibroGen shall be referred to individually herein as a “</w:t>
      </w:r>
      <w:r>
        <w:rPr>
          <w:rFonts w:ascii="Times New Roman" w:hAnsi="Times New Roman"/>
          <w:b/>
          <w:i w:val="false"/>
          <w:caps w:val="false"/>
          <w:smallCaps w:val="false"/>
          <w:sz w:val="24"/>
        </w:rPr>
        <w:t>Party”</w:t>
      </w:r>
      <w:r>
        <w:rPr>
          <w:rFonts w:ascii="Times New Roman" w:hAnsi="Times New Roman"/>
          <w:b w:val="false"/>
          <w:i w:val="false"/>
          <w:caps w:val="false"/>
          <w:smallCaps w:val="false"/>
          <w:sz w:val="24"/>
        </w:rPr>
        <w:t>, and collectively as, the “</w:t>
      </w:r>
      <w:r>
        <w:rPr>
          <w:rFonts w:ascii="Times New Roman" w:hAnsi="Times New Roman"/>
          <w:b/>
          <w:i w:val="false"/>
          <w:caps w:val="false"/>
          <w:smallCaps w:val="false"/>
          <w:sz w:val="24"/>
        </w:rPr>
        <w:t>Parties”</w:t>
      </w:r>
      <w:r>
        <w:rPr>
          <w:rFonts w:ascii="Times New Roman" w:hAnsi="Times New Roman"/>
          <w:b w:val="false"/>
          <w:i w:val="false"/>
          <w:caps w:val="false"/>
          <w:smallCaps w:val="false"/>
          <w:sz w:val="24"/>
        </w:rPr>
        <w:t>. The Master Supply Agreement, the Prior Amendments, and this Fourth Amendment are collectively, the “</w:t>
      </w:r>
      <w:r>
        <w:rPr>
          <w:rFonts w:ascii="Times New Roman" w:hAnsi="Times New Roman"/>
          <w:b/>
          <w:i w:val="false"/>
          <w:caps w:val="false"/>
          <w:smallCaps w:val="false"/>
          <w:sz w:val="24"/>
        </w:rPr>
        <w:t>Agreement”</w:t>
      </w:r>
      <w:r>
        <w:rPr>
          <w:rFonts w:ascii="Times New Roman" w:hAnsi="Times New Roman"/>
          <w:b w:val="false"/>
          <w:i w:val="false"/>
          <w:caps w:val="false"/>
          <w:smallCaps w:val="false"/>
          <w:sz w:val="24"/>
        </w:rPr>
        <w:t>.  </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4"/>
        </w:rPr>
      </w:pPr>
      <w:r>
        <w:rPr>
          <w:rFonts w:ascii="Times New Roman" w:hAnsi="Times New Roman"/>
          <w:b/>
          <w:i w:val="false"/>
          <w:caps w:val="false"/>
          <w:smallCaps w:val="false"/>
          <w:sz w:val="24"/>
        </w:rPr>
        <w:t>Whereas</w:t>
      </w:r>
      <w:r>
        <w:rPr>
          <w:rFonts w:ascii="Times New Roman" w:hAnsi="Times New Roman"/>
          <w:b w:val="false"/>
          <w:i w:val="false"/>
          <w:caps w:val="false"/>
          <w:smallCaps w:val="false"/>
          <w:sz w:val="24"/>
        </w:rPr>
        <w:t xml:space="preserve">, to account for the overall price increase of [*] from [*] to [*], for shipments to FibroGen Affiliate in China, namely FibroGen (China) Medical Technology Development Company, Ltd. (referred to above as “FibroGen China”), the Parties desire to amend the Master Supply Agreement by replacing Exhibit B and Exhibit C; and </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24"/>
        </w:rPr>
      </w:pPr>
      <w:r>
        <w:rPr>
          <w:rFonts w:ascii="Times New Roman" w:hAnsi="Times New Roman"/>
          <w:b/>
          <w:i w:val="false"/>
          <w:caps w:val="false"/>
          <w:smallCaps w:val="false"/>
          <w:sz w:val="24"/>
        </w:rPr>
        <w:t>Whereas</w:t>
      </w:r>
      <w:r>
        <w:rPr>
          <w:rFonts w:ascii="Times New Roman" w:hAnsi="Times New Roman"/>
          <w:b w:val="false"/>
          <w:i w:val="false"/>
          <w:caps w:val="false"/>
          <w:smallCaps w:val="false"/>
          <w:sz w:val="24"/>
        </w:rPr>
        <w:t>, the Parties desire to continue the relationship as set forth under the Master Supply Agreement as amended by the Prior Amendments and this Fourth Amendment.  </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24"/>
        </w:rPr>
      </w:pPr>
      <w:r>
        <w:rPr>
          <w:rFonts w:ascii="Times New Roman" w:hAnsi="Times New Roman"/>
          <w:b/>
          <w:i w:val="false"/>
          <w:caps w:val="false"/>
          <w:smallCaps w:val="false"/>
          <w:sz w:val="24"/>
        </w:rPr>
        <w:t>Now, Therefore</w:t>
      </w:r>
      <w:r>
        <w:rPr>
          <w:rFonts w:ascii="Times New Roman" w:hAnsi="Times New Roman"/>
          <w:b w:val="false"/>
          <w:i w:val="false"/>
          <w:caps w:val="false"/>
          <w:smallCaps w:val="false"/>
          <w:sz w:val="24"/>
        </w:rPr>
        <w:t>, for good and valuable consideration, the receipt and sufficiency of which is hereby acknowledged, the Parties agree as follows:</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249"/>
        <w:gridCol w:w="9896"/>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9"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896"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Unless otherwise defined herein, all capitalized terms and phrases used in this Fourth Amendment shall have the meaning ascribed to them in the Master Supply Agreement as amended by the Prior Amendments.</w:t>
            </w:r>
          </w:p>
        </w:tc>
      </w:tr>
    </w:tbl>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231"/>
        <w:gridCol w:w="9914"/>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1"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14" w:type="dxa"/>
            <w:tcBorders/>
            <w:shd w:fill="auto" w:val="clear"/>
          </w:tcPr>
          <w:p>
            <w:pPr>
              <w:pStyle w:val="TableContents"/>
              <w:spacing w:before="0" w:after="0"/>
              <w:jc w:val="both"/>
              <w:rPr>
                <w:b w:val="false"/>
                <w:i w:val="false"/>
                <w:caps w:val="false"/>
                <w:smallCaps w:val="false"/>
              </w:rPr>
            </w:pPr>
            <w:r>
              <w:rPr>
                <w:b w:val="false"/>
                <w:i w:val="false"/>
                <w:caps w:val="false"/>
                <w:smallCaps w:val="false"/>
                <w:color w:val="000000"/>
              </w:rPr>
              <w:t>Exhibit B of the Master Supply Agreement is hereby deleted in its entirety and replaced with the attached “</w:t>
            </w:r>
            <w:r>
              <w:rPr>
                <w:b/>
                <w:i w:val="false"/>
                <w:caps w:val="false"/>
                <w:smallCaps w:val="false"/>
                <w:color w:val="000000"/>
                <w:u w:val="single"/>
              </w:rPr>
              <w:t xml:space="preserve">Amended and Restated </w:t>
            </w:r>
            <w:r>
              <w:rPr>
                <w:rFonts w:ascii="Times New Roman Bold" w:hAnsi="Times New Roman Bold"/>
                <w:b/>
                <w:i w:val="false"/>
                <w:caps/>
                <w:color w:val="000000"/>
                <w:u w:val="single"/>
              </w:rPr>
              <w:t>Exhibit B</w:t>
            </w:r>
            <w:r>
              <w:rPr>
                <w:b w:val="false"/>
                <w:i w:val="false"/>
                <w:caps w:val="false"/>
                <w:smallCaps w:val="false"/>
                <w:color w:val="000000"/>
              </w:rPr>
              <w:t>”, attached hereto and incorporated into the Agreement.  As of this Fourth Amendment Effective Date, all references to “Exhibit B” in the Master Supply Agreement as amended by the Prior Amendments shall be deemed to refer to “Amended and Restated Exhibit B”.</w:t>
            </w:r>
          </w:p>
        </w:tc>
      </w:tr>
    </w:tbl>
    <w:p>
      <w:pPr>
        <w:pStyle w:val="TextBody"/>
        <w:spacing w:before="0" w:after="0"/>
        <w:rPr/>
      </w:pPr>
      <w:r>
        <w:rPr/>
        <w:t> </w:t>
      </w:r>
    </w:p>
    <w:tbl>
      <w:tblPr>
        <w:tblW w:w="180" w:type="dxa"/>
        <w:jc w:val="left"/>
        <w:tblInd w:w="0" w:type="dxa"/>
        <w:tblCellMar>
          <w:top w:w="0" w:type="dxa"/>
          <w:left w:w="0" w:type="dxa"/>
          <w:bottom w:w="0" w:type="dxa"/>
          <w:right w:w="0" w:type="dxa"/>
        </w:tblCellMar>
      </w:tblPr>
      <w:tblGrid>
        <w:gridCol w:w="60"/>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80" w:type="dxa"/>
        <w:jc w:val="left"/>
        <w:tblInd w:w="0" w:type="dxa"/>
        <w:tblCellMar>
          <w:top w:w="0" w:type="dxa"/>
          <w:left w:w="0" w:type="dxa"/>
          <w:bottom w:w="0" w:type="dxa"/>
          <w:right w:w="0" w:type="dxa"/>
        </w:tblCellMar>
      </w:tblPr>
      <w:tblGrid>
        <w:gridCol w:w="60"/>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r>
    </w:tbl>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2"/>
        <w:gridCol w:w="9913"/>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2"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913" w:type="dxa"/>
            <w:tcBorders/>
            <w:shd w:fill="auto" w:val="clear"/>
          </w:tcPr>
          <w:p>
            <w:pPr>
              <w:pStyle w:val="TableContents"/>
              <w:spacing w:before="0" w:after="0"/>
              <w:jc w:val="both"/>
              <w:rPr>
                <w:b w:val="false"/>
                <w:i w:val="false"/>
                <w:caps w:val="false"/>
                <w:smallCaps w:val="false"/>
              </w:rPr>
            </w:pPr>
            <w:r>
              <w:rPr>
                <w:b w:val="false"/>
                <w:i w:val="false"/>
                <w:caps w:val="false"/>
                <w:smallCaps w:val="false"/>
                <w:color w:val="000000"/>
              </w:rPr>
              <w:t>Exhibit C of the Master Supply Agreement is hereby deleted in its entirety and replaced with the attached “</w:t>
            </w:r>
            <w:r>
              <w:rPr>
                <w:b/>
                <w:i w:val="false"/>
                <w:caps w:val="false"/>
                <w:smallCaps w:val="false"/>
                <w:color w:val="000000"/>
                <w:u w:val="single"/>
              </w:rPr>
              <w:t>Amended and Restated EXHIBIT C</w:t>
            </w:r>
            <w:r>
              <w:rPr>
                <w:b w:val="false"/>
                <w:i w:val="false"/>
                <w:caps w:val="false"/>
                <w:smallCaps w:val="false"/>
                <w:color w:val="000000"/>
              </w:rPr>
              <w:t>”, attached hereto and incorporated into the Agreement. As of the Fourth Amendment Effective Date, all references to “Exhibit C” in the Master Supply Agreement as amended by the Prior Amendments shall be replaced with “Amended and Restated Exhibit C”.</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7"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9918"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This Fourth Amendment, together with the Master Supply Agreement as amended by the Prior Amendments, contains the entire understanding of the Parties with respect to the subject matter hereof.  Except as otherwise provided herein and in the Prior Amendments, the Master Supply Agreement has not been modified or amended and remains in full force and effect. All express or implied agreements and understandings, either oral or written, heretofore made with respect to subject matter herein are expressly superseded in this Fourth Amendment.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0"/>
        <w:gridCol w:w="992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0"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9925" w:type="dxa"/>
            <w:tcBorders/>
            <w:shd w:fill="auto" w:val="clear"/>
          </w:tcPr>
          <w:p>
            <w:pPr>
              <w:pStyle w:val="TableContents"/>
              <w:spacing w:before="0" w:after="0"/>
              <w:jc w:val="both"/>
              <w:rPr>
                <w:b w:val="false"/>
                <w:i w:val="false"/>
                <w:caps w:val="false"/>
                <w:smallCaps w:val="false"/>
              </w:rPr>
            </w:pPr>
            <w:r>
              <w:rPr>
                <w:b w:val="false"/>
                <w:i w:val="false"/>
                <w:caps w:val="false"/>
                <w:smallCaps w:val="false"/>
                <w:color w:val="000000"/>
              </w:rPr>
              <w:t>This Fourth Amendment may be executed in any number of counterparts, each of which shall for all purposes be deemed an original, and all of which together shall constitute one and the same instrument. The Parties agree that execution of this Fourth Amendment shall be by e-Signatures (as defined below), and when so executed, shall have the same legal force and effect as the exchange of original signatures. Pursuant to this Fourth Amendment, “</w:t>
            </w:r>
            <w:r>
              <w:rPr>
                <w:b/>
                <w:i w:val="false"/>
                <w:caps w:val="false"/>
                <w:smallCaps w:val="false"/>
                <w:color w:val="000000"/>
              </w:rPr>
              <w:t>e-Signatures</w:t>
            </w:r>
            <w:r>
              <w:rPr>
                <w:b w:val="false"/>
                <w:i w:val="false"/>
                <w:caps w:val="false"/>
                <w:smallCaps w:val="false"/>
                <w:color w:val="000000"/>
              </w:rPr>
              <w:t>” shall mean a signature that consists of one or more letters, characters, numbers or other symbols in digital form incorporated in, attached to or associated with the electronic document, that (a) is unique to the person making the signature; (b) the technology or process used to make the signature is under the sole control of the person making the signature; (c) the technology or process can be used to identify the person using the technology or process; and (d) the electronic signature can be linked with an electronic document in such a way that it can be used to determine whether the electronic document has been changed since the electronic signature was incorporated in, attached to or associated with the electronic document. For purposes of this Fourth Amendment, the Parties have agreed to execute via DocuSign (or similar) e-Signatures.</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IN WITNESS WHEREOF, the Parties have executed this Fourth Amendment to the Master Supply Agreement as of the Fourth Amendment Effective Date.</w:t>
      </w:r>
    </w:p>
    <w:p>
      <w:pPr>
        <w:pStyle w:val="TextBody"/>
        <w:spacing w:before="0" w:after="0"/>
        <w:rPr>
          <w:caps w:val="false"/>
          <w:smallCaps w:val="false"/>
        </w:rPr>
      </w:pPr>
      <w:r>
        <w:rPr>
          <w:caps w:val="false"/>
          <w:smallCaps w:val="false"/>
        </w:rPr>
        <w:t> </w:t>
      </w:r>
    </w:p>
    <w:p>
      <w:pPr>
        <w:pStyle w:val="TextBody"/>
        <w:spacing w:before="0" w:after="0"/>
        <w:ind w:left="720" w:right="0" w:hanging="0"/>
        <w:rPr>
          <w:caps w:val="false"/>
          <w:smallCaps w:val="false"/>
          <w:color w:val="000000"/>
        </w:rPr>
      </w:pPr>
      <w:r>
        <w:rPr>
          <w:caps w:val="false"/>
          <w:smallCaps w:val="false"/>
          <w:color w:val="000000"/>
        </w:rPr>
        <w:t> </w:t>
      </w:r>
    </w:p>
    <w:tbl>
      <w:tblPr>
        <w:tblW w:w="7034" w:type="dxa"/>
        <w:jc w:val="left"/>
        <w:tblInd w:w="0" w:type="dxa"/>
        <w:tblCellMar>
          <w:top w:w="0" w:type="dxa"/>
          <w:left w:w="0" w:type="dxa"/>
          <w:bottom w:w="0" w:type="dxa"/>
          <w:right w:w="0" w:type="dxa"/>
        </w:tblCellMar>
      </w:tblPr>
      <w:tblGrid>
        <w:gridCol w:w="1234"/>
        <w:gridCol w:w="3000"/>
        <w:gridCol w:w="60"/>
        <w:gridCol w:w="650"/>
        <w:gridCol w:w="2090"/>
      </w:tblGrid>
      <w:tr>
        <w:trPr/>
        <w:tc>
          <w:tcPr>
            <w:tcW w:w="1234" w:type="dxa"/>
            <w:tcBorders/>
            <w:shd w:fill="auto" w:val="clear"/>
            <w:vAlign w:val="center"/>
          </w:tcPr>
          <w:p>
            <w:pPr>
              <w:pStyle w:val="TableContents"/>
              <w:spacing w:before="0" w:after="283"/>
              <w:rPr>
                <w:sz w:val="4"/>
                <w:szCs w:val="4"/>
              </w:rPr>
            </w:pPr>
            <w:r>
              <w:rPr>
                <w:sz w:val="4"/>
                <w:szCs w:val="4"/>
              </w:rPr>
            </w:r>
          </w:p>
        </w:tc>
        <w:tc>
          <w:tcPr>
            <w:tcW w:w="3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r>
      <w:tr>
        <w:trPr/>
        <w:tc>
          <w:tcPr>
            <w:tcW w:w="4234" w:type="dxa"/>
            <w:gridSpan w:val="2"/>
            <w:tcBorders/>
            <w:shd w:fill="auto" w:val="clear"/>
          </w:tcPr>
          <w:p>
            <w:pPr>
              <w:pStyle w:val="TableContents"/>
              <w:spacing w:before="0" w:after="0"/>
              <w:ind w:left="0" w:right="0" w:hanging="0"/>
              <w:rPr>
                <w:rFonts w:ascii="Times New Roman" w:hAnsi="Times New Roman"/>
                <w:b/>
                <w:i w:val="false"/>
                <w:caps w:val="false"/>
                <w:smallCaps w:val="false"/>
                <w:sz w:val="24"/>
              </w:rPr>
            </w:pPr>
            <w:r>
              <w:rPr>
                <w:rFonts w:ascii="Times New Roman" w:hAnsi="Times New Roman"/>
                <w:b/>
                <w:i w:val="false"/>
                <w:caps w:val="false"/>
                <w:smallCaps w:val="false"/>
                <w:sz w:val="24"/>
              </w:rPr>
              <w:t>STA Pharmaceutical Hong Kong Limited</w:t>
            </w:r>
          </w:p>
        </w:tc>
        <w:tc>
          <w:tcPr>
            <w:tcW w:w="60" w:type="dxa"/>
            <w:tcBorders/>
            <w:shd w:fill="auto" w:val="clear"/>
          </w:tcPr>
          <w:p>
            <w:pPr>
              <w:pStyle w:val="TableContents"/>
              <w:spacing w:before="0" w:after="0"/>
              <w:ind w:left="0" w:right="0" w:hanging="0"/>
              <w:rPr/>
            </w:pPr>
            <w:r>
              <w:rPr/>
              <w:t> </w:t>
            </w:r>
          </w:p>
        </w:tc>
        <w:tc>
          <w:tcPr>
            <w:tcW w:w="2740" w:type="dxa"/>
            <w:gridSpan w:val="2"/>
            <w:tcBorders/>
            <w:shd w:fill="auto" w:val="clear"/>
          </w:tcPr>
          <w:p>
            <w:pPr>
              <w:pStyle w:val="TableContents"/>
              <w:spacing w:before="0" w:after="0"/>
              <w:ind w:left="0" w:right="0" w:hanging="0"/>
              <w:rPr>
                <w:rFonts w:ascii="Times New Roman" w:hAnsi="Times New Roman"/>
                <w:b/>
                <w:i w:val="false"/>
                <w:caps w:val="false"/>
                <w:smallCaps w:val="false"/>
                <w:sz w:val="24"/>
              </w:rPr>
            </w:pPr>
            <w:r>
              <w:rPr>
                <w:rFonts w:ascii="Times New Roman" w:hAnsi="Times New Roman"/>
                <w:b/>
                <w:i w:val="false"/>
                <w:caps w:val="false"/>
                <w:smallCaps w:val="false"/>
                <w:sz w:val="24"/>
              </w:rPr>
              <w:t>FIBROGEN, INC.</w:t>
            </w:r>
          </w:p>
        </w:tc>
      </w:tr>
      <w:tr>
        <w:trPr/>
        <w:tc>
          <w:tcPr>
            <w:tcW w:w="1234"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w:t>
            </w:r>
          </w:p>
        </w:tc>
        <w:tc>
          <w:tcPr>
            <w:tcW w:w="300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/s/ Fu Xiaoyong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5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w:t>
            </w:r>
          </w:p>
        </w:tc>
        <w:tc>
          <w:tcPr>
            <w:tcW w:w="209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/s/ Michael Martinelli </w:t>
            </w:r>
          </w:p>
        </w:tc>
      </w:tr>
      <w:tr>
        <w:trPr/>
        <w:tc>
          <w:tcPr>
            <w:tcW w:w="1234"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w:t>
            </w:r>
          </w:p>
        </w:tc>
        <w:tc>
          <w:tcPr>
            <w:tcW w:w="300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Fu Xiaoyong</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5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w:t>
            </w:r>
          </w:p>
        </w:tc>
        <w:tc>
          <w:tcPr>
            <w:tcW w:w="209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Michael Martinelli</w:t>
            </w:r>
          </w:p>
        </w:tc>
      </w:tr>
      <w:tr>
        <w:trPr/>
        <w:tc>
          <w:tcPr>
            <w:tcW w:w="1234"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Title:</w:t>
            </w:r>
          </w:p>
        </w:tc>
        <w:tc>
          <w:tcPr>
            <w:tcW w:w="300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SVP</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5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Title:</w:t>
            </w:r>
          </w:p>
        </w:tc>
        <w:tc>
          <w:tcPr>
            <w:tcW w:w="209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SVP Tech Dev</w:t>
            </w:r>
          </w:p>
        </w:tc>
      </w:tr>
      <w:tr>
        <w:trPr/>
        <w:tc>
          <w:tcPr>
            <w:tcW w:w="1234"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Date:</w:t>
            </w:r>
          </w:p>
        </w:tc>
        <w:tc>
          <w:tcPr>
            <w:tcW w:w="300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11/11/2021</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5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Date:</w:t>
            </w:r>
          </w:p>
        </w:tc>
        <w:tc>
          <w:tcPr>
            <w:tcW w:w="2090"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11/12/2021</w:t>
            </w:r>
          </w:p>
        </w:tc>
      </w:tr>
    </w:tbl>
    <w:p>
      <w:pPr>
        <w:pStyle w:val="TextBody"/>
        <w:spacing w:before="24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w:t>
      </w:r>
    </w:p>
    <w:p>
      <w:pPr>
        <w:pStyle w:val="TextBody"/>
        <w:spacing w:before="0" w:after="0"/>
        <w:ind w:left="0" w:right="0" w:hanging="0"/>
        <w:rPr/>
      </w:pPr>
      <w:r>
        <w:rPr/>
        <w:t> </w:t>
      </w:r>
    </w:p>
    <w:p>
      <w:pPr>
        <w:pStyle w:val="TextBody"/>
        <w:spacing w:lineRule="atLeast" w:line="200"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ind w:left="0" w:right="0" w:hanging="0"/>
        <w:rPr/>
      </w:pPr>
      <w:r>
        <w:rPr/>
        <w:t> </w:t>
      </w:r>
    </w:p>
    <w:p>
      <w:pPr>
        <w:pStyle w:val="HorizontalLine"/>
        <w:rPr/>
      </w:pPr>
      <w:r>
        <w:rPr/>
      </w:r>
    </w:p>
    <w:tbl>
      <w:tblPr>
        <w:tblW w:w="180" w:type="dxa"/>
        <w:jc w:val="left"/>
        <w:tblInd w:w="0" w:type="dxa"/>
        <w:tblCellMar>
          <w:top w:w="0" w:type="dxa"/>
          <w:left w:w="0" w:type="dxa"/>
          <w:bottom w:w="0" w:type="dxa"/>
          <w:right w:w="0" w:type="dxa"/>
        </w:tblCellMar>
      </w:tblPr>
      <w:tblGrid>
        <w:gridCol w:w="60"/>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r>
    </w:tbl>
    <w:p>
      <w:pPr>
        <w:pStyle w:val="TextBody"/>
        <w:spacing w:before="0" w:after="0"/>
        <w:ind w:left="0" w:right="0" w:hanging="0"/>
        <w:rPr/>
      </w:pPr>
      <w:r>
        <w:rPr/>
        <w:t> </w:t>
      </w:r>
    </w:p>
    <w:tbl>
      <w:tblPr>
        <w:tblW w:w="6769" w:type="dxa"/>
        <w:jc w:val="left"/>
        <w:tblInd w:w="0" w:type="dxa"/>
        <w:tblCellMar>
          <w:top w:w="0" w:type="dxa"/>
          <w:left w:w="0" w:type="dxa"/>
          <w:bottom w:w="0" w:type="dxa"/>
          <w:right w:w="0" w:type="dxa"/>
        </w:tblCellMar>
      </w:tblPr>
      <w:tblGrid>
        <w:gridCol w:w="2481"/>
        <w:gridCol w:w="4108"/>
        <w:gridCol w:w="60"/>
        <w:gridCol w:w="60"/>
        <w:gridCol w:w="60"/>
      </w:tblGrid>
      <w:tr>
        <w:trPr/>
        <w:tc>
          <w:tcPr>
            <w:tcW w:w="2481" w:type="dxa"/>
            <w:tcBorders/>
            <w:shd w:fill="auto" w:val="clear"/>
            <w:vAlign w:val="center"/>
          </w:tcPr>
          <w:p>
            <w:pPr>
              <w:pStyle w:val="TableContents"/>
              <w:spacing w:before="0" w:after="283"/>
              <w:rPr>
                <w:sz w:val="4"/>
                <w:szCs w:val="4"/>
              </w:rPr>
            </w:pPr>
            <w:r>
              <w:rPr>
                <w:sz w:val="4"/>
                <w:szCs w:val="4"/>
              </w:rPr>
            </w:r>
          </w:p>
        </w:tc>
        <w:tc>
          <w:tcPr>
            <w:tcW w:w="41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589" w:type="dxa"/>
            <w:gridSpan w:val="2"/>
            <w:tcBorders/>
            <w:shd w:fill="auto" w:val="clear"/>
            <w:vAlign w:val="bottom"/>
          </w:tcPr>
          <w:p>
            <w:pPr>
              <w:pStyle w:val="TableContents"/>
              <w:spacing w:before="0" w:after="0"/>
              <w:ind w:left="0" w:right="0" w:hanging="0"/>
              <w:rPr/>
            </w:pPr>
            <w:r>
              <w:rPr/>
              <w:t> </w:t>
            </w:r>
          </w:p>
          <w:p>
            <w:pPr>
              <w:pStyle w:val="TableContents"/>
              <w:spacing w:before="0" w:after="0"/>
              <w:ind w:left="0" w:right="0" w:hanging="0"/>
              <w:rPr/>
            </w:pPr>
            <w:r>
              <w:rPr/>
              <w:t> </w:t>
            </w:r>
          </w:p>
          <w:p>
            <w:pPr>
              <w:pStyle w:val="TableContents"/>
              <w:spacing w:before="0" w:after="0"/>
              <w:ind w:left="0" w:right="0" w:hanging="0"/>
              <w:rPr>
                <w:rFonts w:ascii="Times New Roman" w:hAnsi="Times New Roman"/>
                <w:b/>
                <w:i w:val="false"/>
                <w:caps w:val="false"/>
                <w:smallCaps w:val="false"/>
                <w:sz w:val="24"/>
              </w:rPr>
            </w:pPr>
            <w:r>
              <w:rPr>
                <w:rFonts w:ascii="Times New Roman" w:hAnsi="Times New Roman"/>
                <w:b/>
                <w:i w:val="false"/>
                <w:caps w:val="false"/>
                <w:smallCaps w:val="false"/>
                <w:sz w:val="24"/>
              </w:rPr>
              <w:t xml:space="preserve">SHANGHAI SYNTHEALL PHARMACEUTICAL CO., LTD. </w:t>
            </w:r>
          </w:p>
        </w:tc>
        <w:tc>
          <w:tcPr>
            <w:tcW w:w="60"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2481"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By: </w:t>
            </w:r>
          </w:p>
        </w:tc>
        <w:tc>
          <w:tcPr>
            <w:tcW w:w="4108" w:type="dxa"/>
            <w:tcBorders/>
            <w:shd w:fill="auto" w:val="clear"/>
          </w:tcPr>
          <w:p>
            <w:pPr>
              <w:pStyle w:val="TableContents"/>
              <w:spacing w:before="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Fu Xiaoyong</w:t>
            </w:r>
          </w:p>
        </w:tc>
        <w:tc>
          <w:tcPr>
            <w:tcW w:w="60"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r>
        <w:trPr/>
        <w:tc>
          <w:tcPr>
            <w:tcW w:w="2481"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w:t>
            </w:r>
          </w:p>
        </w:tc>
        <w:tc>
          <w:tcPr>
            <w:tcW w:w="4108"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Fu Xiaoyong</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2481"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Title: </w:t>
            </w:r>
          </w:p>
        </w:tc>
        <w:tc>
          <w:tcPr>
            <w:tcW w:w="4108"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SVP</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r>
      <w:tr>
        <w:trPr/>
        <w:tc>
          <w:tcPr>
            <w:tcW w:w="2481"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Date:</w:t>
            </w:r>
          </w:p>
        </w:tc>
        <w:tc>
          <w:tcPr>
            <w:tcW w:w="4108" w:type="dxa"/>
            <w:tcBorders>
              <w:top w:val="single" w:sz="6" w:space="0" w:color="000000"/>
              <w:bottom w:val="single" w:sz="6" w:space="0" w:color="000000"/>
            </w:tcBorders>
            <w:shd w:fill="auto" w:val="clear"/>
            <w:tcMar>
              <w:top w:w="28" w:type="dxa"/>
              <w:bottom w:w="28" w:type="dxa"/>
            </w:tcM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11/11/2021</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r>
    </w:tbl>
    <w:p>
      <w:pPr>
        <w:pStyle w:val="TextBody"/>
        <w:spacing w:before="0" w:after="0"/>
        <w:jc w:val="right"/>
        <w:rPr/>
      </w:pPr>
      <w:r>
        <w:rPr/>
        <w:t> </w:t>
      </w:r>
    </w:p>
    <w:p>
      <w:pPr>
        <w:pStyle w:val="TextBody"/>
        <w:spacing w:before="0" w:after="0"/>
        <w:jc w:val="right"/>
        <w:rPr>
          <w:caps w:val="false"/>
          <w:smallCaps w:val="false"/>
        </w:rPr>
      </w:pPr>
      <w:r>
        <w:rPr>
          <w:caps w:val="false"/>
          <w:smallCaps w:val="false"/>
        </w:rPr>
        <w:drawing>
          <wp:inline distT="0" distB="0" distL="0" distR="0">
            <wp:extent cx="542925" cy="514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65"/>
                    <a:stretch>
                      <a:fillRect/>
                    </a:stretch>
                  </pic:blipFill>
                  <pic:spPr bwMode="auto">
                    <a:xfrm>
                      <a:off x="0" y="0"/>
                      <a:ext cx="542925" cy="514350"/>
                    </a:xfrm>
                    <a:prstGeom prst="rect">
                      <a:avLst/>
                    </a:prstGeom>
                  </pic:spPr>
                </pic:pic>
              </a:graphicData>
            </a:graphic>
          </wp:inline>
        </w:drawing>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3</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rPr/>
      </w:pPr>
      <w:r>
        <w:rPr/>
        <w:t> </w:t>
      </w:r>
    </w:p>
    <w:p>
      <w:pPr>
        <w:pStyle w:val="HorizontalLine"/>
        <w:rPr/>
      </w:pPr>
      <w:r>
        <w:rPr/>
      </w:r>
    </w:p>
    <w:tbl>
      <w:tblPr>
        <w:tblW w:w="180" w:type="dxa"/>
        <w:jc w:val="left"/>
        <w:tblInd w:w="0" w:type="dxa"/>
        <w:tblCellMar>
          <w:top w:w="0" w:type="dxa"/>
          <w:left w:w="0" w:type="dxa"/>
          <w:bottom w:w="0" w:type="dxa"/>
          <w:right w:w="0" w:type="dxa"/>
        </w:tblCellMar>
      </w:tblPr>
      <w:tblGrid>
        <w:gridCol w:w="60"/>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Amended and Restated</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EXHIBIT B</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 xml:space="preserve">Price of Product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w:t>
      </w:r>
    </w:p>
    <w:p>
      <w:pPr>
        <w:pStyle w:val="TextBody"/>
        <w:spacing w:before="0" w:after="0"/>
        <w:jc w:val="center"/>
        <w:rPr/>
      </w:pPr>
      <w:r>
        <w:rPr/>
        <w:t> </w:t>
      </w:r>
    </w:p>
    <w:p>
      <w:pPr>
        <w:pStyle w:val="TextBody"/>
        <w:spacing w:before="0" w:after="0"/>
        <w:jc w:val="center"/>
        <w:rPr/>
      </w:pPr>
      <w:r>
        <w:rPr/>
        <w:t> </w:t>
      </w:r>
    </w:p>
    <w:p>
      <w:pPr>
        <w:pStyle w:val="TextBody"/>
        <w:spacing w:before="0" w:after="0"/>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4</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rPr/>
      </w:pPr>
      <w:r>
        <w:rPr/>
        <w:t> </w:t>
      </w:r>
    </w:p>
    <w:p>
      <w:pPr>
        <w:pStyle w:val="HorizontalLine"/>
        <w:rPr/>
      </w:pPr>
      <w:r>
        <w:rPr/>
      </w:r>
    </w:p>
    <w:tbl>
      <w:tblPr>
        <w:tblW w:w="180" w:type="dxa"/>
        <w:jc w:val="left"/>
        <w:tblInd w:w="0" w:type="dxa"/>
        <w:tblCellMar>
          <w:top w:w="0" w:type="dxa"/>
          <w:left w:w="0" w:type="dxa"/>
          <w:bottom w:w="0" w:type="dxa"/>
          <w:right w:w="0" w:type="dxa"/>
        </w:tblCellMar>
      </w:tblPr>
      <w:tblGrid>
        <w:gridCol w:w="60"/>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r>
    </w:tbl>
    <w:p>
      <w:pPr>
        <w:pStyle w:val="TextBody"/>
        <w:spacing w:before="0" w:after="0"/>
        <w:rPr/>
      </w:pPr>
      <w:r>
        <w:rPr/>
        <w:t> </w:t>
      </w:r>
    </w:p>
    <w:p>
      <w:pPr>
        <w:pStyle w:val="TextBody"/>
        <w:spacing w:before="0" w:after="0"/>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Amended and Restated</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EXHIBIT C</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FibroGen Stockpile (Pricing and Quantity Ordered)</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w:t>
      </w:r>
    </w:p>
    <w:p>
      <w:pPr>
        <w:pStyle w:val="TextBody"/>
        <w:spacing w:before="0" w:after="0"/>
        <w:jc w:val="center"/>
        <w:rPr/>
      </w:pPr>
      <w:r>
        <w:rPr/>
        <w:t> </w:t>
      </w:r>
    </w:p>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5</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rPr/>
      </w:pPr>
      <w:r>
        <w:rPr/>
        <w:t> </w:t>
      </w:r>
    </w:p>
    <w:p>
      <w:pPr>
        <w:pStyle w:val="HorizontalLine"/>
        <w:rPr/>
      </w:pPr>
      <w:r>
        <w:rPr/>
      </w:r>
    </w:p>
    <w:tbl>
      <w:tblPr>
        <w:tblW w:w="180" w:type="dxa"/>
        <w:jc w:val="left"/>
        <w:tblInd w:w="0" w:type="dxa"/>
        <w:tblCellMar>
          <w:top w:w="0" w:type="dxa"/>
          <w:left w:w="0" w:type="dxa"/>
          <w:bottom w:w="0" w:type="dxa"/>
          <w:right w:w="0" w:type="dxa"/>
        </w:tblCellMar>
      </w:tblPr>
      <w:tblGrid>
        <w:gridCol w:w="60"/>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Amended and Restated</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EXHIBIT C - continued</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Draw Down Prices if FibroGen chooses to convert the Stockpiled Intermediates to API or FG-[*]</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u w:val="single"/>
        </w:rPr>
      </w:pPr>
      <w:r>
        <w:rPr>
          <w:u w:val="single"/>
        </w:rPr>
      </w:r>
    </w:p>
    <w:p>
      <w:pPr>
        <w:pStyle w:val="TextBody"/>
        <w:spacing w:before="24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6</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rPr/>
      </w:pPr>
      <w:r>
        <w:rPr/>
        <w:t> </w:t>
      </w:r>
    </w:p>
    <w:p>
      <w:pPr>
        <w:pStyle w:val="HorizontalLine"/>
        <w:rPr/>
      </w:pPr>
      <w:r>
        <w:rPr/>
      </w:r>
    </w:p>
    <w:tbl>
      <w:tblPr>
        <w:tblW w:w="180" w:type="dxa"/>
        <w:jc w:val="left"/>
        <w:tblInd w:w="0" w:type="dxa"/>
        <w:tblCellMar>
          <w:top w:w="0" w:type="dxa"/>
          <w:left w:w="0" w:type="dxa"/>
          <w:bottom w:w="0" w:type="dxa"/>
          <w:right w:w="0" w:type="dxa"/>
        </w:tblCellMar>
      </w:tblPr>
      <w:tblGrid>
        <w:gridCol w:w="60"/>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Amended and Restated</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EXHIBIT C - continued</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Draw Down Prices if FibroGen chooses to convert the Stockpiled Intermediates to API or FG-[*]</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w:t>
      </w:r>
    </w:p>
    <w:p>
      <w:pPr>
        <w:pStyle w:val="TextBody"/>
        <w:spacing w:before="0" w:after="0"/>
        <w:jc w:val="center"/>
        <w:rPr>
          <w:caps w:val="false"/>
          <w:smallCaps w:val="false"/>
        </w:rPr>
      </w:pPr>
      <w:r>
        <w:rPr>
          <w:caps w:val="false"/>
          <w:smallCaps w:val="false"/>
        </w:rPr>
        <w:t> </w:t>
      </w:r>
    </w:p>
    <w:p>
      <w:pPr>
        <w:pStyle w:val="TextBody"/>
        <w:spacing w:before="0" w:after="0"/>
        <w:jc w:val="center"/>
        <w:rPr/>
      </w:pPr>
      <w:r>
        <w:rPr/>
        <w:t> </w:t>
      </w:r>
    </w:p>
    <w:p>
      <w:pPr>
        <w:pStyle w:val="TextBody"/>
        <w:spacing w:before="0" w:after="0"/>
        <w:jc w:val="center"/>
        <w:rPr/>
      </w:pPr>
      <w:r>
        <w:rPr/>
        <w:t> </w:t>
      </w:r>
    </w:p>
    <w:p>
      <w:pPr>
        <w:pStyle w:val="TextBody"/>
        <w:spacing w:before="0" w:after="240"/>
        <w:jc w:val="both"/>
        <w:rPr/>
      </w:pPr>
      <w:r>
        <w:rPr/>
        <w:t> </w:t>
      </w:r>
    </w:p>
    <w:p>
      <w:pPr>
        <w:pStyle w:val="TextBody"/>
        <w:spacing w:before="0" w:after="240"/>
        <w:jc w:val="both"/>
        <w:rPr/>
      </w:pPr>
      <w:r>
        <w:rPr/>
        <w:t> </w:t>
      </w:r>
    </w:p>
    <w:p>
      <w:pPr>
        <w:pStyle w:val="TextBody"/>
        <w:spacing w:before="0" w:after="240"/>
        <w:jc w:val="both"/>
        <w:rPr/>
      </w:pPr>
      <w:r>
        <w:rPr/>
        <w:t> </w:t>
      </w:r>
    </w:p>
    <w:p>
      <w:pPr>
        <w:pStyle w:val="TextBody"/>
        <w:spacing w:before="0" w:after="240"/>
        <w:jc w:val="both"/>
        <w:rPr/>
      </w:pPr>
      <w:r>
        <w:rPr/>
        <w:t> </w:t>
      </w:r>
    </w:p>
    <w:p>
      <w:pPr>
        <w:pStyle w:val="TextBody"/>
        <w:spacing w:before="0" w:after="240"/>
        <w:jc w:val="both"/>
        <w:rPr/>
      </w:pPr>
      <w:r>
        <w:rPr/>
        <w:t> </w:t>
      </w:r>
    </w:p>
    <w:p>
      <w:pPr>
        <w:pStyle w:val="TextBody"/>
        <w:spacing w:before="0" w:after="240"/>
        <w:jc w:val="both"/>
        <w:rPr/>
      </w:pPr>
      <w:r>
        <w:rPr/>
        <w:t> </w:t>
      </w:r>
    </w:p>
    <w:p>
      <w:pPr>
        <w:pStyle w:val="TextBody"/>
        <w:spacing w:before="0" w:after="240"/>
        <w:jc w:val="both"/>
        <w:rPr/>
      </w:pPr>
      <w:r>
        <w:rPr/>
        <w:t> </w:t>
      </w:r>
    </w:p>
    <w:p>
      <w:pPr>
        <w:pStyle w:val="TextBody"/>
        <w:spacing w:before="0" w:after="24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7</w:t>
      </w:r>
    </w:p>
    <w:p>
      <w:pPr>
        <w:pStyle w:val="TextBody"/>
        <w:spacing w:before="0" w:after="0"/>
        <w:rPr/>
      </w:pPr>
      <w:r>
        <w:rPr/>
        <w:t> </w:t>
      </w:r>
    </w:p>
    <w:p>
      <w:pPr>
        <w:pStyle w:val="TextBody"/>
        <w:spacing w:lineRule="atLeast" w:line="200"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 Certain confidential information contained in this document, marked by brackets, has been omitted because it is both (i) not material and (ii) would likely cause competitive harm to the company if publicly disclosed.</w:t>
      </w:r>
    </w:p>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sz w:val="20"/>
        </w:rPr>
      </w:pPr>
      <w:bookmarkStart w:id="61" w:name="fgen-ex231_12.htm"/>
      <w:bookmarkStart w:id="62" w:name="ksfgenex231_12"/>
      <w:bookmarkEnd w:id="61"/>
      <w:bookmarkEnd w:id="62"/>
      <w:r>
        <w:rPr>
          <w:rFonts w:ascii="Times New Roman" w:hAnsi="Times New Roman"/>
          <w:b/>
          <w:i w:val="false"/>
          <w:caps w:val="false"/>
          <w:smallCaps w:val="false"/>
          <w:sz w:val="20"/>
        </w:rPr>
        <w:t>Exhibit 23.1</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Consent of Independent Registered Public Accounting Firm</w:t>
      </w:r>
    </w:p>
    <w:p>
      <w:pPr>
        <w:pStyle w:val="TextBody"/>
        <w:spacing w:before="4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hereby consent to the incorporation by reference in the Registration Statements on Form S-3, (No 333-216368 and No. 333-236844) and Form S-8 (No. 333-200348, No. 333-213816, No. 333-216369, No. 333-233204 and No. 333-258655) of FibroGen Inc. of our report dated February 28, 2022 relating to the financial statements and financial statement schedule and the effectiveness of internal control over financial reporting, which appears in this Form 10-K.</w:t>
      </w:r>
    </w:p>
    <w:p>
      <w:pPr>
        <w:pStyle w:val="TextBody"/>
        <w:spacing w:before="4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PricewaterhouseCoopers LLP</w:t>
      </w:r>
    </w:p>
    <w:p>
      <w:pPr>
        <w:pStyle w:val="TextBody"/>
        <w:spacing w:before="4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San Jose, California</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February 28, 2022</w:t>
      </w:r>
      <w:r>
        <w:br w:type="page"/>
      </w:r>
    </w:p>
    <w:p>
      <w:pPr>
        <w:pStyle w:val="TextBody"/>
        <w:spacing w:before="0" w:after="0"/>
        <w:jc w:val="right"/>
        <w:rPr>
          <w:rFonts w:ascii="Times New Roman" w:hAnsi="Times New Roman"/>
          <w:b/>
          <w:i w:val="false"/>
          <w:caps w:val="false"/>
          <w:smallCaps w:val="false"/>
          <w:sz w:val="20"/>
        </w:rPr>
      </w:pPr>
      <w:bookmarkStart w:id="63" w:name="fgen-ex311_11.htm"/>
      <w:bookmarkStart w:id="64" w:name="ksfgenex311_11"/>
      <w:bookmarkEnd w:id="63"/>
      <w:bookmarkEnd w:id="64"/>
      <w:r>
        <w:rPr>
          <w:rFonts w:ascii="Times New Roman" w:hAnsi="Times New Roman"/>
          <w:b/>
          <w:i w:val="false"/>
          <w:caps w:val="false"/>
          <w:smallCaps w:val="false"/>
          <w:sz w:val="20"/>
        </w:rPr>
        <w:t>Exhibit 31.1</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Enrique Conterno, certify that;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I have reviewed this annual report on Form 10-K of FibroGen, Inc.;</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rPr/>
      </w:pPr>
      <w:r>
        <w:rPr/>
        <w:t> </w:t>
      </w:r>
    </w:p>
    <w:tbl>
      <w:tblPr>
        <w:tblW w:w="4690" w:type="dxa"/>
        <w:jc w:val="center"/>
        <w:tblInd w:w="0" w:type="dxa"/>
        <w:tblCellMar>
          <w:top w:w="0" w:type="dxa"/>
          <w:left w:w="0" w:type="dxa"/>
          <w:bottom w:w="28" w:type="dxa"/>
          <w:right w:w="0" w:type="dxa"/>
        </w:tblCellMar>
      </w:tblPr>
      <w:tblGrid>
        <w:gridCol w:w="1985"/>
        <w:gridCol w:w="60"/>
        <w:gridCol w:w="2645"/>
      </w:tblGrid>
      <w:tr>
        <w:trPr/>
        <w:tc>
          <w:tcPr>
            <w:tcW w:w="198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February 28, 2022</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2645" w:type="dxa"/>
            <w:tcBorders>
              <w:bottom w:val="single" w:sz="6" w:space="0" w:color="000000"/>
            </w:tcBorders>
            <w:shd w:fill="auto" w:val="clear"/>
            <w:vAlign w:val="bottom"/>
          </w:tcPr>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Enrique Conterno</w:t>
            </w:r>
          </w:p>
        </w:tc>
      </w:tr>
      <w:tr>
        <w:trPr/>
        <w:tc>
          <w:tcPr>
            <w:tcW w:w="19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2645" w:type="dxa"/>
            <w:tcBorders>
              <w:top w:val="sing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Enrique Conterno</w:t>
            </w:r>
          </w:p>
        </w:tc>
      </w:tr>
      <w:tr>
        <w:trPr/>
        <w:tc>
          <w:tcPr>
            <w:tcW w:w="19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264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 xml:space="preserve">Chief Executive Officer </w:t>
            </w:r>
          </w:p>
        </w:tc>
      </w:tr>
      <w:tr>
        <w:trPr/>
        <w:tc>
          <w:tcPr>
            <w:tcW w:w="19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2645" w:type="dxa"/>
            <w:tcBorders/>
            <w:shd w:fill="auto" w:val="clear"/>
            <w:tcMar>
              <w:bottom w:w="0" w:type="dxa"/>
            </w:tcMar>
            <w:vAlign w:val="bottom"/>
          </w:tcPr>
          <w:p>
            <w:pPr>
              <w:pStyle w:val="TableContents"/>
              <w:spacing w:before="0" w:after="2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(Principal Executive Officer)</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sz w:val="20"/>
        </w:rPr>
      </w:pPr>
      <w:bookmarkStart w:id="65" w:name="fgen-ex312_8.htm"/>
      <w:bookmarkStart w:id="66" w:name="ksfgenex312_8"/>
      <w:bookmarkEnd w:id="65"/>
      <w:bookmarkEnd w:id="66"/>
      <w:r>
        <w:rPr>
          <w:rFonts w:ascii="Times New Roman" w:hAnsi="Times New Roman"/>
          <w:b/>
          <w:i w:val="false"/>
          <w:caps w:val="false"/>
          <w:smallCaps w:val="false"/>
          <w:sz w:val="20"/>
        </w:rPr>
        <w:t>Exhibit 31.2</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Juan Graham, certify that;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I have reviewed this annual report on Form 10-K of FibroGen, Inc.;</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rPr/>
      </w:pPr>
      <w:r>
        <w:rPr/>
        <w:t> </w:t>
      </w:r>
    </w:p>
    <w:tbl>
      <w:tblPr>
        <w:tblW w:w="6400" w:type="dxa"/>
        <w:jc w:val="center"/>
        <w:tblInd w:w="0" w:type="dxa"/>
        <w:tblCellMar>
          <w:top w:w="0" w:type="dxa"/>
          <w:left w:w="0" w:type="dxa"/>
          <w:bottom w:w="28" w:type="dxa"/>
          <w:right w:w="0" w:type="dxa"/>
        </w:tblCellMar>
      </w:tblPr>
      <w:tblGrid>
        <w:gridCol w:w="1985"/>
        <w:gridCol w:w="60"/>
        <w:gridCol w:w="4355"/>
      </w:tblGrid>
      <w:tr>
        <w:trPr/>
        <w:tc>
          <w:tcPr>
            <w:tcW w:w="198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February 28, 2022</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4355" w:type="dxa"/>
            <w:tcBorders>
              <w:bottom w:val="single" w:sz="6" w:space="0" w:color="000000"/>
            </w:tcBorders>
            <w:shd w:fill="auto" w:val="clear"/>
            <w:vAlign w:val="bottom"/>
          </w:tcPr>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Juan Graham</w:t>
            </w:r>
          </w:p>
        </w:tc>
      </w:tr>
      <w:tr>
        <w:trPr/>
        <w:tc>
          <w:tcPr>
            <w:tcW w:w="19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55" w:type="dxa"/>
            <w:tcBorders>
              <w:top w:val="sing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Juan Graham</w:t>
            </w:r>
          </w:p>
        </w:tc>
      </w:tr>
      <w:tr>
        <w:trPr/>
        <w:tc>
          <w:tcPr>
            <w:tcW w:w="19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5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 xml:space="preserve">Senior Vice President and Chief Financial Officer </w:t>
            </w:r>
          </w:p>
          <w:p>
            <w:pPr>
              <w:pStyle w:val="TableContents"/>
              <w:spacing w:before="0" w:after="0"/>
              <w:ind w:left="265"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r>
      <w:tr>
        <w:trPr/>
        <w:tc>
          <w:tcPr>
            <w:tcW w:w="19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5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sz w:val="20"/>
        </w:rPr>
      </w:pPr>
      <w:bookmarkStart w:id="67" w:name="fgen-ex321_13.htm"/>
      <w:bookmarkStart w:id="68" w:name="ksfgenex321_13"/>
      <w:bookmarkEnd w:id="67"/>
      <w:bookmarkEnd w:id="68"/>
      <w:r>
        <w:rPr>
          <w:rFonts w:ascii="Times New Roman" w:hAnsi="Times New Roman"/>
          <w:b/>
          <w:i w:val="false"/>
          <w:caps w:val="false"/>
          <w:smallCaps w:val="false"/>
          <w:sz w:val="20"/>
        </w:rPr>
        <w:t>Exhibit 32.1</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 set forth in Rule 13a-14(b) of the Securities Exchange Act of 1934, as amended (the “Exchange Act”), and Section 1350 of Chapter 63 of Title 18 of the United States Code (18 U.S.C. §1350), Enrique Conterno, Chief Executive Officer of FibroGen, Inc. (the “Company”), and Juan Graham, Chief Financial Officer of the Company, each hereby certifies that, to the best of his knowledge:</w:t>
      </w:r>
    </w:p>
    <w:tbl>
      <w:tblPr>
        <w:tblW w:w="10205" w:type="dxa"/>
        <w:jc w:val="left"/>
        <w:tblInd w:w="0" w:type="dxa"/>
        <w:tblCellMar>
          <w:top w:w="0" w:type="dxa"/>
          <w:left w:w="0" w:type="dxa"/>
          <w:bottom w:w="0" w:type="dxa"/>
          <w:right w:w="0" w:type="dxa"/>
        </w:tblCellMar>
      </w:tblPr>
      <w:tblGrid>
        <w:gridCol w:w="145"/>
        <w:gridCol w:w="10060"/>
      </w:tblGrid>
      <w:tr>
        <w:trPr/>
        <w:tc>
          <w:tcPr>
            <w:tcW w:w="1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1006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Annual Report on Form 10-K for the year ended December 31, 2021 (the “Annual Report”), to which this Certification is attached as Exhibit 32.1, fully complies with the requirements of Section 13(a) or Section 15(d) of the Exchange Act, and</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spacing w:lineRule="auto" w:line="288"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In Witness Whereof</w:t>
      </w:r>
      <w:r>
        <w:rPr>
          <w:rFonts w:ascii="Times New Roman" w:hAnsi="Times New Roman"/>
          <w:b w:val="false"/>
          <w:i w:val="false"/>
          <w:caps w:val="false"/>
          <w:smallCaps w:val="false"/>
          <w:sz w:val="20"/>
        </w:rPr>
        <w:t>, the undersigned have set their hands hereto as of the 28th day of February 2022.</w:t>
      </w:r>
    </w:p>
    <w:p>
      <w:pPr>
        <w:pStyle w:val="TextBody"/>
        <w:spacing w:before="0" w:after="0"/>
        <w:rPr/>
      </w:pPr>
      <w:r>
        <w:rPr/>
        <w:t> </w:t>
      </w:r>
    </w:p>
    <w:tbl>
      <w:tblPr>
        <w:tblW w:w="6010" w:type="dxa"/>
        <w:jc w:val="center"/>
        <w:tblInd w:w="0" w:type="dxa"/>
        <w:tblCellMar>
          <w:top w:w="0" w:type="dxa"/>
          <w:left w:w="0" w:type="dxa"/>
          <w:bottom w:w="28" w:type="dxa"/>
          <w:right w:w="0" w:type="dxa"/>
        </w:tblCellMar>
      </w:tblPr>
      <w:tblGrid>
        <w:gridCol w:w="1940"/>
        <w:gridCol w:w="60"/>
        <w:gridCol w:w="4010"/>
      </w:tblGrid>
      <w:tr>
        <w:trPr/>
        <w:tc>
          <w:tcPr>
            <w:tcW w:w="1940" w:type="dxa"/>
            <w:tcBorders>
              <w:bottom w:val="single" w:sz="6" w:space="0" w:color="000000"/>
            </w:tcBorders>
            <w:shd w:fill="auto" w:val="clear"/>
            <w:vAlign w:val="bottom"/>
          </w:tcPr>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Enrique Conterno</w:t>
            </w:r>
          </w:p>
        </w:tc>
        <w:tc>
          <w:tcPr>
            <w:tcW w:w="60" w:type="dxa"/>
            <w:tcBorders>
              <w:bottom w:val="single" w:sz="6" w:space="0" w:color="000000"/>
            </w:tcBorders>
            <w:shd w:fill="auto" w:val="clear"/>
          </w:tcPr>
          <w:p>
            <w:pPr>
              <w:pStyle w:val="TableContents"/>
              <w:spacing w:before="0" w:after="0"/>
              <w:ind w:left="0" w:right="0" w:hanging="0"/>
              <w:rPr>
                <w:caps w:val="false"/>
                <w:smallCaps w:val="false"/>
              </w:rPr>
            </w:pPr>
            <w:r>
              <w:rPr>
                <w:caps w:val="false"/>
                <w:smallCaps w:val="false"/>
              </w:rPr>
              <w:t> </w:t>
            </w:r>
          </w:p>
        </w:tc>
        <w:tc>
          <w:tcPr>
            <w:tcW w:w="401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Juan Graham</w:t>
            </w:r>
          </w:p>
        </w:tc>
      </w:tr>
      <w:tr>
        <w:trPr/>
        <w:tc>
          <w:tcPr>
            <w:tcW w:w="194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Enrique Conterno</w:t>
            </w:r>
          </w:p>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Executive Officer</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401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Juan Graham</w:t>
            </w:r>
          </w:p>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Senior Vice President and Chief Financial Officer</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Times New Roman Bold">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921299/000119312514420380/d824859dex31.htm" TargetMode="External"/><Relationship Id="rId9" Type="http://schemas.openxmlformats.org/officeDocument/2006/relationships/hyperlink" Target="http://www.sec.gov/Archives/edgar/data/921299/000119312514380087/d720189dex34.htm" TargetMode="External"/><Relationship Id="rId10" Type="http://schemas.openxmlformats.org/officeDocument/2006/relationships/hyperlink" Target="http://www.sec.gov/Archives/edgar/data/921299/000119312514420380/d824859dex41.htm" TargetMode="External"/><Relationship Id="rId11" Type="http://schemas.openxmlformats.org/officeDocument/2006/relationships/hyperlink" Target="http://www.sec.gov/Archives/edgar/data/921299/000156459017022738/fgen-ex46_97.htm" TargetMode="External"/><Relationship Id="rId12" Type="http://schemas.openxmlformats.org/officeDocument/2006/relationships/hyperlink" Target="http://www.sec.gov/Archives/edgar/data/921299/000119312514381669/d720189dex417.htm" TargetMode="External"/><Relationship Id="rId13" Type="http://schemas.openxmlformats.org/officeDocument/2006/relationships/hyperlink" Target="http://www.sec.gov/Archives/edgar/data/0000921299/000156459020008161/fgen-ex44_244.htm" TargetMode="External"/><Relationship Id="rId14" Type="http://schemas.openxmlformats.org/officeDocument/2006/relationships/hyperlink" Target="http://www.sec.gov/Archives/edgar/data/921299/000119312514359619/d720189dex103i.htm" TargetMode="External"/><Relationship Id="rId15" Type="http://schemas.openxmlformats.org/officeDocument/2006/relationships/hyperlink" Target="http://www.sec.gov/Archives/edgar/data/921299/000119312514359619/d720189dex103ii.htm" TargetMode="External"/><Relationship Id="rId16" Type="http://schemas.openxmlformats.org/officeDocument/2006/relationships/hyperlink" Target="http://www.sec.gov/Archives/edgar/data/921299/000119312514359619/d720189dex103iii.htm" TargetMode="External"/><Relationship Id="rId17" Type="http://schemas.openxmlformats.org/officeDocument/2006/relationships/hyperlink" Target="http://www.sec.gov/Archives/edgar/data/921299/000119312514359619/d720189dex103iv.htm" TargetMode="External"/><Relationship Id="rId18" Type="http://schemas.openxmlformats.org/officeDocument/2006/relationships/hyperlink" Target="http://www.sec.gov/Archives/edgar/data/921299/000119312514359619/d720189dex103v.htm" TargetMode="External"/><Relationship Id="rId19" Type="http://schemas.openxmlformats.org/officeDocument/2006/relationships/hyperlink" Target="http://www.sec.gov/Archives/edgar/data/921299/000119312514406755/d808943dex104.htm" TargetMode="External"/><Relationship Id="rId20" Type="http://schemas.openxmlformats.org/officeDocument/2006/relationships/hyperlink" Target="http://www.sec.gov/Archives/edgar/data/921299/000119312514406755/d808943dex105.htm" TargetMode="External"/><Relationship Id="rId21" Type="http://schemas.openxmlformats.org/officeDocument/2006/relationships/hyperlink" Target="http://www.sec.gov/Archives/edgar/data/0000921299/000156459020022855/fgen-ex101_190.htm" TargetMode="External"/><Relationship Id="rId22" Type="http://schemas.openxmlformats.org/officeDocument/2006/relationships/hyperlink" Target="http://www.sec.gov/Archives/edgar/data/921299/000119312518048551/d500266dex105.htm" TargetMode="External"/><Relationship Id="rId23" Type="http://schemas.openxmlformats.org/officeDocument/2006/relationships/hyperlink" Target="http://www.sec.gov/Archives/edgar/data/921299/000119312514359619/d720189dex108.htm" TargetMode="External"/><Relationship Id="rId24" Type="http://schemas.openxmlformats.org/officeDocument/2006/relationships/hyperlink" Target="http://www.sec.gov/Archives/edgar/data/921299/000119312514359619/d720189dex109.htm" TargetMode="External"/><Relationship Id="rId25" Type="http://schemas.openxmlformats.org/officeDocument/2006/relationships/hyperlink" Target="http://www.sec.gov/Archives/edgar/data/921299/000119312514359619/d720189dex1010.htm" TargetMode="External"/><Relationship Id="rId26" Type="http://schemas.openxmlformats.org/officeDocument/2006/relationships/hyperlink" Target="http://www.sec.gov/Archives/edgar/data/0000921299/000156459020051315/fgen-ex101_102.htm" TargetMode="External"/><Relationship Id="rId27" Type="http://schemas.openxmlformats.org/officeDocument/2006/relationships/hyperlink" Target="http://www.sec.gov/Archives/edgar/data/0000921299/000156459019004979/fgen-ex109i_141.htm" TargetMode="External"/><Relationship Id="rId28" Type="http://schemas.openxmlformats.org/officeDocument/2006/relationships/hyperlink" Target="http://www.sec.gov/Archives/edgar/data/921299/000119312514359619/d720189dex1012.htm" TargetMode="External"/><Relationship Id="rId29" Type="http://schemas.openxmlformats.org/officeDocument/2006/relationships/hyperlink" Target="http://www.sec.gov/Archives/edgar/data/921299/000119312514359619/d720189dex1013.htm" TargetMode="External"/><Relationship Id="rId30" Type="http://schemas.openxmlformats.org/officeDocument/2006/relationships/hyperlink" Target="http://www.sec.gov/Archives/edgar/data/921299/000119312514359619/d720189dex1014.htm" TargetMode="External"/><Relationship Id="rId31" Type="http://schemas.openxmlformats.org/officeDocument/2006/relationships/hyperlink" Target="http://www.sec.gov/Archives/edgar/data/921299/000119312514359619/d720189dex1015.htm" TargetMode="External"/><Relationship Id="rId32" Type="http://schemas.openxmlformats.org/officeDocument/2006/relationships/hyperlink" Target="http://www.sec.gov/Archives/edgar/data/921299/000119312514359619/d720189dex1016.htm" TargetMode="External"/><Relationship Id="rId33" Type="http://schemas.openxmlformats.org/officeDocument/2006/relationships/hyperlink" Target="http://www.sec.gov/Archives/edgar/data/0000921299/000156459020051315/fgen-ex103_98.htm" TargetMode="External"/><Relationship Id="rId34" Type="http://schemas.openxmlformats.org/officeDocument/2006/relationships/hyperlink" Target="http://www.sec.gov/Archives/edgar/data/0000921299/000156459020051315/fgen-ex102_99.htm" TargetMode="External"/><Relationship Id="rId35" Type="http://schemas.openxmlformats.org/officeDocument/2006/relationships/hyperlink" Target="http://www.sec.gov/Archives/edgar/data/921299/000119312514359619/d720189dex1021.htm" TargetMode="External"/><Relationship Id="rId36" Type="http://schemas.openxmlformats.org/officeDocument/2006/relationships/hyperlink" Target="http://www.sec.gov/Archives/edgar/data/921299/000119312514359619/d720189dex1022.htm" TargetMode="External"/><Relationship Id="rId37" Type="http://schemas.openxmlformats.org/officeDocument/2006/relationships/hyperlink" Target="http://www.sec.gov/Archives/edgar/data/0000921299/000156459020051315/fgen-ex106_95.htm" TargetMode="External"/><Relationship Id="rId38" Type="http://schemas.openxmlformats.org/officeDocument/2006/relationships/hyperlink" Target="http://www.sec.gov/Archives/edgar/data/921299/000119312514380087/d720189dex1027.htm" TargetMode="External"/><Relationship Id="rId39" Type="http://schemas.openxmlformats.org/officeDocument/2006/relationships/hyperlink" Target="http://www.sec.gov/Archives/edgar/data/921299/000156459017009854/fgen-ex1032_233.htm" TargetMode="External"/><Relationship Id="rId40" Type="http://schemas.openxmlformats.org/officeDocument/2006/relationships/hyperlink" Target="http://www.sec.gov/Archives/edgar/data/0000921299/000156459020008161/fgen-ex1028_711.htm" TargetMode="External"/><Relationship Id="rId41" Type="http://schemas.openxmlformats.org/officeDocument/2006/relationships/hyperlink" Target="http://www.sec.gov/Archives/edgar/data/0000921299/000156459020012585/fgen-ex991_15.htm" TargetMode="External"/><Relationship Id="rId42" Type="http://schemas.openxmlformats.org/officeDocument/2006/relationships/hyperlink" Target="http://www.sec.gov/Archives/edgar/data/0000921299/000156459020037760/fgen-ex102_89.htm" TargetMode="External"/><Relationship Id="rId43" Type="http://schemas.openxmlformats.org/officeDocument/2006/relationships/hyperlink" Target="http://www.sec.gov/Archives/edgar/data/0000921299/000156459020037760/fgen-ex103_247.htm" TargetMode="External"/><Relationship Id="rId44" Type="http://schemas.openxmlformats.org/officeDocument/2006/relationships/hyperlink" Target="http://www.sec.gov/Archives/edgar/data/0000921299/000156459020037760/fgen-ex104_222.htm" TargetMode="External"/><Relationship Id="rId45" Type="http://schemas.openxmlformats.org/officeDocument/2006/relationships/hyperlink" Target="http://www.sec.gov/Archives/edgar/data/0000921299/000156459020051315/fgen-ex108_100.htm" TargetMode="External"/><Relationship Id="rId46" Type="http://schemas.openxmlformats.org/officeDocument/2006/relationships/hyperlink" Target="http://www.sec.gov/Archives/edgar/data/0000921299/000156459020051315/fgen-ex109_217.htm" TargetMode="External"/><Relationship Id="rId47" Type="http://schemas.openxmlformats.org/officeDocument/2006/relationships/hyperlink" Target="http://www.sec.gov/Archives/edgar/data/0000921299/000156459021009871/fgen-ex1035_604.htm" TargetMode="External"/><Relationship Id="rId48" Type="http://schemas.openxmlformats.org/officeDocument/2006/relationships/hyperlink" Target="http://www.sec.gov/Archives/edgar/data/0000921299/000156459021009871/fgen-ex1036_605.htm" TargetMode="External"/><Relationship Id="rId49" Type="http://schemas.openxmlformats.org/officeDocument/2006/relationships/hyperlink" Target="http://www.sec.gov/Archives/edgar/data/0000921299/000156459021026053/fgen-ex102_228.htm" TargetMode="External"/><Relationship Id="rId50" Type="http://schemas.openxmlformats.org/officeDocument/2006/relationships/hyperlink" Target="http://www.sec.gov/Archives/edgar/data/0000921299/000156459021026053/fgen-ex103_249.htm" TargetMode="External"/><Relationship Id="rId51" Type="http://schemas.openxmlformats.org/officeDocument/2006/relationships/hyperlink" Target="http://www.sec.gov/Archives/edgar/data/0000921299/000156459021042639/fgen-ex101_15.htm" TargetMode="External"/><Relationship Id="rId52" Type="http://schemas.openxmlformats.org/officeDocument/2006/relationships/hyperlink" Target="http://www.sec.gov/Archives/edgar/data/0000921299/000156459021042639/fgen-ex102_408.htm" TargetMode="External"/><Relationship Id="rId53" Type="http://schemas.openxmlformats.org/officeDocument/2006/relationships/hyperlink" Target="http://www.sec.gov/Archives/edgar/data/0000921299/000156459021055726/fgen-ex101_223.htm" TargetMode="External"/><Relationship Id="rId54" Type="http://schemas.openxmlformats.org/officeDocument/2006/relationships/hyperlink" Target="http://www.sec.gov/Archives/edgar/data/921299/000156459019042615/fgen-ex107_130.htm" TargetMode="External"/><Relationship Id="rId55" Type="http://schemas.openxmlformats.org/officeDocument/2006/relationships/hyperlink" Target="http://www.sec.gov/Archives/edgar/data/0000921299/000156459020008161/fgen-ex1032_243.htm" TargetMode="External"/><Relationship Id="rId56" Type="http://schemas.openxmlformats.org/officeDocument/2006/relationships/hyperlink" Target="http://www.sec.gov/Archives/edgar/data/0000921299/000156459020008161/fgen-ex1033_241.htm" TargetMode="External"/><Relationship Id="rId57" Type="http://schemas.openxmlformats.org/officeDocument/2006/relationships/hyperlink" Target="http://www.sec.gov/Archives/edgar/data/0000921299/000156459020008161/fgen-ex1034_242.htm" TargetMode="External"/><Relationship Id="rId58" Type="http://schemas.openxmlformats.org/officeDocument/2006/relationships/hyperlink" Target="http://www.sec.gov/Archives/edgar/data/0000921299/000156459020037760/fgen-ex101_12.htm" TargetMode="External"/><Relationship Id="rId59" Type="http://schemas.openxmlformats.org/officeDocument/2006/relationships/hyperlink" Target="http://www.sec.gov/Archives/edgar/data/0000921299/000156459021009871/fgen-ex1044_204.htm" TargetMode="External"/><Relationship Id="rId60" Type="http://schemas.openxmlformats.org/officeDocument/2006/relationships/hyperlink" Target="http://www.sec.gov/Archives/edgar/data/0000921299/000156459021026053/fgen-ex101_120.htm" TargetMode="External"/><Relationship Id="rId61" Type="http://schemas.openxmlformats.org/officeDocument/2006/relationships/hyperlink" Target="http://www.sec.gov/Archives/edgar/data/0000921299/000156459021055726/fgen-ex102_105.htm" TargetMode="External"/><Relationship Id="rId62" Type="http://schemas.openxmlformats.org/officeDocument/2006/relationships/hyperlink" Target="http://www.sec.gov/Archives/edgar/data/0000921299/000156459021055726/fgen-ex103_106.htm" TargetMode="External"/><Relationship Id="rId63" Type="http://schemas.openxmlformats.org/officeDocument/2006/relationships/hyperlink" Target="http://www.sec.gov/Archives/edgar/data/0000921299/000156459020008161/fgen-ex1035_673.htm" TargetMode="External"/><Relationship Id="rId64" Type="http://schemas.openxmlformats.org/officeDocument/2006/relationships/hyperlink" Target="http://www.sec.gov/Archives/edgar/data/0000921299/000156459021042639/fgen-ex211_16.htm" TargetMode="External"/><Relationship Id="rId65" Type="http://schemas.openxmlformats.org/officeDocument/2006/relationships/image" Target="media/image7.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107777</Words>
  <CharactersWithSpaces>721328</CharactersWithSpaces>
  <Paragraphs>13320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