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0" w:lineRule="exact"/>
        <w:rPr>
          <w:sz w:val="24"/>
          <w:szCs w:val="24"/>
          <w:color w:val="auto"/>
        </w:rPr>
      </w:pPr>
    </w:p>
    <w:tbl>
      <w:tblPr>
        <w:tblLayout w:type="fixed"/>
        <w:tblInd w:w="386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r>
      <w:tr>
        <w:trPr>
          <w:trHeight w:val="453"/>
        </w:trPr>
        <w:tc>
          <w:tcPr>
            <w:tcW w:w="370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Commission file number: 001-36740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FIBROGEN,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700" w:type="dxa"/>
        <w:tblCellMar>
          <w:top w:w="0" w:type="dxa"/>
          <w:left w:w="0" w:type="dxa"/>
          <w:bottom w:w="0" w:type="dxa"/>
          <w:right w:w="0" w:type="dxa"/>
        </w:tblCellMar>
      </w:tblPr>
      <w:tr>
        <w:trPr>
          <w:trHeight w:val="214"/>
        </w:trPr>
        <w:tc>
          <w:tcPr>
            <w:tcW w:w="6200" w:type="dxa"/>
            <w:vAlign w:val="bottom"/>
          </w:tcPr>
          <w:p>
            <w:pPr>
              <w:jc w:val="center"/>
              <w:ind w:right="3737"/>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32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77-0357827</w:t>
            </w:r>
          </w:p>
        </w:tc>
      </w:tr>
      <w:tr>
        <w:trPr>
          <w:trHeight w:val="149"/>
        </w:trPr>
        <w:tc>
          <w:tcPr>
            <w:tcW w:w="6200" w:type="dxa"/>
            <w:vAlign w:val="bottom"/>
          </w:tcPr>
          <w:p>
            <w:pPr>
              <w:jc w:val="center"/>
              <w:ind w:right="3717"/>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320" w:type="dxa"/>
            <w:vAlign w:val="bottom"/>
          </w:tcPr>
          <w:p>
            <w:pPr>
              <w:jc w:val="center"/>
              <w:ind w:left="1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200" w:type="dxa"/>
            <w:vAlign w:val="bottom"/>
          </w:tcPr>
          <w:p>
            <w:pPr>
              <w:jc w:val="center"/>
              <w:ind w:right="371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320" w:type="dxa"/>
            <w:vAlign w:val="bottom"/>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6200" w:type="dxa"/>
            <w:vAlign w:val="bottom"/>
          </w:tcPr>
          <w:p>
            <w:pPr>
              <w:jc w:val="center"/>
              <w:ind w:right="3737"/>
              <w:spacing w:after="0"/>
              <w:rPr>
                <w:sz w:val="20"/>
                <w:szCs w:val="20"/>
                <w:color w:val="auto"/>
              </w:rPr>
            </w:pPr>
            <w:r>
              <w:rPr>
                <w:rFonts w:ascii="Times New Roman" w:cs="Times New Roman" w:eastAsia="Times New Roman" w:hAnsi="Times New Roman"/>
                <w:sz w:val="18"/>
                <w:szCs w:val="18"/>
                <w:b w:val="1"/>
                <w:bCs w:val="1"/>
                <w:color w:val="auto"/>
                <w:w w:val="99"/>
              </w:rPr>
              <w:t>409 Illinois Street</w:t>
            </w:r>
          </w:p>
        </w:tc>
        <w:tc>
          <w:tcPr>
            <w:tcW w:w="1320" w:type="dxa"/>
            <w:vAlign w:val="bottom"/>
          </w:tcPr>
          <w:p>
            <w:pPr>
              <w:spacing w:after="0"/>
              <w:rPr>
                <w:sz w:val="24"/>
                <w:szCs w:val="24"/>
                <w:color w:val="auto"/>
              </w:rPr>
            </w:pPr>
          </w:p>
        </w:tc>
      </w:tr>
      <w:tr>
        <w:trPr>
          <w:trHeight w:val="227"/>
        </w:trPr>
        <w:tc>
          <w:tcPr>
            <w:tcW w:w="6200" w:type="dxa"/>
            <w:vAlign w:val="bottom"/>
          </w:tcPr>
          <w:p>
            <w:pPr>
              <w:jc w:val="center"/>
              <w:ind w:right="3737"/>
              <w:spacing w:after="0"/>
              <w:rPr>
                <w:sz w:val="20"/>
                <w:szCs w:val="20"/>
                <w:color w:val="auto"/>
              </w:rPr>
            </w:pPr>
            <w:r>
              <w:rPr>
                <w:rFonts w:ascii="Times New Roman" w:cs="Times New Roman" w:eastAsia="Times New Roman" w:hAnsi="Times New Roman"/>
                <w:sz w:val="18"/>
                <w:szCs w:val="18"/>
                <w:b w:val="1"/>
                <w:bCs w:val="1"/>
                <w:color w:val="auto"/>
                <w:w w:val="98"/>
              </w:rPr>
              <w:t>San Francisco, CA</w:t>
            </w:r>
          </w:p>
        </w:tc>
        <w:tc>
          <w:tcPr>
            <w:tcW w:w="13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94158</w:t>
            </w:r>
          </w:p>
        </w:tc>
      </w:tr>
      <w:tr>
        <w:trPr>
          <w:trHeight w:val="190"/>
        </w:trPr>
        <w:tc>
          <w:tcPr>
            <w:tcW w:w="6200" w:type="dxa"/>
            <w:vAlign w:val="bottom"/>
          </w:tcPr>
          <w:p>
            <w:pPr>
              <w:jc w:val="center"/>
              <w:ind w:right="373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320" w:type="dxa"/>
            <w:vAlign w:val="bottom"/>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3"/>
        </w:trPr>
        <w:tc>
          <w:tcPr>
            <w:tcW w:w="6200" w:type="dxa"/>
            <w:vAlign w:val="bottom"/>
          </w:tcPr>
          <w:p>
            <w:pPr>
              <w:jc w:val="center"/>
              <w:ind w:left="1757"/>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320" w:type="dxa"/>
            <w:vAlign w:val="bottom"/>
          </w:tcPr>
          <w:p>
            <w:pPr>
              <w:spacing w:after="0"/>
              <w:rPr>
                <w:sz w:val="24"/>
                <w:szCs w:val="24"/>
                <w:color w:val="auto"/>
              </w:rPr>
            </w:pPr>
          </w:p>
        </w:tc>
      </w:tr>
      <w:tr>
        <w:trPr>
          <w:trHeight w:val="238"/>
        </w:trPr>
        <w:tc>
          <w:tcPr>
            <w:tcW w:w="6200" w:type="dxa"/>
            <w:vAlign w:val="bottom"/>
          </w:tcPr>
          <w:p>
            <w:pPr>
              <w:jc w:val="right"/>
              <w:ind w:right="1537"/>
              <w:spacing w:after="0"/>
              <w:rPr>
                <w:sz w:val="20"/>
                <w:szCs w:val="20"/>
                <w:color w:val="auto"/>
              </w:rPr>
            </w:pPr>
            <w:r>
              <w:rPr>
                <w:rFonts w:ascii="Times New Roman" w:cs="Times New Roman" w:eastAsia="Times New Roman" w:hAnsi="Times New Roman"/>
                <w:sz w:val="18"/>
                <w:szCs w:val="18"/>
                <w:b w:val="1"/>
                <w:bCs w:val="1"/>
                <w:color w:val="auto"/>
              </w:rPr>
              <w:t>(415) 978-1200</w:t>
            </w:r>
          </w:p>
        </w:tc>
        <w:tc>
          <w:tcPr>
            <w:tcW w:w="13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231775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24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4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64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644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2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2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Exchange Act Rule 12b-2).</w:t>
            </w:r>
          </w:p>
        </w:tc>
        <w:tc>
          <w:tcPr>
            <w:tcW w:w="2780" w:type="dxa"/>
            <w:vAlign w:val="bottom"/>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412"/>
        </w:trPr>
        <w:tc>
          <w:tcPr>
            <w:tcW w:w="82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number of shares of common stock outstanding as of April 30, 2015 was 59,268,249.</w:t>
            </w:r>
          </w:p>
        </w:tc>
        <w:tc>
          <w:tcPr>
            <w:tcW w:w="27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820" w:type="dxa"/>
            <w:vAlign w:val="bottom"/>
            <w:tcBorders>
              <w:bottom w:val="single" w:sz="8" w:color="auto"/>
            </w:tcBorders>
          </w:tcPr>
          <w:p>
            <w:pPr>
              <w:spacing w:after="0"/>
              <w:rPr>
                <w:sz w:val="19"/>
                <w:szCs w:val="19"/>
                <w:color w:val="auto"/>
              </w:rPr>
            </w:pPr>
          </w:p>
        </w:tc>
        <w:tc>
          <w:tcPr>
            <w:tcW w:w="64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820" w:type="dxa"/>
            <w:vAlign w:val="bottom"/>
            <w:tcBorders>
              <w:bottom w:val="single" w:sz="8" w:color="auto"/>
            </w:tcBorders>
          </w:tcPr>
          <w:p>
            <w:pPr>
              <w:spacing w:after="0"/>
              <w:rPr>
                <w:sz w:val="4"/>
                <w:szCs w:val="4"/>
                <w:color w:val="auto"/>
              </w:rPr>
            </w:pPr>
          </w:p>
        </w:tc>
        <w:tc>
          <w:tcPr>
            <w:tcW w:w="644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26" w:right="239" w:bottom="1008"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960" w:type="dxa"/>
            <w:vAlign w:val="bottom"/>
            <w:gridSpan w:val="12"/>
            <w:vMerge w:val="restart"/>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I—FINANCIAL INFORMATION</w:t>
              </w:r>
            </w:hyperlink>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960" w:type="dxa"/>
            <w:vAlign w:val="bottom"/>
            <w:gridSpan w:val="12"/>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3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Financial Statements</w:t>
              </w:r>
            </w:hyperlink>
          </w:p>
        </w:tc>
        <w:tc>
          <w:tcPr>
            <w:tcW w:w="6800" w:type="dxa"/>
            <w:vAlign w:val="bottom"/>
            <w:gridSpan w:val="11"/>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160" w:type="dxa"/>
            <w:vAlign w:val="bottom"/>
            <w:gridSpan w:val="22"/>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as of March 31, 2015 and December 31, 2014</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75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 for the three months ended March 31, 2015 and 2014</w:t>
              </w:r>
            </w:hyperlink>
          </w:p>
        </w:tc>
        <w:tc>
          <w:tcPr>
            <w:tcW w:w="262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160" w:type="dxa"/>
            <w:vAlign w:val="bottom"/>
            <w:gridSpan w:val="22"/>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Comprehensive Loss for the three months ended March 31, 2015 and 2014</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7600" w:type="dxa"/>
            <w:vAlign w:val="bottom"/>
            <w:tcBorders>
              <w:top w:val="single" w:sz="8" w:color="0000EE"/>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Cash Flows for the three months ended March 31, 2015 and 2014</w:t>
              </w:r>
            </w:hyperlink>
          </w:p>
        </w:tc>
        <w:tc>
          <w:tcPr>
            <w:tcW w:w="660" w:type="dxa"/>
            <w:vAlign w:val="bottom"/>
            <w:tcBorders>
              <w:top w:val="single" w:sz="8" w:color="0000EE"/>
            </w:tcBorders>
          </w:tcPr>
          <w:p>
            <w:pPr>
              <w:spacing w:after="0"/>
              <w:rPr>
                <w:sz w:val="17"/>
                <w:szCs w:val="17"/>
                <w:color w:val="auto"/>
              </w:rPr>
            </w:pPr>
          </w:p>
        </w:tc>
        <w:tc>
          <w:tcPr>
            <w:tcW w:w="19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160" w:type="dxa"/>
            <w:vAlign w:val="bottom"/>
            <w:gridSpan w:val="22"/>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the Condensed Consolidated Financial Statements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160" w:type="dxa"/>
            <w:vAlign w:val="bottom"/>
            <w:gridSpan w:val="22"/>
          </w:tcPr>
          <w:p>
            <w:pPr>
              <w:spacing w:after="0" w:line="19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Quantitative and Qualitative Disclosures About Market Risk</w:t>
              </w:r>
            </w:hyperlink>
          </w:p>
        </w:tc>
        <w:tc>
          <w:tcPr>
            <w:tcW w:w="2080" w:type="dxa"/>
            <w:vAlign w:val="bottom"/>
            <w:tcBorders>
              <w:top w:val="single" w:sz="8" w:color="0000EE"/>
            </w:tcBorders>
            <w:gridSpan w:val="4"/>
          </w:tcPr>
          <w:p>
            <w:pPr>
              <w:spacing w:after="0"/>
              <w:rPr>
                <w:sz w:val="17"/>
                <w:szCs w:val="17"/>
                <w:color w:val="auto"/>
              </w:rPr>
            </w:pPr>
          </w:p>
        </w:tc>
        <w:tc>
          <w:tcPr>
            <w:tcW w:w="37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0160" w:type="dxa"/>
            <w:vAlign w:val="bottom"/>
            <w:gridSpan w:val="22"/>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Controls and Procedures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412"/>
        </w:trPr>
        <w:tc>
          <w:tcPr>
            <w:tcW w:w="8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60" w:type="dxa"/>
            <w:vAlign w:val="bottom"/>
            <w:gridSpan w:val="13"/>
          </w:tcPr>
          <w:p>
            <w:pPr>
              <w:spacing w:after="0"/>
              <w:rPr>
                <w:rFonts w:ascii="Times New Roman" w:cs="Times New Roman" w:eastAsia="Times New Roman" w:hAnsi="Times New Roman"/>
                <w:sz w:val="18"/>
                <w:szCs w:val="18"/>
                <w:b w:val="1"/>
                <w:bCs w:val="1"/>
                <w:color w:val="0000EE"/>
              </w:rPr>
            </w:pPr>
            <w:hyperlink w:anchor="page31">
              <w:r>
                <w:rPr>
                  <w:rFonts w:ascii="Times New Roman" w:cs="Times New Roman" w:eastAsia="Times New Roman" w:hAnsi="Times New Roman"/>
                  <w:sz w:val="18"/>
                  <w:szCs w:val="18"/>
                  <w:b w:val="1"/>
                  <w:bCs w:val="1"/>
                  <w:color w:val="0000EE"/>
                </w:rPr>
                <w:t>PART II—OTHER INFORMATION</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3100" w:type="dxa"/>
            <w:vAlign w:val="bottom"/>
            <w:gridSpan w:val="9"/>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Legal Proceedings</w:t>
              </w:r>
            </w:hyperlink>
          </w:p>
        </w:tc>
        <w:tc>
          <w:tcPr>
            <w:tcW w:w="2860" w:type="dxa"/>
            <w:vAlign w:val="bottom"/>
            <w:tcBorders>
              <w:top w:val="single" w:sz="8" w:color="0000EE"/>
            </w:tcBorders>
            <w:gridSpan w:val="6"/>
          </w:tcPr>
          <w:p>
            <w:pPr>
              <w:spacing w:after="0"/>
              <w:rPr>
                <w:sz w:val="17"/>
                <w:szCs w:val="17"/>
                <w:color w:val="auto"/>
              </w:rPr>
            </w:pPr>
          </w:p>
        </w:tc>
        <w:tc>
          <w:tcPr>
            <w:tcW w:w="420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Risk Factors</w:t>
              </w:r>
            </w:hyperlink>
          </w:p>
        </w:tc>
        <w:tc>
          <w:tcPr>
            <w:tcW w:w="420" w:type="dxa"/>
            <w:vAlign w:val="bottom"/>
            <w:tcBorders>
              <w:top w:val="single" w:sz="8" w:color="0000EE"/>
            </w:tcBorders>
            <w:gridSpan w:val="3"/>
          </w:tcPr>
          <w:p>
            <w:pPr>
              <w:spacing w:after="0"/>
              <w:rPr>
                <w:sz w:val="17"/>
                <w:szCs w:val="17"/>
                <w:color w:val="auto"/>
              </w:rPr>
            </w:pPr>
          </w:p>
        </w:tc>
        <w:tc>
          <w:tcPr>
            <w:tcW w:w="882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67">
              <w:r>
                <w:rPr>
                  <w:rFonts w:ascii="Times New Roman" w:cs="Times New Roman" w:eastAsia="Times New Roman" w:hAnsi="Times New Roman"/>
                  <w:sz w:val="18"/>
                  <w:szCs w:val="18"/>
                  <w:color w:val="0000EE"/>
                  <w:w w:val="99"/>
                </w:rPr>
                <w:t>Unregistered Sales of Equity Securities and Use of Proceeds</w:t>
              </w:r>
            </w:hyperlink>
          </w:p>
        </w:tc>
        <w:tc>
          <w:tcPr>
            <w:tcW w:w="580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67">
              <w:r>
                <w:rPr>
                  <w:rFonts w:ascii="Times New Roman" w:cs="Times New Roman" w:eastAsia="Times New Roman" w:hAnsi="Times New Roman"/>
                  <w:sz w:val="18"/>
                  <w:szCs w:val="18"/>
                  <w:color w:val="0000EE"/>
                  <w:w w:val="99"/>
                </w:rPr>
                <w:t>Defaults Upon Senior Securities</w:t>
              </w:r>
            </w:hyperlink>
          </w:p>
        </w:tc>
        <w:tc>
          <w:tcPr>
            <w:tcW w:w="782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67">
              <w:r>
                <w:rPr>
                  <w:rFonts w:ascii="Times New Roman" w:cs="Times New Roman" w:eastAsia="Times New Roman" w:hAnsi="Times New Roman"/>
                  <w:sz w:val="18"/>
                  <w:szCs w:val="18"/>
                  <w:color w:val="0000EE"/>
                  <w:w w:val="99"/>
                </w:rPr>
                <w:t>Mine Safety Disclosures</w:t>
              </w:r>
            </w:hyperlink>
          </w:p>
        </w:tc>
        <w:tc>
          <w:tcPr>
            <w:tcW w:w="838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0160" w:type="dxa"/>
            <w:vAlign w:val="bottom"/>
            <w:gridSpan w:val="22"/>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Exhibits</w:t>
              </w:r>
            </w:hyperlink>
          </w:p>
        </w:tc>
        <w:tc>
          <w:tcPr>
            <w:tcW w:w="884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160" w:type="dxa"/>
            <w:vAlign w:val="bottom"/>
            <w:gridSpan w:val="1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160" w:type="dxa"/>
            <w:vAlign w:val="bottom"/>
            <w:gridSpan w:val="22"/>
          </w:tcPr>
          <w:p>
            <w:pPr>
              <w:spacing w:after="0" w:line="196" w:lineRule="exact"/>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Signatures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160" w:type="dxa"/>
            <w:vAlign w:val="bottom"/>
            <w:gridSpan w:val="1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69">
              <w:r>
                <w:rPr>
                  <w:rFonts w:ascii="Times New Roman" w:cs="Times New Roman" w:eastAsia="Times New Roman" w:hAnsi="Times New Roman"/>
                  <w:sz w:val="18"/>
                  <w:szCs w:val="18"/>
                  <w:color w:val="0000EE"/>
                  <w:w w:val="99"/>
                </w:rPr>
                <w:t>Exhibit Index</w:t>
              </w:r>
            </w:hyperlink>
          </w:p>
        </w:tc>
        <w:tc>
          <w:tcPr>
            <w:tcW w:w="916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385"/>
        </w:trPr>
        <w:tc>
          <w:tcPr>
            <w:tcW w:w="880" w:type="dxa"/>
            <w:vAlign w:val="bottom"/>
          </w:tcPr>
          <w:p>
            <w:pPr>
              <w:spacing w:after="0"/>
              <w:rPr>
                <w:sz w:val="24"/>
                <w:szCs w:val="24"/>
                <w:color w:val="auto"/>
              </w:rPr>
            </w:pPr>
          </w:p>
        </w:tc>
        <w:tc>
          <w:tcPr>
            <w:tcW w:w="5960" w:type="dxa"/>
            <w:vAlign w:val="bottom"/>
            <w:gridSpan w:val="15"/>
          </w:tcPr>
          <w:p>
            <w:pPr>
              <w:ind w:left="478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60" w:type="dxa"/>
            <w:vAlign w:val="bottom"/>
          </w:tcPr>
          <w:p>
            <w:pPr>
              <w:spacing w:after="0"/>
              <w:rPr>
                <w:sz w:val="13"/>
                <w:szCs w:val="13"/>
                <w:color w:val="auto"/>
              </w:rPr>
            </w:pPr>
          </w:p>
        </w:tc>
        <w:tc>
          <w:tcPr>
            <w:tcW w:w="120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9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(Note 1)</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128,369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165,455</w:t>
            </w: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14,322</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14,364</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($5,278 and $5,033 from a related party)</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13,453</w:t>
            </w:r>
          </w:p>
        </w:tc>
      </w:tr>
      <w:tr>
        <w:trPr>
          <w:trHeight w:val="223"/>
        </w:trPr>
        <w:tc>
          <w:tcPr>
            <w:tcW w:w="20" w:type="dxa"/>
            <w:vAlign w:val="bottom"/>
          </w:tcPr>
          <w:p>
            <w:pPr>
              <w:spacing w:after="0"/>
              <w:rPr>
                <w:sz w:val="19"/>
                <w:szCs w:val="19"/>
                <w:color w:val="auto"/>
              </w:rPr>
            </w:pP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198,238</w:t>
            </w: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7,254</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139,518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144,269</w:t>
            </w: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131,660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132,171</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1,596</w:t>
            </w:r>
          </w:p>
        </w:tc>
      </w:tr>
      <w:tr>
        <w:trPr>
          <w:trHeight w:val="223"/>
        </w:trPr>
        <w:tc>
          <w:tcPr>
            <w:tcW w:w="20" w:type="dxa"/>
            <w:vAlign w:val="bottom"/>
          </w:tcPr>
          <w:p>
            <w:pPr>
              <w:spacing w:after="0"/>
              <w:rPr>
                <w:sz w:val="19"/>
                <w:szCs w:val="19"/>
                <w:color w:val="auto"/>
              </w:rPr>
            </w:pPr>
          </w:p>
        </w:tc>
        <w:tc>
          <w:tcPr>
            <w:tcW w:w="92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435,540</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483,528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stockholders’ equity and non-controlling interests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4,551</w:t>
            </w: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liabilities ($4,564 and $4,594 to related parties)</w:t>
            </w: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42,466</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48,985</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9,218</w:t>
            </w:r>
          </w:p>
        </w:tc>
      </w:tr>
      <w:tr>
        <w:trPr>
          <w:trHeight w:val="223"/>
        </w:trPr>
        <w:tc>
          <w:tcPr>
            <w:tcW w:w="20" w:type="dxa"/>
            <w:vAlign w:val="bottom"/>
          </w:tcPr>
          <w:p>
            <w:pPr>
              <w:spacing w:after="0"/>
              <w:rPr>
                <w:sz w:val="19"/>
                <w:szCs w:val="19"/>
                <w:color w:val="auto"/>
              </w:rPr>
            </w:pPr>
          </w:p>
        </w:tc>
        <w:tc>
          <w:tcPr>
            <w:tcW w:w="92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53,957</w:t>
            </w: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62,754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 of lease financing obligations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96,873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96,818</w:t>
            </w: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 obligations</w:t>
            </w: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14,774</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16,465</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5,131</w:t>
            </w: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net of current</w:t>
            </w: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60,326</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60,988</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696</w:t>
            </w:r>
          </w:p>
        </w:tc>
      </w:tr>
      <w:tr>
        <w:trPr>
          <w:trHeight w:val="223"/>
        </w:trPr>
        <w:tc>
          <w:tcPr>
            <w:tcW w:w="20" w:type="dxa"/>
            <w:vAlign w:val="bottom"/>
          </w:tcPr>
          <w:p>
            <w:pPr>
              <w:spacing w:after="0"/>
              <w:rPr>
                <w:sz w:val="19"/>
                <w:szCs w:val="19"/>
                <w:color w:val="auto"/>
              </w:rPr>
            </w:pPr>
          </w:p>
        </w:tc>
        <w:tc>
          <w:tcPr>
            <w:tcW w:w="92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231,653</w:t>
            </w: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242,852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926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Preferred stock, $0.01 par value; 125,000 shares authorized at March 31, 2015 and December 31, 2014; no shares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9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issued and outstanding at March 31, 2015 and December 31, 2014</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0" w:type="dxa"/>
            <w:vAlign w:val="bottom"/>
          </w:tcPr>
          <w:p>
            <w:pPr>
              <w:spacing w:after="0"/>
              <w:rPr>
                <w:sz w:val="17"/>
                <w:szCs w:val="17"/>
                <w:color w:val="auto"/>
              </w:rPr>
            </w:pPr>
          </w:p>
        </w:tc>
        <w:tc>
          <w:tcPr>
            <w:tcW w:w="926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$0.01 par value; 225,000 shares authorized at March 31, 2015 and December 31, 2014; 59,268 and</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9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59,046 shares issued and outstanding at March 31, 2015 and December 31, 2014</w:t>
            </w:r>
          </w:p>
        </w:tc>
        <w:tc>
          <w:tcPr>
            <w:tcW w:w="10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553,411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546,247</w:t>
            </w: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(3,149)</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9"/>
              </w:rPr>
              <w:t>(368,650)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(322,283)</w:t>
            </w:r>
          </w:p>
        </w:tc>
      </w:tr>
      <w:tr>
        <w:trPr>
          <w:trHeight w:val="223"/>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184,616</w:t>
            </w: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221,405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19,271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19,271</w:t>
            </w: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203,887</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240,676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435,540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483,528</w:t>
            </w: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260" w:type="dxa"/>
            <w:vAlign w:val="bottom"/>
          </w:tcPr>
          <w:p>
            <w:pPr>
              <w:spacing w:after="0"/>
              <w:rPr>
                <w:sz w:val="15"/>
                <w:szCs w:val="15"/>
                <w:color w:val="auto"/>
              </w:rPr>
            </w:pPr>
          </w:p>
        </w:tc>
        <w:tc>
          <w:tcPr>
            <w:tcW w:w="2140" w:type="dxa"/>
            <w:vAlign w:val="bottom"/>
            <w:gridSpan w:val="7"/>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20" w:type="dxa"/>
            <w:vAlign w:val="bottom"/>
          </w:tcPr>
          <w:p>
            <w:pPr>
              <w:spacing w:after="0"/>
              <w:rPr>
                <w:sz w:val="12"/>
                <w:szCs w:val="12"/>
                <w:color w:val="auto"/>
              </w:rPr>
            </w:pPr>
          </w:p>
        </w:tc>
        <w:tc>
          <w:tcPr>
            <w:tcW w:w="92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License and milestone revenue (includes $4,692 and $2,742 from a related party)</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11,506</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14,685</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Collaboration services and other revenue (includes $634 and $750 from a related party)</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4,792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3,191</w:t>
            </w:r>
          </w:p>
        </w:tc>
      </w:tr>
      <w:tr>
        <w:trPr>
          <w:trHeight w:val="223"/>
        </w:trPr>
        <w:tc>
          <w:tcPr>
            <w:tcW w:w="20" w:type="dxa"/>
            <w:vAlign w:val="bottom"/>
          </w:tcPr>
          <w:p>
            <w:pPr>
              <w:spacing w:after="0"/>
              <w:rPr>
                <w:sz w:val="19"/>
                <w:szCs w:val="19"/>
                <w:color w:val="auto"/>
              </w:rPr>
            </w:pPr>
          </w:p>
        </w:tc>
        <w:tc>
          <w:tcPr>
            <w:tcW w:w="92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50,539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25,650</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6,432</w:t>
            </w:r>
          </w:p>
        </w:tc>
      </w:tr>
      <w:tr>
        <w:trPr>
          <w:trHeight w:val="230"/>
        </w:trPr>
        <w:tc>
          <w:tcPr>
            <w:tcW w:w="20" w:type="dxa"/>
            <w:vAlign w:val="bottom"/>
          </w:tcPr>
          <w:p>
            <w:pPr>
              <w:spacing w:after="0"/>
              <w:rPr>
                <w:sz w:val="20"/>
                <w:szCs w:val="20"/>
                <w:color w:val="auto"/>
              </w:rPr>
            </w:pPr>
          </w:p>
        </w:tc>
        <w:tc>
          <w:tcPr>
            <w:tcW w:w="92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61,021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32,082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(44,723)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(14,206)</w:t>
            </w: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(2,726)</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692</w:t>
            </w:r>
          </w:p>
        </w:tc>
      </w:tr>
      <w:tr>
        <w:trPr>
          <w:trHeight w:val="223"/>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(46,638)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(46,367</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basic and diluted share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(0.78)</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4"/>
        </w:trPr>
        <w:tc>
          <w:tcPr>
            <w:tcW w:w="20" w:type="dxa"/>
            <w:vAlign w:val="bottom"/>
          </w:tcPr>
          <w:p>
            <w:pPr>
              <w:spacing w:after="0"/>
              <w:rPr>
                <w:sz w:val="20"/>
                <w:szCs w:val="20"/>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used in net loss per basic and diluted share</w:t>
            </w:r>
          </w:p>
        </w:tc>
        <w:tc>
          <w:tcPr>
            <w:tcW w:w="20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59,197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13,210</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260" w:type="dxa"/>
            <w:vAlign w:val="bottom"/>
          </w:tcPr>
          <w:p>
            <w:pPr>
              <w:spacing w:after="0"/>
              <w:rPr>
                <w:sz w:val="15"/>
                <w:szCs w:val="15"/>
                <w:color w:val="auto"/>
              </w:rPr>
            </w:pPr>
          </w:p>
        </w:tc>
        <w:tc>
          <w:tcPr>
            <w:tcW w:w="2140" w:type="dxa"/>
            <w:vAlign w:val="bottom"/>
            <w:gridSpan w:val="7"/>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20" w:type="dxa"/>
            <w:vAlign w:val="bottom"/>
          </w:tcPr>
          <w:p>
            <w:pPr>
              <w:spacing w:after="0"/>
              <w:rPr>
                <w:sz w:val="12"/>
                <w:szCs w:val="12"/>
                <w:color w:val="auto"/>
              </w:rPr>
            </w:pPr>
          </w:p>
        </w:tc>
        <w:tc>
          <w:tcPr>
            <w:tcW w:w="92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Unrealized gain (loss) on investments, net of tax effect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(540)</w:t>
            </w:r>
          </w:p>
        </w:tc>
      </w:tr>
      <w:tr>
        <w:trPr>
          <w:trHeight w:val="216"/>
        </w:trPr>
        <w:tc>
          <w:tcPr>
            <w:tcW w:w="20" w:type="dxa"/>
            <w:vAlign w:val="bottom"/>
          </w:tcPr>
          <w:p>
            <w:pPr>
              <w:spacing w:after="0"/>
              <w:rPr>
                <w:sz w:val="18"/>
                <w:szCs w:val="18"/>
                <w:color w:val="auto"/>
              </w:rPr>
            </w:pPr>
          </w:p>
        </w:tc>
        <w:tc>
          <w:tcPr>
            <w:tcW w:w="92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Reclassification from accumulated other comprehensive loss</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9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change in unrealized gain (loss) on available-for-sale investments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(540)</w:t>
            </w:r>
          </w:p>
        </w:tc>
      </w:tr>
      <w:tr>
        <w:trPr>
          <w:trHeight w:val="230"/>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(43,956)</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(16,770)</w:t>
            </w: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24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Borders>
              <w:bottom w:val="single" w:sz="8" w:color="CCEEFF"/>
            </w:tcBorders>
          </w:tcPr>
          <w:p>
            <w:pPr>
              <w:spacing w:after="0"/>
              <w:rPr>
                <w:sz w:val="12"/>
                <w:szCs w:val="12"/>
                <w:color w:val="auto"/>
              </w:rPr>
            </w:pPr>
          </w:p>
        </w:tc>
        <w:tc>
          <w:tcPr>
            <w:tcW w:w="19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1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1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(46,367)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premium on investments</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768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benefit on unrealized gain on available-for-sale securities</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(780)</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(2,118)</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(7,048)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(822)</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financing liability</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(42,190)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(15,521)</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9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(448)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maturities of available-for-sale securities</w:t>
            </w:r>
          </w:p>
        </w:tc>
        <w:tc>
          <w:tcPr>
            <w:tcW w:w="1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12,215</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9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lease liability</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upon exercise of stock options</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721</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620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Effect of exchange rate change on cash and cash equivalents</w:t>
            </w:r>
          </w:p>
        </w:tc>
        <w:tc>
          <w:tcPr>
            <w:tcW w:w="1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0" w:type="dxa"/>
            <w:vAlign w:val="bottom"/>
            <w:gridSpan w:val="2"/>
            <w:vMerge w:val="continue"/>
          </w:tcPr>
          <w:p>
            <w:pPr>
              <w:spacing w:after="0"/>
              <w:rPr>
                <w:sz w:val="19"/>
                <w:szCs w:val="19"/>
                <w:color w:val="auto"/>
              </w:rPr>
            </w:pP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(37,086)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165,455</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1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128,369</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72,953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FIBROGEN,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Operations and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Operations</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FibroGen, Inc. (“FibroGen,” the “Company,” or “we” and other similar pronouns) was incorporated in 1993 in Delaware and is a research-based biopharmaceutical company focused on the discovery, development and commercialization of novel therapeutics to treat serious unmet medical needs. Our focus in the areas of fibrosis and hypoxia-inducible factor (“HIF”) biology has generated multiple programs targeting various therapeutic areas. Our most advanced product candidate, roxadustat, or FG-4592, is an oral small molecule inhibitor of HIF prolyl hydroxylases (“HIF-PHs”) in Phase 3 clinical development for the treatment of anemia in chronic kidney disease (“CKD”). FG-3019 is our monoclonal antibody in Phase 2 clinical development for the treatment of idiopathic pulmonary fibrosis (“IPF”), pancreatic cancer and liver fibrosis. We have taken a global approach with respect to the development and future commercialization of our product candidates, and this includes development and commercialization in the People’s Republic of China (“China”).</w:t>
      </w:r>
    </w:p>
    <w:p>
      <w:pPr>
        <w:spacing w:after="0" w:line="18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 November 10, 2014, we effected a 1-for-2.5 reverse split of our common stock. Upon the effectiveness of the reverse stock split, (i) every 2.5 shares of outstanding common stock were combined into one share of common stock, (ii) the number of shares of common stock for which each outstanding option or warrant to purchase common stock is exercisable was proportionally decreased on a 1-for-2.5 basis, (iii) the exercise price of each outstanding option or warrant to purchase common stock was proportionately increased on a 1-for- 2.5 basis, (iv) the exchange ratio for each share of outstanding FibroGen Europe Oy (“FibroGen Europe”) share of stock which is exchangeable into our common stock was proportionately reduced on a 1-for-2.5 basis, and (v) the conversion ratio for each share of outstanding preferred stock which is convertible into our common stock was proportionately reduced on a 1-for-2.5 basis. All of the outstanding common stock share numbers (including shares of common stock which our outstanding preferred stock shares were convertible into), common stock warrants, share prices, exercise prices and per share amounts have been adjusted in these condensed consolidated financial statements, on a retroactive basis, to reflect this 1-for-2.5 reverse stock split for all periods presented. The par value per share and the authorized number of shares of common stock and preferred stock were not adjusted as a result of the reverse stock split.</w:t>
      </w:r>
    </w:p>
    <w:p>
      <w:pPr>
        <w:spacing w:after="0" w:line="186"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On November 19, 2014, we closed the initial public offering of our common stock. In our initial public offering, we sold 9,315,000 shares of our common stock at a public offering price of $18.00 per share. Net proceeds from our initial public offering and concurrent private placement were $171.8 million, after deducting underwriting discounts and commissions of $11.7 million and offering expenses of $4.1 million. AstraZeneca AB (“AstraZeneca”), one of our collaboration partners, agreed to purchase from us concurrently with the closing of our initial public offering in a private placement shares of our common stock with an aggregate purchase price of $20.0 million at a price per share equal to the initial public offering price. Upon the closing of our initial public offering, all outstanding shares of our convertible preferred stock automatically converted into 33,919,954 shares of common stock. Upon the closing of our initial public offering, 958,996 shares of FibroGen Europe convertible preferred stock were converted into shares of our common stock. Our proceeds from the sale of the common stock sold in the concurrent private placement were $20.0 million.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00" w:firstLine="456"/>
        <w:spacing w:after="0" w:line="289" w:lineRule="auto"/>
        <w:rPr>
          <w:sz w:val="20"/>
          <w:szCs w:val="20"/>
          <w:color w:val="auto"/>
        </w:rPr>
      </w:pPr>
      <w:r>
        <w:rPr>
          <w:rFonts w:ascii="Times New Roman" w:cs="Times New Roman" w:eastAsia="Times New Roman" w:hAnsi="Times New Roman"/>
          <w:sz w:val="17"/>
          <w:szCs w:val="17"/>
          <w:color w:val="auto"/>
        </w:rPr>
        <w:t>The condensed consolidated financial statements include the accounts of FibroGen, its wholly owned subsidiaries and its majority-owned subsidiaries, FibroGen Europe and FibroGen China Anemia Holdings, Ltd. (“FibroGen China”). All inter-company transactions and balances have been eliminated in consolidation. We operate in one segment—the discovery, development and commercialization of novel therapeutics to treat serious unmet medical needs.</w:t>
      </w:r>
    </w:p>
    <w:p>
      <w:pPr>
        <w:spacing w:after="0" w:line="158"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accordance with accounting principles generally accepted in the United States of America (“GAAP”) for interim financial reporting and the rules and regulations of the U.S. Securities and Exchange Commission (“SEC”) and, therefore, do not include all information and footnote disclosures normally included in the annual consolidated financial statements. The December 31, 2014 condensed consolidated balance sheet data contained within this Form 10-Q was derived from audited consolidated financial statements included in our Form 10-K for the year ended December 31, 2014, but does not include all disclosures required by accounting principles generally accepted in the United States.</w:t>
      </w:r>
    </w:p>
    <w:p>
      <w:pPr>
        <w:spacing w:after="0" w:line="184"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Actual</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580"/>
        <w:spacing w:after="0" w:line="282" w:lineRule="auto"/>
        <w:rPr>
          <w:sz w:val="20"/>
          <w:szCs w:val="20"/>
          <w:color w:val="auto"/>
        </w:rPr>
      </w:pPr>
      <w:r>
        <w:rPr>
          <w:rFonts w:ascii="Times New Roman" w:cs="Times New Roman" w:eastAsia="Times New Roman" w:hAnsi="Times New Roman"/>
          <w:sz w:val="18"/>
          <w:szCs w:val="18"/>
          <w:color w:val="auto"/>
        </w:rPr>
        <w:t>results could differ from those estimates. In our opinion, the accompanying unaudited condensed consolidated financial statements include all normal recurring adjustments necessary for a fair presentation of our financial position, results of operations and cash flows for the interim periods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We define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62"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Our valuation techniques are based on observable and unobservable inputs. Observable inputs reflect readily obtainable data from independent sources, while unobservable inputs reflect our market assumptions. We classify these inputs into the following hierarchy:</w:t>
      </w:r>
    </w:p>
    <w:p>
      <w:pPr>
        <w:spacing w:after="0" w:line="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for identical instruments in active markets.</w:t>
      </w:r>
    </w:p>
    <w:p>
      <w:pPr>
        <w:spacing w:after="0" w:line="117" w:lineRule="exact"/>
        <w:rPr>
          <w:sz w:val="20"/>
          <w:szCs w:val="20"/>
          <w:color w:val="auto"/>
        </w:rPr>
      </w:pPr>
    </w:p>
    <w:p>
      <w:pPr>
        <w:ind w:left="460" w:right="160"/>
        <w:spacing w:after="0" w:line="284"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—Quoted prices for similar instruments in active markets; quoted prices for identical or similar instruments in markets that are not active;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model-derived valuations whose inputs are observable or whose significant value drivers are observable.</w:t>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and little, if any, market activity for the assets.</w:t>
      </w:r>
    </w:p>
    <w:p>
      <w:pPr>
        <w:spacing w:after="0" w:line="227"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assessment of the significance of a particular input to the fair value measurement in its entirety requires management to make judgments and considers factors specific to the asset or liability. In addition, the categories presented do not suggest how prices may be affected by the size of the purchases or sales, particularly with the largest highly liquid financial issuers who are in markets continuously with non-equity instruments, or how any such financial assets may be impacted by other factors such as U.S. government guarantees. Assets and liabilities measured at fair value are classified in their entirety based on the lowest level of input that is significant to the fair value measurement.</w:t>
      </w:r>
    </w:p>
    <w:p>
      <w:pPr>
        <w:spacing w:after="0" w:line="184"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Carrying amounts of certain of our financial instruments including cash equivalents, investments, receivables, accounts payable and accrued liabilities approximate fair value due to their short maturities.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Substantially all of our revenues to date have been generated from our collaboration agreements.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collaboration agreements include multiple deliverables, and we, therefore, follow the guidance in Accounting Standards Codification (“ASC”)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Topic 605-25, “Revenue Recognition–Multiple-Element Arrangements” (“ASC 605-25”). ASC 605-25:</w:t>
      </w:r>
    </w:p>
    <w:p>
      <w:pPr>
        <w:spacing w:after="0" w:line="112" w:lineRule="exact"/>
        <w:rPr>
          <w:sz w:val="20"/>
          <w:szCs w:val="20"/>
          <w:color w:val="auto"/>
        </w:rPr>
      </w:pPr>
    </w:p>
    <w:p>
      <w:pPr>
        <w:ind w:left="900" w:right="100" w:hanging="325"/>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guidance on how deliverables in an arrangement should be separated and how the arrangement consideration should be allocated to the separate units of accounting;</w:t>
      </w:r>
    </w:p>
    <w:p>
      <w:pPr>
        <w:spacing w:after="0" w:line="67"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an entity to determine the selling price of a separate deliverable using a hierarchy of (i) vendor-specific objective evidence (“VSOE”), (ii) third-party evidence (“TPE”), or (iii) best estimate of selling price (“BESP”); and</w:t>
      </w:r>
    </w:p>
    <w:p>
      <w:pPr>
        <w:spacing w:after="0" w:line="67"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the allocation of the arrangement consideration, at the inception of the arrangement, to the separate units of accounting based on relative selling price.</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evaluate all deliverables within an arrangement to determine whether or not they provide value on a stand-alone basis. Based on this evaluation, the deliverables are separated into units of accounting. The arrangement consideration that is fixed or determinable at the inception of the arrangement is allocated to the separate units of accounting based on their relative selling prices. Significant judgment may be required in determining whether a deliverable provides stand-alone value, determining the amount of arrangement consideration that is fixed or determinable, and estimating the stand-alone selling price of each unit of accounting.</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455" w:right="2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To date, we have determined that the selling price for the deliverables within our collaboration agreements should be determined using BESP, as neither VSOE nor TPE is available. The process for determining BESP involves significant judgment on our part and includes consideration of multiple factors, including assumptions related to the market opportunity and the time needed to commercialize a product candidate pursuant to the relevant license, estimated direct expenses and other costs, which include the rates normally charged by contract research and contract manufacturing organizations for development and manufacturing obligations, and rates that would be charged by qualified outsiders for committee services.</w:t>
      </w:r>
    </w:p>
    <w:p>
      <w:pPr>
        <w:spacing w:after="0" w:line="184"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For each unit of accounting identified within an arrangement, we determine the period over which the deliverables are provided and the performance obligation is satisfied. Service revenue is recognized using a proportional performance method. Direct labor hours or full time equivalents are typically used as the measurement of performance. Revenue may be recognized using a straight line method when performance is expected to occur roughly consistently over a period of time.</w:t>
      </w:r>
    </w:p>
    <w:p>
      <w:pPr>
        <w:spacing w:after="0" w:line="180"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Payments or reimbursements resulting from our research and development efforts for those arrangements where such efforts are considered as deliverables are recognized as the services are performed and are presented on a gross basis. To the extent payments are required to be made to the collaboration partners pursuant to research and development efforts, those costs are charged to research and development using the guidance pursuant to ASC Topic 605-250, “Customer Payments and Incentives”, which states that cash consideration given by a vendor to a customer is presumed to be a reduction of the selling prices unless the vendor receives an identifiable benefit in exchange for the consideration that is sufficiently separable from the recipient’s purchase of the vendor’s products, and the vendor can reasonably estimate the fair value of the benefit.</w:t>
      </w:r>
    </w:p>
    <w:p>
      <w:pPr>
        <w:spacing w:after="0" w:line="188"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Each of our collaboration agreements includes milestones for which we follow ASC Topic 605-28, “Revenue Recognition—Milestone Method” (“ASC 605-28”). ASC 605-28 establishes the milestone method as an acceptable method of revenue recognition for certain contingent event-based payments under research and development arrangements. Under the milestone method, a payment that is contingent upon the achievement of a substantive milestone is recognized in its entirety in the period in which the milestone is achieved. A milestone is an event (i) that can only be achieved based in whole or in part on either our performance or on the occurrence of a specific outcome resulting from our performance, (ii) for which there is substantive uncertainty at the date the arrangement is entered into that the event will be achieved and (iii) that would result in additional payments being due to us. Determining whether a milestone is substantive is a matter of judgment and that assessment must be made at the inception of the arrangement. Milestones are considered substantive when the consideration earned from the achievement of the milestone is (i) commensurate with either our performance to achieve the milestone or the enhancement of the value of the item delivered as a result of a specific outcome resulting from our performance to achieve the milestone, (ii) relates solely to past performance and (iii) is reasonable relative to all deliverables and payment terms in the arrangement. Payments for achieving milestones which are not considered substantive are treated as additional arrangement consideration and are allocated following the relative selling price method previously described.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Immediately prior to the initial public offering, the Company had authorized 125,000,000 shares of Preferred Stock with a par value of $0.01 per share. The Series A Preferred Stock, Series B Preferred Stock, Series C Preferred Stock, Series D Preferred Stock, Royalty Acquisition Preferred Stock and Series G-1 Preferred Stock are collectively referred to as the “Junior Preferred Stock”. The Series E Redeemable Convertible Preferred Stock and Series F Redeemable Convertible Preferred Stock are collectively referred to as the “Senior Preferred Stock”. As of December 31, 2014, there was no outstanding convertible preferred stock as all issued and outstanding preferred stock were converted to common stock at the closing of the Company’s initial public offering in November 2014.</w:t>
      </w:r>
    </w:p>
    <w:p>
      <w:pPr>
        <w:spacing w:after="0" w:line="18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Prior to the IPO, we applied the two-class method to calculate basic and diluted net loss per share of common stock. The two-class method is an earnings allocation method under which earnings per share is calculated for common stock considering a participating security’s rights to undistributed earnings as if all such earnings had been distributed during the period. The Junior Preferred Stock were participating securities due to their dividend rights and the Senior Preferred Stock had stated dividend rates. Our participating securities were not included in the computation of net loss per share in periods of net loss because the preferred stockholders have no contractual obligation to participate in losses.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The following securities were excluded from the calculation of diluted net loss per share because their effect would have been anti-dilutive for the periods presented (in thousands):</w:t>
      </w:r>
    </w:p>
    <w:p>
      <w:pPr>
        <w:spacing w:after="0" w:line="182"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23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340" w:type="dxa"/>
            <w:vAlign w:val="bottom"/>
          </w:tcPr>
          <w:p>
            <w:pPr>
              <w:spacing w:after="0"/>
              <w:rPr>
                <w:sz w:val="12"/>
                <w:szCs w:val="12"/>
                <w:color w:val="auto"/>
              </w:rPr>
            </w:pPr>
          </w:p>
        </w:tc>
        <w:tc>
          <w:tcPr>
            <w:tcW w:w="840" w:type="dxa"/>
            <w:vAlign w:val="bottom"/>
            <w:tcBorders>
              <w:top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400" w:type="dxa"/>
            <w:vAlign w:val="bottom"/>
            <w:tcBorders>
              <w:top w:val="single" w:sz="8" w:color="auto"/>
            </w:tcBorders>
            <w:gridSpan w:val="2"/>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6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Preferred Stock</w:t>
            </w:r>
          </w:p>
        </w:tc>
        <w:tc>
          <w:tcPr>
            <w:tcW w:w="84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Junior Preferred Stock</w:t>
            </w: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18,584</w:t>
            </w:r>
          </w:p>
        </w:tc>
        <w:tc>
          <w:tcPr>
            <w:tcW w:w="10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options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15,377</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11,058</w:t>
            </w: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520" w:type="dxa"/>
            <w:vAlign w:val="bottom"/>
          </w:tcPr>
          <w:p>
            <w:pPr>
              <w:spacing w:after="0"/>
              <w:rPr>
                <w:sz w:val="18"/>
                <w:szCs w:val="18"/>
                <w:color w:val="auto"/>
              </w:rPr>
            </w:pP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8"/>
                <w:szCs w:val="18"/>
                <w:color w:val="auto"/>
              </w:rPr>
            </w:pP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FibroGen Europe preferred stock</w:t>
            </w:r>
          </w:p>
        </w:tc>
        <w:tc>
          <w:tcPr>
            <w:tcW w:w="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19"/>
                <w:szCs w:val="19"/>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anti-dilutive securities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16,552</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46,110</w:t>
            </w:r>
          </w:p>
        </w:tc>
        <w:tc>
          <w:tcPr>
            <w:tcW w:w="100" w:type="dxa"/>
            <w:vAlign w:val="bottom"/>
            <w:shd w:val="clear" w:color="auto" w:fill="CCEEFF"/>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(“ASU”) No. 2014-09,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(Topic 606), which supersedes the revenue recognition requirements in ASC 605,</w:t>
      </w:r>
      <w:r>
        <w:rPr>
          <w:rFonts w:ascii="Times New Roman" w:cs="Times New Roman" w:eastAsia="Times New Roman" w:hAnsi="Times New Roman"/>
          <w:sz w:val="18"/>
          <w:szCs w:val="18"/>
          <w:i w:val="1"/>
          <w:iCs w:val="1"/>
          <w:color w:val="auto"/>
        </w:rPr>
        <w:t xml:space="preserve"> Revenue Recognition</w:t>
      </w:r>
      <w:r>
        <w:rPr>
          <w:rFonts w:ascii="Times New Roman" w:cs="Times New Roman" w:eastAsia="Times New Roman" w:hAnsi="Times New Roman"/>
          <w:sz w:val="18"/>
          <w:szCs w:val="18"/>
          <w:color w:val="auto"/>
        </w:rPr>
        <w:t>. This ASU is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principle that revenue is recognized to depict the transfer of goods or services to customers in an amount that reflects the consideration to which the entity expects to be entitled in exchange for those goods or services. This ASU also requires additional disclosure about the nature, amount, timing and uncertainty of revenue and cash flows arising from customer contracts, including significant judgments and changes in judgments and assets recognized from costs incurred to obtain or fulfill a contract. The effective date for this ASU will be the first quarter of fiscal year 2017 using one of two retrospective application methods. In April 2015, the FASB proposed deferring the effective date by one year to the first quarter of fiscal year 2018 and proposed permitting early adoption, but not before the original effective date of the first quarter of fiscal year 2017. We are currently evaluating the impact of this guidance on our consolidated financial statements.</w:t>
      </w:r>
    </w:p>
    <w:p>
      <w:pPr>
        <w:spacing w:after="0" w:line="336"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Astellas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Japan Agreement</w:t>
      </w:r>
    </w:p>
    <w:p>
      <w:pPr>
        <w:spacing w:after="0" w:line="11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In June 2005, we entered into a collaboration agreement with Astellas Pharma Inc. (“Astellas”) for the development and commercialization (but not manufacture) of roxadustat for the treatment of anemia in Japan (“Japan Agreement”). Under this agreement, Astellas paid license fees and other consideration totaling $40.1 million (such amounts were fully received as of February 2009). The Japan Agreement also provides for additional development and regulatory approval milestone payments up to $117.5 million, a commercial sales related milestone of $15.0 million and additional consideration based on net sales (as defined) in the low 20% range after commercial launch.</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 Agreement</w:t>
      </w:r>
    </w:p>
    <w:p>
      <w:pPr>
        <w:spacing w:after="0" w:line="11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April 2006, we entered into a separate collaboration agreement with Astellas for the development and commercialization of roxadustat for the treatment of anemia in Europe, the Middle East, the Commonwealth of Independent States and South Africa (“Europe Agreement”). Under the terms of the Europe Agreement, Astellas paid license fees and other upfront consideration totaling $320.0 million (such amounts were fully received as of February 2009). The Europe Agreement also provides for additional development and regulatory approval milestone payments up to $425.0 million. Under the Europe Agreement, Astellas committed to fund fifty percent of joint development costs for Europe and North America, and all territory-specific costs. The Europe Agreement also provides for tiered payments based on net sales of product (as defined) in the low 20% range.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AstraZeneca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U.S./Rest of World Agreement</w:t>
      </w:r>
    </w:p>
    <w:p>
      <w:pPr>
        <w:spacing w:after="0" w:line="119" w:lineRule="exact"/>
        <w:rPr>
          <w:sz w:val="20"/>
          <w:szCs w:val="20"/>
          <w:color w:val="auto"/>
        </w:rPr>
      </w:pPr>
    </w:p>
    <w:p>
      <w:pPr>
        <w:jc w:val="both"/>
        <w:ind w:right="40" w:firstLine="456"/>
        <w:spacing w:after="0" w:line="261" w:lineRule="auto"/>
        <w:rPr>
          <w:sz w:val="20"/>
          <w:szCs w:val="20"/>
          <w:color w:val="auto"/>
        </w:rPr>
      </w:pPr>
      <w:r>
        <w:rPr>
          <w:rFonts w:ascii="Times New Roman" w:cs="Times New Roman" w:eastAsia="Times New Roman" w:hAnsi="Times New Roman"/>
          <w:sz w:val="18"/>
          <w:szCs w:val="18"/>
          <w:color w:val="auto"/>
        </w:rPr>
        <w:t>Effective July 30, 2013, we entered into a collaboration agreement with AstraZeneca for the development and commercialization of roxadustat for the treatment of anemia in the United States and all other countries in the world, other than China, not previously licensed under the Astellas Europe and Astellas Japan Agreements (“U.S./RoW Agreement”). It also excludes China, which is covered by a separate agreement with AstraZeneca described below. Under the terms of the U.S./RoW Agreement, AstraZeneca has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agreed to pay upfront, non-contingent and time-based payments totaling $374.0 million, which we expect to receive in various amounts through June 2016, of which $82.0 million was received as of December 31, 2013 and were determined to be fixed and determinable upon the execution of the collaboration agreement. Out of the remaining payments of $292.0 million, which are contractually due, $230.0 million have extended payment terms and, accordingly, are not considered to be fixed or determinable upon the execution of the agreement. As such, for these remaining payments, the amount of revenue recognized is limited to the amount of cash consideration received; additionally, for each of the amounts received, the amount of revenue recognized will be determined on the basis of applying the relative selling price method to each of the units of accounting underlying the agreement as further described below. Further, $62.0 million of the remaining payment is contingent upon the occurrence of a specified event and accordingly is also not considered fixed or determinable. In addition, the U.S./RoW Agreement also provides for development and regulatory approval based milestone payments of up to $550.0 million, which include potential future indications which the companies choose to pursue, and commercial related milestone payments of up to $325.0 million.</w:t>
      </w:r>
    </w:p>
    <w:p>
      <w:pPr>
        <w:spacing w:after="0" w:line="18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Under the U.S./RoW Agreement, we and AstraZeneca will share equally in the development costs of roxadustat not already paid for by Astellas, up to a total of $233.0 million. Any additional development costs incurred by us during the development period in excess of the $233.0 million (aggregated spend) will be fully reimbursed by AstraZeneca. AstraZeneca will pay us tiered royalty payments on AstraZeneca’s future net sales (as defined in the agreement) of roxadustat in the low 20% range. In addition we will receive a transfer price for delivery of commercial product based on a percentage of AstraZeneca’s net sales (as defined in the agreement) in the low- to mid-single digit range.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China Agreement</w:t>
      </w:r>
    </w:p>
    <w:p>
      <w:pPr>
        <w:spacing w:after="0" w:line="11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Effective July 30, 2013, we (through our subsidiaries affiliated with China) entered into a collaboration agreement with AstraZeneca for the development and commercialization (but not manufacture) of roxadustat for the treatment of anemia in China (“China Agreement”). Under the terms of the China Agreement, AstraZeneca agreed to pay upfront consideration totaling $28.2 million, of which $16.2 million was received as of December 31, 2013 and was determined to be fixed and determinable upon the execution of the collaboration agreement. The remainder of the upfront payments of $12.0 million had extended payment terms and, accordingly, is not considered to be fixed or determinable upon the execution of the agreement. This payment of $12.0 million was received as of March 31, 2014. In addition, the China Agreement provides for AstraZeneca to pay regulatory approval and other approval related milestones of up to $161.0 million. The China Agreement also provides for sales related milestone payments of up to $167.5 million and contingent payments of $20.0 million related to possible future compounds. The China Agreement is structured as a 50/50 profit or loss share (as defined) and provides for joint development costs (including capital and equipment costs for construction of the manufacturing plant in China), to be shared equally during the development.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Astellas Agreements</w:t>
      </w:r>
    </w:p>
    <w:p>
      <w:pPr>
        <w:spacing w:after="0" w:line="121" w:lineRule="exact"/>
        <w:rPr>
          <w:sz w:val="20"/>
          <w:szCs w:val="20"/>
          <w:color w:val="auto"/>
        </w:rPr>
      </w:pPr>
    </w:p>
    <w:p>
      <w:pPr>
        <w:ind w:right="680" w:firstLine="456"/>
        <w:spacing w:after="0" w:line="282" w:lineRule="auto"/>
        <w:rPr>
          <w:sz w:val="20"/>
          <w:szCs w:val="20"/>
          <w:color w:val="auto"/>
        </w:rPr>
      </w:pPr>
      <w:r>
        <w:rPr>
          <w:rFonts w:ascii="Times New Roman" w:cs="Times New Roman" w:eastAsia="Times New Roman" w:hAnsi="Times New Roman"/>
          <w:sz w:val="18"/>
          <w:szCs w:val="18"/>
          <w:color w:val="auto"/>
        </w:rPr>
        <w:t>For each of the Astellas agreements, we evaluated the deliverables within the respective arrangements and separated them into various units of accounting.</w:t>
      </w:r>
    </w:p>
    <w:p>
      <w:pPr>
        <w:spacing w:after="0" w:line="162" w:lineRule="exact"/>
        <w:rPr>
          <w:sz w:val="20"/>
          <w:szCs w:val="20"/>
          <w:color w:val="auto"/>
        </w:rPr>
      </w:pPr>
    </w:p>
    <w:p>
      <w:pPr>
        <w:ind w:right="400" w:firstLine="456"/>
        <w:spacing w:after="0" w:line="266" w:lineRule="auto"/>
        <w:rPr>
          <w:sz w:val="20"/>
          <w:szCs w:val="20"/>
          <w:color w:val="auto"/>
        </w:rPr>
      </w:pPr>
      <w:r>
        <w:rPr>
          <w:rFonts w:ascii="Times New Roman" w:cs="Times New Roman" w:eastAsia="Times New Roman" w:hAnsi="Times New Roman"/>
          <w:sz w:val="18"/>
          <w:szCs w:val="18"/>
          <w:color w:val="auto"/>
        </w:rPr>
        <w:t>Deliverables that did not provide standalone value have been combined with other deliverables to form a unit of accounting that collectively has standalone value, with revenue being recognized on the combined unit of accounting, rather than the individual deliverables. There are no right-of-return provisions for the delivered items in the Astellas agreements.</w:t>
      </w:r>
    </w:p>
    <w:p>
      <w:pPr>
        <w:spacing w:after="0" w:line="176"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For the Astellas agreements, we allocated arrangement consideration to various units of accounting based on BESP of each deliverable within each unit of accounting using the relative selling price method as we did not have VSOE or TPE of selling price for such deliverables. Arrangement consideration includes non-contingent upfront payments of $360.1 million and cumulative co-development billings of $109.3 million (for the Europe Agreement) as of March 31, 2015.</w:t>
      </w:r>
    </w:p>
    <w:p>
      <w:pPr>
        <w:spacing w:after="0" w:line="180"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For the technology license under the Japan Agreement and Europe Agreement, BESP was determined primarily by using the discounted cash flow (“DCF”) method, which aggregates the present value of future cash flows to determine the valuation as of the effective date of each of the agreements. The DCF method involves the following key steps: 1) the determination of cash flow forecasts and 2) the selection of a range of comparative risk-adjusted discount rates to apply against the cash flow forecasts. The discount rates selected were based on expectations of the total rate of return, the rate at which capital would be attracted to the Company and the level of risk inherent within the Company. The discounts applied in the DCF analysis ranged from 17.5% to 20.0%. Our cash flow forecasts were derived from probability-adjusted revenue and expense projections by territory. Such projections included consideration of taxes and cash flow adjustments. The probability adjustments were made after considering the likelihood of technical success at various stages of clinical trials and regulatory approval phases. BESP also considered certain future royalty payments associated with commercial performance of our compounds, transfer prices and expected gross margins.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units of accounting that were analyzed, along with their general timing of delivery or performance of service and general timing of revenue recognition, are as follows:</w:t>
      </w:r>
    </w:p>
    <w:p>
      <w:pPr>
        <w:spacing w:after="0" w:line="67" w:lineRule="exact"/>
        <w:rPr>
          <w:sz w:val="20"/>
          <w:szCs w:val="20"/>
          <w:color w:val="auto"/>
        </w:rPr>
      </w:pPr>
    </w:p>
    <w:p>
      <w:pPr>
        <w:ind w:left="900" w:right="40" w:hanging="325"/>
        <w:spacing w:after="0" w:line="25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to our technology existing at the effective date of the agreements. For both of the Astellas agreements, the license was delivered at the beginning of the agreement terms, or when the agreements were signed, and any contingencies had been removed. In both cases, we concluded at the time of the agreement that our collaboration partner, Astellas, would have the knowledge and capabilities to exploit the licenses without our further involvement. However, the Japan Agreement with Astellas has contractual limitations that might affect Astellas’ ability to exploit the license and therefore, potentially, the conclusion as to whether the license provides stand-alone value. In the Japan agreement, Astellas does not have the right to manufacture commercial supplies of the drug. In order to determine whether this characteristic of the agreement should lead to a conclusion that the license did not have stand-alone value, we considered the intent of the parties and the substantive reasons that led to that feature of the agreement.</w:t>
      </w:r>
    </w:p>
    <w:p>
      <w:pPr>
        <w:spacing w:after="0" w:line="90" w:lineRule="exact"/>
        <w:rPr>
          <w:rFonts w:ascii="Times New Roman" w:cs="Times New Roman" w:eastAsia="Times New Roman" w:hAnsi="Times New Roman"/>
          <w:sz w:val="18"/>
          <w:szCs w:val="18"/>
          <w:color w:val="auto"/>
        </w:rPr>
      </w:pPr>
    </w:p>
    <w:p>
      <w:pPr>
        <w:ind w:left="900" w:right="120" w:hanging="325"/>
        <w:spacing w:after="0" w:line="256"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Japan Agreement, we retained manufacturing rights largely because of the way the parties chose for FibroGen to be compensated under the agreement. At the time the agreement was signed, we believed that it was more advantageous upon commercialization to have a transfer price revenue model in place as opposed to a traditional sales-based model. We and Astellas could have structured the arrangement with a transfer of manufacturing rights and compensated us through a royalty or other feature without significantly diminishing the prospects of the drug product. Therefore, we determined that the license in Japan provides stand-alone value to the customer despite the lack of manufacturing rights.</w:t>
      </w:r>
    </w:p>
    <w:p>
      <w:pPr>
        <w:spacing w:after="0" w:line="93" w:lineRule="exact"/>
        <w:rPr>
          <w:rFonts w:ascii="Times New Roman" w:cs="Times New Roman" w:eastAsia="Times New Roman" w:hAnsi="Times New Roman"/>
          <w:sz w:val="18"/>
          <w:szCs w:val="18"/>
          <w:color w:val="auto"/>
        </w:rPr>
      </w:pPr>
    </w:p>
    <w:p>
      <w:pPr>
        <w:jc w:val="both"/>
        <w:ind w:left="900" w:right="100" w:hanging="325"/>
        <w:spacing w:after="0" w:line="266"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to our technology developed during the term of the agreement and development (referred to as “when and if available”) and information sharing services. These deliverables are generally delivered throughout the term of the agreements and are recognized as revenue as the services are provided.</w:t>
      </w:r>
    </w:p>
    <w:p>
      <w:pPr>
        <w:spacing w:after="0" w:line="81" w:lineRule="exact"/>
        <w:rPr>
          <w:rFonts w:ascii="Times New Roman" w:cs="Times New Roman" w:eastAsia="Times New Roman" w:hAnsi="Times New Roman"/>
          <w:sz w:val="18"/>
          <w:szCs w:val="18"/>
          <w:color w:val="auto"/>
        </w:rPr>
      </w:pPr>
    </w:p>
    <w:p>
      <w:pPr>
        <w:ind w:left="900" w:hanging="325"/>
        <w:spacing w:after="0" w:line="258"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Co-development services (Europe Agreement). This deliverable relates to co-development services that were reasonably expected to be performed by us at the time the collaboration agreement was signed. Revenue is recognized as reimbursements for such co-development services are earned. The period related to this deliverable represented our determination of the non-contingent performance period, which was estimated to be 36 months for the Europe Agreement from the signing of the agreement. There was no provision for co-development services in the Japan agreement.</w:t>
      </w:r>
    </w:p>
    <w:p>
      <w:pPr>
        <w:spacing w:after="0" w:line="89" w:lineRule="exact"/>
        <w:rPr>
          <w:rFonts w:ascii="Times New Roman" w:cs="Times New Roman" w:eastAsia="Times New Roman" w:hAnsi="Times New Roman"/>
          <w:sz w:val="18"/>
          <w:szCs w:val="18"/>
          <w:color w:val="auto"/>
        </w:rPr>
      </w:pPr>
    </w:p>
    <w:p>
      <w:pPr>
        <w:ind w:left="900" w:right="160" w:hanging="325"/>
        <w:spacing w:after="0" w:line="258"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of clinical supplies of products. This deliverable is satisfied as supplies for clinical product are delivered for use in our clinical trial programs during the development period, or pre-commercialization period. Revenue is recognized based on the estimated proportion of the development services performed during the development period. These estimates are made at the beginning of each accounting period and will likely change throughout the course of the terms of both agreements. As new information related to these estimates becomes available, we may adjust the timing of revenue recognition related to this unit of accounting.</w:t>
      </w:r>
    </w:p>
    <w:p>
      <w:pPr>
        <w:spacing w:after="0" w:line="89" w:lineRule="exact"/>
        <w:rPr>
          <w:rFonts w:ascii="Times New Roman" w:cs="Times New Roman" w:eastAsia="Times New Roman" w:hAnsi="Times New Roman"/>
          <w:sz w:val="18"/>
          <w:szCs w:val="18"/>
          <w:color w:val="auto"/>
        </w:rPr>
      </w:pPr>
    </w:p>
    <w:p>
      <w:pPr>
        <w:ind w:left="900" w:right="80" w:hanging="325"/>
        <w:spacing w:after="0" w:line="266"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commercial supplies of products. This deliverable is satisfied and revenue is recognized as supplies are shipped for commercial use during the commercialization period. As this deliverable is considered a contingent deliverable, it is outside the scope of the initial allocation of upfront and other consideration.</w:t>
      </w:r>
    </w:p>
    <w:p>
      <w:pPr>
        <w:spacing w:after="0" w:line="81" w:lineRule="exact"/>
        <w:rPr>
          <w:rFonts w:ascii="Times New Roman" w:cs="Times New Roman" w:eastAsia="Times New Roman" w:hAnsi="Times New Roman"/>
          <w:sz w:val="18"/>
          <w:szCs w:val="18"/>
          <w:color w:val="auto"/>
        </w:rPr>
      </w:pPr>
    </w:p>
    <w:p>
      <w:pPr>
        <w:ind w:left="900" w:right="520" w:hanging="325"/>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service. This deliverable is satisfied and revenue is recognized throughout the course of the various agreements as meetings are attended.</w:t>
      </w:r>
    </w:p>
    <w:p>
      <w:pPr>
        <w:spacing w:after="0" w:line="162"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Any consideration received for each Astellas agreement after the initial proceeds on the agreement signing date were also (and will be also) allocated to the various units of accounting above per agreement using the relative selling price method under ASC 605-25-30-2 and 30-5.</w:t>
      </w:r>
    </w:p>
    <w:p>
      <w:pPr>
        <w:spacing w:after="0" w:line="16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Under the Europe Agreement, we are also eligible to receive from Astellas an aggregate of approximately $425.0 million in potential milestone</w:t>
      </w:r>
    </w:p>
    <w:p>
      <w:pPr>
        <w:spacing w:after="0" w:line="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payments, comprised of (i) up to $90.0 million in substantive milestone payments upon achievement of specified clinical and development milestone events,</w:t>
      </w:r>
    </w:p>
    <w:p>
      <w:pPr>
        <w:spacing w:after="0" w:line="9" w:lineRule="exact"/>
        <w:rPr>
          <w:sz w:val="20"/>
          <w:szCs w:val="20"/>
          <w:color w:val="auto"/>
        </w:rPr>
      </w:pPr>
    </w:p>
    <w:p>
      <w:pPr>
        <w:ind w:right="40" w:firstLine="8"/>
        <w:spacing w:after="0" w:line="277" w:lineRule="auto"/>
        <w:tabs>
          <w:tab w:leader="none" w:pos="26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 to $335.0 million in substantive milestone payments upon achievement of specified regulatory milestone events, including up to $25.0 million in milestone payments in connection with receipt of marketing approval in Russia. Clinical milestone payments of $40.0 million and $50.0 million were received in 2010 and 2012. We evaluated the criteria under ASC 605-28 (as disclosed in Note 1) and concluded that each of those milestones was substantive.</w:t>
      </w:r>
    </w:p>
    <w:p>
      <w:pPr>
        <w:spacing w:after="0" w:line="169" w:lineRule="exact"/>
        <w:rPr>
          <w:sz w:val="20"/>
          <w:szCs w:val="20"/>
          <w:color w:val="auto"/>
        </w:rPr>
      </w:pPr>
    </w:p>
    <w:p>
      <w:pPr>
        <w:ind w:right="740" w:firstLine="456"/>
        <w:spacing w:after="0" w:line="282" w:lineRule="auto"/>
        <w:rPr>
          <w:sz w:val="20"/>
          <w:szCs w:val="20"/>
          <w:color w:val="auto"/>
        </w:rPr>
      </w:pPr>
      <w:r>
        <w:rPr>
          <w:rFonts w:ascii="Times New Roman" w:cs="Times New Roman" w:eastAsia="Times New Roman" w:hAnsi="Times New Roman"/>
          <w:sz w:val="18"/>
          <w:szCs w:val="18"/>
          <w:color w:val="auto"/>
        </w:rPr>
        <w:t>Under the Japan Agreement, we are also eligible to receive from Astellas an aggregate of approximately $132.5 million in potential milestone payments, comprised of (i) up to $22.5 million in substantive milestone payments upon achievement of specified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clinical and development milestone events, (ii) up to $95.0 million in substantive milestone payments upon achievement of specified regulatory milestone events, and (iii) up to approximately $15.0 million in milestone payments upon the achievement of specified commercial sales milestone. A clinical milestone payment of $12.5 million was received in 2013. We evaluated the criteria under ASC 605-28 (as disclosed in Note 1) and concluded that the aforementioned milestone was substantive.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AstraZeneca Agreements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considered the criteria in AICPA TIS Section 5100.39 in evaluating whether the U.S./RoW and China Agreements should be accounted for as a single arrangement and concluded that the agreements should be accounted for as a single arrangement as the presumption under the guidance is that two or more agreements executed with a single customer at or around the same time should be presumed to be a single arrangement. Accordingly, upfront and other non-contingent arrangement consideration received and to be received has been and will be pooled together and allocated to each of the units of accounting in both the U.S./RoW and China Agreements based on their relative fair values.</w:t>
      </w:r>
    </w:p>
    <w:p>
      <w:pPr>
        <w:spacing w:after="0" w:line="184" w:lineRule="exact"/>
        <w:rPr>
          <w:sz w:val="20"/>
          <w:szCs w:val="20"/>
          <w:color w:val="auto"/>
        </w:rPr>
      </w:pPr>
    </w:p>
    <w:p>
      <w:pPr>
        <w:ind w:right="80" w:firstLine="456"/>
        <w:spacing w:after="0" w:line="289" w:lineRule="auto"/>
        <w:rPr>
          <w:sz w:val="20"/>
          <w:szCs w:val="20"/>
          <w:color w:val="auto"/>
        </w:rPr>
      </w:pPr>
      <w:r>
        <w:rPr>
          <w:rFonts w:ascii="Times New Roman" w:cs="Times New Roman" w:eastAsia="Times New Roman" w:hAnsi="Times New Roman"/>
          <w:sz w:val="17"/>
          <w:szCs w:val="17"/>
          <w:color w:val="auto"/>
        </w:rPr>
        <w:t>We evaluated the deliverables within the arrangement and has separated them into various units of accounting. Deliverables that did not provide stand-alone value have been combined with other deliverables to form a unit of accounting that collectively has stand-alone value, with revenue being recognized on the combined unit of accounting, rather than the individual deliverables. There are no right-of-return provisions for the delivered items in the agreements.</w:t>
      </w:r>
    </w:p>
    <w:p>
      <w:pPr>
        <w:spacing w:after="0" w:line="15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For the technology license under the AstraZeneca U.S./RoW Agreement, BESP was determined based on a two-step process. The first step involved determining an implied royalty rate that would result in the net present value of future cash flows to equal to zero (i.e. where the IRR on the transaction would equal the target return for the investment). This results in an upper bound estimation of the magnitude of royalties that a hypothetical acquirer would reasonably pay for the forecasted cash flow stream. Our cash flow forecasts were derived from probability-adjusted revenue and expense projections. Such projections included consideration of taxes and cash flow adjustments. The probability adjustments were made after considering the likelihood of technical success at various stages of clinical trials and regulatory approval phases. The second step involved applying the implied royalty rate, which was determined to be 40%, against the probability-adjusted projected net revenues by territory and determining the value of the license as the net present value of future cash flows after adjusting for taxes. The discount rate utilized was 17.5%.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U.S./RoW Agreement:</w:t>
      </w:r>
    </w:p>
    <w:p>
      <w:pPr>
        <w:spacing w:after="0" w:line="119" w:lineRule="exact"/>
        <w:rPr>
          <w:sz w:val="20"/>
          <w:szCs w:val="20"/>
          <w:color w:val="auto"/>
        </w:rPr>
      </w:pPr>
    </w:p>
    <w:p>
      <w:pPr>
        <w:ind w:right="580" w:firstLine="456"/>
        <w:spacing w:after="0" w:line="282" w:lineRule="auto"/>
        <w:rPr>
          <w:sz w:val="20"/>
          <w:szCs w:val="20"/>
          <w:color w:val="auto"/>
        </w:rPr>
      </w:pPr>
      <w:r>
        <w:rPr>
          <w:rFonts w:ascii="Times New Roman" w:cs="Times New Roman" w:eastAsia="Times New Roman" w:hAnsi="Times New Roman"/>
          <w:sz w:val="18"/>
          <w:szCs w:val="18"/>
          <w:color w:val="auto"/>
        </w:rPr>
        <w:t>The units of accounting that were analyzed, along with their general timing of delivery or performance of service and general timing of revenue recognition, are as follows:</w:t>
      </w:r>
    </w:p>
    <w:p>
      <w:pPr>
        <w:spacing w:after="0" w:line="67" w:lineRule="exact"/>
        <w:rPr>
          <w:sz w:val="20"/>
          <w:szCs w:val="20"/>
          <w:color w:val="auto"/>
        </w:rPr>
      </w:pPr>
    </w:p>
    <w:p>
      <w:pPr>
        <w:ind w:left="900" w:right="140" w:hanging="325"/>
        <w:spacing w:after="0" w:line="266"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to our technology existing at the effective date of the agreements. For the U.S./RoW Agreement, the license was delivered at the beginning of the agreement terms as all contingencies had been removed. We concluded that AstraZeneca has the knowledge and capabilities to exploit the U.S./RoW license without our further involvement.</w:t>
      </w:r>
    </w:p>
    <w:p>
      <w:pPr>
        <w:spacing w:after="0" w:line="81" w:lineRule="exact"/>
        <w:rPr>
          <w:rFonts w:ascii="Times New Roman" w:cs="Times New Roman" w:eastAsia="Times New Roman" w:hAnsi="Times New Roman"/>
          <w:sz w:val="18"/>
          <w:szCs w:val="18"/>
          <w:color w:val="auto"/>
        </w:rPr>
      </w:pPr>
    </w:p>
    <w:p>
      <w:pPr>
        <w:ind w:left="900" w:right="40" w:hanging="325"/>
        <w:spacing w:after="0" w:line="261"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Co-development services. This deliverable relates to co-development services which were reasonably expected to be performed by us at the time the U.S./RoW Agreement was signed. Revenue is recognized as reimbursements for such co-development services are earned. The period related to this deliverable represented our determination of the non-contingent performance period, which was estimated to be 65 months from the signing of the U.S./RoW Agreement.</w:t>
      </w:r>
    </w:p>
    <w:p>
      <w:pPr>
        <w:spacing w:after="0" w:line="85" w:lineRule="exact"/>
        <w:rPr>
          <w:rFonts w:ascii="Times New Roman" w:cs="Times New Roman" w:eastAsia="Times New Roman" w:hAnsi="Times New Roman"/>
          <w:sz w:val="18"/>
          <w:szCs w:val="18"/>
          <w:color w:val="auto"/>
        </w:rPr>
      </w:pPr>
    </w:p>
    <w:p>
      <w:pPr>
        <w:ind w:left="900" w:right="140" w:hanging="325"/>
        <w:spacing w:after="0" w:line="258"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of clinical supplies of products. This deliverable is satisfied as supplies for clinical product are delivered for use in our clinical trial programs during the development period, or pre-commercialization period. Revenue is recognized based on the estimated proportion of the development services performed during the development period. These estimates are made at the beginning of each accounting period and will likely change throughout the course of the agreements. As new information related to these estimates becomes available, we may adjust the timing of revenue recognition related to this unit of accounting.</w:t>
      </w:r>
    </w:p>
    <w:p>
      <w:pPr>
        <w:spacing w:after="0" w:line="89" w:lineRule="exact"/>
        <w:rPr>
          <w:rFonts w:ascii="Times New Roman" w:cs="Times New Roman" w:eastAsia="Times New Roman" w:hAnsi="Times New Roman"/>
          <w:sz w:val="18"/>
          <w:szCs w:val="18"/>
          <w:color w:val="auto"/>
        </w:rPr>
      </w:pPr>
    </w:p>
    <w:p>
      <w:pPr>
        <w:ind w:left="900" w:right="60" w:hanging="325"/>
        <w:spacing w:after="0" w:line="266"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commercial supplies of products. This deliverable is satisfied and revenue is recognized as supplies are shipped for commercial use during the commercialization period. As this deliverable is considered a contingent deliverable, it is outside the scope of the initial allocation of upfront and other consideration.</w:t>
      </w:r>
    </w:p>
    <w:p>
      <w:pPr>
        <w:spacing w:after="0" w:line="81" w:lineRule="exact"/>
        <w:rPr>
          <w:rFonts w:ascii="Times New Roman" w:cs="Times New Roman" w:eastAsia="Times New Roman" w:hAnsi="Times New Roman"/>
          <w:sz w:val="18"/>
          <w:szCs w:val="18"/>
          <w:color w:val="auto"/>
        </w:rPr>
      </w:pPr>
    </w:p>
    <w:p>
      <w:pPr>
        <w:ind w:left="900" w:right="500" w:hanging="325"/>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service. This deliverable is satisfied and revenue is recognized throughout the course of the various agreements as meetings are attended.</w:t>
      </w:r>
    </w:p>
    <w:p>
      <w:pPr>
        <w:spacing w:after="0" w:line="162" w:lineRule="exact"/>
        <w:rPr>
          <w:sz w:val="20"/>
          <w:szCs w:val="20"/>
          <w:color w:val="auto"/>
        </w:rPr>
      </w:pPr>
    </w:p>
    <w:p>
      <w:pPr>
        <w:jc w:val="both"/>
        <w:ind w:right="40" w:firstLine="456"/>
        <w:spacing w:after="0" w:line="261" w:lineRule="auto"/>
        <w:rPr>
          <w:sz w:val="20"/>
          <w:szCs w:val="20"/>
          <w:color w:val="auto"/>
        </w:rPr>
      </w:pPr>
      <w:r>
        <w:rPr>
          <w:rFonts w:ascii="Times New Roman" w:cs="Times New Roman" w:eastAsia="Times New Roman" w:hAnsi="Times New Roman"/>
          <w:sz w:val="18"/>
          <w:szCs w:val="18"/>
          <w:color w:val="auto"/>
        </w:rPr>
        <w:t>Under the U.S./RoW Agreement, we are also eligible to receive from AstraZeneca an aggregate of approximately $875.0 million in potential milestone payments, comprised of (i) up to $65.0 million in substantive milestone payments upon achievement of specified clinical and development milestone events,</w:t>
      </w:r>
    </w:p>
    <w:p>
      <w:pPr>
        <w:jc w:val="right"/>
        <w:ind w:left="5620" w:right="5580" w:hanging="5612"/>
        <w:spacing w:after="0" w:line="433" w:lineRule="auto"/>
        <w:tabs>
          <w:tab w:leader="none" w:pos="26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$325.0 million in substantive milestone payments upon achievement of 13</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specified regulatory milestone events, (iii) up to $160.0 million in a non-substantive deferred approval milestone, which would be paid if certain competitors do not launch a HIF compound in the U.S. on or before January 1, 2023, and (iv) up to approximately $325.0 million in milestone payments upon the achievement of specified commercial sales events.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China Agreement:</w:t>
      </w:r>
    </w:p>
    <w:p>
      <w:pPr>
        <w:spacing w:after="0" w:line="119"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The units of accounting that were analyzed, along with their general timing of delivery or performance of service and general timing of revenue recognition, are as follows:</w:t>
      </w:r>
    </w:p>
    <w:p>
      <w:pPr>
        <w:spacing w:after="0" w:line="67" w:lineRule="exact"/>
        <w:rPr>
          <w:sz w:val="20"/>
          <w:szCs w:val="20"/>
          <w:color w:val="auto"/>
        </w:rPr>
      </w:pPr>
    </w:p>
    <w:p>
      <w:pPr>
        <w:ind w:left="900" w:right="40" w:hanging="325"/>
        <w:spacing w:after="0" w:line="256"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to our technology existing at the effective date of the agreement. The license was delivered at the beginning of the agreement term as all contingencies had been removed. However, the China Agreement with AstraZeneca has contractual limitations that might affect AstraZeneca’s ability to exploit the license and therefore, potentially, the conclusion as to whether the license provides stand-alone value. In the China Agreement, AstraZeneca does not have the right to manufacture commercial supplies of the drug. In order to determine whether this characteristic of the arrangement should lead to a conclusion that the license did not have stand-alone value, we considered the intent of the parties and the substantive reasons that led to that feature of the agreement.</w:t>
      </w:r>
    </w:p>
    <w:p>
      <w:pPr>
        <w:spacing w:after="0" w:line="80" w:lineRule="exact"/>
        <w:rPr>
          <w:sz w:val="20"/>
          <w:szCs w:val="20"/>
          <w:color w:val="auto"/>
        </w:rPr>
      </w:pPr>
    </w:p>
    <w:p>
      <w:pPr>
        <w:ind w:left="920"/>
        <w:spacing w:after="0" w:line="272" w:lineRule="auto"/>
        <w:rPr>
          <w:sz w:val="20"/>
          <w:szCs w:val="20"/>
          <w:color w:val="auto"/>
        </w:rPr>
      </w:pPr>
      <w:r>
        <w:rPr>
          <w:rFonts w:ascii="Times New Roman" w:cs="Times New Roman" w:eastAsia="Times New Roman" w:hAnsi="Times New Roman"/>
          <w:sz w:val="17"/>
          <w:szCs w:val="17"/>
          <w:color w:val="auto"/>
        </w:rPr>
        <w:t>For the China Agreement, we retained manufacturing rights as an essential part of a strategy to pursue domestic regulatory pathway for product approval which requires the regulatory licensure of the manufacturing facility in order to commence commercial shipment. The prospects for the collaboration as a whole would have been substantially different had manufacturing rights been provided to AstraZeneca. Because the retention of manufacturing rights by us was a significant factor in the collaboration strategy, rather than simply a mechanism to properly compensate us, we concluded that the license and development services do not have stand-alone value apart from the manufacturing rights. Accordingly, all the deliverables identified, including co-development services, under the China Agreement have been treated as a single unit of account and all revenue allocable to this unit of account is deferred until delivery of commercial drug product has begun. Upon commencement of delivery of commercial drug product, revenue would be recognized in a pattern consistent with estimated deliveries of the commercial drug product.</w:t>
      </w:r>
    </w:p>
    <w:p>
      <w:pPr>
        <w:spacing w:after="0" w:line="172"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Under the China Agreement, we are also eligible to receive from AstraZeneca an aggregate of approximately $328.5 million in potential milestone payments, comprised of (i) up to $15.0 million in substantive milestone payments upon achievement of specified clinical and development milestone events,</w:t>
      </w:r>
    </w:p>
    <w:p>
      <w:pPr>
        <w:ind w:right="100" w:firstLine="8"/>
        <w:spacing w:after="0" w:line="261" w:lineRule="auto"/>
        <w:tabs>
          <w:tab w:leader="none" w:pos="2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$146.0 million in substantive milestone payments upon achievement of specified regulatory milestone events, and (iii) up to approximately $167.5 million in milestone payments upon the achievement of specified commercial sales events.</w:t>
      </w:r>
    </w:p>
    <w:p>
      <w:pPr>
        <w:spacing w:after="0" w:line="18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As we are accounting for both the U.S./RoW and China Agreements as one arrangement, any consideration received after the initial proceeds on the agreement signing date were also (and will be also) allocated to the various units of accounting above using the relative selling price method under ASC 605-25-30-2 and 30-5.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revenue recognized under the collaboration agreements</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The table below summarizes the accounting treatment for the various deliverables pursuant to each of the Astellas and AstraZeneca agreements. License amounts identified below are included in the “License and milestone revenue” line item in the condensed consolidated statements of operations. All other elements identified below are included in the “Collaboration services and other revenue” line item in the condensed consolidated statements of operations.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Amounts recognized as revenue under the Japan Agreement were as follows (in thousands):</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Deliverable</w:t>
            </w:r>
          </w:p>
        </w:tc>
        <w:tc>
          <w:tcPr>
            <w:tcW w:w="35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100" w:type="dxa"/>
            <w:vAlign w:val="bottom"/>
            <w:gridSpan w:val="2"/>
            <w:vMerge w:val="continue"/>
          </w:tcPr>
          <w:p>
            <w:pPr>
              <w:spacing w:after="0"/>
              <w:rPr>
                <w:sz w:val="12"/>
                <w:szCs w:val="12"/>
                <w:color w:val="auto"/>
              </w:rPr>
            </w:pPr>
          </w:p>
        </w:tc>
        <w:tc>
          <w:tcPr>
            <w:tcW w:w="3280" w:type="dxa"/>
            <w:vAlign w:val="bottom"/>
            <w:gridSpan w:val="2"/>
            <w:vMerge w:val="continue"/>
          </w:tcPr>
          <w:p>
            <w:pPr>
              <w:spacing w:after="0"/>
              <w:rPr>
                <w:sz w:val="12"/>
                <w:szCs w:val="12"/>
                <w:color w:val="auto"/>
              </w:rPr>
            </w:pPr>
          </w:p>
        </w:tc>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w:t>
            </w:r>
          </w:p>
        </w:tc>
        <w:tc>
          <w:tcPr>
            <w:tcW w:w="2580" w:type="dxa"/>
            <w:vAlign w:val="bottom"/>
            <w:tcBorders>
              <w:top w:val="single" w:sz="8" w:color="CCEEFF"/>
            </w:tcBorders>
            <w:shd w:val="clear" w:color="auto" w:fill="CCEEFF"/>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437</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Milestones</w:t>
            </w:r>
          </w:p>
        </w:tc>
        <w:tc>
          <w:tcPr>
            <w:tcW w:w="3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license and milestone revenue</w:t>
            </w:r>
          </w:p>
        </w:tc>
        <w:tc>
          <w:tcPr>
            <w:tcW w:w="3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437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Collaboration services revenue*</w:t>
            </w:r>
          </w:p>
        </w:tc>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560" w:type="dxa"/>
            <w:vAlign w:val="bottom"/>
          </w:tcPr>
          <w:p>
            <w:pPr>
              <w:jc w:val="right"/>
              <w:ind w:right="297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5" w:right="31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As of March 31, 2015, the total arrangement consideration has been allocated to each of the following deliverables under the Japan Agreement, along with any associated deferred revenue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Cumulative Revenue</w:t>
            </w:r>
          </w:p>
        </w:tc>
        <w:tc>
          <w:tcPr>
            <w:tcW w:w="440" w:type="dxa"/>
            <w:vAlign w:val="bottom"/>
          </w:tcPr>
          <w:p>
            <w:pPr>
              <w:spacing w:after="0"/>
              <w:rPr>
                <w:sz w:val="13"/>
                <w:szCs w:val="13"/>
                <w:color w:val="auto"/>
              </w:rPr>
            </w:pPr>
          </w:p>
        </w:tc>
        <w:tc>
          <w:tcPr>
            <w:tcW w:w="1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Deferred Revenue</w:t>
            </w:r>
          </w:p>
        </w:tc>
        <w:tc>
          <w:tcPr>
            <w:tcW w:w="440" w:type="dxa"/>
            <w:vAlign w:val="bottom"/>
          </w:tcPr>
          <w:p>
            <w:pPr>
              <w:spacing w:after="0"/>
              <w:rPr>
                <w:sz w:val="13"/>
                <w:szCs w:val="13"/>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Through March 31, 2015</w:t>
            </w:r>
          </w:p>
        </w:tc>
        <w:tc>
          <w:tcPr>
            <w:tcW w:w="440" w:type="dxa"/>
            <w:vAlign w:val="bottom"/>
          </w:tcPr>
          <w:p>
            <w:pPr>
              <w:spacing w:after="0"/>
              <w:rPr>
                <w:sz w:val="15"/>
                <w:szCs w:val="15"/>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at March 31, 2015</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w:t>
            </w:r>
          </w:p>
        </w:tc>
        <w:tc>
          <w:tcPr>
            <w:tcW w:w="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41,659</w:t>
            </w:r>
          </w:p>
        </w:tc>
        <w:tc>
          <w:tcPr>
            <w:tcW w:w="4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When and if available compounds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Manufacturing—clinical supplies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Committee services</w:t>
            </w: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license and collaboration services revenue</w:t>
            </w:r>
          </w:p>
        </w:tc>
        <w:tc>
          <w:tcPr>
            <w:tcW w:w="10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43,515</w:t>
            </w:r>
          </w:p>
        </w:tc>
        <w:tc>
          <w:tcPr>
            <w:tcW w:w="9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140</w:t>
            </w:r>
          </w:p>
        </w:tc>
        <w:tc>
          <w:tcPr>
            <w:tcW w:w="5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43,655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20" w:right="20" w:hanging="212"/>
        <w:spacing w:after="0" w:line="266" w:lineRule="auto"/>
        <w:tabs>
          <w:tab w:leader="none" w:pos="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and if available compounds, manufacturing—clinical supplies and committee services have each been identified as separate units of accounting with standalone value and amounts allocable to these elements have been recognized and classified within the collaboration services revenue line item within the condensed consolidated statements of operations.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Amounts recognized as revenue under the Europe Agreement were as follows (in thousands):</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51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Deliverable</w:t>
            </w: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860" w:type="dxa"/>
            <w:vAlign w:val="bottom"/>
            <w:gridSpan w:val="2"/>
            <w:vMerge w:val="continue"/>
          </w:tcPr>
          <w:p>
            <w:pPr>
              <w:spacing w:after="0"/>
              <w:rPr>
                <w:sz w:val="12"/>
                <w:szCs w:val="12"/>
                <w:color w:val="auto"/>
              </w:rPr>
            </w:pPr>
          </w:p>
        </w:tc>
        <w:tc>
          <w:tcPr>
            <w:tcW w:w="5120" w:type="dxa"/>
            <w:vAlign w:val="bottom"/>
            <w:gridSpan w:val="3"/>
            <w:vMerge w:val="continue"/>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3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w:t>
            </w:r>
          </w:p>
        </w:tc>
        <w:tc>
          <w:tcPr>
            <w:tcW w:w="426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2,667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1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Milestones</w:t>
            </w:r>
          </w:p>
        </w:tc>
        <w:tc>
          <w:tcPr>
            <w:tcW w:w="2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license and milestone revenue</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4,255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2,667</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1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Collaboration services revenue*</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As of March 31, 2015, the total arrangement consideration has been allocated to each of the following deliverables under the Europe Agreement, along with any associated deferred revenue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Cumulative Revenue</w:t>
            </w:r>
          </w:p>
        </w:tc>
        <w:tc>
          <w:tcPr>
            <w:tcW w:w="420" w:type="dxa"/>
            <w:vAlign w:val="bottom"/>
          </w:tcPr>
          <w:p>
            <w:pPr>
              <w:spacing w:after="0"/>
              <w:rPr>
                <w:sz w:val="13"/>
                <w:szCs w:val="13"/>
                <w:color w:val="auto"/>
              </w:rPr>
            </w:pPr>
          </w:p>
        </w:tc>
        <w:tc>
          <w:tcPr>
            <w:tcW w:w="1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Deferred Revenue</w:t>
            </w:r>
          </w:p>
        </w:tc>
        <w:tc>
          <w:tcPr>
            <w:tcW w:w="420" w:type="dxa"/>
            <w:vAlign w:val="bottom"/>
          </w:tcPr>
          <w:p>
            <w:pPr>
              <w:spacing w:after="0"/>
              <w:rPr>
                <w:sz w:val="13"/>
                <w:szCs w:val="13"/>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1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Through March 31, 2015</w:t>
            </w:r>
          </w:p>
        </w:tc>
        <w:tc>
          <w:tcPr>
            <w:tcW w:w="420" w:type="dxa"/>
            <w:vAlign w:val="bottom"/>
          </w:tcPr>
          <w:p>
            <w:pPr>
              <w:spacing w:after="0"/>
              <w:rPr>
                <w:sz w:val="15"/>
                <w:szCs w:val="15"/>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at March 31, 2015</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387,894</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When and if available compounds</w:t>
            </w:r>
          </w:p>
        </w:tc>
        <w:tc>
          <w:tcPr>
            <w:tcW w:w="100" w:type="dxa"/>
            <w:vAlign w:val="bottom"/>
          </w:tcPr>
          <w:p>
            <w:pPr>
              <w:spacing w:after="0"/>
              <w:rPr>
                <w:sz w:val="18"/>
                <w:szCs w:val="18"/>
                <w:color w:val="auto"/>
              </w:rPr>
            </w:pPr>
          </w:p>
        </w:tc>
        <w:tc>
          <w:tcPr>
            <w:tcW w:w="18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294</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444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Manufacturing—clinical supplies</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8,636</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655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Development services—in progress</w:t>
            </w:r>
          </w:p>
        </w:tc>
        <w:tc>
          <w:tcPr>
            <w:tcW w:w="100" w:type="dxa"/>
            <w:vAlign w:val="bottom"/>
          </w:tcPr>
          <w:p>
            <w:pPr>
              <w:spacing w:after="0"/>
              <w:rPr>
                <w:sz w:val="18"/>
                <w:szCs w:val="18"/>
                <w:color w:val="auto"/>
              </w:rPr>
            </w:pPr>
          </w:p>
        </w:tc>
        <w:tc>
          <w:tcPr>
            <w:tcW w:w="18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31,078</w:t>
            </w: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31,078</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Committee services</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247</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28"/>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license and collaboration services revenue</w:t>
            </w: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428,149</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220" w:right="460" w:hanging="212"/>
        <w:spacing w:after="0" w:line="261" w:lineRule="auto"/>
        <w:tabs>
          <w:tab w:leader="none" w:pos="2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and if available compounds, manufacturing—clinical supplies, development services—in progress at the time of signing of the agreement, and committee services have each been identified as a separate unit of accounting with standalone value and amounts allocable to these units have been recognized in revenue as services are performed and classified within the collaboration services revenue line item within the condensed consolidated statements of operations.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Amounts recognized as revenue under the U.S./RoW Agreement were as follows (in thousands):</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60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Deliverable</w:t>
            </w:r>
          </w:p>
        </w:tc>
        <w:tc>
          <w:tcPr>
            <w:tcW w:w="3560" w:type="dxa"/>
            <w:vAlign w:val="bottom"/>
          </w:tcPr>
          <w:p>
            <w:pPr>
              <w:spacing w:after="0"/>
              <w:rPr>
                <w:sz w:val="15"/>
                <w:szCs w:val="15"/>
                <w:color w:val="auto"/>
              </w:rPr>
            </w:pPr>
          </w:p>
        </w:tc>
        <w:tc>
          <w:tcPr>
            <w:tcW w:w="160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1200" w:type="dxa"/>
            <w:vAlign w:val="bottom"/>
            <w:gridSpan w:val="2"/>
            <w:vMerge w:val="continue"/>
          </w:tcPr>
          <w:p>
            <w:pPr>
              <w:spacing w:after="0"/>
              <w:rPr>
                <w:sz w:val="12"/>
                <w:szCs w:val="12"/>
                <w:color w:val="auto"/>
              </w:rPr>
            </w:pPr>
          </w:p>
        </w:tc>
        <w:tc>
          <w:tcPr>
            <w:tcW w:w="3220" w:type="dxa"/>
            <w:vAlign w:val="bottom"/>
            <w:gridSpan w:val="2"/>
            <w:vMerge w:val="continue"/>
          </w:tcPr>
          <w:p>
            <w:pPr>
              <w:spacing w:after="0"/>
              <w:rPr>
                <w:sz w:val="12"/>
                <w:szCs w:val="12"/>
                <w:color w:val="auto"/>
              </w:rPr>
            </w:pPr>
          </w:p>
        </w:tc>
        <w:tc>
          <w:tcPr>
            <w:tcW w:w="3560" w:type="dxa"/>
            <w:vAlign w:val="bottom"/>
          </w:tcPr>
          <w:p>
            <w:pPr>
              <w:spacing w:after="0"/>
              <w:rPr>
                <w:sz w:val="12"/>
                <w:szCs w:val="12"/>
                <w:color w:val="auto"/>
              </w:rPr>
            </w:pPr>
          </w:p>
        </w:tc>
        <w:tc>
          <w:tcPr>
            <w:tcW w:w="500" w:type="dxa"/>
            <w:vAlign w:val="bottom"/>
            <w:tcBorders>
              <w:top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500" w:type="dxa"/>
            <w:vAlign w:val="bottom"/>
            <w:vMerge w:val="restart"/>
            <w:shd w:val="clear" w:color="auto" w:fill="CCEEFF"/>
          </w:tcPr>
          <w:p>
            <w:pPr>
              <w:spacing w:after="0" w:line="20" w:lineRule="exact"/>
              <w:rPr>
                <w:sz w:val="1"/>
                <w:szCs w:val="1"/>
                <w:color w:val="auto"/>
              </w:rPr>
            </w:pPr>
          </w:p>
        </w:tc>
        <w:tc>
          <w:tcPr>
            <w:tcW w:w="35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 RoW</w:t>
            </w: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w:t>
            </w:r>
          </w:p>
        </w:tc>
        <w:tc>
          <w:tcPr>
            <w:tcW w:w="2500" w:type="dxa"/>
            <w:vAlign w:val="bottom"/>
            <w:vMerge w:val="continue"/>
            <w:shd w:val="clear" w:color="auto" w:fill="CCEEFF"/>
          </w:tcPr>
          <w:p>
            <w:pPr>
              <w:spacing w:after="0"/>
              <w:rPr>
                <w:sz w:val="18"/>
                <w:szCs w:val="18"/>
                <w:color w:val="auto"/>
              </w:rPr>
            </w:pPr>
          </w:p>
        </w:tc>
        <w:tc>
          <w:tcPr>
            <w:tcW w:w="356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$6,814</w:t>
            </w:r>
          </w:p>
        </w:tc>
        <w:tc>
          <w:tcPr>
            <w:tcW w:w="2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11,943</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Milestones</w:t>
            </w:r>
          </w:p>
        </w:tc>
        <w:tc>
          <w:tcPr>
            <w:tcW w:w="35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license and milestone revenue</w:t>
            </w:r>
          </w:p>
        </w:tc>
        <w:tc>
          <w:tcPr>
            <w:tcW w:w="4260" w:type="dxa"/>
            <w:vAlign w:val="bottom"/>
            <w:gridSpan w:val="3"/>
            <w:shd w:val="clear" w:color="auto" w:fill="CCEEFF"/>
          </w:tcPr>
          <w:p>
            <w:pPr>
              <w:ind w:left="3560"/>
              <w:spacing w:after="0"/>
              <w:rPr>
                <w:sz w:val="20"/>
                <w:szCs w:val="20"/>
                <w:color w:val="auto"/>
              </w:rPr>
            </w:pPr>
            <w:r>
              <w:rPr>
                <w:rFonts w:ascii="Times New Roman" w:cs="Times New Roman" w:eastAsia="Times New Roman" w:hAnsi="Times New Roman"/>
                <w:sz w:val="18"/>
                <w:szCs w:val="18"/>
                <w:color w:val="auto"/>
              </w:rPr>
              <w:t>$6,814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11,943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Collaboration services revenue*</w:t>
            </w:r>
          </w:p>
        </w:tc>
        <w:tc>
          <w:tcPr>
            <w:tcW w:w="4260" w:type="dxa"/>
            <w:vAlign w:val="bottom"/>
            <w:gridSpan w:val="3"/>
          </w:tcPr>
          <w:p>
            <w:pPr>
              <w:ind w:left="3560"/>
              <w:spacing w:after="0"/>
              <w:rPr>
                <w:sz w:val="20"/>
                <w:szCs w:val="20"/>
                <w:color w:val="auto"/>
              </w:rPr>
            </w:pPr>
            <w:r>
              <w:rPr>
                <w:rFonts w:ascii="Times New Roman" w:cs="Times New Roman" w:eastAsia="Times New Roman" w:hAnsi="Times New Roman"/>
                <w:sz w:val="18"/>
                <w:szCs w:val="18"/>
                <w:color w:val="auto"/>
              </w:rPr>
              <w:t>$4,138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2,435</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 single unit of accounting**</w:t>
            </w:r>
          </w:p>
        </w:tc>
        <w:tc>
          <w:tcPr>
            <w:tcW w:w="3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560" w:type="dxa"/>
            <w:vAlign w:val="bottom"/>
          </w:tcPr>
          <w:p>
            <w:pPr>
              <w:jc w:val="right"/>
              <w:ind w:right="3010"/>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As of March 31, 2015, the total arrangement consideration has been allocated to each of the following deliverables under the U.S./RoW Agreement, along with any associated deferred revenue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Cumulative Revenue</w:t>
            </w:r>
          </w:p>
        </w:tc>
        <w:tc>
          <w:tcPr>
            <w:tcW w:w="1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Revenue</w:t>
            </w:r>
          </w:p>
        </w:tc>
        <w:tc>
          <w:tcPr>
            <w:tcW w:w="380" w:type="dxa"/>
            <w:vAlign w:val="bottom"/>
          </w:tcPr>
          <w:p>
            <w:pPr>
              <w:spacing w:after="0"/>
              <w:rPr>
                <w:sz w:val="13"/>
                <w:szCs w:val="13"/>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73"/>
        </w:trPr>
        <w:tc>
          <w:tcPr>
            <w:tcW w:w="5900" w:type="dxa"/>
            <w:vAlign w:val="bottom"/>
          </w:tcPr>
          <w:p>
            <w:pPr>
              <w:spacing w:after="0"/>
              <w:rPr>
                <w:sz w:val="15"/>
                <w:szCs w:val="15"/>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Through March 31, 2015</w:t>
            </w: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at March 31, 2015</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182,188</w:t>
            </w:r>
          </w:p>
        </w:tc>
        <w:tc>
          <w:tcPr>
            <w:tcW w:w="7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Co-development, information sharing &amp; committee services</w:t>
            </w:r>
          </w:p>
        </w:tc>
        <w:tc>
          <w:tcPr>
            <w:tcW w:w="100" w:type="dxa"/>
            <w:vAlign w:val="bottom"/>
          </w:tcPr>
          <w:p>
            <w:pPr>
              <w:spacing w:after="0"/>
              <w:rPr>
                <w:sz w:val="18"/>
                <w:szCs w:val="18"/>
                <w:color w:val="auto"/>
              </w:rPr>
            </w:pPr>
          </w:p>
        </w:tc>
        <w:tc>
          <w:tcPr>
            <w:tcW w:w="22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24,698</w:t>
            </w:r>
          </w:p>
        </w:tc>
        <w:tc>
          <w:tcPr>
            <w:tcW w:w="36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30,693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55,391</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Manufacturing—clinical supplies</w:t>
            </w:r>
          </w:p>
        </w:tc>
        <w:tc>
          <w:tcPr>
            <w:tcW w:w="1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China-single unit of accounting</w:t>
            </w:r>
          </w:p>
        </w:tc>
        <w:tc>
          <w:tcPr>
            <w:tcW w:w="100" w:type="dxa"/>
            <w:vAlign w:val="bottom"/>
          </w:tcPr>
          <w:p>
            <w:pPr>
              <w:spacing w:after="0"/>
              <w:rPr>
                <w:sz w:val="18"/>
                <w:szCs w:val="18"/>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37,344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37,344</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license and collaboration services revenue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206,990</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68,123</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275,113</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460" w:right="180" w:hanging="452"/>
        <w:spacing w:after="0" w:line="276" w:lineRule="auto"/>
        <w:tabs>
          <w:tab w:leader="none" w:pos="4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Co-development, information sharing, and committee services have been combined into a single unit of accounting because the requirements to share information and serve on committees are useful only in combination with the development services, and because all three items are delivered over the</w:t>
      </w:r>
    </w:p>
    <w:p>
      <w:pPr>
        <w:spacing w:after="0" w:line="1" w:lineRule="exact"/>
        <w:rPr>
          <w:sz w:val="20"/>
          <w:szCs w:val="20"/>
          <w:color w:val="auto"/>
        </w:rPr>
      </w:pPr>
    </w:p>
    <w:p>
      <w:pPr>
        <w:ind w:left="460" w:right="40"/>
        <w:spacing w:after="0" w:line="250" w:lineRule="auto"/>
        <w:rPr>
          <w:sz w:val="20"/>
          <w:szCs w:val="20"/>
          <w:color w:val="auto"/>
        </w:rPr>
      </w:pPr>
      <w:r>
        <w:rPr>
          <w:rFonts w:ascii="Times New Roman" w:cs="Times New Roman" w:eastAsia="Times New Roman" w:hAnsi="Times New Roman"/>
          <w:sz w:val="18"/>
          <w:szCs w:val="18"/>
          <w:color w:val="auto"/>
        </w:rPr>
        <w:t>same period while manufacturing—clinical supplies has been identified as a separate unit of accounting with standalone value and amounts allocable to this unit of accounting have been recognized and classified within the collaboration services revenue line item within the condensed consolidated statements of operations.</w:t>
      </w:r>
    </w:p>
    <w:p>
      <w:pPr>
        <w:spacing w:after="0" w:line="1" w:lineRule="exact"/>
        <w:rPr>
          <w:sz w:val="20"/>
          <w:szCs w:val="20"/>
          <w:color w:val="auto"/>
        </w:rPr>
      </w:pPr>
    </w:p>
    <w:p>
      <w:pPr>
        <w:ind w:left="460" w:right="220" w:hanging="452"/>
        <w:spacing w:after="0" w:line="255"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revenues attributable to the China unit of accounting are deferred until all deliverables are met. The China license and collaboration services elements have been combined into a single unit of accounting and consideration allocable to this unit is being deferred due to FibroGen’s retention of manufacturing rights and lack of standalone value.</w:t>
      </w:r>
    </w:p>
    <w:p>
      <w:pPr>
        <w:spacing w:after="0" w:line="186"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In May 2015, we earned a $15.0 million development milestone under the U.S./RoW Agreement as a result of the finalization of our two audited carcinogenicity study reports.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revenues consist of royalty payments received, which are recorded on a monthly basis as they are reported to us, and collagen feasibility sales.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revenues were immaterial for all periods presented.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21"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Deferred revenue represents amounts billed to our collaboration partners for which the related revenues have not been recognized because one or more of the revenue recognition criteria have not been met. The current portion of deferred revenue represents the amount to be recognized within one year from the balance sheet date based on the estimated performance period of the underlying deliverables. The long term portion of deferred revenue represents amounts to be recognized after one year through the end of the non-contingent performance period of the underlying deliverables. The long term portion of deferred revenue also includes amounts allocated to the China unit of accounting under the AstraZeneca arrangement as revenue recognition associated with this unit of accounting is tied to the commercial launch of the products within China, which is not expected to occur within the next year.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fair values of our financial assets that are measured on a recurring basis are as follows (in thousands):</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4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1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980" w:type="dxa"/>
            <w:vAlign w:val="bottom"/>
            <w:gridSpan w:val="3"/>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80" w:type="dxa"/>
            <w:vAlign w:val="bottom"/>
            <w:gridSpan w:val="2"/>
          </w:tcPr>
          <w:p>
            <w:pPr>
              <w:jc w:val="center"/>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3</w:t>
            </w:r>
          </w:p>
        </w:tc>
        <w:tc>
          <w:tcPr>
            <w:tcW w:w="400" w:type="dxa"/>
            <w:vAlign w:val="bottom"/>
          </w:tcPr>
          <w:p>
            <w:pPr>
              <w:spacing w:after="0"/>
              <w:rPr>
                <w:sz w:val="12"/>
                <w:szCs w:val="12"/>
                <w:color w:val="auto"/>
              </w:rPr>
            </w:pPr>
          </w:p>
        </w:tc>
        <w:tc>
          <w:tcPr>
            <w:tcW w:w="680" w:type="dxa"/>
            <w:vAlign w:val="bottom"/>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$153,631</w:t>
            </w:r>
          </w:p>
        </w:tc>
        <w:tc>
          <w:tcPr>
            <w:tcW w:w="4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$153,631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209</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r>
      <w:tr>
        <w:trPr>
          <w:trHeight w:val="27"/>
        </w:trPr>
        <w:tc>
          <w:tcPr>
            <w:tcW w:w="41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209</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153,631</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153,840</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9,255</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9,255</w:t>
            </w:r>
          </w:p>
        </w:tc>
      </w:tr>
      <w:tr>
        <w:trPr>
          <w:trHeight w:val="27"/>
        </w:trPr>
        <w:tc>
          <w:tcPr>
            <w:tcW w:w="41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9,464</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153,631</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163,095</w:t>
            </w:r>
          </w:p>
        </w:tc>
      </w:tr>
      <w:tr>
        <w:trPr>
          <w:trHeight w:val="20"/>
        </w:trPr>
        <w:tc>
          <w:tcPr>
            <w:tcW w:w="4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1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1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980" w:type="dxa"/>
            <w:vAlign w:val="bottom"/>
            <w:gridSpan w:val="3"/>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80" w:type="dxa"/>
            <w:vAlign w:val="bottom"/>
            <w:gridSpan w:val="2"/>
          </w:tcPr>
          <w:p>
            <w:pPr>
              <w:jc w:val="center"/>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3</w:t>
            </w:r>
          </w:p>
        </w:tc>
        <w:tc>
          <w:tcPr>
            <w:tcW w:w="400" w:type="dxa"/>
            <w:vAlign w:val="bottom"/>
          </w:tcPr>
          <w:p>
            <w:pPr>
              <w:spacing w:after="0"/>
              <w:rPr>
                <w:sz w:val="12"/>
                <w:szCs w:val="12"/>
                <w:color w:val="auto"/>
              </w:rPr>
            </w:pPr>
          </w:p>
        </w:tc>
        <w:tc>
          <w:tcPr>
            <w:tcW w:w="680" w:type="dxa"/>
            <w:vAlign w:val="bottom"/>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$158,432</w:t>
            </w:r>
          </w:p>
        </w:tc>
        <w:tc>
          <w:tcPr>
            <w:tcW w:w="4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$158,432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201</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r>
      <w:tr>
        <w:trPr>
          <w:trHeight w:val="27"/>
        </w:trPr>
        <w:tc>
          <w:tcPr>
            <w:tcW w:w="41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201</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158,432</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158,633</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6"/>
              </w:rPr>
              <w:t>13,802</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13,802</w:t>
            </w:r>
          </w:p>
        </w:tc>
      </w:tr>
      <w:tr>
        <w:trPr>
          <w:trHeight w:val="27"/>
        </w:trPr>
        <w:tc>
          <w:tcPr>
            <w:tcW w:w="41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6"/>
              </w:rPr>
              <w:t>14,003</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158,432</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172,435</w:t>
            </w:r>
          </w:p>
        </w:tc>
      </w:tr>
      <w:tr>
        <w:trPr>
          <w:trHeight w:val="20"/>
        </w:trPr>
        <w:tc>
          <w:tcPr>
            <w:tcW w:w="4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Our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fair values of our financial liabilities that are carried at historical cost are as follows (in thousands):</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5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1</w:t>
            </w:r>
          </w:p>
        </w:tc>
        <w:tc>
          <w:tcPr>
            <w:tcW w:w="3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Pr>
          <w:p>
            <w:pPr>
              <w:spacing w:after="0"/>
              <w:rPr>
                <w:sz w:val="12"/>
                <w:szCs w:val="12"/>
                <w:color w:val="auto"/>
              </w:rPr>
            </w:pPr>
          </w:p>
        </w:tc>
        <w:tc>
          <w:tcPr>
            <w:tcW w:w="800" w:type="dxa"/>
            <w:vAlign w:val="bottom"/>
            <w:gridSpan w:val="3"/>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financing obligations</w:t>
            </w:r>
          </w:p>
        </w:tc>
        <w:tc>
          <w:tcPr>
            <w:tcW w:w="25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97,276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97,276</w:t>
            </w:r>
          </w:p>
        </w:tc>
        <w:tc>
          <w:tcPr>
            <w:tcW w:w="100" w:type="dxa"/>
            <w:vAlign w:val="bottom"/>
            <w:tcBorders>
              <w:top w:val="single" w:sz="8" w:color="CCEEFF"/>
            </w:tcBorders>
            <w:shd w:val="clear" w:color="auto" w:fill="CCEEFF"/>
          </w:tcPr>
          <w:p>
            <w:pPr>
              <w:spacing w:after="0"/>
              <w:rPr>
                <w:sz w:val="18"/>
                <w:szCs w:val="18"/>
                <w:color w:val="auto"/>
              </w:rPr>
            </w:pPr>
          </w:p>
        </w:tc>
      </w:tr>
      <w:tr>
        <w:trPr>
          <w:trHeight w:val="365"/>
        </w:trPr>
        <w:tc>
          <w:tcPr>
            <w:tcW w:w="45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5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1</w:t>
            </w:r>
          </w:p>
        </w:tc>
        <w:tc>
          <w:tcPr>
            <w:tcW w:w="3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Pr>
          <w:p>
            <w:pPr>
              <w:spacing w:after="0"/>
              <w:rPr>
                <w:sz w:val="12"/>
                <w:szCs w:val="12"/>
                <w:color w:val="auto"/>
              </w:rPr>
            </w:pPr>
          </w:p>
        </w:tc>
        <w:tc>
          <w:tcPr>
            <w:tcW w:w="800" w:type="dxa"/>
            <w:vAlign w:val="bottom"/>
            <w:gridSpan w:val="3"/>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Cease-use liability</w:t>
            </w:r>
          </w:p>
        </w:tc>
        <w:tc>
          <w:tcPr>
            <w:tcW w:w="25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Lease financing obligations</w:t>
            </w:r>
          </w:p>
        </w:tc>
        <w:tc>
          <w:tcPr>
            <w:tcW w:w="2580" w:type="dxa"/>
            <w:vAlign w:val="bottom"/>
          </w:tcPr>
          <w:p>
            <w:pPr>
              <w:spacing w:after="0"/>
              <w:rPr>
                <w:sz w:val="18"/>
                <w:szCs w:val="18"/>
                <w:color w:val="auto"/>
              </w:rPr>
            </w:pPr>
          </w:p>
        </w:tc>
        <w:tc>
          <w:tcPr>
            <w:tcW w:w="4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46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97,221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97,221</w:t>
            </w:r>
          </w:p>
        </w:tc>
      </w:tr>
      <w:tr>
        <w:trPr>
          <w:trHeight w:val="27"/>
        </w:trPr>
        <w:tc>
          <w:tcPr>
            <w:tcW w:w="45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02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97,405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97,405</w:t>
            </w:r>
          </w:p>
        </w:tc>
      </w:tr>
      <w:tr>
        <w:trPr>
          <w:trHeight w:val="20"/>
        </w:trPr>
        <w:tc>
          <w:tcPr>
            <w:tcW w:w="45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fair values of our financial liabilities were derived by using an income approach, which required Level 3 inputs such as discounted estimated future cash flows.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transfers of assets or liabilities between levels for any of the periods presented.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Balance Sheet Components</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Cash and cash equivalents consisted of the following (in thousands):</w:t>
            </w: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208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119,114</w:t>
            </w:r>
          </w:p>
        </w:tc>
        <w:tc>
          <w:tcPr>
            <w:tcW w:w="8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9,255</w:t>
            </w:r>
          </w:p>
        </w:tc>
        <w:tc>
          <w:tcPr>
            <w:tcW w:w="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7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128,369</w:t>
            </w: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500" w:type="dxa"/>
            <w:vAlign w:val="bottom"/>
            <w:vMerge w:val="restart"/>
          </w:tcPr>
          <w:p>
            <w:pPr>
              <w:jc w:val="right"/>
              <w:ind w:right="1136"/>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All investments are classified as available-for-sale. The amortized cost, gross unrealized holding gains or losses, and fair value of our available-for-sale investments by major investments type are summarized in the tables below (in thousands):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left="334"/>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4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80" w:type="dxa"/>
            <w:vAlign w:val="bottom"/>
          </w:tcPr>
          <w:p>
            <w:pPr>
              <w:spacing w:after="0"/>
              <w:rPr>
                <w:sz w:val="10"/>
                <w:szCs w:val="10"/>
                <w:color w:val="auto"/>
              </w:rPr>
            </w:pPr>
          </w:p>
        </w:tc>
        <w:tc>
          <w:tcPr>
            <w:tcW w:w="2740" w:type="dxa"/>
            <w:vAlign w:val="bottom"/>
            <w:gridSpan w:val="4"/>
            <w:vMerge w:val="restart"/>
          </w:tcPr>
          <w:p>
            <w:pPr>
              <w:ind w:left="14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40" w:type="dxa"/>
            <w:vAlign w:val="bottom"/>
          </w:tcPr>
          <w:p>
            <w:pPr>
              <w:spacing w:after="0"/>
              <w:rPr>
                <w:sz w:val="10"/>
                <w:szCs w:val="10"/>
                <w:color w:val="auto"/>
              </w:rPr>
            </w:pPr>
          </w:p>
        </w:tc>
        <w:tc>
          <w:tcPr>
            <w:tcW w:w="17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14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340" w:type="dxa"/>
            <w:vAlign w:val="bottom"/>
          </w:tcPr>
          <w:p>
            <w:pPr>
              <w:spacing w:after="0"/>
              <w:rPr>
                <w:sz w:val="10"/>
                <w:szCs w:val="10"/>
                <w:color w:val="auto"/>
              </w:rPr>
            </w:pPr>
          </w:p>
        </w:tc>
        <w:tc>
          <w:tcPr>
            <w:tcW w:w="68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2740" w:type="dxa"/>
            <w:vAlign w:val="bottom"/>
            <w:gridSpan w:val="4"/>
            <w:vMerge w:val="continue"/>
          </w:tcPr>
          <w:p>
            <w:pPr>
              <w:spacing w:after="0"/>
              <w:rPr>
                <w:sz w:val="15"/>
                <w:szCs w:val="15"/>
                <w:color w:val="auto"/>
              </w:rPr>
            </w:pPr>
          </w:p>
        </w:tc>
        <w:tc>
          <w:tcPr>
            <w:tcW w:w="340" w:type="dxa"/>
            <w:vAlign w:val="bottom"/>
          </w:tcPr>
          <w:p>
            <w:pPr>
              <w:spacing w:after="0"/>
              <w:rPr>
                <w:sz w:val="15"/>
                <w:szCs w:val="15"/>
                <w:color w:val="auto"/>
              </w:rPr>
            </w:pPr>
          </w:p>
        </w:tc>
        <w:tc>
          <w:tcPr>
            <w:tcW w:w="17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34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152,924</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7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$153,631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investments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153,049</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153,840</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6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0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3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40" w:type="dxa"/>
            <w:vAlign w:val="bottom"/>
          </w:tcPr>
          <w:p>
            <w:pPr>
              <w:spacing w:after="0"/>
              <w:rPr>
                <w:sz w:val="10"/>
                <w:szCs w:val="10"/>
                <w:color w:val="auto"/>
              </w:rPr>
            </w:pPr>
          </w:p>
        </w:tc>
        <w:tc>
          <w:tcPr>
            <w:tcW w:w="17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14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340" w:type="dxa"/>
            <w:vAlign w:val="bottom"/>
          </w:tcPr>
          <w:p>
            <w:pPr>
              <w:spacing w:after="0"/>
              <w:rPr>
                <w:sz w:val="10"/>
                <w:szCs w:val="10"/>
                <w:color w:val="auto"/>
              </w:rPr>
            </w:pPr>
          </w:p>
        </w:tc>
        <w:tc>
          <w:tcPr>
            <w:tcW w:w="68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7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34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158,692</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7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$158,432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investments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158,816</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(514)</w:t>
            </w: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158,633</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At March 31, 2015 all of the available-for-sale investments had contractual maturities within four years. We do not intend to sell the investments that are in an unrealized loss position, and it is unlikely that we will be required to sell the investments before recovery of their amortized cost basis, which may be maturity. We have determined that the gross unrealized losses on our available-for-sale investments at March 31, 2015 were temporary in nature. All marketable securities with unrealized losses at March 31, 2015 have been in a loss position for less than twelve months.</w:t>
      </w:r>
    </w:p>
    <w:p>
      <w:pPr>
        <w:spacing w:after="0" w:line="180"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As of March 31, 2015, a total of $32.0 million of our cash and cash equivalents were held outside of the U.S. in our foreign subsidiaries to be used primarily for our China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3440" w:type="dxa"/>
            <w:vAlign w:val="bottom"/>
          </w:tcPr>
          <w:p>
            <w:pPr>
              <w:spacing w:after="0"/>
              <w:rPr>
                <w:sz w:val="15"/>
                <w:szCs w:val="15"/>
                <w:color w:val="auto"/>
              </w:rPr>
            </w:pPr>
          </w:p>
        </w:tc>
        <w:tc>
          <w:tcPr>
            <w:tcW w:w="3100" w:type="dxa"/>
            <w:vAlign w:val="bottom"/>
            <w:gridSpan w:val="3"/>
          </w:tcPr>
          <w:p>
            <w:pPr>
              <w:ind w:left="214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2140" w:type="dxa"/>
            <w:vAlign w:val="bottom"/>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Preclinical and clinical trial accruals</w:t>
            </w:r>
          </w:p>
        </w:tc>
        <w:tc>
          <w:tcPr>
            <w:tcW w:w="2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26,823</w:t>
            </w:r>
          </w:p>
        </w:tc>
        <w:tc>
          <w:tcPr>
            <w:tcW w:w="8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Payroll and related accruals</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8,876</w:t>
            </w: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8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420" w:type="dxa"/>
            <w:vAlign w:val="bottom"/>
            <w:gridSpan w:val="2"/>
            <w:shd w:val="clear" w:color="auto" w:fill="CCEEFF"/>
          </w:tcPr>
          <w:p>
            <w:pPr>
              <w:ind w:left="2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42,466</w:t>
            </w:r>
          </w:p>
        </w:tc>
        <w:tc>
          <w:tcPr>
            <w:tcW w:w="12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140" w:type="dxa"/>
            <w:vAlign w:val="bottom"/>
            <w:vMerge w:val="restart"/>
          </w:tcPr>
          <w:p>
            <w:pPr>
              <w:jc w:val="right"/>
              <w:ind w:right="1076"/>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4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5" w:right="29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Stock-based compensation related to options granted is allocated to research and development and general and administrative expense for the three months ended March 31, 2015 and 2014 was as follows (in thousands):</w:t>
      </w:r>
    </w:p>
    <w:p>
      <w:pPr>
        <w:spacing w:after="0" w:line="182"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474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7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18"/>
                <w:szCs w:val="18"/>
                <w:color w:val="auto"/>
              </w:rPr>
            </w:pP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9"/>
                <w:szCs w:val="19"/>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CEEFF"/>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The weighted-average assumptions used to estimate the fair value of stock options using the Black-Scholes option valuation model and the resulting weighted average fair value of stock options granted during the three months ended March 31, 2015 and 2014 were as follows:</w:t>
      </w:r>
    </w:p>
    <w:p>
      <w:pPr>
        <w:spacing w:after="0" w:line="182"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434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6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estimated fair value</w:t>
            </w:r>
          </w:p>
        </w:tc>
        <w:tc>
          <w:tcPr>
            <w:tcW w:w="1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5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r>
    </w:tbl>
    <w:p>
      <w:pPr>
        <w:spacing w:after="0" w:line="342" w:lineRule="exact"/>
        <w:rPr>
          <w:sz w:val="20"/>
          <w:szCs w:val="20"/>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We recorded a benefit for income taxes for the three months ended March 31, 2015 primarily due to the discrete tax effect arising from other comprehensive income related to available-for-sale securities. We did not record a provision for income taxes for the three months ended March 31, 2014 as we generated a net operating loss for the fiscal year ended December 31, 2014.</w:t>
      </w:r>
    </w:p>
    <w:p>
      <w:pPr>
        <w:spacing w:after="0" w:line="176"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Based upon the weight of available evidence, which includes our historical operating performance, reported cumulative net losses since inception and expected continuing net loss, we have established and continue to maintain a full valuation allowance against our deferred tax assets as we do not currently believe that realization of those assets is more likely than not.</w:t>
      </w:r>
    </w:p>
    <w:p>
      <w:pPr>
        <w:spacing w:after="0" w:line="321" w:lineRule="exact"/>
        <w:rPr>
          <w:sz w:val="20"/>
          <w:szCs w:val="20"/>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Astellas is an equity investor of ours and, therefore, considered a related party. During the three months ended March 31, 2015 and 2014, we recorded revenue related to collaboration agreements with Astellas of $5.3 million and $3.5 million. During the three months ended March 31, 2015 and 2014, we recorded expense related to collaboration agreements with Astellas of $3.0 million and $2.1 million.</w:t>
      </w:r>
    </w:p>
    <w:p>
      <w:pPr>
        <w:spacing w:after="0" w:line="176"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As of March 31, 2015 and December 31, 2014, accounts receivable from Astellas were $5.3 million and $5.0 million and amounts due to Astellas were $4.5 million and $4.3 million.</w:t>
      </w:r>
    </w:p>
    <w:p>
      <w:pPr>
        <w:spacing w:after="0" w:line="162"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Julian N. Stern, a director of ours since November 1996, is of counsel to the law firm of Goodwin Procter LLP, which he joined in 2008. He has received, and continues to receive, no compensation from Goodwin Procter LLP since joining it as of counsel. We retain Goodwin Procter LLP as legal counsel for various matters, primarily consisting of intellectual property. During the three months ended March 31, 2015 and 2014, the payments made by us to Goodwin Procter LLP were not material. As of March 31, 2015 and December 31, 2014, amounts due to Goodwin Proctor LLP were not material.</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40"/>
          </w:cols>
          <w:pgMar w:left="240" w:top="455" w:right="31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40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condensed consolidated financial statements and the notes thereto included elsewhere in this Quarterly Report on Form 10-Q, and in our SEC filings, including our Annual Report on Form 10-K for the year ended December 31, 2014 filed with the SEC on March 26, 2015.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19"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discussion and information contained elsewhere in this Quarterly Report on Form 10-Q contain “forward-looking statements” within the meaning of Section 21E of the Securities Exchange Act of 1934, as amended (the “Exchange Act”), Section 27A of the Securities Act of 1933, as amended (the “Securities Act”) and within the meaning of the Private Securities Litigation Reform Act of 1995. These statements are often identified by the use of words such as “may,” “will,” “expect,” “believe,” “anticipate,” “intend,” “could,” “should,” “estimate,”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New risks emerge from time to time, and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 and are cautioned not to place undue reliance on such forward-looking statements.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were incorporated in 1993 in Delaware and are a research-based, biopharmaceutical company focused on the discovery, development and commercialization of novel therapeutics to treat serious unmet medical needs. We have capitalized on our extensive experience in fibrosis and hypoxia-inducible factor (“HIF”) biology to generate multiple programs targeting various therapeutic areas. Roxadustat, or FG-4592, is an oral small molecule inhibitor of HIF prolyl hydroxylases (“HIF-PHs”) in Phase 3 clinical development for the treatment of anemia in chronic kidney disease (“CKD”). FG-3019 is our monoclonal antibody in Phase 2 clinical development for the treatment of idiopathic pulmonary fibrosis (“IPF”), pancreatic cancer and liver fibrosis. We have taken a global approach with respect to our product candidates, and this includes development and commercialization of product candidates in the People’s Republic of China (“China”).</w:t>
      </w:r>
    </w:p>
    <w:p>
      <w:pPr>
        <w:spacing w:after="0" w:line="18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On November 10, 2014, we effected a 1-for-2.5 reverse split of our common stock. Upon the effectiveness of the reverse stock split, (i) every 2.5 shares of outstanding common stock were combined into one share of common stock, (ii) the number of shares of common stock for which each outstanding option or warrant to purchase common stock is exercisable was proportionally decreased on a 1-for-2.5 basis, (iii) the exercise price of each outstanding option or warrant to purchase common stock was proportionately increased on a 1-for- 2.5 basis, (iv) the exchange ratio for each share of outstanding FibroGen Europe Oy (“FibroGen Europe”) share of stock which is exchangeable into our common stock was proportionately reduced on a 1-for-2.5 basis, and (v) the conversion ratio for each share of outstanding preferred stock which is convertible into our common stock was proportionately reduced on a 1-for-2.5 basis. All of the outstanding common stock share numbers (including shares of common stock which our outstanding preferred stock shares were convertible into), common stock warrants, share prices, exercise prices and per share amounts have been adjusted in these condensed consolidated financial statements, on a retroactive basis, to reflect this 1-for-2.5 reverse stock split for all periods presented. The par value per share and the authorized number of shares of common stock and preferred stock were not adjusted as a result of the reverse stock split.</w:t>
      </w:r>
    </w:p>
    <w:p>
      <w:pPr>
        <w:spacing w:after="0" w:line="186"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On November 19, 2014, we closed the initial public offering of our common stock. In our initial public offering, we sold 9,315,000 shares of our common stock at a public offering price of $18.00 per share. Net proceeds from our initial public offering and concurrent private placement were $171.8 million, after deducting underwriting discounts and commissions of $11.7 million and offering expenses of $4.1 million. AstraZeneca AB (“AstraZeneca”), one of our collaboration partners, agreed to purchase from us concurrently with the closing of our initial public offering in a private placement shares of our common stock with an aggregate purchase price of $20.0 million at a price per share equal to the initial public offering price. Upon the closing of our initial public</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offering, all outstanding shares of our convertible preferred stock automatically converted into 33,919,954 shares of common stock. Upon the closing of our initial public offering, 958,996 shares of FibroGen Europe convertible preferred stock were converted into shares of our common stock. Our proceeds from the sale of the common stock sold in the concurrent private placement were $20.0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In the first quarter of 2015, our net loss was $46.4 million, or net loss per share of $0.78. The increase in net loss of $30.1 million is primarily due to the increase in operating expenses, which resulted primarily from the progression of our clinical trials and expenses to support our new operations as a public company. The decrease in net loss per share of $0.45 is primarily due to the increase in weighted average shares outstanding as a result of the initial public offering in November 2014.</w:t>
      </w:r>
    </w:p>
    <w:p>
      <w:pPr>
        <w:spacing w:after="0" w:line="180"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Cash, cash equivalents, investments and receivables, excluding restricted cash, totaled $289.2 million at March 31, 2015, a decrease of $48.4 million from December 31, 2014, primarily due to cash used in operations.</w:t>
      </w:r>
    </w:p>
    <w:p>
      <w:pPr>
        <w:spacing w:after="0" w:line="162" w:lineRule="exact"/>
        <w:rPr>
          <w:sz w:val="20"/>
          <w:szCs w:val="20"/>
          <w:color w:val="auto"/>
        </w:rPr>
      </w:pPr>
    </w:p>
    <w:p>
      <w:pPr>
        <w:ind w:right="660" w:firstLine="456"/>
        <w:spacing w:after="0" w:line="282" w:lineRule="auto"/>
        <w:rPr>
          <w:sz w:val="20"/>
          <w:szCs w:val="20"/>
          <w:color w:val="auto"/>
        </w:rPr>
      </w:pPr>
      <w:r>
        <w:rPr>
          <w:rFonts w:ascii="Times New Roman" w:cs="Times New Roman" w:eastAsia="Times New Roman" w:hAnsi="Times New Roman"/>
          <w:sz w:val="18"/>
          <w:szCs w:val="18"/>
          <w:color w:val="auto"/>
        </w:rPr>
        <w:t>In May 2015, we earned a $15.0 million development milestone under one of our collaboration agreements with AstraZeneca as a result of the finalization of our two audited carcinogenicity study reports.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Programs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first quarter of 2015, we continued to make progress in the development of our major programs.</w:t>
      </w:r>
    </w:p>
    <w:p>
      <w:pPr>
        <w:spacing w:after="0" w:line="2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Roxadustat is the first HIF-PH inhibitor to enter Phase 3 clinical development and acts by stimulating the body’s natural pathway of erythropoiesis, or red blood cell production. We, along with our collaboration partners Astellas Pharma Inc. (“Astellas”), and AstraZeneca continue to advance roxadustat through our global Phase 3 program to support regulatory approval of roxadustat in both dialysis-dependent CKD (“DD-CKD”) patients and CKD patients who are not dialysis-dependent (“NDD-CKD”) in multiple geographies. We currently anticipate filing for approval for roxadustat in the United States in 2018 and China in 2016.</w:t>
      </w:r>
    </w:p>
    <w:p>
      <w:pPr>
        <w:spacing w:after="0" w:line="184"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FG-3019 is our fully-human monoclonal antibody that inhibits the activity of connective tissue growth factor (“CTGF”), a critical common element in the progression of fibrosis and associated serious diseases. We continue to conduct an open-label Phase 2 extension study in IPF and continue to enroll patients in a randomized, double-blind placebo-controlled Phase 2 trial in IPF, for which we expect to open additional clinical sites outside of the U.S. in the third quarter of 2015. We also continue to enroll an open-label Phase 2 trial in pancreatic cancer to determine whether the FG-3019, in combination with gemcitabine and nab-paclitaxel, can convert inoperable pancreatic cancer to operable cancer. We also have a randomized, double-blind, placebo-controlled Phase 2 trial in liver fibrosis. In March 2015, we had a follow-on advisory committee meeting to refine the design of the clinical trial we intend to initiate in non-ambulatory Duchenne muscular dystrophy (“DMD”) in the second half of 2015. We are also exploring the treatment of ambulatory DMD patients. To date, we have retained exclusive worldwide rights for FG-3019.</w:t>
      </w:r>
    </w:p>
    <w:p>
      <w:pPr>
        <w:spacing w:after="0" w:line="185" w:lineRule="exact"/>
        <w:rPr>
          <w:sz w:val="20"/>
          <w:szCs w:val="20"/>
          <w:color w:val="auto"/>
        </w:rPr>
      </w:pPr>
    </w:p>
    <w:p>
      <w:pPr>
        <w:ind w:right="440" w:firstLine="456"/>
        <w:spacing w:after="0" w:line="313" w:lineRule="auto"/>
        <w:rPr>
          <w:sz w:val="20"/>
          <w:szCs w:val="20"/>
          <w:color w:val="auto"/>
        </w:rPr>
      </w:pPr>
      <w:r>
        <w:rPr>
          <w:rFonts w:ascii="Times New Roman" w:cs="Times New Roman" w:eastAsia="Times New Roman" w:hAnsi="Times New Roman"/>
          <w:sz w:val="17"/>
          <w:szCs w:val="17"/>
          <w:color w:val="auto"/>
        </w:rPr>
        <w:t>We are also currently pursuing our corneal implant FG-5200 for treatment of corneal blindness resulting from partial thickness corneal damage in China. We expect to receive responses from China regulatory authorities regarding the development priority status of FG-5200 in the coming months.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Partnerships for Roxadustat</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Our current and future research, development, manufacturing and commercialization efforts with respect to roxadustat and our other product candidates currently in development depend on funds from our collaboration agreements with Astellas and AstraZeneca as described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Astellas</w:t>
      </w:r>
    </w:p>
    <w:p>
      <w:pPr>
        <w:spacing w:after="0" w:line="121" w:lineRule="exact"/>
        <w:rPr>
          <w:sz w:val="20"/>
          <w:szCs w:val="20"/>
          <w:color w:val="auto"/>
        </w:rPr>
      </w:pPr>
    </w:p>
    <w:p>
      <w:pPr>
        <w:ind w:right="920" w:firstLine="456"/>
        <w:spacing w:after="0" w:line="266" w:lineRule="auto"/>
        <w:rPr>
          <w:sz w:val="20"/>
          <w:szCs w:val="20"/>
          <w:color w:val="auto"/>
        </w:rPr>
      </w:pPr>
      <w:r>
        <w:rPr>
          <w:rFonts w:ascii="Times New Roman" w:cs="Times New Roman" w:eastAsia="Times New Roman" w:hAnsi="Times New Roman"/>
          <w:sz w:val="18"/>
          <w:szCs w:val="18"/>
          <w:color w:val="auto"/>
        </w:rPr>
        <w:t>We have two agreements with Astellas for the development and commercialization of roxadustat, one for Japan, and one for Europe, the Commonwealth of Independent States, the Middle East and South Africa. Under these agreements, we provided Astellas the right to develop and commercialize roxadustat for anemia in these territories.</w:t>
      </w:r>
    </w:p>
    <w:p>
      <w:pPr>
        <w:spacing w:after="0" w:line="17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share responsibility with Astellas for clinical development activities required for United States and EU regulatory approval of roxadustat, and share equally those development costs under the agreed development plan for such activities. Astellas will be responsible for clinical development activities and all associated costs required for regulatory approval in all other countries in the Astellas territories. Astellas will own and have responsibility for regulatory filings in its territories. We are responsible, either directly or through our contract manufacturers, for the manufacture and supply of all quantities of roxadustat to be used in development and commercialization under the agreements.</w:t>
      </w:r>
    </w:p>
    <w:p>
      <w:pPr>
        <w:spacing w:after="0" w:line="184"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The Astellas agreements will continue in effect until terminated. Either party may terminate the agreements for certain material breaches by the other party. In addition, Astellas will have the right to terminate the agreements for certain specified technical product failures, upon generic sales reaching a particular threshold, upon certain regulatory actions, or upon our entering into a</w:t>
      </w:r>
    </w:p>
    <w:p>
      <w:pPr>
        <w:sectPr>
          <w:pgSz w:w="11900" w:h="16838" w:orient="portrait"/>
          <w:cols w:equalWidth="0" w:num="1">
            <w:col w:w="11380"/>
          </w:cols>
          <w:pgMar w:left="240" w:top="455" w:right="279" w:bottom="1440" w:gutter="0" w:footer="0" w:header="0"/>
        </w:sectPr>
      </w:pP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40" w:top="455" w:right="27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settlement admitting the invalidity or unenforceability of our licensed patents. Astellas may also terminate the agreements for convenience upon advance written notice to us. In the event of any termination of the agreements, Astellas will transfer and assign to us the regulatory filings for roxadustat and will assign or license to us the relevant trademarks used with the products in the Astellas territories. Under certain terminations, Astellas is also obligated to pay us a termination fee.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Consideration under these agreements includes a total of $360.1 million in upfront and non-contingent payments, and milestone payments totaling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$557.5 million, of which $542.5 million are development and regulatory milestones, and $15.0 million are commercial-based milestones. Total consideration,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excluding development cost reimbursement and product sales-related payments, could reach $917.6 million. The aggregate amount of such consideration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received through March 31, 2015 totals $462.6 million.</w:t>
      </w:r>
    </w:p>
    <w:p>
      <w:pPr>
        <w:spacing w:after="0" w:line="207"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Additionally, under these agreements, Astellas pays 100% of the commercialization costs in its territories. Astellas will pay us a transfer price, based on net sales, in the low 20% range for our manufacture and delivery of roxadustat.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as of March 31, 2015 Astellas has separately invested $80.5 million in the equity of FibroGen,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AstraZeneca</w:t>
      </w:r>
    </w:p>
    <w:p>
      <w:pPr>
        <w:spacing w:after="0" w:line="121" w:lineRule="exact"/>
        <w:rPr>
          <w:sz w:val="20"/>
          <w:szCs w:val="20"/>
          <w:color w:val="auto"/>
        </w:rPr>
      </w:pPr>
    </w:p>
    <w:p>
      <w:pPr>
        <w:ind w:right="560" w:firstLine="456"/>
        <w:spacing w:after="0" w:line="266" w:lineRule="auto"/>
        <w:rPr>
          <w:sz w:val="20"/>
          <w:szCs w:val="20"/>
          <w:color w:val="auto"/>
        </w:rPr>
      </w:pPr>
      <w:r>
        <w:rPr>
          <w:rFonts w:ascii="Times New Roman" w:cs="Times New Roman" w:eastAsia="Times New Roman" w:hAnsi="Times New Roman"/>
          <w:sz w:val="18"/>
          <w:szCs w:val="18"/>
          <w:color w:val="auto"/>
        </w:rPr>
        <w:t>We also have two agreements with AstraZeneca for the development and commercialization of roxadustat for anemia, one for China (“China Agreement”) and one for the United States and all other countries (“RoW”) not previously licensed to Astellas (“U.S./RoW Agreement”). Under these agreements we provided AstraZeneca the right to develop and commercialize roxadustat for anemia in these territories.</w:t>
      </w:r>
    </w:p>
    <w:p>
      <w:pPr>
        <w:spacing w:after="0" w:line="176"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We will share responsibility with AstraZeneca for clinical development activities required for United States regulatory approval of roxadustat. AstraZeneca will be responsible for all of our development costs incurred under the agreed development plan for roxadustat in the United States and EU, to the extent those costs are not covered by Astellas, after an initial 50% development cost sharing period in which our funding obligations are limited to a total of $116.5 million. Thereafter, AstraZeneca will be solely responsible for additional development costs. In China, our subsidiary, FibroGen China Anemia Holdings, Ltd. (“FibroGen China”) will conduct the development work for CKD anemia and will hold all of the regulatory licenses issued by China regulatory authorities and be primarily responsible for regulatory, clinical and manufacturing. China development costs are shared 50/50. AstraZeneca is also responsible for 100% of development expenses in all other licensed territories outside of China. We are responsible, through our contract manufacturers, for the manufacture and supply of all quantities of roxadustat to be used in development and commercialization under the AstraZeneca agreements.</w:t>
      </w:r>
    </w:p>
    <w:p>
      <w:pPr>
        <w:spacing w:after="0" w:line="185"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Under the AstraZeneca agreements, we receive upfront and subsequent non-contingent payments totaling $402.2 million, a portion of which we have received and the remainder of which we expect to receive in various amounts through 2016, including a $62 million time based development milestone which became non-contingent as of July 30, 2014. Potential milestone payments under the agreements total $1.2 billion, of which $571.0 million are development and regulatory milestones, and $652.5 million are commercial-based milestones. Total consideration under the agreements, excluding development cost reimbursement, transfer price payments, royalties and profit share, could reach $1.6 billion. The aggregate amount of such consideration received through March 31, 2015 totals $220.2 million.</w:t>
      </w:r>
    </w:p>
    <w:p>
      <w:pPr>
        <w:spacing w:after="0" w:line="188"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In May 2015, we earned a $15.0 million development milestone under the U.S./RoW Agreement as a result of the finalization of our two audited carcinogenicity study reports.</w:t>
      </w:r>
    </w:p>
    <w:p>
      <w:pPr>
        <w:spacing w:after="0" w:line="162"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Payments under these agreements include over $500 million in upfront, non-contingent and other payments received or expected to be received prior to the first U.S. approval, excluding development expense reimbursement.</w:t>
      </w:r>
    </w:p>
    <w:p>
      <w:pPr>
        <w:spacing w:after="0" w:line="162"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AstraZeneca purchased 1,111,111 shares of our common stock at the initial public offering price for an aggregate purchase price of $20.0 million in a private placement concurrent with our initial public offering. In connection with the purchase of our shares of common stock in the private placement, AstraZeneca entered into a 180-day lock-up agreement in favor of the underwriters of our initial public offering, which we expect to expire on May 13, 2015 subject to the restrictions imposed on our affiliates under Rule 144.</w:t>
      </w:r>
    </w:p>
    <w:p>
      <w:pPr>
        <w:spacing w:after="0" w:line="180"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Under the U.S./RoW Agreement, AstraZeneca will pay for all commercialization costs in the U.S. and RoW and AstraZeneca will be responsible for the United States commercialization of roxadustat, with FibroGen undertaking specified promotional activities in the end stage renal disease (“ESRD”) segment in the United States. In addition, we will receive a transfer price for delivery of commercial product based on a percentage of net sales in the low- to mid-single digit range and AstraZeneca will pay us a tiered royalty on net sales of roxadustat in the low 20% range.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Under the China Agreement, which is conducted through FibroGen China, the commercial collaboration is structured as a 50/50 profit share. AstraZeneca will conduct commercialization activities in China as well as serve as the master distributor for roxadustat and will fund roxadustat launch costs in China until FibroGen China has achieved profitability. At that time, AstraZeneca will recoup 50% of their historical launch costs out of initial roxadustat profits in China.</w:t>
      </w:r>
    </w:p>
    <w:p>
      <w:pPr>
        <w:spacing w:after="0" w:line="180"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AstraZeneca may terminate the U.S./RoW Agreement upon specified events, including our bankruptcy or insolvency, our uncured material breach, technical product failure, or upon 180 days prior written notice at will. If AstraZeneca terminates the U.S/RoW Agreement at will, in addition to any unpaid non-contingent payments, it will be responsible to pay for a substantial portion of the post-termination development costs under the agreed development plan until regulatory approval.</w:t>
      </w:r>
    </w:p>
    <w:p>
      <w:pPr>
        <w:spacing w:after="0" w:line="180"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AstraZeneca may terminate the China Agreement upon specified events, including our bankruptcy or insolvency, our uncured material breach, technical product failure, or upon advance prior written notice at will. If AstraZeneca terminates our China Agreement at will, it will be responsible to pay for transition costs as well as make a specified payment to FibroGen China.</w:t>
      </w:r>
    </w:p>
    <w:p>
      <w:pPr>
        <w:spacing w:after="0" w:line="176"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In the event of any termination of the agreements, but subject to modification upon termination for technical product failure, AstraZeneca will transfer and assign to us any regulatory filings and approvals for roxadustat in the affected territories that they may hold under our agreements, grant us licenses and conduct certain transition activities.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Our revenue to date has been generated primarily from our collaboration agreements with Astellas and AstraZeneca. The following tables summarize the sources of our revenue for the three months ended March 31, 2015 and 2014: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 of</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of</w:t>
            </w:r>
          </w:p>
        </w:tc>
        <w:tc>
          <w:tcPr>
            <w:tcW w:w="380" w:type="dxa"/>
            <w:vAlign w:val="bottom"/>
          </w:tcPr>
          <w:p>
            <w:pPr>
              <w:spacing w:after="0"/>
              <w:rPr>
                <w:sz w:val="12"/>
                <w:szCs w:val="12"/>
                <w:color w:val="auto"/>
              </w:rPr>
            </w:pPr>
          </w:p>
        </w:tc>
        <w:tc>
          <w:tcPr>
            <w:tcW w:w="880" w:type="dxa"/>
            <w:vAlign w:val="bottom"/>
            <w:tcBorders>
              <w:bottom w:val="single" w:sz="8" w:color="auto"/>
            </w:tcBorders>
            <w:gridSpan w:val="2"/>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600" w:type="dxa"/>
            <w:vAlign w:val="bottom"/>
            <w:gridSpan w:val="2"/>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Pr>
          <w:p>
            <w:pPr>
              <w:spacing w:after="0"/>
              <w:rPr>
                <w:sz w:val="12"/>
                <w:szCs w:val="12"/>
                <w:color w:val="auto"/>
              </w:rPr>
            </w:pPr>
          </w:p>
        </w:tc>
        <w:tc>
          <w:tcPr>
            <w:tcW w:w="1000" w:type="dxa"/>
            <w:vAlign w:val="bottom"/>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Pr>
          <w:p>
            <w:pPr>
              <w:spacing w:after="0"/>
              <w:rPr>
                <w:sz w:val="12"/>
                <w:szCs w:val="12"/>
                <w:color w:val="auto"/>
              </w:rPr>
            </w:pPr>
          </w:p>
        </w:tc>
        <w:tc>
          <w:tcPr>
            <w:tcW w:w="76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560" w:type="dxa"/>
            <w:vAlign w:val="bottom"/>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4"/>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License and milestone revenue</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9"/>
              </w:rPr>
              <w:t>$11,506</w:t>
            </w:r>
          </w:p>
        </w:tc>
        <w:tc>
          <w:tcPr>
            <w:tcW w:w="100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71%</w:t>
            </w: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$14,685</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$(3,179)</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Collaboration services and other revenue</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4,792</w:t>
            </w:r>
          </w:p>
        </w:tc>
        <w:tc>
          <w:tcPr>
            <w:tcW w:w="100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rPr>
              <w:t>29</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1,601</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6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16,298</w:t>
            </w:r>
          </w:p>
        </w:tc>
        <w:tc>
          <w:tcPr>
            <w:tcW w:w="20" w:type="dxa"/>
            <w:vAlign w:val="bottom"/>
            <w:tcBorders>
              <w:bottom w:val="single" w:sz="8" w:color="auto"/>
            </w:tcBorders>
          </w:tcPr>
          <w:p>
            <w:pPr>
              <w:spacing w:after="0"/>
              <w:rPr>
                <w:sz w:val="19"/>
                <w:szCs w:val="19"/>
                <w:color w:val="auto"/>
              </w:rPr>
            </w:pPr>
          </w:p>
        </w:tc>
        <w:tc>
          <w:tcPr>
            <w:tcW w:w="100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100%</w:t>
            </w:r>
          </w:p>
        </w:tc>
        <w:tc>
          <w:tcPr>
            <w:tcW w:w="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17,876</w:t>
            </w:r>
          </w:p>
        </w:tc>
        <w:tc>
          <w:tcPr>
            <w:tcW w:w="26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(1,578</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Under our revenue recognition policy, license revenue includes amounts from upfront, non-refundable license payments and amounts allocated pursuant to the relative selling price method from other consideration received (other than substantive milestone payments) during the periods. This revenue is generally recognized as deliverables are met and services are performed. Milestone revenue includes payments from milestones which are deemed to be substantive in nature and is recognized in its entirety in the period in which the milestone is achieved. License and milestone revenues represented 71% and 82% of total revenues for the three months ended March 31, 2015 and 2014.</w:t>
      </w:r>
    </w:p>
    <w:p>
      <w:pPr>
        <w:spacing w:after="0" w:line="18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Collaboration services include co-development services, manufacturing of clinical supplies, committee services and information sharing. Collaboration services revenues are recognized over the non-contingent performance period, ranging from 36 to 65 months. Other revenues consist of royalty payments received, which are recorded on a monthly basis as they are reported to us, and have been included with collaboration services and other revenue in the condensed consolidated statements of operations, as they have not been material for any of the periods presented. Collaboration services and other revenues represented 29% and 18% of total revenues for the three months ended March 31, 2015 and 2014.</w:t>
      </w:r>
    </w:p>
    <w:p>
      <w:pPr>
        <w:spacing w:after="0" w:line="184"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Total revenue decreased by $1.6 million, or 9%, for the three months ended March 31, 2015 compared to the same period a year ago for the reasons as more fully discussed in the sections below.</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Total cash consideration received through March 31, 2015 and potential cash consideration, other than development cost reimbursement, transfer price payments, royalties and profit share, pursuant to our existing collaboration agreements are as follows (in thousands):</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1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Cash Received Through</w:t>
            </w:r>
          </w:p>
        </w:tc>
        <w:tc>
          <w:tcPr>
            <w:tcW w:w="380" w:type="dxa"/>
            <w:vAlign w:val="bottom"/>
          </w:tcPr>
          <w:p>
            <w:pPr>
              <w:spacing w:after="0"/>
              <w:rPr>
                <w:sz w:val="13"/>
                <w:szCs w:val="13"/>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Additional Potential</w:t>
            </w:r>
          </w:p>
        </w:tc>
        <w:tc>
          <w:tcPr>
            <w:tcW w:w="380" w:type="dxa"/>
            <w:vAlign w:val="bottom"/>
          </w:tcPr>
          <w:p>
            <w:pPr>
              <w:spacing w:after="0"/>
              <w:rPr>
                <w:sz w:val="13"/>
                <w:szCs w:val="13"/>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Total Potential Cash</w:t>
            </w:r>
          </w:p>
        </w:tc>
      </w:tr>
      <w:tr>
        <w:trPr>
          <w:trHeight w:val="173"/>
        </w:trPr>
        <w:tc>
          <w:tcPr>
            <w:tcW w:w="3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Cash Payments</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Payments</w:t>
            </w:r>
          </w:p>
        </w:tc>
      </w:tr>
      <w:tr>
        <w:trPr>
          <w:trHeight w:val="196"/>
        </w:trPr>
        <w:tc>
          <w:tcPr>
            <w:tcW w:w="39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Astellas—related-party:</w:t>
            </w: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Japan Agreement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52,593</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120,000</w:t>
            </w:r>
          </w:p>
        </w:tc>
        <w:tc>
          <w:tcPr>
            <w:tcW w:w="5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172,593</w:t>
            </w:r>
          </w:p>
        </w:tc>
      </w:tr>
      <w:tr>
        <w:trPr>
          <w:trHeight w:val="216"/>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 Agreement</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410,000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335,000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745,000</w:t>
            </w:r>
          </w:p>
        </w:tc>
      </w:tr>
      <w:tr>
        <w:trPr>
          <w:trHeight w:val="223"/>
        </w:trPr>
        <w:tc>
          <w:tcPr>
            <w:tcW w:w="3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Astellas</w:t>
            </w: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462,593</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455,000</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917,593</w:t>
            </w:r>
          </w:p>
        </w:tc>
        <w:tc>
          <w:tcPr>
            <w:tcW w:w="100" w:type="dxa"/>
            <w:vAlign w:val="bottom"/>
          </w:tcPr>
          <w:p>
            <w:pPr>
              <w:spacing w:after="0"/>
              <w:rPr>
                <w:sz w:val="19"/>
                <w:szCs w:val="19"/>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AstraZeneca:</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 RoW Agreement</w:t>
            </w:r>
          </w:p>
        </w:tc>
        <w:tc>
          <w:tcPr>
            <w:tcW w:w="180" w:type="dxa"/>
            <w:vAlign w:val="bottom"/>
          </w:tcPr>
          <w:p>
            <w:pPr>
              <w:spacing w:after="0"/>
              <w:rPr>
                <w:sz w:val="18"/>
                <w:szCs w:val="18"/>
                <w:color w:val="auto"/>
              </w:rPr>
            </w:pPr>
          </w:p>
        </w:tc>
        <w:tc>
          <w:tcPr>
            <w:tcW w:w="16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192,000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1,057,000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1,249,000</w:t>
            </w:r>
          </w:p>
        </w:tc>
        <w:tc>
          <w:tcPr>
            <w:tcW w:w="100" w:type="dxa"/>
            <w:vAlign w:val="bottom"/>
          </w:tcPr>
          <w:p>
            <w:pPr>
              <w:spacing w:after="0"/>
              <w:rPr>
                <w:sz w:val="18"/>
                <w:szCs w:val="18"/>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China Agreement</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28,200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348,500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376,700</w:t>
            </w:r>
          </w:p>
        </w:tc>
      </w:tr>
      <w:tr>
        <w:trPr>
          <w:trHeight w:val="230"/>
        </w:trPr>
        <w:tc>
          <w:tcPr>
            <w:tcW w:w="3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AstraZeneca</w:t>
            </w:r>
          </w:p>
        </w:tc>
        <w:tc>
          <w:tcPr>
            <w:tcW w:w="1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220,200</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1,405,500</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1,625,700</w:t>
            </w:r>
          </w:p>
        </w:tc>
        <w:tc>
          <w:tcPr>
            <w:tcW w:w="100" w:type="dxa"/>
            <w:vAlign w:val="bottom"/>
          </w:tcPr>
          <w:p>
            <w:pPr>
              <w:spacing w:after="0"/>
              <w:rPr>
                <w:sz w:val="20"/>
                <w:szCs w:val="20"/>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682,793</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1,860,500</w:t>
            </w:r>
          </w:p>
        </w:tc>
        <w:tc>
          <w:tcPr>
            <w:tcW w:w="5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2,543,293</w:t>
            </w:r>
          </w:p>
        </w:tc>
        <w:tc>
          <w:tcPr>
            <w:tcW w:w="100" w:type="dxa"/>
            <w:vAlign w:val="bottom"/>
            <w:shd w:val="clear" w:color="auto" w:fill="CCEEFF"/>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These collaboration agreements also provide for reimbursement of certain fully burdened research and development costs as well as direct out of pocket expenses.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Milestone Revenue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380" w:type="dxa"/>
            <w:vAlign w:val="bottom"/>
          </w:tcPr>
          <w:p>
            <w:pPr>
              <w:spacing w:after="0"/>
              <w:rPr>
                <w:sz w:val="10"/>
                <w:szCs w:val="10"/>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5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License and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License and</w:t>
            </w:r>
          </w:p>
        </w:tc>
        <w:tc>
          <w:tcPr>
            <w:tcW w:w="880" w:type="dxa"/>
            <w:vAlign w:val="bottom"/>
            <w:tcBorders>
              <w:bottom w:val="single" w:sz="8" w:color="auto"/>
            </w:tcBorders>
            <w:gridSpan w:val="2"/>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Pr>
          <w:p>
            <w:pPr>
              <w:spacing w:after="0"/>
              <w:rPr>
                <w:sz w:val="10"/>
                <w:szCs w:val="10"/>
                <w:color w:val="auto"/>
              </w:rPr>
            </w:pPr>
          </w:p>
        </w:tc>
        <w:tc>
          <w:tcPr>
            <w:tcW w:w="12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milestone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Pr>
          <w:p>
            <w:pPr>
              <w:spacing w:after="0"/>
              <w:rPr>
                <w:sz w:val="10"/>
                <w:szCs w:val="10"/>
                <w:color w:val="auto"/>
              </w:rPr>
            </w:pPr>
          </w:p>
        </w:tc>
        <w:tc>
          <w:tcPr>
            <w:tcW w:w="118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milestone</w:t>
            </w:r>
          </w:p>
        </w:tc>
        <w:tc>
          <w:tcPr>
            <w:tcW w:w="56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9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56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4"/>
          </w:tcPr>
          <w:p>
            <w:pPr>
              <w:jc w:val="right"/>
              <w:ind w:right="9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and milestone revenue: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Astellas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4,692</w:t>
            </w:r>
          </w:p>
        </w:tc>
        <w:tc>
          <w:tcPr>
            <w:tcW w:w="1260" w:type="dxa"/>
            <w:vAlign w:val="bottom"/>
          </w:tcPr>
          <w:p>
            <w:pPr>
              <w:jc w:val="right"/>
              <w:ind w:right="43"/>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2,742</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$ 1,950</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AstraZeneca</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6,814</w:t>
            </w:r>
          </w:p>
        </w:tc>
        <w:tc>
          <w:tcPr>
            <w:tcW w:w="12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11,943</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(5,129)</w:t>
            </w: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5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license and milestone revenue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11,506</w:t>
            </w:r>
          </w:p>
        </w:tc>
        <w:tc>
          <w:tcPr>
            <w:tcW w:w="20" w:type="dxa"/>
            <w:vAlign w:val="bottom"/>
            <w:tcBorders>
              <w:bottom w:val="single" w:sz="8" w:color="auto"/>
            </w:tcBorders>
          </w:tcPr>
          <w:p>
            <w:pPr>
              <w:spacing w:after="0"/>
              <w:rPr>
                <w:sz w:val="19"/>
                <w:szCs w:val="19"/>
                <w:color w:val="auto"/>
              </w:rPr>
            </w:pPr>
          </w:p>
        </w:tc>
        <w:tc>
          <w:tcPr>
            <w:tcW w:w="1260" w:type="dxa"/>
            <w:vAlign w:val="bottom"/>
          </w:tcPr>
          <w:p>
            <w:pPr>
              <w:jc w:val="right"/>
              <w:ind w:right="43"/>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14,685</w:t>
            </w:r>
          </w:p>
        </w:tc>
        <w:tc>
          <w:tcPr>
            <w:tcW w:w="24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(3,179</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License and milestone revenue decreased by $3.2 million for the three months ended March 31, 2015 compared to the same period a year ago due to a decrease in the license and milestone revenue recognized under our collaboration agreements with AstraZeneca, partially offset by an increase in the license and milestone revenue recognized under our collaboration agreements with Astellas.</w:t>
      </w:r>
    </w:p>
    <w:p>
      <w:pPr>
        <w:spacing w:after="0" w:line="176"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License and milestone revenue recognized under our collaboration agreements with AstraZeneca decreased primarily due to an upfront payment of $12.0 million received from AstraZeneca in March 2014, a portion of which was deferred. The decrease was partially offset by an increase in reimbursable co-development costs allocated to license and milestone revenue from our collaboration agreements with AstraZeneca during the three months ended March 31, 2015.</w:t>
      </w:r>
    </w:p>
    <w:p>
      <w:pPr>
        <w:spacing w:after="0" w:line="180"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License and milestone revenue recognized under our collaboration agreements with Astellas increased primarily due to an increase in reimbursable co-development costs allocated to license and milestone revenue.</w:t>
      </w:r>
    </w:p>
    <w:p>
      <w:pPr>
        <w:spacing w:after="0" w:line="162" w:lineRule="exact"/>
        <w:rPr>
          <w:sz w:val="20"/>
          <w:szCs w:val="20"/>
          <w:color w:val="auto"/>
        </w:rPr>
      </w:pPr>
    </w:p>
    <w:p>
      <w:pPr>
        <w:jc w:val="both"/>
        <w:ind w:right="480" w:firstLine="456"/>
        <w:spacing w:after="0" w:line="313" w:lineRule="auto"/>
        <w:rPr>
          <w:sz w:val="20"/>
          <w:szCs w:val="20"/>
          <w:color w:val="auto"/>
        </w:rPr>
      </w:pPr>
      <w:r>
        <w:rPr>
          <w:rFonts w:ascii="Times New Roman" w:cs="Times New Roman" w:eastAsia="Times New Roman" w:hAnsi="Times New Roman"/>
          <w:sz w:val="17"/>
          <w:szCs w:val="17"/>
          <w:color w:val="auto"/>
        </w:rPr>
        <w:t>In May 2015, we earned a $15.0 million development milestone under the U.S./RoW Agreement as a result of the finalization of our two audited carcinogenicity study reports. We expect to receive non-contingent license payments of $120.0 million from AstraZeneca in the second quarter of 2015.</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Services and Other Revenue</w:t>
      </w:r>
    </w:p>
    <w:p>
      <w:pPr>
        <w:spacing w:after="0" w:line="119"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Collaboration services revenue increased $1.6 million for the three months ended March 31, 2015 compared to the same period a year ago primarily due to an increase in reimbursable co-development costs under our collaboration agreements with AstraZeneca and Astellas.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 of</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 of</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bottom w:val="single" w:sz="8" w:color="auto"/>
            </w:tcBorders>
            <w:gridSpan w:val="2"/>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600" w:type="dxa"/>
            <w:vAlign w:val="bottom"/>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Pr>
          <w:p>
            <w:pPr>
              <w:spacing w:after="0"/>
              <w:rPr>
                <w:sz w:val="12"/>
                <w:szCs w:val="12"/>
                <w:color w:val="auto"/>
              </w:rPr>
            </w:pPr>
          </w:p>
        </w:tc>
        <w:tc>
          <w:tcPr>
            <w:tcW w:w="1180" w:type="dxa"/>
            <w:vAlign w:val="bottom"/>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60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Pr>
          <w:p>
            <w:pPr>
              <w:spacing w:after="0"/>
              <w:rPr>
                <w:sz w:val="12"/>
                <w:szCs w:val="12"/>
                <w:color w:val="auto"/>
              </w:rPr>
            </w:pPr>
          </w:p>
        </w:tc>
        <w:tc>
          <w:tcPr>
            <w:tcW w:w="86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2"/>
                <w:szCs w:val="12"/>
                <w:color w:val="auto"/>
              </w:rPr>
            </w:pPr>
          </w:p>
        </w:tc>
        <w:tc>
          <w:tcPr>
            <w:tcW w:w="600" w:type="dxa"/>
            <w:vAlign w:val="bottom"/>
          </w:tcPr>
          <w:p>
            <w:pPr>
              <w:jc w:val="right"/>
              <w:ind w:right="20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4"/>
          </w:tcPr>
          <w:p>
            <w:pPr>
              <w:jc w:val="right"/>
              <w:ind w:right="6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9"/>
              </w:rPr>
              <w:t>$50,539</w:t>
            </w:r>
          </w:p>
        </w:tc>
        <w:tc>
          <w:tcPr>
            <w:tcW w:w="118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310%</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$25,650</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$24,889</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10,482</w:t>
            </w:r>
          </w:p>
        </w:tc>
        <w:tc>
          <w:tcPr>
            <w:tcW w:w="11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64</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6,432</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w:t>
            </w: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4,050</w:t>
            </w: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3"/>
        </w:trPr>
        <w:tc>
          <w:tcPr>
            <w:tcW w:w="64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61,021</w:t>
            </w:r>
          </w:p>
        </w:tc>
        <w:tc>
          <w:tcPr>
            <w:tcW w:w="20" w:type="dxa"/>
            <w:vAlign w:val="bottom"/>
            <w:tcBorders>
              <w:bottom w:val="single" w:sz="8" w:color="auto"/>
            </w:tcBorders>
          </w:tcPr>
          <w:p>
            <w:pPr>
              <w:spacing w:after="0"/>
              <w:rPr>
                <w:sz w:val="19"/>
                <w:szCs w:val="19"/>
                <w:color w:val="auto"/>
              </w:rPr>
            </w:pPr>
          </w:p>
        </w:tc>
        <w:tc>
          <w:tcPr>
            <w:tcW w:w="118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374%</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32,082</w:t>
            </w:r>
          </w:p>
        </w:tc>
        <w:tc>
          <w:tcPr>
            <w:tcW w:w="2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28,939</w:t>
            </w:r>
          </w:p>
        </w:tc>
        <w:tc>
          <w:tcPr>
            <w:tcW w:w="260" w:type="dxa"/>
            <w:vAlign w:val="bottom"/>
          </w:tcPr>
          <w:p>
            <w:pPr>
              <w:spacing w:after="0"/>
              <w:rPr>
                <w:sz w:val="19"/>
                <w:szCs w:val="19"/>
                <w:color w:val="auto"/>
              </w:rPr>
            </w:pP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consist of third party research and development costs and the fully-burdened amount of costs associated with work performed under collaboration agreements. Research and development costs include employee-related expenses for research and development functions, expenses incurred under agreements with clinical research organizations (“CROs”), other clinical and preclinical costs and allocated direct and indirect overhead costs, such as facilities costs, information technology costs and other overhead. Research and development costs are expensed as incurred. Costs for certain development activities are recognized based on an evaluation of the progress to completion of specific tasks using information and data provided to us by our vendors and our clinical sites.</w:t>
      </w:r>
    </w:p>
    <w:p>
      <w:pPr>
        <w:spacing w:after="0" w:line="188"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by program incurred during the three months ended March 31, 2015 and 2014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160" w:type="dxa"/>
            <w:vAlign w:val="bottom"/>
            <w:gridSpan w:val="7"/>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Product Candidate</w:t>
            </w:r>
          </w:p>
        </w:tc>
        <w:tc>
          <w:tcPr>
            <w:tcW w:w="20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Phase of Development</w:t>
            </w:r>
          </w:p>
        </w:tc>
        <w:tc>
          <w:tcPr>
            <w:tcW w:w="31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40" w:type="dxa"/>
            <w:vAlign w:val="bottom"/>
            <w:gridSpan w:val="2"/>
            <w:vMerge w:val="continue"/>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3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8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Roxadustat</w:t>
            </w:r>
          </w:p>
        </w:tc>
        <w:tc>
          <w:tcPr>
            <w:tcW w:w="28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Phase 3</w:t>
            </w:r>
          </w:p>
        </w:tc>
        <w:tc>
          <w:tcPr>
            <w:tcW w:w="3340" w:type="dxa"/>
            <w:vAlign w:val="bottom"/>
            <w:tcBorders>
              <w:top w:val="single" w:sz="8" w:color="CCEEFF"/>
            </w:tcBorders>
            <w:gridSpan w:val="2"/>
            <w:shd w:val="clear" w:color="auto" w:fill="CCEEFF"/>
          </w:tcPr>
          <w:p>
            <w:pPr>
              <w:jc w:val="right"/>
              <w:ind w:right="22"/>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36,057</w:t>
            </w:r>
          </w:p>
        </w:tc>
        <w:tc>
          <w:tcPr>
            <w:tcW w:w="540" w:type="dxa"/>
            <w:vAlign w:val="bottom"/>
            <w:tcBorders>
              <w:top w:val="single" w:sz="8" w:color="CCEEFF"/>
            </w:tcBorders>
            <w:gridSpan w:val="2"/>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CCEEFF"/>
            </w:tcBorders>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13,755</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FG-3019</w:t>
            </w:r>
          </w:p>
        </w:tc>
        <w:tc>
          <w:tcPr>
            <w:tcW w:w="2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Phase 2</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5,115</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FG-6874</w:t>
            </w:r>
          </w:p>
        </w:tc>
        <w:tc>
          <w:tcPr>
            <w:tcW w:w="2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Phase 1</w:t>
            </w:r>
          </w:p>
        </w:tc>
        <w:tc>
          <w:tcPr>
            <w:tcW w:w="3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FG-5200</w:t>
            </w:r>
          </w:p>
        </w:tc>
        <w:tc>
          <w:tcPr>
            <w:tcW w:w="2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Preclinical</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7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50,539</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w:t>
      </w:r>
    </w:p>
    <w:p>
      <w:pPr>
        <w:spacing w:after="0" w:line="176"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increased by $24.9 million, or 97%, for the three months ended March 31, 2015 compared to the same period a year ago. The increase was primarily due to an increase in clinical trial and drug development related costs of $17.7 million and employee-related costs of $6.5 million, which includes stock-based compensation expense. Clinical trial and drug development related costs increased as a result of the progression of the Phase 3 trials for FG-4592 and the ongoing Phase 2 trials for FG-3019. Employee-related costs increased as a result of additional headcount to support the clinical trials for FG-4592 and FG-3019. Stock-based compensation expense increased primarily due to a higher valuation for stock option grants and expense related to the Employee Share Purchase Program (“ESPP”), which we implemented in November 2014.</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expenses for executive, operational, finance, legal, compliance and human resource functions. Other general and administrative expenses include facility-related costs and professional fees, accounting and legal services, other outside services, recruiting fees and expenses associated with obtaining and maintaining patents.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$4.1 million, or 63%, for the three months ended March 31, 2015 compared to the same period a year ago. The increase was primarily due to an increase in employee-related costs of $2.6 million, which includes stock-based compensation expense, and legal fees of $1.1 million, which resulted from incremental maintenance costs associated with our intellectual property portfolio. Employee-related costs increased primarily as a result of additional headcount to support being a public company. Stock-based compensation expenses increased primarily due to a higher valuation of stock option grants and expense related to the ESPP.</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 for Roxadustat Covered Under Collaboration Agreements</w:t>
      </w:r>
    </w:p>
    <w:p>
      <w:pPr>
        <w:spacing w:after="0" w:line="11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share responsibility with AstraZeneca for clinical development activities required for United States regulatory approval of roxadustat. AstraZeneca is responsible for all of our development costs incurred under the agreed development plan for roxadustat in the United States, Europe, Japan and all other markets outside of China, to the extent those costs are not covered by Astellas, after an initial 50% development cost sharing period in which our funding obligations are limited to a total of $116.5 million, of which $64.4 million has been incurred as of March 31, 2015. We expect to reach this $116.5 million cap in late 2015. After we have reached the $116.5 million cap, AstraZeneca will be solely responsible for all future development costs. In China, our subsidiary FibroGen China will conduct the development work for CKD anemia and will hold all of the regulatory licenses issued by China regulatory authorities and be primarily responsible for regulatory, clinical and manufacturing. All development and commercialization costs for roxadustat in China will be shared equally with AstraZeneca.</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(Expense), Net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tcPr>
          <w:p>
            <w:pPr>
              <w:spacing w:after="0"/>
              <w:rPr>
                <w:sz w:val="15"/>
                <w:szCs w:val="15"/>
                <w:color w:val="auto"/>
              </w:rPr>
            </w:pPr>
          </w:p>
        </w:tc>
        <w:tc>
          <w:tcPr>
            <w:tcW w:w="2400" w:type="dxa"/>
            <w:vAlign w:val="bottom"/>
            <w:gridSpan w:val="8"/>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42"/>
        </w:trPr>
        <w:tc>
          <w:tcPr>
            <w:tcW w:w="78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60" w:type="dxa"/>
            <w:vAlign w:val="bottom"/>
          </w:tcPr>
          <w:p>
            <w:pPr>
              <w:spacing w:after="0"/>
              <w:rPr>
                <w:sz w:val="12"/>
                <w:szCs w:val="12"/>
                <w:color w:val="auto"/>
              </w:rPr>
            </w:pPr>
          </w:p>
        </w:tc>
      </w:tr>
      <w:tr>
        <w:trPr>
          <w:trHeight w:val="142"/>
        </w:trPr>
        <w:tc>
          <w:tcPr>
            <w:tcW w:w="7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4"/>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(2,758)</w:t>
            </w:r>
          </w:p>
        </w:tc>
        <w:tc>
          <w:tcPr>
            <w:tcW w:w="3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(2,726)</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1"/>
              </w:rPr>
              <w:t>$ (32)</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692</w:t>
            </w:r>
          </w:p>
        </w:tc>
        <w:tc>
          <w:tcPr>
            <w:tcW w:w="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151</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22</w:t>
            </w:r>
          </w:p>
        </w:tc>
      </w:tr>
      <w:tr>
        <w:trPr>
          <w:trHeight w:val="223"/>
        </w:trPr>
        <w:tc>
          <w:tcPr>
            <w:tcW w:w="78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interest and other income (expense), net</w:t>
            </w:r>
          </w:p>
        </w:tc>
        <w:tc>
          <w:tcPr>
            <w:tcW w:w="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1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30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119</w:t>
            </w:r>
          </w:p>
        </w:tc>
        <w:tc>
          <w:tcPr>
            <w:tcW w:w="34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7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Interest expense approximated the same period a year ago and includes payments made for imputed interest related to the facility lease financing obligations for our leased facilities in San Francisco and the China as well as interest related to the TEKES product development obligations.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and other income, net increased slightly and consists primarily of interest earned on bonds held.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from Income Taxes</w:t>
      </w:r>
    </w:p>
    <w:p>
      <w:pPr>
        <w:spacing w:after="0" w:line="121"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We recorded a benefit for income taxes for the three months ended March 31, 2015 primarily due to the discrete tax effect arising from other comprehensive income related to available-for-sale securities. We did not record a provision for income taxes for the three months ended March 31, 2014 as we generated a net operating loss for the fiscal year ended December 31, 2014.</w:t>
      </w:r>
    </w:p>
    <w:p>
      <w:pPr>
        <w:spacing w:after="0" w:line="176"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Based upon the weight of available evidence, which includes our historical operating performance, reported cumulative net losses since inception and expected continuing net loss, we have established and continue to maintain a full valuation allowance against our deferred tax assets as we do not currently believe that realization of those assets is more likely than not.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historically funded our operations principally from the sale of convertible preferred stock and common stock and from the execution of certain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 agreements involving license payments, milestones and reimbursement for development services. On November 19, 2014, we closed our initial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and concurrent private placement in which we issued and sold a total of 10,426,111 shares of common stock, resulting in net proceeds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$171.8 million, after deducting underwriting discounts and commissions of $11.7 million and offering expenses of $4.1 million for our initial public offering.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closing of our initial public offering, all of our outstanding convertible preferred stock automatically converted into 33,919,954 shares of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based on the shares of convertible preferred stock outstanding as of November 18, 2014.</w:t>
      </w:r>
    </w:p>
    <w:p>
      <w:pPr>
        <w:spacing w:after="0" w:line="207"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We do not know when, or if, we will generate any revenue from product sales. We do not expect to generate significant revenue from product sales unless and until we obtain regulatory approval of and commercialize one or more of our current or future product candidates. We anticipate that we will continue to</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generate losses for the foreseeable future, and we expect the losses to increase as we continue the development of, and seek regulatory approvals for, our product candidates, and begin to commercialize any approved products. We are subject to all the risks related to the development and commercialization of novel therapeutics, and we may encounter unforeseen expenses, difficulties, complications, delays and other unknown factors that may adversely affect our business. As a newly public company, we expect to incur additional costs associated with operating as a public company. We anticipate that we will need substantial additional funding in connection with our continuing operations.</w:t>
      </w:r>
    </w:p>
    <w:p>
      <w:pPr>
        <w:spacing w:after="0" w:line="184"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As of March 31, 2015, we had cash and cash equivalents of $128.4 million. Cash is invested in accordance with our investment policy, primarily to provide liquidity and preserve capital. Investments, consisting principally of corporate debt securities stated at fair value, are also available as a source of liquidity. As of March 31, 2015, we had short- and long-term investments of $14.3 million and $139.5 million. As of March 31, 2015, a total of $32.0 million of our cash and cash equivalents was held outside of the U.S. in our foreign subsidiaries to be used primarily for our China operations.</w:t>
      </w:r>
    </w:p>
    <w:p>
      <w:pPr>
        <w:spacing w:after="0" w:line="180"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We believe our existing cash and cash equivalents, investments and payments due under our license and collaboration agreements will be sufficient to meet our working capital and capital expenditure needs for at least the next 12 months. However, our liquidity assumptions may change over time, and we could utilize our available financial resources sooner than we currently expect. In addition, we may elect to raise additional funds at any time through equity, equity-linked or debt financing arrangements. Our future capital requirements and the adequacy of available funds will depend on many factors, including those set forth under Part I, Item 1A: “Risk Factors” in this Quarterly Report on Form 10-Q. We may not be able to secure additional financing to meet our operating requirements on acceptable terms, or at all. If we raise additional funds by issuing equity or equity-linked securities, the ownership of our existing stockholders will be diluted. If we raise additional financing by the incurrence of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If we are unable to obtain needed additional funds, we will have to reduce our operating expenses, which would impair our growth prospects and could otherwise negatively impact our business.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gridSpan w:val="8"/>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8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4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provided by (used in):</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2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(42,190)</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(15,521)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$(26,669)</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12,215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(7,663)</w:t>
            </w:r>
          </w:p>
        </w:tc>
        <w:tc>
          <w:tcPr>
            <w:tcW w:w="0" w:type="dxa"/>
            <w:vAlign w:val="bottom"/>
          </w:tcPr>
          <w:p>
            <w:pPr>
              <w:spacing w:after="0"/>
              <w:rPr>
                <w:sz w:val="1"/>
                <w:szCs w:val="1"/>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3"/>
        </w:trPr>
        <w:tc>
          <w:tcPr>
            <w:tcW w:w="8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(37,086</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2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(33,707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was $42.2 million for the three months ended March 31, 2015 and consisted primarily of a net loss of $38.0 million after adjusting for non-cash items of $8.3 million, which includes stock-based compensation expense of $6.4 million, depreciation expense of $1.4 million, amortization of the premium on investments of $0.8 million, and a net decrease in operating assets and liabilities of $4.2 million. The significant items in the change in operating assets and liabilities include an increase in accounts receivable of $6.5 million, a decrease in accrued liabilities of $7.0 million, a decrease in accounts payable of $2.1 million, a decrease in prepaid expenses and other current assets of $0.8 million and a decrease in deferred revenue of $0.8 million. The changes in deferred revenue and accounts receivable relate to the timing of upfront payments and recognition of revenues under our collaboration agreements with Astellas and AstraZeneca. The changes in accounts payable and accrued liabilities is driven by clinical trial activity related to upcoming Phase 3 trials for roxadustat and the timing of payments.</w:t>
      </w:r>
    </w:p>
    <w:p>
      <w:pPr>
        <w:spacing w:after="0" w:line="185"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was $15.5 million for the three months ended March 31, 2014 and consisted primarily of a net loss of $14.4 million after being adjusted for non-cash items of $1.9, which includes stock-based compensation expense of $0.8 million, depreciation expense of $0.9 million and amortization of the premium on investments of $0.2 million, and a net decrease in operating assets and liabilities of $1.2 million. The change in operating assets and liabilities include decreases in accounts receivable of $3.7 million and accrued liabilities of $0.7 million, offset by an increase of $3.2 million in deferred revenue. The decrease in accrued liabilities was primarily due to increased accrued payroll expenses and accrued clinical trial related expenses. The decrease in accounts receivable and increase in deferred revenue relate to the timing of milestone payments and recognition of revenues under our collaboration agreements with Astellas and AstraZeneca.</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Investing activities consist primarily of purchases of property and equipment and proceeds from the maturity of investments.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Financing activities primarily reflect proceeds from the issuance of our common stock and repayments of our lease liability.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2015, we did not have any relationships with unconsolidated organizations or financial partnerships, such as structured finance or special purpose entities that would have been established for the purpose of facilitating off-balance sheet arrangements.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contractual obligations compared to those disclosed in our Annual Report on Form 10-K for the year ended December 31, 2014.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U.S. generally accepted accounting principles.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There have been no material changes in our critical accounting policies, estimates and judgements during the three months ended March 31, 2015 compared with the disclosures in Part II, Item 7 of our Annual Report on Form 10-K for the year ended December 31, 2014. We believe that the accounting policies discussed below are critical to understanding our historical and future performance, as these policies relate to the more significant areas involving management’s judgments and estimates.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Substantially all of our revenues to date have been generated from our collaboration agreements.</w:t>
      </w:r>
    </w:p>
    <w:p>
      <w:pPr>
        <w:spacing w:after="0" w:line="225"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Our collaboration agreements include multiple deliverables, and we follow the guidance in Accounting Standards Codification (“ASC”) Topic 605-25, “Revenue Recognition—Multiple-Element Arrangements,” (“ASC 605-25”). ASC 605-25:</w:t>
      </w:r>
    </w:p>
    <w:p>
      <w:pPr>
        <w:spacing w:after="0" w:line="67" w:lineRule="exact"/>
        <w:rPr>
          <w:sz w:val="20"/>
          <w:szCs w:val="20"/>
          <w:color w:val="auto"/>
        </w:rPr>
      </w:pPr>
    </w:p>
    <w:p>
      <w:pPr>
        <w:ind w:left="440" w:right="440" w:hanging="324"/>
        <w:spacing w:after="0" w:line="282" w:lineRule="auto"/>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guidance on how revenue arrangements with multiple deliverables should be separated and how the arrangement consideration should be allocated among the separate units of accounting;</w:t>
      </w:r>
    </w:p>
    <w:p>
      <w:pPr>
        <w:spacing w:after="0" w:line="67" w:lineRule="exact"/>
        <w:rPr>
          <w:rFonts w:ascii="Times New Roman" w:cs="Times New Roman" w:eastAsia="Times New Roman" w:hAnsi="Times New Roman"/>
          <w:sz w:val="18"/>
          <w:szCs w:val="18"/>
          <w:color w:val="auto"/>
        </w:rPr>
      </w:pPr>
    </w:p>
    <w:p>
      <w:pPr>
        <w:ind w:left="440" w:right="700" w:hanging="324"/>
        <w:spacing w:after="0" w:line="282" w:lineRule="auto"/>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an entity to determine the selling price of a separate deliverable using a hierarchy of (i) vendor-specific objective evidence (“VSOE”), (ii) third-party evidence (“TPE”), or (iii) best estimate of selling price (“BESP”); and</w:t>
      </w:r>
    </w:p>
    <w:p>
      <w:pPr>
        <w:spacing w:after="0" w:line="67" w:lineRule="exact"/>
        <w:rPr>
          <w:rFonts w:ascii="Times New Roman" w:cs="Times New Roman" w:eastAsia="Times New Roman" w:hAnsi="Times New Roman"/>
          <w:sz w:val="18"/>
          <w:szCs w:val="18"/>
          <w:color w:val="auto"/>
        </w:rPr>
      </w:pPr>
    </w:p>
    <w:p>
      <w:pPr>
        <w:ind w:left="440" w:right="20" w:hanging="324"/>
        <w:spacing w:after="0" w:line="282" w:lineRule="auto"/>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the allocation of the arrangement consideration, at the inception of the arrangement, to the separate units of accounting based on relative selling price.</w:t>
      </w:r>
    </w:p>
    <w:p>
      <w:pPr>
        <w:spacing w:after="0" w:line="16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evaluate all deliverables within an arrangement to determine whether or not they provide value on a stand-alone basis. Based on this evaluation, the deliverables are separated into units of accounting. The arrangement consideration that is fixed or determinable at the inception of the arrangement is allocated to the separate units of accounting based on their relative selling prices. Significant judgment may be required in determining whether a deliverable provides stand-alone value, determining the amount of arrangement consideration that is fixed or determinable, and estimating the stand-alone selling price of each unit of accounting.</w:t>
      </w:r>
    </w:p>
    <w:p>
      <w:pPr>
        <w:spacing w:after="0" w:line="184"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To date, we have determined that the selling price for the deliverables within our collaboration agreements should be determined using BESP, as neither VSOE nor TPE is available. The process for determining BESP involves significant judgment on our part and includes consideration of multiple factors, including assumptions related to the market opportunity and the time needed to</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commercialize a product candidate pursuant to the relevant license, estimated direct expenses and other costs, which include the rates normally charged by contract research and contract manufacturing organizations for development and manufacturing obligations, and rates that would be charged by qualified outsiders for committee services.</w:t>
      </w:r>
    </w:p>
    <w:p>
      <w:pPr>
        <w:spacing w:after="0" w:line="176"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For each unit of accounting identified within an arrangement, we determine the period over which the deliverables are provided and the performance obligation is satisfied. Service revenue is recognized using a proportional performance method. Direct labor hours or full time equivalents are used as the measurement of performance. Revenue may be recognized using a straight line method when performance is expected to occur consistently over a period of time.</w:t>
      </w:r>
    </w:p>
    <w:p>
      <w:pPr>
        <w:spacing w:after="0" w:line="18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Payments or reimbursements resulting from our research and development efforts for those arrangements where such efforts are considered as deliverables are recognized as the services are performed and are presented on a gross basis. To the extent payments are required to be made to our collaboration partners pursuant to research and development efforts, those costs are charged to research and development using the guidance pursuant to ASC Topic 605-250, “Customer Payments and Incentives,” which states that cash consideration given by a vendor to a customer is presumed to be a reduction of the selling prices unless the vendor receives an identifiable benefit in exchange for the consideration that is sufficiently separable from the recipient’s purchase of the vendor’s products, and the vendor can reasonably estimate the fair value of the benefit.</w:t>
      </w:r>
    </w:p>
    <w:p>
      <w:pPr>
        <w:spacing w:after="0" w:line="188"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Each of our collaboration agreements includes milestones for which we follow ASC Topic 605-28, “Revenue Recognition—Milestone Method” (“ASC 605-28”). ASC 605-28 establishes the milestone method as an acceptable method of revenue recognition for certain contingent event-based payments under research and development arrangements. Under the milestone method, a payment that is contingent upon the achievement of a substantive milestone is recognized in its entirety in the period in which the milestone is achieved. A milestone is an event (i) that can only be achieved based in whole or in part on either our performance or on the occurrence of a specific outcome resulting from our performance, (ii) for which there is substantive uncertainty at the date the arrangement is entered into that the event will be achieved and (iii) that would result in additional payments being due to us. Determining whether a milestone is substantive is a matter of judgment and that assessment must be made at the inception of the arrangement. Milestones are considered substantive when the consideration earned from the achievement of the milestone (i) is commensurate with either our performance to achieve the milestone or the enhancement of the value of the item delivered as a result of a specific outcome resulting from our performance to achieve the milestone, (ii) relates solely to past performance and (iii) is reasonable relative to all deliverables and payment terms in the arrangement. Payments for achieving milestones which are not considered substantive are treated as additional arrangement consideration and are allocated following the relative selling price method previously described.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19"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(“ASU”) No. 2014-09,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(Topic 606), which supersedes the revenue recognition requirements in ASC 605,</w:t>
      </w:r>
      <w:r>
        <w:rPr>
          <w:rFonts w:ascii="Times New Roman" w:cs="Times New Roman" w:eastAsia="Times New Roman" w:hAnsi="Times New Roman"/>
          <w:sz w:val="18"/>
          <w:szCs w:val="18"/>
          <w:i w:val="1"/>
          <w:iCs w:val="1"/>
          <w:color w:val="auto"/>
        </w:rPr>
        <w:t xml:space="preserve"> Revenue Recognition</w:t>
      </w:r>
      <w:r>
        <w:rPr>
          <w:rFonts w:ascii="Times New Roman" w:cs="Times New Roman" w:eastAsia="Times New Roman" w:hAnsi="Times New Roman"/>
          <w:sz w:val="18"/>
          <w:szCs w:val="18"/>
          <w:color w:val="auto"/>
        </w:rPr>
        <w:t>. This ASU is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principle that revenue is recognized to depict the transfer of goods or services to customers in an amount that reflects the consideration to which the entity expects to be entitled in exchange for those goods or services. This ASU also requires additional disclosure about the nature, amount, timing and uncertainty of revenue and cash flows arising from customer contracts, including significant judgments and changes in judgments and assets recognized from costs incurred to obtain or fulfill a contract. The effective date for this ASU will be the first quarter of fiscal year 2017 using one of two retrospective application methods. In April 2015, the FASB proposed deferring the effective date by one year to the first quarter of fiscal year 2018 and proposed permitting early adoption, but not before the original effective date of the first quarter of fiscal year 2017. We are currently evaluating the impact of this guidance on our consolidated financial statements.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We believe there has been no material change in our exposure to market risks as disclosed in our Annual Report on Form 10-K for the year ended December 31, 2014.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pursuant to Rule 13a-15 under the Securities Exchange Act of 1934, as amended (the “Exchange Act”), as of the end of the period covered by this Quarterly Report on Form 10-Q.</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80"/>
          </w:cols>
          <w:pgMar w:left="240" w:top="455" w:right="27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Based on this evaluation, our chief executive officer and chief financial officer concluded that, as of March 31, 2015,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March 31, 2015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Because of the inherent limitations in a cost-effective control system, misstatements due to error or fraud may occur and not be detected.</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in addition to the other information included or incorporated by reference in this Quarterly Report on Form 10-Q,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currently deem immaterial may also impair our business operations.</w:t>
      </w:r>
    </w:p>
    <w:p>
      <w:pPr>
        <w:spacing w:after="0" w:line="18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We have marked with an asterisk (*) those risks described below that reflect substantive changes from the risks described under Part I, Item 1A “Risk Factors” included in our Annual Report on Form 10-K for the year ended December 31, 2014.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History of Operating Losses</w:t>
      </w:r>
    </w:p>
    <w:p>
      <w:pPr>
        <w:spacing w:after="0" w:line="11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and anticipate that we will continue to incur losses for the foreseeable future and may never achieve or sustain profitability. We may require additional financings in order to fund our operations.*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clinical-stage biopharmaceutical company with two lead product candidates in clinical development, roxadustat, or FG-4592 in anemia in chronic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kidney disease (“CKD”), and FG-3019 in idiopathic pulmonary fibrosis (“IPF”), pancreatic cancer and liver fibrosis. Pharmaceutical product development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highly risky undertaking. To date, we have focused our efforts and most of our resources on hypoxia-inducible factor, or HIF, and fibrosis biology research,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well as developing our lead product candidates. We are not profitable and, other than in 2006 and 2007 due to income received from our Astellas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 have incurred losses in each year since our inception. We have not generated any significant revenue based on product sales to date.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 to incur significant research and development and other expenses related to our ongoing operations. Our net loss for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2015 was $46.4 million and for the years ended December 31, 2013 and 2014 was $14.9 million and $59.5 million. As of March 31, 2015, we had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accumulated deficit of $368.7 million. As of March 31, 2015, we had capital resources consisting of cash, cash equivalents and short-term investments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$142.7 million plus $139.5 million of long-term investments classified as available for sale securities. Despite contractual development and cost coverage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from our collaboration partners, AstraZeneca AB (“AstraZeneca”) and Astellas Pharma Inc. (“Astellas”), and the potential to receive milestone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other payments from these partners, we anticipate we will continue to incur losses for the foreseeable future, and we anticipate these losses will increase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we continue our development of, and seek regulatory approval for our product candidates. If we do not successfully develop and obtain regulatory approval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our existing or any future product candidates and effectively manufacture, market and sell any product candidates that are approved, we may never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generate product sales, and even if we do generate product sales, we may never achieve or sustain profitability on a quarterly or annual basis. Our prior losses,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combined with expected future losses, have had and will continue to have an adverse effect on our stockholders’ equity and working capital. Our failure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become and remain profitable would depress the market price of our common stock and could impair our ability to raise capital, expand our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diversify our product offerings or continue our operations.</w:t>
      </w:r>
    </w:p>
    <w:p>
      <w:pPr>
        <w:spacing w:after="0" w:line="20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believe that we will continue to expend substantial resources for the foreseeable future as we continue late-stage clinical development of roxadustat, grow our operations in China, expand our clinical development efforts on FG-3019, seek regulatory approval, prepare for the commercialization of our product candidates, and pursue additional indications. These expenditures will include costs associated with research and development, conducting preclinical trials and clinical trials, obtaining regulatory approvals in various jurisdictions, and manufacturing and supplying products and product candidates for ourselves and our partners. In particular, in our planned Phase 3 clinical trial program for roxadustat, which we believe will be the largest Phase 3 program ever conducted for an anemia product candidate, we are expecting to enroll approximately 7,000 to 8,000 patients worldwide. We are conducting this Phase 3 program in conjunction with Astellas and AstraZeneca, and we are substantially dependent on Astellas and AstraZeneca for the funding of this large program.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We believe that the net proceeds from our initial public offering, our existing cash, cash equivalents and short-term investments and expected third party collaboration revenues will allow us to fund our operating plans through at least the next 12 months. Our operating plans or third party collaborations may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change as a result of many factors, which are discussed in more detail below, and other factors that may not currently be known to us, and we therefore may need to seek additional funds sooner than planned, through offerings of public or private securities, debt financings or other sources, such as royalty monetization or other structured financings. Such financings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w:t>
      </w:r>
    </w:p>
    <w:p>
      <w:pPr>
        <w:spacing w:after="0" w:line="131" w:lineRule="exact"/>
        <w:rPr>
          <w:sz w:val="20"/>
          <w:szCs w:val="20"/>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in the development of our product candidates;</w:t>
      </w:r>
    </w:p>
    <w:p>
      <w:pPr>
        <w:spacing w:after="0" w:line="130" w:lineRule="exact"/>
        <w:rPr>
          <w:rFonts w:ascii="Times New Roman" w:cs="Times New Roman" w:eastAsia="Times New Roman" w:hAnsi="Times New Roman"/>
          <w:sz w:val="18"/>
          <w:szCs w:val="18"/>
          <w:color w:val="auto"/>
        </w:rPr>
      </w:pPr>
    </w:p>
    <w:p>
      <w:pPr>
        <w:ind w:left="900" w:right="500" w:hanging="325"/>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development efforts for our product candidates, such as FG-3019, that are not subject to reimbursement from our collaboration partners;</w:t>
      </w:r>
    </w:p>
    <w:p>
      <w:pPr>
        <w:spacing w:after="0" w:line="67"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necessary to obtain regulatory approvals, if any, for our product candidates in the United States, China and other jurisdictions, and the costs of post-marketing studies that could be required by regulatory authorities in jurisdictions where approval is obtained;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our existing collaborations and entry into new collaborations;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unreimbursed costs necessary to commercialize products in territories in which our product candidates are approved for sale;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revenues from any future sales of our products as well as revenue earned from profit share, royalties and milestones;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reimbursement or third party payor pricing available to our products;</w:t>
      </w:r>
    </w:p>
    <w:p>
      <w:pPr>
        <w:spacing w:after="0" w:line="130" w:lineRule="exact"/>
        <w:rPr>
          <w:rFonts w:ascii="Times New Roman" w:cs="Times New Roman" w:eastAsia="Times New Roman" w:hAnsi="Times New Roman"/>
          <w:sz w:val="18"/>
          <w:szCs w:val="18"/>
          <w:color w:val="auto"/>
        </w:rPr>
      </w:pPr>
    </w:p>
    <w:p>
      <w:pPr>
        <w:ind w:left="900" w:right="640" w:hanging="325"/>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and maintaining manufacturing operations and obtaining third party commercial supplies of our products, if any, manufactured in accordance with regulatory requirements;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we incur in maintaining domestic and foreign operations, including operations in China;</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costs;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we incur in the filing, prosecution, maintenance and defense of our extensive patent portfolio and other intellectual property rights.</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Additional funds may not be available when we require them, or on terms that are acceptable to us. If adequate funds are not available to us on a timely basis, we may be required to delay, limit, reduce or terminate our research and development efforts or other operations or activities that may be necessary to commercialize our product candidates.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 of our recent revenue has been earned from collaboration partners for our product candidates under development.</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past three years, substantially all of our revenues were from our collaboration partners, including $108.8 million earned under our current collaborations with Astellas and $196.0 million earned under our current collaborations with AstraZeneca, constituting 99%, 100% and 100% of our revenues for 2012, 2013 and 2014.</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will require substantial additional capital to achieve our development and commercialization goals, which for our lead product candidate, roxadustat, is currently contemplated to be provided under our existing third party collaborations with Astellas and AstraZeneca.</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either or both of these collaborations were to be terminated, we could require significant additional capital in order to proceed with development and commercialization of our product candidates, or we may require additional partnering in order to help fund such development and commercialization. If adequate funds or partners are not available to us on a timely basis or on favorable terms, we may be required to delay, limit, reduce or terminate our research and development efforts or other operations.</w:t>
      </w:r>
    </w:p>
    <w:p>
      <w:pPr>
        <w:spacing w:after="0" w:line="2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continue to progress our development efforts and achieve milestones under our collaboration agreements, our revenues may decrease and our activities may fail to lead to commercial products.</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Substantially all of our revenues to date have been, and a significant portion of our future revenues are expected to be, derived from our existing collaboration agreements. Revenues from research and development collaborations depend upon continuation of the collaborations, reimbursement of development costs, the achievement of milestones and royalties and profits from our product sales, if any, derived from future products developed from our research. If we are unable to successfully advance the development of our product candidates or achieve milestones, revenues under our collaboration agreements will be substantially less than expected.</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45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Commercialization of Our Product Candidates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lead product candidate, roxadustat, and our second compound in development, FG-3019.</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To date, we have invested a substantial portion of our efforts and financial resources in the research and development of roxadustat, which is currently our lead product candidate. Roxadustat is our only product candidate that has advanced into a potentially pivotal trial, and it may be years before the studies required for its approval are completed, if ever. Our other product candidates are less advanced in development and may never enter into pivotal studies. We have completed 26 Phase 1 and 2 clinical studies with roxadustat in North America, Europe and Asia, in which over 1,400 subjects have participated and for which we reported favorable primary and secondary safety and efficacy endpoint results. Based on our discussions with the United States Food and Drug Administration (“FDA”) we believe that we have an acceptable plan for the conduct of our Phase 3 clinical trial program. We have also had discussions with China regulatory authorities regarding the conduct of Phase 3 clinical trials in China, which are part of our global Phase 3 clinical trial program for safety data. We have also discussed our Phase 3 clinical development program with three national health authorities in the EU and obtained scientific advice from the European Medicines Agency. Our near-term prospects, including maintaining our existing collaborations with Astellas and AstraZeneca, will depend heavily on successful Phase 3 development and commercialization of roxadustat.</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other lead product candidate, FG-3019, is currently in clinical development for IPF, pancreatic cancer and liver fibrosis. FG-3019 requires substantial further development and investment. We do not have a collaboration partner for support of this compound, and, while we have promising open-label safety data and potential signals of efficacy, we would need to complete larger and more extensive controlled clinical trials to validate the results to date in order to continue further development of this product candidate. In addition, although there are many potentially promising indications beyond IPF, pancreatic cancer and liver fibrosis, we are still exploring indications for which further development of, and investment for, FG-3019 may be appropriate. Accordingly, the costs and time to complete development and related risks are currently unknown. Moreover, FG-3019 is a monoclonal antibody, which may require experience and expertise that we may not currently possess as well as financial resources that are potentially greater than those required for our small molecule lead compound, roxadustat.</w:t>
      </w:r>
    </w:p>
    <w:p>
      <w:pPr>
        <w:spacing w:after="0" w:line="28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clinical and commercial success of roxadustat and FG-3019 will depend on a number of factors, many of which are beyond our control, and we may be unable to complete the development or commercialization of roxadustat or FG-3019.</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clinical and commercial success of roxadustat and FG-3019 will depend on a number of factors, including the following:</w:t>
      </w:r>
    </w:p>
    <w:p>
      <w:pPr>
        <w:spacing w:after="0" w:line="131" w:lineRule="exact"/>
        <w:rPr>
          <w:sz w:val="20"/>
          <w:szCs w:val="20"/>
          <w:color w:val="auto"/>
        </w:rPr>
      </w:pPr>
    </w:p>
    <w:p>
      <w:pPr>
        <w:ind w:left="900" w:right="80" w:hanging="325"/>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initiation, continuation and completion of our Phase 3 clinical trials for roxadustat, which will depend substantially upon requirements for such trials imposed by the FDA and other regulatory agencies and bodies and the continued commitment and coordinated and timely performance by our third party collaboration partners, AstraZeneca and Astellas;</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initiation and completion of our Phase 2 clinical trials for FG-3019, including in IPF and pancreatic cancer;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the safety and efficacy of our product candidates to the satisfaction of the relevant regulatory authorities;</w:t>
      </w:r>
    </w:p>
    <w:p>
      <w:pPr>
        <w:spacing w:after="0" w:line="130" w:lineRule="exact"/>
        <w:rPr>
          <w:rFonts w:ascii="Times New Roman" w:cs="Times New Roman" w:eastAsia="Times New Roman" w:hAnsi="Times New Roman"/>
          <w:sz w:val="18"/>
          <w:szCs w:val="18"/>
          <w:color w:val="auto"/>
        </w:rPr>
      </w:pPr>
    </w:p>
    <w:p>
      <w:pPr>
        <w:ind w:left="900" w:right="120" w:hanging="325"/>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other regulatory authorities to conduct additional clinical trials, and the scope and nature of such clinical trials, prior to approval to market our products;</w:t>
      </w:r>
    </w:p>
    <w:p>
      <w:pPr>
        <w:spacing w:after="0" w:line="67" w:lineRule="exact"/>
        <w:rPr>
          <w:rFonts w:ascii="Times New Roman" w:cs="Times New Roman" w:eastAsia="Times New Roman" w:hAnsi="Times New Roman"/>
          <w:sz w:val="18"/>
          <w:szCs w:val="18"/>
          <w:color w:val="auto"/>
        </w:rPr>
      </w:pPr>
    </w:p>
    <w:p>
      <w:pPr>
        <w:ind w:left="900" w:right="520" w:hanging="325"/>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receipt of necessary marketing approvals from the FDA and foreign regulatory authorities, including pricing and reimbursement determinations;</w:t>
      </w:r>
    </w:p>
    <w:p>
      <w:pPr>
        <w:spacing w:after="0" w:line="67" w:lineRule="exact"/>
        <w:rPr>
          <w:rFonts w:ascii="Times New Roman" w:cs="Times New Roman" w:eastAsia="Times New Roman" w:hAnsi="Times New Roman"/>
          <w:sz w:val="18"/>
          <w:szCs w:val="18"/>
          <w:color w:val="auto"/>
        </w:rPr>
      </w:pPr>
    </w:p>
    <w:p>
      <w:pPr>
        <w:ind w:left="900" w:right="840" w:hanging="325"/>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commercialize our product candidates, if approved, for marketing and sale by the FDA or foreign regulatory authorities, whether alone or in collaboration with others;</w:t>
      </w:r>
    </w:p>
    <w:p>
      <w:pPr>
        <w:spacing w:after="0" w:line="67"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third party manufacturing partners to manufacture quantities of our product candidates at quality levels necessary to meet regulatory requirements and at a scale sufficient to meet anticipated demand at a cost that allows us to achieve profitability;</w:t>
      </w:r>
    </w:p>
    <w:p>
      <w:pPr>
        <w:spacing w:after="0" w:line="67" w:lineRule="exact"/>
        <w:rPr>
          <w:rFonts w:ascii="Times New Roman" w:cs="Times New Roman" w:eastAsia="Times New Roman" w:hAnsi="Times New Roman"/>
          <w:sz w:val="18"/>
          <w:szCs w:val="18"/>
          <w:color w:val="auto"/>
        </w:rPr>
      </w:pPr>
    </w:p>
    <w:p>
      <w:pPr>
        <w:ind w:left="900" w:right="740" w:hanging="325"/>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educating health care providers and patients about the benefits, risks, administration and use of our product candidates, if approved;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approved, as safe and effective by patients and the healthcare community;</w:t>
      </w:r>
    </w:p>
    <w:p>
      <w:pPr>
        <w:spacing w:after="0" w:line="130" w:lineRule="exact"/>
        <w:rPr>
          <w:rFonts w:ascii="Times New Roman" w:cs="Times New Roman" w:eastAsia="Times New Roman" w:hAnsi="Times New Roman"/>
          <w:sz w:val="18"/>
          <w:szCs w:val="18"/>
          <w:color w:val="auto"/>
        </w:rPr>
      </w:pPr>
    </w:p>
    <w:p>
      <w:pPr>
        <w:ind w:left="5620" w:right="240" w:hanging="5045"/>
        <w:spacing w:after="0" w:line="454" w:lineRule="auto"/>
        <w:tabs>
          <w:tab w:leader="none" w:pos="89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efforts to enter into relationships with large dialysis organizations involving the administration of roxadustat to dialysis patients; 33</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and maintenance of compliance with all regulatory requirements applicable to our product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an acceptable safety profile of our products following any approval;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relative cost, relative safety, and relative efficacy of alternative and competitive treatments;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sustain an adequate level of pricing or reimbursement for our products by third party payors;</w:t>
      </w:r>
    </w:p>
    <w:p>
      <w:pPr>
        <w:spacing w:after="0" w:line="130" w:lineRule="exact"/>
        <w:rPr>
          <w:rFonts w:ascii="Times New Roman" w:cs="Times New Roman" w:eastAsia="Times New Roman" w:hAnsi="Times New Roman"/>
          <w:sz w:val="18"/>
          <w:szCs w:val="18"/>
          <w:color w:val="auto"/>
        </w:rPr>
      </w:pPr>
    </w:p>
    <w:p>
      <w:pPr>
        <w:ind w:left="900" w:right="300" w:hanging="325"/>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successfully our intellectual property rights for our product candidates and against the products of potential competitors;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or succeed in third party patent interference or patent infringement claims.</w:t>
      </w:r>
    </w:p>
    <w:p>
      <w:pPr>
        <w:spacing w:after="0" w:line="225"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Many of these factors are beyond our control. Accordingly, we cannot assure you that we will ever be able to achieve profitability through the sale of, or royalties from, our product candidates. If we or our collaboration partners are not successful in obtaining approval for and commercializing our product candidates, or are delayed in completing those efforts, our business and operations would be adversely affected.</w:t>
      </w:r>
    </w:p>
    <w:p>
      <w:pPr>
        <w:spacing w:after="0" w:line="2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regulatory approval for our product candidates, or such approval may be delayed or limited, due to a number of factors, many of which are beyond our control.</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clinical trials and the manufacturing of our product candidates are and will continue to be, and the marketing of our product candidates will be, subject to extensive and rigorous review and regulation by numerous government authorities in the United States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safe and effective for use in each indication for which approval is sought. The regulatory review and approval process is expensive and requires substantial resources and time, and in general very few product candidates that enter development receive regulatory approval. Accordingly, we may be unable to successfully develop or commercialize roxadustat or FG-3019 or any of our other product candidates.</w:t>
      </w:r>
    </w:p>
    <w:p>
      <w:pPr>
        <w:spacing w:after="0" w:line="189" w:lineRule="exact"/>
        <w:rPr>
          <w:sz w:val="20"/>
          <w:szCs w:val="20"/>
          <w:color w:val="auto"/>
        </w:rPr>
      </w:pPr>
    </w:p>
    <w:p>
      <w:pPr>
        <w:jc w:val="both"/>
        <w:ind w:right="480"/>
        <w:spacing w:after="0" w:line="313" w:lineRule="auto"/>
        <w:rPr>
          <w:sz w:val="20"/>
          <w:szCs w:val="20"/>
          <w:color w:val="auto"/>
        </w:rPr>
      </w:pPr>
      <w:r>
        <w:rPr>
          <w:rFonts w:ascii="Times New Roman" w:cs="Times New Roman" w:eastAsia="Times New Roman" w:hAnsi="Times New Roman"/>
          <w:sz w:val="17"/>
          <w:szCs w:val="17"/>
          <w:color w:val="auto"/>
        </w:rPr>
        <w:t>We have not obtained regulatory approval for any of our product candidates and it is possible that roxadustat and FG-3019 will never receive regulatory approval in any country. Regulatory authorities may delay, limit or deny approval of roxadustat or FG-3019 for many reasons, including, among others:</w:t>
      </w:r>
    </w:p>
    <w:p>
      <w:pPr>
        <w:spacing w:after="0" w:line="44" w:lineRule="exact"/>
        <w:rPr>
          <w:sz w:val="20"/>
          <w:szCs w:val="20"/>
          <w:color w:val="auto"/>
        </w:rPr>
      </w:pPr>
    </w:p>
    <w:p>
      <w:pPr>
        <w:ind w:left="900" w:right="200" w:hanging="325"/>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adequately demonstrate to the satisfaction of regulatory authorities that roxadustat is safe and effective in treating anemia in CKD or that FG-3019 is safe and effective in treating IPF, pancreatic cancer or liver fibrosis;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demonstrate that a product candidate’s clinical and other benefits outweigh its safety risks;</w:t>
      </w:r>
    </w:p>
    <w:p>
      <w:pPr>
        <w:spacing w:after="0" w:line="130" w:lineRule="exact"/>
        <w:rPr>
          <w:rFonts w:ascii="Times New Roman" w:cs="Times New Roman" w:eastAsia="Times New Roman" w:hAnsi="Times New Roman"/>
          <w:sz w:val="18"/>
          <w:szCs w:val="18"/>
          <w:color w:val="auto"/>
        </w:rPr>
      </w:pPr>
    </w:p>
    <w:p>
      <w:pPr>
        <w:ind w:left="900" w:right="80" w:hanging="325"/>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by regulatory authorities that additional clinical trials are necessary to demonstrate the safety and efficacy of roxadustat or FG-3019, or that ongoing clinical trials need to be modified in design, size, conduct or implementation;</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exhibit an unacceptable safety signal as they advance through clinical trials, in particular controlled Phase 3 trials;</w:t>
      </w:r>
    </w:p>
    <w:p>
      <w:pPr>
        <w:spacing w:after="0" w:line="130" w:lineRule="exact"/>
        <w:rPr>
          <w:rFonts w:ascii="Times New Roman" w:cs="Times New Roman" w:eastAsia="Times New Roman" w:hAnsi="Times New Roman"/>
          <w:sz w:val="18"/>
          <w:szCs w:val="18"/>
          <w:color w:val="auto"/>
        </w:rPr>
      </w:pPr>
    </w:p>
    <w:p>
      <w:pPr>
        <w:ind w:left="900" w:right="400" w:hanging="325"/>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research organizations (“CROs”) that conduct clinical trials on our behalf may take actions outside of our control that materially adversely impact our clinical trials;</w:t>
      </w:r>
    </w:p>
    <w:p>
      <w:pPr>
        <w:spacing w:after="0" w:line="67" w:lineRule="exact"/>
        <w:rPr>
          <w:rFonts w:ascii="Times New Roman" w:cs="Times New Roman" w:eastAsia="Times New Roman" w:hAnsi="Times New Roman"/>
          <w:sz w:val="18"/>
          <w:szCs w:val="18"/>
          <w:color w:val="auto"/>
        </w:rPr>
      </w:pPr>
    </w:p>
    <w:p>
      <w:pPr>
        <w:ind w:left="900" w:right="800" w:hanging="325"/>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third party contractors manufacturing our product candidates may not maintain current good manufacturing practices (“cGMP”), successfully pass inspection or meet other applicable manufacturing regulatory requirements;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not agree with our interpretation of the data from our preclinical trials and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partners may not perform or complete their clinical programs in a timely manner, or at all; or</w:t>
      </w:r>
    </w:p>
    <w:p>
      <w:pPr>
        <w:spacing w:after="0" w:line="130"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investigators may determine that one or more serious adverse events (“SAEs”) is related or possibly related to roxadustat, and any such determination may adversely affect our ability to obtain regulatory approval, whether or not the determination is correct.</w:t>
      </w:r>
    </w:p>
    <w:p>
      <w:pPr>
        <w:spacing w:after="0" w:line="16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or our collaboration partners’ abilities to obtain regulatory approval for and successfully market roxadustat. Because our business and operations in the near-term are almost entirely dependent upon roxadustat, any significant delays or impediments to regulatory approval could have a material adverse effect on our business and prospects.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Furthermore, in both the United States and China, we also expect to be required to perform additional clinical trials in order to obtain approval or as a condition to maintaining approval due to post-marketing requirements. If the FDA requires a risk evaluation and mitigation strategy (“REMS”) for any of our product candidates if approved, the substantial cost and expense of complying with a REMS or other post-marketing requirements may limit our ability to successfully commercialize our product candidates.</w:t>
      </w:r>
    </w:p>
    <w:p>
      <w:pPr>
        <w:spacing w:after="0" w:line="28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Phase 2 clinical trial results to date for roxadustat may not be indicative of the results that may be obtained in larger, controlled Phase 3 clinical trials required for approval.</w:t>
      </w:r>
    </w:p>
    <w:p>
      <w:pPr>
        <w:spacing w:after="0" w:line="5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Clinical development is expensive and can take many years to complete, and its outcome is inherently uncertain. Failure can occur at any time during the clinical trial process. Success in preclinical and early clinical trials may not be predictive of similar results in larger, controlled clinical trials, and successful results from early or small clinical trials may not be replicated or show as favorable an outcome, even if successful. For example, in the past we developed an earlier generation product candidate aimed at treating anemia in CKD that resulted in a clinical hold for a safety signal seen in that product in Phase 2 clinical trials. The clinical hold applied to that product candidate and roxadustat and was lifted for both product candidates after submission of the requested data to the FDA. While we have not seen similar safety concerns involving roxadustat to date, our Phase 2 clinical trials have involved a relatively small number of patients exposed to roxadustat for a relatively short period of time compared to the Phase 3 clinical trials that we will be conducting, and only a fraction of the patients in the Phase 2 clinical trials were randomized to placebo. Accordingly, the Phase 2 clinical trials that we have conducted may not have uncovered safety issues, even if they exist. In addition, some of the safety concerns associated with the treatment of patients with anemia in CKD using Erythropoiesis Stimulating Agents (“ESAs”) did not emerge for many years until placebo-controlled studies had been conducted in large numbers of patients. The biochemical pathways that we believe are affected by roxadustat are implicated in a variety of biological processes and disease conditions, and it is possible that the use of roxadustat to treat larger numbers of patients will demonstrate unanticipated adverse effects, including possible drug interactions, which may negatively impact the safety profile, use and market acceptance of roxadustat. We studied the potential interaction between roxadustat and three statins (atorvastatin, rosuvastatin and simvastatin), which are used to lower levels of lipids in the blood. An adverse effect associated with increased statin plasma concentration is myopathy, which typically presents in a form of myalgia. The studies indicated the potential for increased exposure to those statins when roxadustat is taken simultaneously with those statins and suggested the need for statin dose reductions for patients receiving higher statin doses. We are planning additional clinical pharmacology studies to evaluate if the effect of any such interaction can be minimized or eliminated by a modification of the dosing schedule that would separate the administration of roxadustat and the statin. It is possible that the potential for interaction between roxadustat and statins could lead to label provisions for statins or roxadustat relating, for example, to dose scheduling or recommended statin dose limitations. In CKD patients statin therapy is often initiated earlier than treatment for anemia, and risks of myopathy have been shown to decrease with increased time on drug. While we believe the prior statin treatment history of such patients at established doses may reduce the risk of adverse effects from any interaction with roxadustat and facilitate any appropriate dose adjustments, we cannot be sure that this will be the case.</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FDA has informed us that our Phase 3 trials must include, as a safety endpoint, a major adverse cardiac events (“MACE”), endpoint, which is a composite endpoint designed to identify major safety concerns, in particular relating to cardiovascular events such as cardiovascular death, myocardial infarction and stroke. In addition, we expect that our Phase 3 clinical trials supporting approval in Europe will be required to include MACE+ as a safety endpoint which, in addition to the MACE endpoints, also incorporates measurements of hospitalization rates due to heart failure or unstable angina. As a result, our ongoing and planned Phase 3 clinical trials may identify unanticipated safety concerns in the patient population under study. The FDA has also informed us that the MACE endpoint will need to be evaluated separately for our Phase 3 trials in non-dialysis dependent-CKD patients and our Phase 3 trials in dialysis dependent-CKD patients. The MACE endpoint will be evaluated in pooled analysis across Phase 3 studies of similar study populations and requires demonstration of non-inferiority relative to comparator, which means that the MACE event rate in roxadustat-treated patients must have less than a specified probability of exceeding the rate in the comparator trial by a specified hazard ratio. The number of patients necessary in order to permit a statistical analysis with adequate ability to detect the relative risk of MACE or MACE+ events in different arms of the trial, referred to as statistical power, depends on a number of factors, including the rate at which MACE or MACE+ events occur per patient-year in the trial, treatment duration of the patients, the required hazard ratio, and the required statistical power and confidence intervals.</w:t>
      </w:r>
    </w:p>
    <w:p>
      <w:pPr>
        <w:spacing w:after="0" w:line="19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we cannot be sure that the potential advantages that we believe roxadustat may have for treatment of patients with anemia in CKD as compared to the use of ESAs will be substantiated by our Phase 3 clinical trials or that we will be able to include a discussion of such advantages in our labeling should we obtain approval. We believe that roxadustat may have certain benefits as compared to ESAs based on the data from our Phase 2 clinical trials conducted to date, including safety benefits, the absence of a hypertensive effect, the potential to lower cholesterol levels and the potential to correct anemia without the use of IV iron. However, our belief that roxadustat may offer those benefits is based on a limited amount of data from our Phase 2 clinical trials and our understanding of the likely mechanisms of action for roxadustat. Some of these benefits, such as those associated with the apparent effects on blood pressure and cholesterol, are not fully understood and, even if roxadustat receives marketing approval, we do not expect that it will be approved for the treatment of high blood pressure or high cholesterol based on the data from our Phase 3 trials, and we may not be able to refer to any such benefits in the labeling. While the data from our Phase 2 trials suggests roxadustat may</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reduce LDL, or low-density lipoprotein, and reduce the ratio of LDL to HDL, or high-density lipoprotein, the data show it may also reduce HDL, which may be a risk to patients. In addition, causes of the safety concerns associated with the use of ESAs to achieve specified target Hb levels have not been fully elucidated. While we believe that the issues giving rise to these concerns with ESAs are likely due to factors other than the Hb levels achieved, we cannot be certain that roxadustat will not be associated with similar, or more severe, safety concerns.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after achieving positive results in early stage development, and we may face similar setbacks. In addition, the CKD patient population has many afflictions that may cause severe illness or death, which may be attributed to roxadustat in a manner that negatively impacts the safety profile of our product candidate. If the results of our ongoing or future clinical trials for roxadustat are inconclusive with respect to efficacy, if we do not meet our clinical endpoints with statistical significance, or if there are unanticipated safety concerns or adverse events that emerge during clinical trials, we may be prevented from or delayed in obtaining marketing approval for roxadustat, and even if we obtain marketing approval, any sales of roxadustat may suffer.</w:t>
      </w:r>
    </w:p>
    <w:p>
      <w:pPr>
        <w:spacing w:after="0" w:line="29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Phase 2 results to date for FG-3019 may not be indicative of the results that may be obtained in larger, controlled Phase 2 clinical trials or Phase 3 clinical trials required for approval.</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conducted only a limited number of Phase 2 clinical trials with FG-3019. We have conducted an open-label Phase 2 dose escalation study of FG-3019 for IPF in 89 patients and a Phase 2 dose finding trial of FG-3019 combined with gemcitabine plus erlotinib in 75 patients with pancreatic cancer. We cannot be sure that the results of these trials will be substantiated in double-blinded trials with larger numbers of patients, that larger trials will demonstrate the efficacy of FG-3019 for these or other indications or that safety issues will not be uncovered in further trials. In the Phase 2 clinical trial for IPF, we used quantitative high resolution computed tomography, or HRCT, to measure the extent of lung fibrosis. While we believe that quantitative HRCT is an accurate measure of lung fibrosis, it is a novel technology that has not yet been accepted by the FDA as a primary endpoint in pivotal clinical trials. In addition, while we believe that the animal studies that we have conducted to date demonstrate that FG-3019 has the potential to arrest or reverse fibrosis and reduce tumor mass, we cannot be sure that these results will be indicative of the effects of FG-3019 in human trials. In addition, the IPF and pancreatic cancer patient populations are extremely ill and routinely experience SAEs, including death, which may be attributed to FG-3019 in a manner that negatively impacts the safety profile of our product candidate. If the additional Phase 2 clinical trials that we are planning for FG-3019 in IPF and pancreatic cancer do not show favorable efficacy results or result in safety concerns, or if we do not meet our clinical endpoints with statistical significance, or demonstrate an acceptable risk-benefit profile, we may be prevented from or delayed in obtaining marketing approval for FG-3019 in one or both of these indications.</w:t>
      </w:r>
    </w:p>
    <w:p>
      <w:pPr>
        <w:spacing w:after="0" w:line="29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know whether our ongoing or planned Phase 3 clinical trials in roxadustat or Phase 2 clinical trials in FG-3019 will need to be redesigned based on interim results, be able to achieve sufficient enrollment or be completed on schedule, if at all.</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trials can be delayed or terminated for a variety of reasons, including delay or failure to:</w:t>
      </w:r>
    </w:p>
    <w:p>
      <w:pPr>
        <w:spacing w:after="0" w:line="131" w:lineRule="exact"/>
        <w:rPr>
          <w:sz w:val="20"/>
          <w:szCs w:val="20"/>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physician or patient safety concerns that arise during the course of the trial;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or institutional review board (“IRB”) approval or guidance;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 timely agreement on acceptable terms with prospective CROs and clinical trial sites;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enroll and retain patients through the completion of the trial;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clinical sites in compliance with clinical trial protocols;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add a sufficient number of clinical trial sites;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sufficient quantities of product candidate for use in clinical trials.</w:t>
      </w:r>
    </w:p>
    <w:p>
      <w:pPr>
        <w:spacing w:after="0" w:line="2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addition, we could encounter delays if a clinical trial is suspended or terminated by us, by the relevant IRBs at the sites at which such trials are being conducted, or by the FDA or other regulatory authorities. A suspension or termination of clinical trials may result from any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changes in laws or regulations, or a principal investigator’s determination that a serious adverse event could be related to our product candidates. 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and operations and prospects.</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40"/>
          </w:cols>
          <w:pgMar w:left="240" w:top="455" w:right="31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or have attributed to them undesirable side effects or have other properties that delay or prevent their regulatory approval or limit their commercial potential.</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Undesirable side effects caused by our product candidates or that may be identified as related to our product candidates by physician investigators conducting our clinical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Adverse events and SAEs that emerge during treatment with our product candidates or other compounds acting through similar biological pathways may be deemed to be related to our product candidate and may result in:</w:t>
      </w:r>
    </w:p>
    <w:p>
      <w:pPr>
        <w:spacing w:after="0" w:line="89" w:lineRule="exact"/>
        <w:rPr>
          <w:sz w:val="20"/>
          <w:szCs w:val="20"/>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Phase 3 clinical trial development plan becoming longer and more extensive;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increasing the data and information required to approve our product candidates and imposing other requirements;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terminating our existing agreements.</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occurrence of any or all of these events may cause the development of our product candidates to be delayed or terminated, which could materially and adversely affect our business and prospects. Refer to “Business—Our Development Program for Roxadustat” and “Business—FG-3019 for the Treatment of Fibrosis and Cancer” in our Annual Report on Form 10-K for the year ended December 31, 2014 for a discussion of the adverse events and serious adverse events that have emerged in clinical trials of roxadustat and FG-3019.</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 of our product candidates may not uncover all possible adverse effects that patients may experience.</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may a more complete safety profile be identified. Further, even larger clinical trials may not identify rare serious adverse effects or the duration of such studies may not be sufficient to identify when those events may occur. There have been other products, including ESAs, that have been approved by the regulatory authorities but for which safety concerns have been uncovered following approval. Such safety concerns have led to labelling changes or withdrawal of ESAs products from the market, and any of our product candidates may be subject to similar risks. For example, roxadustat for use in anemia in CKD is being developed to address a very diverse patient population expected to have many serious health conditions at the time of administration of roxadustat, including diabetes, high blood pressure and declining kidney function.</w:t>
      </w:r>
    </w:p>
    <w:p>
      <w:pPr>
        <w:spacing w:after="0" w:line="18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Although to date we have not seen evidence of significant safety concerns with our product candidates currently in clinical trials,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spacing w:after="0" w:line="28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enroll a sufficient number of patients in our clinical trials in a timely manner, which could delay or prevent clinical trials of our product candidates.</w:t>
      </w:r>
    </w:p>
    <w:p>
      <w:pPr>
        <w:spacing w:after="0" w:line="5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The timing of our clinical trials depends on the rate at which we can recruit and enroll patients in testing our product candidates. Patients may be unwilling to participate in clinical trials of our product candidates for a variety of reasons, some of which may be beyond our control:</w:t>
      </w:r>
    </w:p>
    <w:p>
      <w:pPr>
        <w:spacing w:after="0" w:line="82" w:lineRule="exact"/>
        <w:rPr>
          <w:sz w:val="20"/>
          <w:szCs w:val="20"/>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for and design of the study in question;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clinical trials of competitive agents;</w:t>
      </w:r>
    </w:p>
    <w:p>
      <w:pPr>
        <w:spacing w:after="0" w:line="130" w:lineRule="exact"/>
        <w:rPr>
          <w:rFonts w:ascii="Times New Roman" w:cs="Times New Roman" w:eastAsia="Times New Roman" w:hAnsi="Times New Roman"/>
          <w:sz w:val="18"/>
          <w:szCs w:val="18"/>
          <w:color w:val="auto"/>
        </w:rPr>
      </w:pPr>
    </w:p>
    <w:p>
      <w:pPr>
        <w:ind w:left="900" w:right="240" w:hanging="325"/>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and patients’ perceptions as to the potential advantages of our product candidates being studied in relation to available therapies or other products under development;</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our CRO’s, and our trial sites’ efforts to facilitate timely enrollment in clinical trials;</w:t>
      </w:r>
    </w:p>
    <w:p>
      <w:pPr>
        <w:sectPr>
          <w:pgSz w:w="11900" w:h="16838" w:orient="portrait"/>
          <w:cols w:equalWidth="0" w:num="1">
            <w:col w:w="11400"/>
          </w:cols>
          <w:pgMar w:left="240" w:top="455" w:right="25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455" w:right="259" w:bottom="1440" w:gutter="0" w:footer="0" w:header="0"/>
          <w:type w:val="continuous"/>
        </w:sectPr>
      </w:pPr>
    </w:p>
    <w:bookmarkStart w:id="37" w:name="page38"/>
    <w:bookmarkEnd w:id="37"/>
    <w:p>
      <w:pPr>
        <w:spacing w:after="0" w:line="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patients and collect patient data adequately during and after treatment.</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Patients may be unwilling to participate in our clinical trials for roxadustat due to adverse events observed in other drug treatments of anemia in CKD, and patients currently controlling their disease with existing ESAs may be reluctant to participate in a clinical trial with an investigational drug. We may not be able to successfully initiate or continue clinical trials if we cannot rapidly enroll a sufficient number of eligible patients to participate in the clinical trials required by regulatory agencies. If we have difficulty enrolling a sufficient number of patients to conduct our clinical trials as planned, we may need to delay, limit or terminate on-going or planned clinical trials, any of which could have a material and adverse effect on our business and prospects.</w:t>
      </w:r>
    </w:p>
    <w:p>
      <w:pPr>
        <w:spacing w:after="0" w:line="28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third party manufacturers on which we rely cannot manufacture our product candidates and/or products at sufficient yields, we may experience delays in development, regulatory approval and commercialization.</w:t>
      </w:r>
    </w:p>
    <w:p>
      <w:pPr>
        <w:spacing w:after="0" w:line="5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Completion of our clinical trials and commercialization of our product candidates require access to, or development of, facilities to manufacture our product candidates at sufficient yields and at commercial scale. We have limited experience manufacturing, or managing third parties in manufacturing any of our product candidates in the volumes that are expected to be necessary to support large-scale clinical trials and sales. Our efforts to establish these capabilities may not meet our requirements as to scale-up, yield, cost, potency or quality in compliance with cGMP. Our clinical trials must be conducted with product produced under applicable cGMP regulations. Failure to comply with these regulations may require us to repeat clinical trials, which would delay the regulatory approval process. Even an experienced third party manufacturer may encounter difficulties in production, which difficulties may include:</w:t>
      </w:r>
    </w:p>
    <w:p>
      <w:pPr>
        <w:spacing w:after="0" w:line="93" w:lineRule="exact"/>
        <w:rPr>
          <w:sz w:val="20"/>
          <w:szCs w:val="20"/>
          <w:color w:val="auto"/>
        </w:rPr>
      </w:pPr>
    </w:p>
    <w:p>
      <w:pPr>
        <w:ind w:left="900" w:right="140" w:hanging="325"/>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challenges associated with scale-up and attaining sufficient manufacturing yields, in particular for biologic products such as FG-3019, which is a monoclonal antibody;</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issues, including the timely availability and shelf life requirements of raw materials and supplies;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and assurance;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qualified personnel and capital required to manufacture large quantities of product;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regulatory requirements that vary in each country where a product might be sold;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limitations and scheduling availability in contracted facilities;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that affect facilities and possibly limit production.</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For example, we have a limited amount of FG-3019 in storage and there are long lead times required to manufacture and scale-up the manufacture of additional supply. If we are unable to manufacture sufficient quantities of FG-3019 on a timely basis, it may limit our ability to replenish inventory or delay our development of FG-3019 in some or all indications. Any delay or interruption in the supply of our product candidates or products could have a material adverse effect on our business and operations.</w:t>
      </w:r>
    </w:p>
    <w:p>
      <w:pPr>
        <w:spacing w:after="0" w:line="28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obtain regulatory approval of our product candidates, the label we obtain may limit the indicated uses for which our product candidates may be marketed.</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With respect to roxadustat, we expect that regulatory approvals, if obtained at all, will limit the approved indicated uses for which roxadustat may be marketed, as ESAs have been subject to significant safety limitations on usage as directed by the “Black Box” warnings included in their labels. Refer to “Business—Roxadustat For the Treatment of Anemia in Chronic Kidney Disease—Limitations of the Current Standard of Care for Anemia in CKD” in our Annual Report on Form 10-K for the year ended December 31, 2014. In addition, in the past, an approved ESA was voluntarily withdrawn due to serious safety issues discovered after approval. The safety concerns relating to ESAs may result in labeling for roxadustat containing similar warnings even if our Phase 3 clinical trials do not suggest that roxadustat has similar safety issues. Even if the label for roxadustat does not contain all of the warnings contained in the Black Box warning for ESAs, the label for roxadustat may contain other warnings that limit the market opportunity for roxadustat. These warnings could include warnings against exceeding specified Hb targets and other warnings that derive from the lack of clarity regarding the basis for the safety issues associated with ESAs, even if our Phase 3 clinical trials do not themselves raise safety concerns.</w:t>
      </w:r>
    </w:p>
    <w:p>
      <w:pPr>
        <w:spacing w:after="0" w:line="29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organization, we have never completed a Phase 3 clinical trial or submitted a New Drug Application (“NDA”), before, and may be unable to do so efficiently or in compliance with all regulatory requirements or at all for roxadustat or any product candidate we are developing.*</w:t>
      </w:r>
    </w:p>
    <w:p>
      <w:pPr>
        <w:spacing w:after="0" w:line="5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are currently conducting Phase 2 clinical trials for FG-3019 and we may need to conduct additional Phase 2 clinical trials before initiating our Phase 3 clinical trials for FG-3019. We have initiated Phase 3 clinical trials of roxadustat, and if our Phase 2 clinical trials are successful for FG-3019, we intend to conduct Phase 3 clinical trials for FG-3019. The conduct of Phase 3 clinical trials and the submission of a successful NDA is a complicated process. As an organization, we have not completed a Phase 3 clinical trial before, have limited experience in preparing, submitting and prosecuting regulatory filings, and have not submitted an NDA before. Consequently, we may be unable to successfully and efficiently execute and complete necessary clinical trials in a way that leads to NDA submission and approval of roxadustat or for any other product candidate we are developing, even if our earlier stage clinical trials are successful. We may require more time and incur greater costs than our competitors and may not succeed in obtaining regulatory approvals of product candidates that we develop. Failure to commence or complete, or delays in, our planned clinical trials would prevent us from or delay us in commercializing roxadustat or any other product candidate we are developing.</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in order for any Phase 3 clinical trial to support an NDA submission for approval, the FDA and foreign regulatory authorities require compliance with regulations and standards, including good clinical practices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or other regulatory authorities may require us to exclude the use of patient data from our clinical trials not conducted in compliance with GCP or perform additional clinical trials before approving our marketing applications. We cannot assure you that upon inspection by a regulatory authority, such regulatory authority will determine that any of our clinical trials comply with GCP requirements or that our results may be used in support of our regulatory submissions.</w:t>
      </w:r>
    </w:p>
    <w:p>
      <w:pPr>
        <w:sectPr>
          <w:pgSz w:w="11900" w:h="16868" w:orient="portrait"/>
          <w:cols w:equalWidth="0" w:num="1">
            <w:col w:w="11400"/>
          </w:cols>
          <w:pgMar w:left="240" w:top="455" w:right="259" w:bottom="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9019"/>
          </w:cols>
          <w:pgMar w:left="1440" w:top="270" w:right="1440"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both"/>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or maintain agreements with third parties to market and sell our product candidates, we may not be successful in commercializing our product candidates if and when they are approved.</w:t>
      </w:r>
    </w:p>
    <w:p>
      <w:pPr>
        <w:spacing w:after="0" w:line="5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sales, marketing or distribution of pharmaceutical products in any country. To achieve commercial success for any product for which we obtain marketing approval, we will need to establish sales and marketing capabilities or make and maintain our existing arrangements with third parties to perform these services at a level sufficient to support our commercialization efforts.</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 the extent that we would undertake sales and marketing of any of our products directly, there are risks involved with establishing our own sales, marketing and distribution capabilities. Factors that may inhibit our efforts to commercialize our products on our own include:</w:t>
      </w:r>
    </w:p>
    <w:p>
      <w:pPr>
        <w:spacing w:after="0" w:line="67" w:lineRule="exact"/>
        <w:rPr>
          <w:sz w:val="20"/>
          <w:szCs w:val="20"/>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products;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manage geographically dispersed sales and marketing teams;</w:t>
      </w:r>
    </w:p>
    <w:p>
      <w:pPr>
        <w:spacing w:after="0" w:line="130" w:lineRule="exact"/>
        <w:rPr>
          <w:rFonts w:ascii="Times New Roman" w:cs="Times New Roman" w:eastAsia="Times New Roman" w:hAnsi="Times New Roman"/>
          <w:sz w:val="18"/>
          <w:szCs w:val="18"/>
          <w:color w:val="auto"/>
        </w:rPr>
      </w:pPr>
    </w:p>
    <w:p>
      <w:pPr>
        <w:ind w:left="900" w:right="80" w:hanging="325"/>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With respect to roxadustat, we are dependent on the commercialization capabilities of our collaboration partners, AstraZeneca and Astellas. If either such partner were to terminate its agreement with us, we would have to commercialize on our own or with another third party. We will have limited or little control over the commercialization efforts of such third parties, and any of them may fail to devote the necessary resources and attention to sell and market our products, if any, effectively. If they are not successful in commercializing our product candidates, our business and financial condition would suffer.</w:t>
      </w:r>
    </w:p>
    <w:p>
      <w:pPr>
        <w:spacing w:after="0" w:line="2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development and commercialization of new pharmaceutical products is highly competitive. Our future success depends on our ability to achieve and maintain a competitive advantage with respect to the development and commercialization of our product candidates. Our objective is to discover, develop and commercialize new products with superior efficacy, convenience, tolerability and safety. We expect that in many cases, the products that we commercialize will compete with existing, market-leading products of companies that have large, established commercial organizations.</w:t>
      </w:r>
    </w:p>
    <w:p>
      <w:pPr>
        <w:spacing w:after="0" w:line="18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If roxadustat is approved and launched commercially, competing drugs are expected to include ESAs such as EPOGEN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Aranesp</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commercialized by Amgen Inc., Procrit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Eprex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commercialized by Johnson &amp; Johnson Inc., and Mircera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which has received marketing approval in the United States, has been commercialized by Hoffmann-La Roche (“Roche”) outside of the United States, and which Roche is able to commercialize in the United States beginning in mid-2014 if it chooses to do so. ESAs have been used in the treatment of anemia in CKD for over 20 years, serving a significant majority of dialysis-dependent CKD (“DD-CKD”) patients on Medicare. It may be difficult to encourage treatment providers and patients to switch from products with which they have become familiar to roxadustat. In addition, the introduction of safer or more effective complement therapies to ESAs, such as safer iron supplementation therapies, may enhance the competitiveness of ESA therapy.</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may also face competition from potential new anemia therapies currently in clinical development. For example, there are several other HIF product candidates in various stages of active development for anemia indications that may be in competition with roxadustat for patient recruitment and enrollment for clinical trials and may be in direct competition with roxadustat if and when it is approved and launched commercially. These candidates are being developed by such companies as Akebia Pharmaceuticals, Inc.</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80"/>
          </w:cols>
          <w:pgMar w:left="240" w:top="455" w:right="2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(“Akebia”), Bayer Corporation, GlaxoSmithKline plc and Japan Tobacco Inc. Some of these product candidates may enter the market prior to roxadustat. There may be new therapies for renal-related diseases that could limit the market or level of reimbursement available for roxadustat if and when it is commercialized. In addition, there are other companies developing biologic therapies for treatment of other anemia indications that we may also seek to pursue in the future.</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introduction of biosimilars for ESAs into the market in the United States may occur by the time roxadustat enters the market and may increase the competition for roxadustat and alter the competitive and pricing landscape. A biosimilar product is a follow-on version of an existing, branded biologic product. Under current laws, an application for a biosimilar product should not be approved by the FDA until 12 years after the existing, patent-protected product was approved under a Biologics License Application (“BLA”). The patents for the existing, branded product must expire in a given market before biosimilars may enter that market with limited or no risk of being sued for patent infringement. The patents for epoetin alfa, a version of EPOGEN, expired in 2004 in the European Union, and the remaining patents have expired or will expire by May 2015 in the United States. Several biosimilar versions of currently marketed ESAs are available for sale in the EU and other biosimilars are currently under development or regulatory review in the United States and other territories, including Hospira’s Retacrit™, an EPOGEN and Procrit biosimilar which has been marketed in Europe, and for which Hospira’s BLA was filed with the FDA in February 2015.</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Furthermore, in the case of roxadustat, many of our existing and potential competitors have distribution relationships with leading dialysis providers and customers as well as brand recognition and reimbursement. Two of the largest operators of dialysis clinics in the United States, DaVita Healthcare Partners Inc. (“DaVita”) and Fresenius SE &amp; Co. KGaA (“Fresenius”) represent more than 60% of the dialysis market in the United States and have entered into long-term sales agreements with Amgen that began in January 2012, which in the case of Fresenius, includes an exclusive relationship. As a result, successful penetration of this market would require AstraZeneca to reach a significant agreement with Fresenius or DaVita, the two largest dialysis clinics in the United States, on favorable terms and on a timely basis.</w:t>
      </w:r>
    </w:p>
    <w:p>
      <w:pPr>
        <w:spacing w:after="0" w:line="188"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If FG-3019 is approved and launched commercially to treat IPF, competing drugs are expected to include Roche’s pirfenidone, which is approved for marketing in Europe, Canada, Japan and the United States, and Boehringer Ingelheim’s nintedanib which has been approved in the United States and EU. Nintedanib is also in development for non-small cell lung cancer and ovarian cancer. Other potential competitive product candidates in various stages of Phase 2 development for IPF include Gilead Sciences, Inc.’s simtuzumab, Bristol-Myers Squibb’s BMS-986020, and Biogen Idec’s STX-100.</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FG-3019 is approved and launched commercially to treat pancreatic cancer, we expect it to be used in combination instead of as monotherapy, and, likely competition for FG-3019 would be from other agents also seeking approval in combination with gemcitibine and nab-paclitaxel from companies such as Threshold Pharmaceuticals, Inc., and Halozyme Therapeutics, Inc. Gemcitabine and/or nab-paclitaxel are the current standard of care in the first-line treatment of metastatic pancreatic cancer. Celgene Corporation’s Abraxane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(nab-paclitaxel) was launched in the U.S. and Europe in 2013 and 2014, and was the first drug approved in this disease in nearly a decade. Merrimack Pharmaceuticals, Inc. has completed a pivotal Phase 3 clinical trial of MM-398 for the treatment of patients with metastatic pancreatic cancer who have previously failed treatment with gemcitabine. In November 2014, Merrimack announced that it had received Fast Track designation from the FDA and intended to start the NDA submission process in December 2014 with the goal of completing the NDA submission in the first quarter, or early in the second quarter, of 2015.</w:t>
      </w:r>
    </w:p>
    <w:p>
      <w:pPr>
        <w:spacing w:after="0" w:line="18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If FG-3019 is approved and launched commercially to treat Duchenne muscular dystrophy (“DMD”), FG-3019 may face competition for some patients from Sarepta Therapeutics, Inc, as well as BioMarin, and PTC Therapeutics, Santhera Pharmaceuticals, Pfizer, Summit plc and Tivorsan Pharmaceuticals. BioMarin recently completed its acquisition of Prosensa Holding, N.V. Prosensa, along with Sarepta, have entered clinical development with therapeutics based on exon-skipping technology which seeks to help patients produce functioning forms of the dystrophin protein. PTC Therapeutics’ product ataluren (Translarna</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received conditional approval in Europe in 2014. Translarna targets a different set of DMD patients from those being targeted by Prosensa’s and Sarepta’s existing exon-skipping therapeutics (which skip exon-51); however it is also limited to a subset of patients who carry a specific mutation. Conversely, FG-3019 is intended to treat DMD patients without limitation to type of mutation. Santhera Pharmaceuticals recently reported positive Phase 3 data with its drug idebenone (Raxone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/Catena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in a trial measuring changes in lung function for DMD patients. Idebenone is a synthetic short-chain benzoquinone and a cofactor for the enzyme NAD(P)H:quinone oxidoreductase (NQO1). Pfizer’s product candidate, which is in Phase 2 development, is an antibody targeting myostatin which is a protein that regulates muscle growth. The goal of the program is to increase muscle growth and muscle strength in patients with DMD. Summit plc and Tivorsan Pharmaceuticals are both working on drugs involving the utrophin pathway. Utrophin is a protein similar to dystrophin. Summit is conducting a Phase 1b trial and Tivorsan is conducting preclinical work.</w:t>
      </w:r>
    </w:p>
    <w:p>
      <w:pPr>
        <w:spacing w:after="0" w:line="19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FG-5200 is approved and launched to treat corneal blindness resulting from partial thickness corneal damage in China, it is likely to compete with other products designed to treat corneal damage. For example, in April 2015, a subsidiary of China Regenerative Medicine International Limited received approval for their acellular porcine cornea stroma medical device to treat patients in China with corneal ulcers.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success of any or all of these potential competitive products may negatively impact the development and potential for success of FG-3019. In addition, any competitive products that are on the market or in development may compete with FG-3019 for patient recruitment and enrollment for clinical trials or may force us to change our clinical trial comparators, whether placebo or active, in order to compare FG-3019 against another drug, which may be the new standard of care.</w:t>
      </w:r>
    </w:p>
    <w:p>
      <w:pPr>
        <w:spacing w:after="0" w:line="18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Moreover, many of our competitors have significantly greater resources than we do. Large pharmaceutical companies, in particular, have extensive experience in clinical testing, obtaining regulatory approvals, recruiting patients, manufacturing pharmaceutical products, and commercialization. In the potential anemia market for roxadustat, for example, large and established companies such as Amgen and Roche, among others, compete aggressively to maintain their market shares. In particular, these companies have greater experience and expertise in securing reimbursement, government contracts and relationships with key opinion leaders; conducting testing and clinical trials; obtaining and maintaining regulatory approvals and distribution relationships to market products; and marketing approved products. These companies also have significantly greater research and marketing capabilities than we do and may also have products that have been approved or are in later stages of development, and have collaboration agreements in our target markets with leading dialysis companies and research institutions. These competitors have in the past successfully prevented new and competing products from entering into the anemia market, and we expect that their resources will represent challenges for us and our collaboration partners, AstraZeneca and Astellas. If we and our collaboration partners are not able to compete effectively against existing and potential competitors, our business and financial condition may be materially and adversely affected.</w:t>
      </w:r>
    </w:p>
    <w:p>
      <w:pPr>
        <w:spacing w:after="0" w:line="28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commercial success depends upon attaining significant market acceptance of our product candidates, if approved, among physicians, patients, third party payors and others in the health care community.</w:t>
      </w:r>
    </w:p>
    <w:p>
      <w:pPr>
        <w:spacing w:after="0" w:line="5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Even if we obtain marketing approval for roxadustat, FG-3019 or any other product candidates that we may develop or acquire in the future, these product candidates may not gain market acceptance among physicians, third party payors, patients and others in the health care community. Market acceptance of any approved product depends on a number of other factors, including:</w:t>
      </w:r>
    </w:p>
    <w:p>
      <w:pPr>
        <w:spacing w:after="0" w:line="82" w:lineRule="exact"/>
        <w:rPr>
          <w:sz w:val="20"/>
          <w:szCs w:val="20"/>
          <w:color w:val="auto"/>
        </w:rPr>
      </w:pPr>
    </w:p>
    <w:p>
      <w:pPr>
        <w:ind w:left="900" w:right="220" w:hanging="325"/>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 and the labeling required by regulatory authorities for use with the product, including any warnings that may be required in the labeling;</w:t>
      </w:r>
    </w:p>
    <w:p>
      <w:pPr>
        <w:spacing w:after="0" w:line="67" w:lineRule="exact"/>
        <w:rPr>
          <w:rFonts w:ascii="Times New Roman" w:cs="Times New Roman" w:eastAsia="Times New Roman" w:hAnsi="Times New Roman"/>
          <w:sz w:val="18"/>
          <w:szCs w:val="18"/>
          <w:color w:val="auto"/>
        </w:rPr>
      </w:pPr>
    </w:p>
    <w:p>
      <w:pPr>
        <w:ind w:left="900" w:right="260" w:hanging="325"/>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physicians and patients of the product as a safe and effective treatment and the willingness of the target patient population to try new therapies and of physicians to prescribe new therapies;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safety, efficacy and convenience of treatment in relation to alternative treatments;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on the use of our products together with other medications, if any;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and reimbursement or pricing by third party payors and government authorities;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treatment providers, such as dialysis clinics, to enter into relationships with us without violating their existing agreement;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example, in the case of roxadustat, two of the largest operators of dialysis clinics in the United States, DaVita and Fresenius, represent more than 60% of the dialysis market in the United States and have entered into long-term sales agreements with Amgen that began in January 2012, which in the case of Fresenius, includes an exclusive relationship.</w:t>
      </w:r>
    </w:p>
    <w:p>
      <w:pPr>
        <w:spacing w:after="0" w:line="28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Limited reimbursement or insurance coverage of our approved products, if any, by third party payors may render our products less attractive to patients and healthcare providers.</w:t>
      </w:r>
    </w:p>
    <w:p>
      <w:pPr>
        <w:spacing w:after="0" w:line="5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Market acceptance and sales of any approved products will depend significantly on reimbursement or coverage of our products by third party payors and may be affected by existing and future healthcare reform measures or the prices of related products for which third party reimbursement applies. Coverage and reimbursement by a third party payor may depend upon a number of factors, including the third party payor’s determination that use of a product is:</w:t>
      </w:r>
    </w:p>
    <w:p>
      <w:pPr>
        <w:spacing w:after="0" w:line="82" w:lineRule="exact"/>
        <w:rPr>
          <w:sz w:val="20"/>
          <w:szCs w:val="20"/>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Obtaining coverage and reimbursement approval for a product from a government or other third party payor is a time consuming and costly process that could require us to provide supporting scientific, clinical and cost-effectiveness data for the use of our products to the payor, which we may not be able to provide. Furthermore, the reimbursement policies of third party payors may significantly change in a manner that renders our clinical data insufficient for adequate reimbursement or otherwise limits the successful marketing of our products. Even if we obtain coverage for our product candidates, third party payors may not establish adequate reimbursement amounts, which may reduce the demand for, or the price of, our products. If reimbursement is not available or is available only to limited levels, we may not be able to commercialize certain of our products.</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countries outside of the United States, price controls may limit the price at which products such as roxadustat, if approved, are sold. For example, reference pricing is used by various European Union member states and parallel distribution, or arbitrage between low-priced and high-priced member states, can further reduce prices. In some countries, we or our partner may be required to conduct a clinical trial or other studies that compare the cost-effectiveness of our product candidates to other available products in order to obtain or maintain reimbursement or pricing approval. Publication of discounts by third party payors or authorities may lead to further pressure on the prices or reimbursement levels within the country of publication and other countries. If reimbursement of our products is unavailable or limited in scope or amount, or if pricing is set at unacceptable levels, we or our partner may elect not to commercialize our products in such countries, and our business and financial condition could be adversely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collaborations with Astellas or AstraZeneca were terminated, or if Astellas or AstraZeneca were to prioritize other initiatives over their collaborations with us, whether as a result of a change of control or otherwise, our ability to successfully develop and commercialize our lead product candidate, roxadustat, would suffer.</w:t>
      </w:r>
    </w:p>
    <w:p>
      <w:pPr>
        <w:spacing w:after="0" w:line="67"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We have entered into collaboration agreements with respect to the development and commercialization of our lead product candidate, roxadustat, with Astellas and AstraZeneca. These agreements provide for reimbursement of our development costs by our collaboration partners and also provide for commercialization of roxadustat throughout the major territories of the world.</w:t>
      </w:r>
    </w:p>
    <w:p>
      <w:pPr>
        <w:spacing w:after="0" w:line="17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agreements with Astellas and AstraZeneca provide each of them with the right to terminate their respective agreements with us, upon the occurrence of negative clinical results, delays in the development and commercialization of our product candidates or adverse regulatory requirements or guidance. The termination of any of our collaboration agreements would require us to fund and perform the further development and commercialization of roxadustat in the affected territory, or pursue another collaboration, which we may be unable to do, either of which could have an adverse effect on our business and operations. In addition, each of those agreements provides our respective partners the right to terminate any of those agreements upon written notice for convenience. Moreover, if Astellas or AstraZeneca, or any successor entity, were to determine that their collaborations with us are no longer a strategic priority, or if either of them or a successor were to reduce their level of commitment to their collaborations with us, our ability to develop and commercialize roxadustat could suffer. In addition, some of our collaborations are exclusive and preclude us from entering into additional collaboration agreements with other parties in the area or field of exclusivity.</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If we fail to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with our collaboration partners could jeopardize our collaboration agreements and our ability to commercialize product candidates.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collaboration partners have certain rights to control decisions regarding the development and commercialization of our product candidates with respect to which they are providing funding. If we have a disagreement over strategy and activities, our plans for obtaining approval may be revised and negatively affect the anticipated timing and potential for success of our product candidates. Even if a product under a collaboration agreement is approved, we will remain substantially dependent on the commercialization strategy and efforts of our collaboration partners, and neither of our collaboration partners has experience in commercialization of a novel drug such as roxadustat in the dialysis market.</w:t>
      </w:r>
    </w:p>
    <w:p>
      <w:pPr>
        <w:spacing w:after="0" w:line="18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With respect to our collaboration agreements for roxadustat, there are additional complexities in that we and our collaboration partners, Astellas and AstraZeneca, must reach consensus on our Phase 3 development program. Multi-party decision-making is complex and involves significant time and effort, and there can be no assurance that the parties will cooperate or reach consensus, or that one or both of our partners will not ask to proceed independently in some or all of their respective territories or functional areas of responsibility in which the applicable collaboration partner would otherwise be obligated to cooperate with us. Any disputes or lack of cooperation with us by either Astellas or AstraZeneca may negatively impact the timing or success of our planned Phase 3 clinical studies.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455"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intend to conduct proprietary research programs in specific disease areas that are not covered by our collaboration agreements. Our pursuit of such opportunities could, however, result in conflicts with our collaboration partners in the event that any of our collaboration partners takes the position that our internal activities overlap with those areas that are exclusive to our collaboration agreements, and we should be precluded from such internal activities. Moreover, disagreements with our collaboration partners could develop over rights to our intellectual property.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Certain of our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spacing w:after="0" w:line="280"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the conduct of most of our preclinical and clinical trials for our product candidates, and if our third party contractors do not properly and successfully perform their obligations under our agreements with them, we may not be able to obtain or may be delayed in receiving regulatory approvals for our product candidates.*</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rely heavily on university, hospital, dialysis centers and other institutions and third parties, including the principal investigators and their staff, to carry out our clinical trials in accordance with our clinical protocols and designs. We also rely on a number of third party CROs to assist in undertaking, managing, monitoring and executing our ongoing clinical trials, including those for roxadustat. We expect to continue to rely on CROs, clinical data management organizations, medical institutions and clinical investigators to conduct our development efforts in the future, including our Phase 3 development program for roxadustat. We compete with many other companies for the resources of these third parties, and large pharmaceutical companies often have significantly more extensive agreements and relationships with such third party providers, and such third party providers may prioritize the requirements of such large pharmaceutical companies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spacing w:after="0" w:line="19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Moreover, while our reliance on these third parties for certain development and management activities will reduce our control over these activities, it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or other regulatory authorities may require us to exclude the use of patient data from our clinical trials not conducted in compliance with GCP or perform additional clinical trials before approving our marketing applications. We cannot assure you that upon inspection by a regulatory authority, such regulatory authority will determine that any of our clinical trials comply with GCP requirements or that our results may be used in support of our regulatory submissions.</w:t>
      </w:r>
    </w:p>
    <w:p>
      <w:pPr>
        <w:spacing w:after="0" w:line="19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CROs and other third parties do not successfully carry out their duties under their agreements with us, if the quality or accuracy of the data they obtain is be compromised due to their failure to adhere to trial protocols or to regulatory requirements, or if they otherwise fail to comply with regulations and trial protocols or meet expected standards or deadlines, the trials of our product candidates may not meet regulatory requirements. If trials do not meet regulatory requirements or if these third parties need to be replaced, the development of our product candidates may be delayed, suspended or terminated, or the results may not be acceptable. If any of these events occur, we may not be able to obtain regulatory approval of our product candidates on a timely basis, at a reasonable cost, or at all.</w:t>
      </w:r>
    </w:p>
    <w:p>
      <w:pPr>
        <w:spacing w:after="0" w:line="29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expect to continue to rely, on third parties to conduct many aspects of our clinical studies and product manufacturing, and these third parties may not perform satisfactorily.</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do not have any operating manufacturing facilities at this time, and our current manufacturing facility plans in China are not expected to satisfy the requirements necessary to support roxadustat development and commercialization outside of China. Other than in and for China specifically, we do not expect to independently manufacture our products. We currently rely, and expect to continue to rely, on third parties to scale-up, manufacture and supply roxadustat and our other product candidates outside of China. Risks arising from our reliance on third party manufacturers include: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460" w:hanging="325"/>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and additional burdens of oversight as a result of using third party manufacturers for all aspects of manufacturing activities, including regulatory compliance and quality control and assurance;</w:t>
      </w:r>
    </w:p>
    <w:p>
      <w:pPr>
        <w:spacing w:after="0" w:line="67" w:lineRule="exact"/>
        <w:rPr>
          <w:rFonts w:ascii="Times New Roman" w:cs="Times New Roman" w:eastAsia="Times New Roman" w:hAnsi="Times New Roman"/>
          <w:sz w:val="18"/>
          <w:szCs w:val="18"/>
          <w:color w:val="auto"/>
        </w:rPr>
      </w:pPr>
    </w:p>
    <w:p>
      <w:pPr>
        <w:ind w:left="900" w:right="520" w:hanging="325"/>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agreements with third parties in a manner or at a time that may negatively impact our planned development and commercialization activities;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technology, including our trade secrets and know-how; and</w:t>
      </w:r>
    </w:p>
    <w:p>
      <w:pPr>
        <w:spacing w:after="0" w:line="130"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our third party manufacturers or suppliers unrelated to our product, including the bankruptcy of the manufacturer or supplier or a catastrophic event affecting our manufacturers or suppliers.</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product candidates must pass inspections by the FDA and other regulatory authorities. Although, except for China, we do not control the manufacturing operations of, and expect to remain completely dependent on, our contract manufacturers for manufacture of drug substance and finished drug product, we are ultimately responsible for ensuring that our product candidates are manufactured in compliance with cGMP requirements. If our contract manufacturers cannot successfully manufacture material that conforms to our or our collaboration partners’ specifications, or the regulatory requirements of the FDA or other regulatory authorities, we may not be able to secure and/or maintain regulatory approval for our product candidates and our development or commercialization plans may be delayed. In addition, we have no control over the ability of our contract manufacturers to maintain adequate quality control, quality assurance and qualified personnel. In addition, although our longer-term agreements are expected to provide for requirements to meet our quantity and quality requirements to manufacture our products candidates for clinical studies and commercial sale, we will have minimal direct control over the ability of our contract manufacturers to maintain adequate quality control, quality assurance and qualified personnel and we expect to rely on our audit rights to ensure that those qualifications are maintained to meet our requirements. If our contract manufacturers’ facilities do not pass inspection by regulatory authorities, or if regulatory authorities do not approve these facilities for the manufacture of our products, or withdraw any such approval in the future, we would need to identify and qualify alternative manufacturing facilities, which would significantly impact our ability to develop, obtain regulatory approval for or market our products, if approved. Moreover, any failure of our third party manufacturers, to comply with applicable regulations could result in sanctions being imposed on us or adverse regulatory consequences, including clinical holds, warnings or untitled letters, fines, injunctions, civil penalties, delays, suspension or withdrawal of approvals, license revocation, seizures or recalls of product candidates or products, operating restrictions and criminal prosecutions, any of which would be expected to significantly and adversely affect supplies of our products to us and our collaboration partners.</w:t>
      </w:r>
    </w:p>
    <w:p>
      <w:pPr>
        <w:spacing w:after="0" w:line="19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Any of our third party manufacturers may terminate their engagement with us at any time and we have not yet entered into any commercial supply agreements for the manufacture of active pharmaceutical ingredients or drug products. With respect to roxadustat, AstraZeneca and Astellas have certain rights to assume manufacturing of roxadustat and the existence of those rights may limit our ability to enter into favorable long-term supply agreements, if at all, with other third party manufacturers. In addition, our product candidates and any products that we may develop may compete with other product candidates and products for access and prioritization to manufacture. Certain third party manufacturers may be contractually prohibited from manufacturing our product due to non-compete agreements with our competitors or a commitment to grant another party priority relative to our products. There are a limited number of third party manufacturers that operate under cGMP and that might be capable of manufacturing to meet our requirements. Due to the limited number of third party manufacturers with the contractual freedom, expertise, required regulatory approvals and facilities to manufacture our products on a commercial scale, identifying and qualifying a replacement third party manufacturer would be expensive and time-consuming and may cause delay or interruptions in the production of our product candidates or products, which in turn may delay, prevent or impair our development and commercialization efforts.</w:t>
      </w:r>
    </w:p>
    <w:p>
      <w:pPr>
        <w:spacing w:after="0" w:line="19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have a letter agreement with IRIX Pharmaceuticals, Inc. (“IRIX”), a third party manufacturer that we have used in the past, pursuant to which we agreed to negotiate a single source manufacturing agreement that included a right of first negotiation for the cGMP manufacture of HIF-PH inhibitors, including roxadustat, provided that IRIX is able to match any third party bids within 5%. The exclusive right to manufacture extends for five years after approval of an NDA for those compounds, and any agreement would provide that no minimum amounts would be specified until appropriate by forecast, that we and a commercialization partner would have the rights to contract with independent third parties that exceed IRIX’s internal manufacturing capabilities or in the event that we or our commercialization partner determines for reasons of continuity of supply and security that such a need exists, provided that IRIX would supply no less than 65% of the product if it is able to provide this level of supply. Subsequent to the letter agreement, we and IRIX have entered into several additional service agreements. IRIX has requested in writing that we honor the letter agreement with respect to the single source manufacturing agreement, and if we were to enter into any such exclusive manufacturing agreement,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there can be no assurance that IRIX will not assert a claim for right to manufacture roxadustat or that IRIX could manufacture roxadustat successfully and in accordance with applicable regulations for a commercial product and the specifications of our collaboration partners. On March 4, 2015, Patheon, a business unit of DPx Holdings B.V. announced that it had entered into a definitive agreement to acquire IRIX within sixty days of the announcement.</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any third party manufacturer terminates its engagement with us or fails to perform as agreed, we may be required to find replacement manufacturers, which would result in significant cost and delay to our development programs. Although we believe that there are several potential alternative manufacturers who could manufacture our product candidates, we may incur significant delays and added costs in identifying, qualifying and contracting with any such third party or potential second source manufacturer. In any event, with any third party manufacturer we expect to enter into technical transfer agreements and share our know-how with the third party manufacturer, which can be time-consuming and may result in delays. These delays could result in a suspension or delay of our Phase 3 clinical trials or, if roxadustat is approved and marketed, a failure to satisfy patient demand.</w:t>
      </w:r>
    </w:p>
    <w:p>
      <w:pPr>
        <w:spacing w:after="0" w:line="29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of the components of our product candidates are acquired from single-source suppliers and have been purchased without long-term supply agreements. The loss of any of these suppliers, or their failure to supply us with supplies of sufficient quantity and quality to complete our drug substance or finished drug product of acceptable quality and an acceptable price, would materially and adversely affect our business.</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do not have an alternative supplier of certain components of our product candidates. To date, we have used purchase orders for the supply of materials that we use in our product candidates. We may be unable to enter into long-term commercial supply arrangements with our vendors, or do so on commercially reasonable terms, which could have a material adverse impact upon our business. In addition, we currently rely on our contract manufacturers to purchase from third-party suppliers some of the materials necessary to produce our product candidates. We do not have direct control over the acquisition of those materials by our contract manufacturers. Moreover, we currently do not have any agreements for the commercial production of those materials.</w:t>
      </w:r>
    </w:p>
    <w:p>
      <w:pPr>
        <w:spacing w:after="0" w:line="1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logistics of our supply chain, which include shipment of materials and intermediates from countries such as China and India, add additional time and risk to the manufacture of our product candidates. While we have in the past maintained sufficient inventory of materials, active pharmaceutical ingredient (“API”), and drug product to meet our and our collaboration partners’ needs for roxadustat to date, the lead time and regulatory approvals required to source from and into countries outside of the United States increase the risk of delay and potential shortages of supply.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efforts to protect our proprietary technologies are not adequate, we may not be able to compete effectively in our market.*</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Any disclosure to or misappropriation by third parties of our trade secrets or confidential information could compromise our competitive position. Moreover, we are involved in, have in the past been involved in, and may in the future be involved in legal or administrative proceedings involving our intellectual property and which have been, are or could be initiated by third parties, and which proceedings can result in significant costs and commitment of management time and attention. As our product candidates continue in development, third parties may attempt to challenge the validity and enforceability of our patents and proprietary information and technologies.</w:t>
      </w:r>
    </w:p>
    <w:p>
      <w:pPr>
        <w:spacing w:after="0" w:line="18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also are involved in, have in the past been involved in, and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Composition-of-matter patents relating to the active pharmaceutical ingredient are generally considered to be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8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Biotechnology and pharmaceutical product patents involve highly complex legal and scientific questions and can be uncertain. Any patent applications that we own or license may fail to result in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United States and other countries are typically not published until 18 months after filing, and in some cases are never published. Therefore, we cannot be certain that we or our licensors were the first to make the inventions claimed in our owned and licensed patents or patent applications, or that we or our licensors were the first to file for patent protection covering such inventions. Subject to meeting other requirements for patentability, for United States patent applications filed prior to March 16, 2013, the first to invent the claimed invention is entitled to receive patent protection for that invention while, outside the United States, the first to file a patent application encompassing the invention is entitled to patent protection for the invention. The United States moved to a “first to file” system under the Leahy-Smith America Invents Act (“AIA”) effective March 16, 2013. The effects of this change and other elements of the AIA are currently unclear, as the United States Patent and Trademark Office (“USPTO”) is still implementing associated regulations, and the applicability of the AIA and associated regulations to our patents and patent applications have not been fully determined. This new system also includes new procedures for challenging issued patents and pending patent applications, which creates additional uncertainty. We may become involved in opposition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spacing w:after="0" w:line="19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in particular, China, where we have operations, do not protect proprietary rights to the same extent or in the same manner as the laws of the United States.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disputes with third parties and competitors may be costly and time consuming, and may negatively affect our competitive position.</w:t>
      </w:r>
    </w:p>
    <w:p>
      <w:pPr>
        <w:spacing w:after="0" w:line="12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Our commercial success may depend on our avoiding infringement of the patents and other proprietary rights of third parties as well as on enforcing our patents and other proprietary rights against third parties. Pharmaceutical and biotechnology intellectual property disputes are characterized by complex, lengthy and expensive litigation over patents and other intellectual property rights. We may initiate or become a party to, or be threatened with, future litigation or other proceedings regarding intellectual property rights with respect to our product candidates and competing products.</w:t>
      </w:r>
    </w:p>
    <w:p>
      <w:pPr>
        <w:spacing w:after="0" w:line="180"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As our product candidates progress toward commercialization, we or our collaboration partners may be subject to patent infringement claims from third parties. We attempt to ensure that our product candidates do not infringe third 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FG-3019. Any litigation involving defense against claims of infringement, regardless of the merit of such claims, would involve substantial litigation expense and would be a substantial diversion of management time.</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intend, if necessary, to vigorously enforce our intellectual property in order to protect the proprietary position of our product candidates, including roxadustat and FG-3019. Active efforts to enforce our patents may include litigation, administrative proceedings, or both, depending on the potential benefits that might be available from those actions and the costs associated with undertaking those efforts against third parties. We carefully review and monitor publicly available information regarding products that may be competitive with our product candidates and assert our intellectual property rights where appropriate. We previously prevailed in an administrative challenge initiated by a major biopharmaceutical company regarding our intellectual property rights, maintaining our intellectual property in all relevant scope, and will continue to protect and enforce our intellectual property rights. Moreover, third parties may continue to initiate new proceedings in the U.S. and foreign jurisdictions to challenge our patents from time to time.</w:t>
      </w:r>
    </w:p>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60"/>
          </w:cols>
          <w:pgMar w:left="240" w:top="455" w:right="29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 xml:space="preserve">We may consider administrative proceedings and other means for challenging third party patents and patent applications. Third parties may also challenge our patents and patent applications, through interference, reexamination,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and post-grant review proceedings before the USPTO or through other comparable proceedings, such as oppositions or invalidation proceedings, before foreign patent offices.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 Even if we are successful, participation in administrative proceedings before the USPTO or a foreign patent office may result in substantial costs and time on the part of our management and other employees. For example, on December 5, 2013, Akebia filed an opposition to our European Patent No. 1463823, or the ‘823 patent, with the European Patent Office, and Akebia and other third parties may initiate or pursue similar proceedings with the European Patent Office or other corresponding foreign jurisdictions. The granted claims of the ‘823 patent encompass the use of roxadustat for the treatment of anemia. While we believe the ‘823 patent will be upheld in its entirety, the ultimate outcome of the opposition remains uncertain, and ultimate resolution of the proceeding may take a number of years and result in substantial costs to us.</w:t>
      </w:r>
    </w:p>
    <w:p>
      <w:pPr>
        <w:spacing w:after="0" w:line="17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spacing w:after="0" w:line="28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reliance on third 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spacing w:after="0" w:line="188"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addition, our collaboration partners are larger, more complex organizations than ours, and the risk of inadvertent disclosure of our proprietary information may be increased despite their internal procedures and contractual obligations in place with our collaboration partners. Despite our efforts to protect our trade secrets and other confidential information, a competitor’s discovery of such trade secrets and information could impair our competitive position and have an adverse impact on our business.</w:t>
      </w:r>
    </w:p>
    <w:p>
      <w:pPr>
        <w:spacing w:after="0" w:line="284"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an extensive worldwide patent portfolio. The cost of maintaining our patent protection is high and maintaining our patent protection requires continuous review and compliance in order to maintain worldwide patent protection. We may not be able to effectively maintain our intellectual property position throughout the major markets of the world.</w:t>
      </w:r>
    </w:p>
    <w:p>
      <w:pPr>
        <w:spacing w:after="0" w:line="6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USPTO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United States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 party products may compete with our product candidates, and our patents or other intellectual property rights may not be effective or sufficient to prevent them from competing.</w:t>
      </w:r>
    </w:p>
    <w:p>
      <w:pPr>
        <w:spacing w:after="0" w:line="292"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laws of some foreign countries do not protect proprietary rights to the same extent as do the laws of the United States, and we may encounter significant problems in securing and defending our intellectual property rights outside the United States.</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certain countries. The legal systems of certain countries, particularly certain developing countries such as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effectively enforce our intellectual property rights in that country. Proceedings to enforce our</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380"/>
          </w:cols>
          <w:pgMar w:left="240" w:top="455" w:right="27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granting,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address all potential threats to any competitive advantage we may have.</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67" w:lineRule="exact"/>
        <w:rPr>
          <w:sz w:val="20"/>
          <w:szCs w:val="20"/>
          <w:color w:val="auto"/>
        </w:rPr>
      </w:pPr>
    </w:p>
    <w:p>
      <w:pPr>
        <w:ind w:left="900" w:right="100" w:hanging="325"/>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67" w:lineRule="exact"/>
        <w:rPr>
          <w:rFonts w:ascii="Times New Roman" w:cs="Times New Roman" w:eastAsia="Times New Roman" w:hAnsi="Times New Roman"/>
          <w:sz w:val="18"/>
          <w:szCs w:val="18"/>
          <w:color w:val="auto"/>
        </w:rPr>
      </w:pPr>
    </w:p>
    <w:p>
      <w:pPr>
        <w:ind w:left="900" w:right="460" w:hanging="325"/>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licensors or strategic partners might not have been the first to make the inventions covered by the issued patent or pending patent application that we own or have exclusively licensed.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licensors or strategic partners might not have been the first to file patent applications covering certain of our inventions.</w:t>
      </w:r>
    </w:p>
    <w:p>
      <w:pPr>
        <w:spacing w:after="0" w:line="130" w:lineRule="exact"/>
        <w:rPr>
          <w:rFonts w:ascii="Times New Roman" w:cs="Times New Roman" w:eastAsia="Times New Roman" w:hAnsi="Times New Roman"/>
          <w:sz w:val="18"/>
          <w:szCs w:val="18"/>
          <w:color w:val="auto"/>
        </w:rPr>
      </w:pPr>
    </w:p>
    <w:p>
      <w:pPr>
        <w:ind w:left="900" w:right="380" w:hanging="325"/>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prosecution of our pending patent applications may not result in granted patents.</w:t>
      </w:r>
    </w:p>
    <w:p>
      <w:pPr>
        <w:spacing w:after="0" w:line="130" w:lineRule="exact"/>
        <w:rPr>
          <w:rFonts w:ascii="Times New Roman" w:cs="Times New Roman" w:eastAsia="Times New Roman" w:hAnsi="Times New Roman"/>
          <w:sz w:val="18"/>
          <w:szCs w:val="18"/>
          <w:color w:val="auto"/>
        </w:rPr>
      </w:pPr>
    </w:p>
    <w:p>
      <w:pPr>
        <w:ind w:left="900" w:right="640" w:hanging="325"/>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patents that we own or have exclusively licensed may not provide us with any competitive advantages, or may be held invalid or unenforceable, as a result of legal challenges by our competitors.</w:t>
      </w:r>
    </w:p>
    <w:p>
      <w:pPr>
        <w:spacing w:after="0" w:line="67" w:lineRule="exact"/>
        <w:rPr>
          <w:rFonts w:ascii="Times New Roman" w:cs="Times New Roman" w:eastAsia="Times New Roman" w:hAnsi="Times New Roman"/>
          <w:sz w:val="18"/>
          <w:szCs w:val="18"/>
          <w:color w:val="auto"/>
        </w:rPr>
      </w:pPr>
    </w:p>
    <w:p>
      <w:pPr>
        <w:ind w:left="900" w:right="300" w:hanging="325"/>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protection on our product candidates may expire before we are able to develop and commercialize the product, or before we are able to recover our investment in the product.</w:t>
      </w:r>
    </w:p>
    <w:p>
      <w:pPr>
        <w:spacing w:after="0" w:line="67" w:lineRule="exact"/>
        <w:rPr>
          <w:rFonts w:ascii="Times New Roman" w:cs="Times New Roman" w:eastAsia="Times New Roman" w:hAnsi="Times New Roman"/>
          <w:sz w:val="18"/>
          <w:szCs w:val="18"/>
          <w:color w:val="auto"/>
        </w:rPr>
      </w:pPr>
    </w:p>
    <w:p>
      <w:pPr>
        <w:ind w:left="900" w:right="340" w:hanging="325"/>
        <w:spacing w:after="0" w:line="289" w:lineRule="auto"/>
        <w:tabs>
          <w:tab w:leader="none" w:pos="9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26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existence of counterfeit pharmaceutical products in pharmaceutical markets may damage our brand and reputation and have a material adverse effect on our business, operations and prospects.*</w:t>
      </w:r>
    </w:p>
    <w:p>
      <w:pPr>
        <w:spacing w:after="0" w:line="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Counterfeit products, including counterfeit pharmaceutical products, are a significant problem, particularly in China. Counterfeit pharmaceuticals are products sold under the same or very similar brand names and/or having a similar appearance to genuine products, but which are sold without proper licenses or approvals. Such products divert sales from genuine products, often are of lower cost, often are of lower quality (having different ingredients or formulations, for example), and have the potential to damage the reputation for quality and effectiveness of the genuine product. If counterfeit pharmaceuticals illegally sold under our brand name result in adverse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the use of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proliferation of counterfeit pharmaceuticals has grown in recent years and may continue to grow in the future. The existence of and any increase in the sales and production of counterfeit pharmaceuticals, or the technological capabilities of counterfeiters, could negatively impact our revenues, brand reputation, business and results of operations.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regulatory approval process is highly uncertain and we may not obtain regulatory approval for the commercialization of our product candidates.</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necessary to gain approval may change during the course of a product candidate’s clinical development and may vary among jurisdictions. We have not obtained regulatory approval for any product candidate, and it is possible that neither roxadustat nor FG-3019, nor any future product candidates we may discover, in-license or acquire and seek to develop in the future, will ever obtain regulatory approval.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from the FDA or other regulatory authorities for many reasons, including:</w:t>
      </w:r>
    </w:p>
    <w:p>
      <w:pPr>
        <w:spacing w:after="0" w:line="131" w:lineRule="exact"/>
        <w:rPr>
          <w:sz w:val="20"/>
          <w:szCs w:val="20"/>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over the design or implementation of our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a product candidate is safe and effective for its proposed indication;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trials to meet the level of statistical significance required for approval;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a product candidate’s clinical and other benefits outweigh its safety risks;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over our interpretation of data from preclinical studies or clinical trials;</w:t>
      </w:r>
    </w:p>
    <w:p>
      <w:pPr>
        <w:spacing w:after="0" w:line="130" w:lineRule="exact"/>
        <w:rPr>
          <w:rFonts w:ascii="Times New Roman" w:cs="Times New Roman" w:eastAsia="Times New Roman" w:hAnsi="Times New Roman"/>
          <w:sz w:val="18"/>
          <w:szCs w:val="18"/>
          <w:color w:val="auto"/>
        </w:rPr>
      </w:pPr>
    </w:p>
    <w:p>
      <w:pPr>
        <w:ind w:left="900" w:right="300" w:hanging="325"/>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over whether to accept efficacy results from clinical trial sites outside the United States where the standard of care is potentially different from that in the United States;</w:t>
      </w:r>
    </w:p>
    <w:p>
      <w:pPr>
        <w:spacing w:after="0" w:line="67"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insufficiency of data collected from clinical trials of our present or future product candidates to support the submission and filing of an NDA or other submission or to obtain regulatory approval;</w:t>
      </w:r>
    </w:p>
    <w:p>
      <w:pPr>
        <w:spacing w:after="0" w:line="67"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disapproval of the manufacturing processes or facilities of either our manufacturing plant or third party manufacturers with whom we contract for clinical and commercial supplies; or</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FDA or other regulatory authorities may require more information, including additional preclinical or clinical data to support approval, which may delay or prevent approval and our commercialization plans, or we may decide to abandon the development program altogether. 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REMS or other regulatory authorities may require the establishment of a similar strategy, that may, restrict distribution of our approved products, if any, and impose burdensome implementation requirements on us. Any of the foregoing scenarios could materially harm the commercial prospects for our product candidates.</w:t>
      </w:r>
    </w:p>
    <w:p>
      <w:pPr>
        <w:spacing w:after="0" w:line="18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Even if we believe our current or planned clinical trials are successful, regulatory authorities may not agree that our completed clinical trials provide adequate data on safety or efficacy. Approval by one regulatory authority does not ensure approval by any other regulatory authority. However, a failure or delay in obtaining regulatory approval in one country may have a negative effect on the regulatory process in others. We may not be able to file for regulatory approvals and even if we file we may not receive the necessary approvals to commercialize our product candidates in any market.</w:t>
      </w:r>
    </w:p>
    <w:p>
      <w:pPr>
        <w:spacing w:after="0" w:line="2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 candidates obtain marketing approval, we will be subject to more extensive healthcare laws, regulation and enforcement and our failure to comply with those laws could have a material adverse effect on our results of operations and financial condition.</w:t>
      </w:r>
    </w:p>
    <w:p>
      <w:pPr>
        <w:spacing w:after="0" w:line="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we obtain approval for any of our product candidates, the regulatory requirements applicable to our operations, in particular our sales and marketing efforts, will increase significantly with respect to our operations and the potential for civil and criminal enforcement by the federal government and the states and foreign governments will increase with respect to the conduct of our business. The laws that may affect our operations in the United States include:</w:t>
      </w:r>
    </w:p>
    <w:p>
      <w:pPr>
        <w:spacing w:after="0" w:line="82" w:lineRule="exact"/>
        <w:rPr>
          <w:sz w:val="20"/>
          <w:szCs w:val="20"/>
          <w:color w:val="auto"/>
        </w:rPr>
      </w:pPr>
    </w:p>
    <w:p>
      <w:pPr>
        <w:ind w:left="900" w:right="20" w:hanging="325"/>
        <w:spacing w:after="0" w:line="266"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81" w:lineRule="exact"/>
        <w:rPr>
          <w:rFonts w:ascii="Times New Roman" w:cs="Times New Roman" w:eastAsia="Times New Roman" w:hAnsi="Times New Roman"/>
          <w:sz w:val="18"/>
          <w:szCs w:val="18"/>
          <w:color w:val="auto"/>
        </w:rPr>
      </w:pPr>
    </w:p>
    <w:p>
      <w:pPr>
        <w:jc w:val="both"/>
        <w:ind w:left="900" w:right="400" w:hanging="325"/>
        <w:spacing w:after="0" w:line="266"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 party payors that are false or fraudulent;</w:t>
      </w:r>
    </w:p>
    <w:p>
      <w:pPr>
        <w:spacing w:after="0" w:line="81" w:lineRule="exact"/>
        <w:rPr>
          <w:rFonts w:ascii="Times New Roman" w:cs="Times New Roman" w:eastAsia="Times New Roman" w:hAnsi="Times New Roman"/>
          <w:sz w:val="18"/>
          <w:szCs w:val="18"/>
          <w:color w:val="auto"/>
        </w:rPr>
      </w:pPr>
    </w:p>
    <w:p>
      <w:pPr>
        <w:ind w:left="900" w:right="340" w:hanging="325"/>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455" w:right="2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520" w:hanging="325"/>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and Clinical Health Act (“HITECH”), and its implementing regulations, which imposes certain requirements relating to the privacy, security, and transmission of individually identifiable health information;</w:t>
      </w:r>
    </w:p>
    <w:p>
      <w:pPr>
        <w:spacing w:after="0" w:line="67" w:lineRule="exact"/>
        <w:rPr>
          <w:rFonts w:ascii="Times New Roman" w:cs="Times New Roman" w:eastAsia="Times New Roman" w:hAnsi="Times New Roman"/>
          <w:sz w:val="18"/>
          <w:szCs w:val="18"/>
          <w:color w:val="auto"/>
        </w:rPr>
      </w:pPr>
    </w:p>
    <w:p>
      <w:pPr>
        <w:ind w:left="900" w:right="260" w:hanging="325"/>
        <w:spacing w:after="0" w:line="261"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sunshine requirements under PPACA, which requires manufacturers of drugs, devices, biologics, and medical supplies to report annually to the Centers for Medicare and Medicaid Services (“CMS”)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85" w:lineRule="exact"/>
        <w:rPr>
          <w:rFonts w:ascii="Times New Roman" w:cs="Times New Roman" w:eastAsia="Times New Roman" w:hAnsi="Times New Roman"/>
          <w:sz w:val="18"/>
          <w:szCs w:val="18"/>
          <w:color w:val="auto"/>
        </w:rPr>
      </w:pPr>
    </w:p>
    <w:p>
      <w:pPr>
        <w:ind w:left="900" w:right="140" w:hanging="325"/>
        <w:spacing w:after="0" w:line="255"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and state law equivalents of each of the above federal laws, such as the U.S. Foreign Corrupt Practices Act (“FCPA”), anti-kickback and false claims laws that may apply to items or services reimbursed by any third 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thus complicating compliance efforts.</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scope of these laws and our lack of experience in establishing the compliance programs necessary to comply with this complex and evolving regulatory environment increases the risks that we may violate the applicable laws and regulations. If our operations are found to be in violation of any of such laws or any other governmental regulations that apply to us, we may be subject to penalties, including civil and criminal penalties, damages, fines, the curtailment or restructuring of our operations, the exclusion from participation in federal and state healthcare programs and imprisonment, any of which could materially adversely affect our ability to operate our business and our financial results.</w:t>
      </w:r>
    </w:p>
    <w:p>
      <w:pPr>
        <w:spacing w:after="0" w:line="2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recent United States healthcare reform and other changes in the healthcare industry and in healthcare spending is currently unknown, and may adversely affect our business model.*</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commercial potential for our approved products, if any,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8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the United States, the Medicare Prescription Drug, Improvement, and Modernization Act of 2003, also called the MMA, altered Medicare coverage and payments for pharmaceutical products. The legislation expanded Medicare coverage for drug purchases by the elderly and introduced a new reimbursement methodology based on average sales prices for physician-administered drugs. The MMA also provided authority for limiting the number of drugs that will be covered in any therapeutic class and as a result, we expect that there will be additional pressure to reduce costs. For example, the CMS in implementing the MMA has enacted regulations that reduced capitated payments to dialysis providers. These cost reduction initiatives and other provisions of the MMA could decrease the scope of coverage and the price that may be received for any approved dialysis products and could seriously harm our business and financial condition.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Similar regulations or reimbursement policies have been enacted in many international markets which could similarly impact the commercial potential for our products.</w:t>
      </w:r>
    </w:p>
    <w:p>
      <w:pPr>
        <w:spacing w:after="0" w:line="18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Under the Medicare Improvements for Patients and Providers Act (“MIPPA”), a basic case-mix adjusted composite, or bundled, payment system commenced in January 2011 and transitioned fully by January 2014 to a single reimbursement rate for drugs and all services furnished by renal dialysis centers for Medicare beneficiaries with end-stage renal disease. Specifically, under MIPPA the bundle now covers drugs, services, lab tests and supplies under a single treatment base rate for reimbursement by CMS based on the average cost per treatment, including the cost of ESAs and IV iron doses, typically without adjustment for usage. It is unknown whether roxadustat, if approved, will be included in the payment bundle. Under MIPPA, agents that have no IV equivalent in the bundle are currently expected to be excluded from the bundle until 2025. If roxadustat were included in the bundle, it may reduce the price that could be charged, and therefore potentially limit our profitability. Based on roxadustat’s differentiated mechanism of action and therapeutic effects, and discussions with our collaboration partner, we currently believe that roxadustat might not be included in the bundle. If roxadustat is reimbursed outside of the bundle, it may potentially limit or delay market penetration of roxadustat.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More recently, the Patient Protection and Affordable Care Act, as amended by the Health Care and Education Reconciliation Act (collectively “PPACA”) was enacted in 2010 with a goal of reducing the cost of healthcare and substantially changing the way healthcare is financed by both government and private insurers. The PPACA, among other things,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 In addition, other legislative changes have been proposed and adopted in the United States since the PPACA was enacted. On August 2, 2011, the Budget Control Act of 2011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up to 2% per fiscal year, which went into effect on April 1, 2013.</w:t>
      </w:r>
    </w:p>
    <w:p>
      <w:pPr>
        <w:spacing w:after="0" w:line="19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It is likely that federal and state legislatures within the United States and foreign governments will continue to consider changes to existing healthcare legislation.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w:t>
      </w:r>
    </w:p>
    <w:p>
      <w:pPr>
        <w:spacing w:after="0" w:line="86" w:lineRule="exact"/>
        <w:rPr>
          <w:sz w:val="20"/>
          <w:szCs w:val="20"/>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products that may be approved for sale;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profitability of our products;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coverage and reimbursement applicable to our products;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position and market any approved product;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taxes applicable to our pharmaceutical product revenues.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conduct, or contract others to conduct, animal testing in the future, which could harm our research and development activities.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Certain laws and regulations relating to drug development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w:t>
      </w:r>
    </w:p>
    <w:p>
      <w:pPr>
        <w:spacing w:after="0" w:line="28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which could result in significant liability for us and harm our reputation.</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including intentional failures to comply with FDA regulations or similar regulations of comparable foreign regulatory authorities, provide accurate information to the FDA or comparable foreign regulatory authorities, comply with manufacturing standards we have established, comply with federal and state healthcare fraud and abuse laws and regulations and similar laws and regulations established and enforced by comparable foreign regulatory authorities, comply with the FCPA and other anti-bribery laws, report financial information or data accurately or disclose unauthorized activities to us. 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(“Code of Business Conduct and Ethics”),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29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spacing w:after="0" w:line="18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applicable to our operations in the United States and foreign countries. These current or future laws and regulations may impair our research, development or manufacturing efforts. Our failure to comply with these laws and regulations also may result in substantial fines, penalties or other sanctions.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11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establishing international operations and seeking approval to commercialize our product candidates outside of the United States, in particular in China, and a number of risks associated with international operations could materially and adversely affect our business.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be subject to a number risks related with our international operations, many of which may be beyond our control. These risks include:</w:t>
      </w:r>
    </w:p>
    <w:p>
      <w:pPr>
        <w:spacing w:after="0" w:line="131" w:lineRule="exact"/>
        <w:rPr>
          <w:sz w:val="20"/>
          <w:szCs w:val="20"/>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drug approvals in foreign countries;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standards of care in various countries that could complicate the evaluation of our product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United States and foreign drug import and export rules;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certain countries;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30" w:lineRule="exact"/>
        <w:rPr>
          <w:rFonts w:ascii="Times New Roman" w:cs="Times New Roman" w:eastAsia="Times New Roman" w:hAnsi="Times New Roman"/>
          <w:sz w:val="18"/>
          <w:szCs w:val="18"/>
          <w:color w:val="auto"/>
        </w:rPr>
      </w:pPr>
    </w:p>
    <w:p>
      <w:pPr>
        <w:ind w:left="900" w:right="360" w:hanging="325"/>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reimbursement systems and different competitive drugs indicated to treat the indications for which our product candidates are being developed;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FCPA, and other anti-corruption and anti-bribery laws;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30" w:lineRule="exact"/>
        <w:rPr>
          <w:rFonts w:ascii="Times New Roman" w:cs="Times New Roman" w:eastAsia="Times New Roman" w:hAnsi="Times New Roman"/>
          <w:sz w:val="18"/>
          <w:szCs w:val="18"/>
          <w:color w:val="auto"/>
        </w:rPr>
      </w:pPr>
    </w:p>
    <w:p>
      <w:pPr>
        <w:ind w:left="900" w:right="180" w:hanging="325"/>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resulting from development work conducted by foreign distributors;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pharmaceutical industry in China is highly regulated and such regulations are subject to change.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pharmaceutical industry in China is subject to comprehensive government regulation and supervision, encompassing the approval, registration, manufacturing, packaging, licensing and marketing of new drugs. Refer to “Business—Government Regulation—Regulation in China” in our Annual Report on Form 10-K for the year ended December 31, 2014 for a discussion of the regulatory requirements that are applicable to our current and planned business activities in China. In recent years, the regulatory framework in China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or commercialization of our product candidates in China. Chinese authorities have become increasingly vigilant in enforcing laws in the pharmaceutical industry, in some cases launching industry-wide investigations, oftentimes appearing to focus on foreign companies. The costs and time necessary to respond to an investigation can be material. Any failure by us or our partners to maintain compliance with applicable laws and regulations or obtain and maintain required licenses and permits may result in the suspension or termination of our business activities in China.</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455" w:right="2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Patients’ use of traditional Chinese medicine in violation of study protocols in our China studies may lead the CFDA and regulators in other jurisdictions in which we are seeking approval to suspend our studies, reject our study data and withhold approval for roxadustat.</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common issue encountered in conducting clinical studies in China is patients’ use of traditional Chinese medicine in violation of study protocols. We believe that many patients with anemia in CKD are currently being treated with traditional Chinese medicine, and it is possible that such patients may continue their use of traditional Chinese medicine after enrollment in our studies and in violation of study protocols. If the patients participating in our China clinical studies do not comply with study protocols and continue to use traditional Chinese medicine, adverse events may emerge in our studies that are due to such traditional Chinese medicine or the interaction between such traditional Chinese medicine and roxadustat. In addition, the use of traditional Chinese medicine by patients in our studies may confound our study results. The occurrence of such adverse events or the confounding our study results may lead the China Food and Drug Administration (“CFDA”) and regulators in other jurisdictions in which we are seeking approval to, among other things, suspend our studies, reject our study data and withhold approval for roxadustat.</w:t>
      </w:r>
    </w:p>
    <w:p>
      <w:pPr>
        <w:spacing w:after="0" w:line="289"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building our own manufacturing facility in China to produce roxadustat and clinical trial material for our corneal implant program. As an organization, we have limited experience in the construction or operation of a manufacturing plant, and, accordingly we cannot assure you we will be able to meet regulatory requirements to operate our plant and to sell our products.</w:t>
      </w:r>
    </w:p>
    <w:p>
      <w:pPr>
        <w:spacing w:after="0" w:line="6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recently received a Pharmaceutical Production Permit, which is a general manufacturing license, for our facility in China in which we intend to manufacture roxadustat and FG-5200 in support of the clinical development and potential commercialization of these product candidates in China. However, we have not yet received a license to commercially manufacture either roxadustat or FG-5200. As an organization, we have limited experience building a manufacturing facility in the past and our facility must be constructed, licensed and operated in conformity with applicable cGMP requirements. We will be obligated to comply with continuing cGMP requirements and there can be no assurance that we will receive and maintain all of the appropriate licenses required to manufacture our product candidates for clinical and commercial use in China. In addition, we and our product suppliers must continually spend time, money and effort in production, record-keeping and quality assurance and appropriate controls in order to ensure that any products manufactured in our facility meet applicable specifications and other requirements for product safety, efficacy and quality and there can be no assurance that our efforts will succeed for licensure or continue to be successful in meeting these requirements. Moreover, our facility, even if approved for the manufacture of roxadustat, would require separate approval for the separate suite being constructed for the manufacture of FG-5200, whether it is categorized as a medical device or other product under CFDA guidelines. For FG-5200, we expect to convert our existing manufacturing process to an automated process which would require us to show that implants from our new manufacturing process are comparable to the implants from our existing manufacturing process. There can be no assurance that we will successfully receive licensure and maintain approval for the manufacture of either or both of roxadustat or FG-5200, either of which would be expected to delay or preclude our ability to develop and commercialize those product candidates in China and may materially adversely affect our business and operations and prospects in China.</w:t>
      </w:r>
    </w:p>
    <w:p>
      <w:pPr>
        <w:spacing w:after="0" w:line="19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Manufacturing facilities in China are subject to periodic unannounced inspections by the CFDA and other regulatory authorities. We expect to depend on these facilities for our product candidates and business operations in China. Natural disasters or other unanticipated catastrophic events, including power interruptions, water shortages, storms, fires, earthquakes, terrorist attacks, government appropriation of our facility, and wars, could significantly impair our ability to operate our manufacturing facility and certain equipment, records and other materials located in these facilities would be difficult to replace or require substantial replacement lead time that would impact our ability to successfully commercialize our product candidates in China. The occurrence of any such event could materially and adversely affect our business, financial condition, results of operations, cash flows and prospects.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decision to seek approval in China for roxadustat as a domestic new drug may not be accepted, which would result in additional delay and expense.</w:t>
      </w:r>
    </w:p>
    <w:p>
      <w:pPr>
        <w:spacing w:after="0" w:line="12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Our Chinese subsidiary, FibroGen (China) Medical Technology Development Co., Ltd. (“FibroGen China”), plans to seek approval for roxadustat in China as a Domestic Class 1.1 Drug, which is not a typical route to approval in China for enterprises with headquarters outside of China. Our submission for review of a New Drug Application under domestic drug regulations rather than under the imported drug regulations may not result in approval, or the regulatory authorities may determine that we are not eligible for approval as a domestic drug, which would require us to obtain approval for roxadustat first in the United States or in Europe and then to prepare and submit a new application for approval of roxadustat in China as an imported drug. This would result in significant delay in our commercialization plans for roxadustat. While we plan to provide the China-only clinical trial data required of a domestic drug, the size of our trial in China and the additional safety data from our global roxadustat Phase 3 program may not be deemed sufficient to receive approval. Elements of our plan for approval of roxadustat and other product candidates in China are based on communications with the CFDA and not on formal written regulations, findings or determinations. Accordingly, while we believe we have understandings with the CFDA regarding the domestic drug approval process and the clinical data currently required for approval, the regulatory authorities may later determine that changes are required in the drug approval process, that additional or different clinical data must be generated, or that the domestic drug route may not be available to FibroGen China, any of which could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00"/>
          </w:cols>
          <w:pgMar w:left="240" w:top="455" w:right="2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significantly delay approval of roxadustat or any of our other product candidates, and materially and adversely affect our plans and operations in China. For example, the recent backlog of CFDA review of clinical trial applications has delayed the review and ultimately start of our Phase 3 clinical trials in China. While we cannot predict how or if this will ultimately delay our application for or any approval of roxadustat in China, it is possible that such delay could have a material adverse effect on our development and commercialization of roxadustat in China.</w:t>
      </w:r>
    </w:p>
    <w:p>
      <w:pPr>
        <w:spacing w:after="0" w:line="2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roxadustat is approved in China, we and our collaboration partner in China, AstraZeneca, may experience difficulties in successfully generating sales of roxadustat in China.</w:t>
      </w:r>
    </w:p>
    <w:p>
      <w:pPr>
        <w:spacing w:after="0" w:line="5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and AstraZeneca have a profit sharing arrangement with respect to roxadustat in China. Even if roxadustat is approved for sale in China, we and AstraZeneca may experience difficulties in our marketing, commercialization and sales efforts in China, and our business and operations could be adversely affected. In particular, sales of roxadustat in China may be limited due to the complex nature of the healthcare system, low average personal income, lack of patient cost reimbursement, pricing controls, poorly developed infrastructure and potentially rapid competition from other products.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for treatments of anemia in CKD in China is highly competitive.</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Even if roxadustat is approved in China, it will face intense competition in the market for treatments of anemia in CKD. Roxadustat would compete with ESAs, which are offered by established multinational pharmaceutical companies such as Kirin Brewery Company Limited and Roche and Chinese pharmaceutical companies such as 3SBio Inc. and Di’ao Group Chengdu Diao Jiuhong Pharmaceutical Factory. Many of these competitors have substantially greater name recognition, scientific, financial and marketing resources as well as established distribution capabilities than we do. Many of our competitors have more resources to develop or acquire, and more experience in developing or acquiring, new products and in creating market awareness for those products. Many of these competitors have significantly more experience than we have in navigating the Chinese regulatory framework regarding the development, manufacturing and marketing of drugs in China, as well as in marketing and selling anemia products in China. Additionally, we believe that most patients with anemia in CKD in China are currently being treated with traditional Chinese medicine, which is widely accepted and highly prevalent in China. Traditional Chinese medicine treatments are often oral and thus convenient and low-cost, and practitioners of traditional Chinese medicine are numerous and accessible in China. As a result, it may be difficult to persuade patients with anemia in CKD to switch from traditional Chinese medicine to roxadustat.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assurance that roxadustat will be included in the Medical Insurance Catalogs.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Eligible participants in the national basic medical insurance program in China, which consists of mostly urban residents, are entitled to reimbursement from the social medical insurance fund for up to the entire cost of medicines that are included in the Medical Insurance Catalogs. Refer to “Business—Government Regulation—Regulation in China” in our Annual Report on Form 10-K for the year ended December 31, 2014. We believe that the inclusion of a drug in the Medical Insurance Catalogs can substantially improve the sales of a drug. The Ministry of Labor and Social Security in China (the “MLSS”) together with other government authorities, select medicines to be included in the Medical Insurance Catalogs based on a variety of factors, including treatment requirements, frequency of use, effectiveness and price. The MLSS also occasionally removes medicines from such catalogs. There can be no assurance that roxadustat will be included, and once included, remain in the Medical Insurance Catalogs. The exclusion or removal of roxadustat from the Medical Insurance Catalogs may materially and adversely affect sales of roxadustat.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the tender processes for the purchase of medicines by state-owned and state-controlled hospitals.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Most hospitals in China participate in collective tender processes for the purchase of medicines listed in the Medical Insurance Catalogs and medicines that are consumed in large volumes and commonly prescribed for clinical uses. During a collective tender process, the hospitals will establish a committee consisting of recognized pharmaceutical experts. The committee will assess the bids submitted by the various participating pharmaceutical manufacturers, taking into consideration, among other things, the quality and price of the drug product and the service and reputation of the manufacturer. Only drug products that have been selected in the collective tender processes may be purchased by participating hospitals. If we are unable to win purchase contracts through the collective tender processes in which we decide to participate, there will be limited demand for roxadustat, and sales revenues from roxadustat will be materially and adversely affected.</w:t>
      </w:r>
    </w:p>
    <w:p>
      <w:pPr>
        <w:spacing w:after="0" w:line="29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plan to seek approval for FG-5200 as a medical device, with respect to which we have no development and manufacturing experience. Even if FG-5200 can be manufactured successfully and achieve regulatory approval, we may not achieve commercial success.</w:t>
      </w:r>
    </w:p>
    <w:p>
      <w:pPr>
        <w:spacing w:after="0" w:line="5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plan to seek regulatory approval for FG-5200 as a medical device, with respect to which we have no development and manufacturing experience. There can be no assurance that we will achieve medical device designation or receive approval for FG-5200. In addition, we have not yet used the material planned for our clinical trials of FG-5200 in any previous clinical trials and</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because we have not yet received a license to manufacture FG-5200 in our China manufacturing facility or at scale, we will have to show that FG-5200 from our China manufacturing facility meets the applicable regulatory requirements. There can be no assurance that we can meet these requirements or that FG-5200 can be approved for development, manufacture and sale in China.</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Even if we are able to manufacture and develop FG-5200 as a medical device in China, the size and length of any potential clinical trials required for approval are uncertain and we are unable to predict the time and investment required to obtain regulatory approval. Moreover, even if FG-5200 can be successfully developed for approval in China, our product candidate would require extensive training and investment in assisting physicians in the use of FG-5200.</w:t>
      </w:r>
    </w:p>
    <w:p>
      <w:pPr>
        <w:spacing w:after="0" w:line="28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retail prices of any product candidates that we develop may be subject to control, including periodic downward adjustment, by Chinese government authorities.</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price for pharmaceutical products is highly regulated in China, both at the national and provincial level. Price controls may reduce prices to levels significantly below those that would prevail in less regulated markets or limit the volume of products which may be sold, either of which may have a material and adverse effect on potential revenues from sales of roxadustat in China. Moreover, the process and timing for the implementation of price restrictions is unpredictable, which may cause potential revenues from the sales of roxadustat to fluctuate from period to period.</w:t>
      </w:r>
    </w:p>
    <w:p>
      <w:pPr>
        <w:spacing w:after="0" w:line="28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planned business activities in China fall within a restricted category under China Catalog for Guidance for Foreign Investment, we will need to operate in China through a variable interest entity structure.</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China Catalog for Guidance for Foreign Investment sets forth the industries and sectors that the Chinese government encourages and restricts foreign investment and participation. The Catalog for Guidance for Foreign Investment is subject to revision from time to time by China Ministry of Commerce. While we currently do not believe the development and marketing of roxadustat falls within a restricted category under the Catalog for Guidance for Foreign Investment, if roxadustat does fall under such a restricted category, we will need to operate in China through a variable interest entity (“VIE”) structure. A VIE structure involves a wholly foreign-owned enterprise that would control and receive the economic benefits of a domestic Chinese company through various contractual relationships. Such a structure would subject us to a number of risks that may have an adverse effect on our business, including that China government may determine that such contractual arrangements do not comply with applicable regulations, Chinese tax authorities may require us to pay additional taxes, shareholders of our VIEs may have potential conflicts of interest with us, and we may lose the ability to use and enjoy assets held by our VIEs that are important to the operations of our business if such entities go bankrupt or become subject to dissolution or liquidation proceedings. VIE structures in China have come under increasing scrutiny from accounting firms and the Securities and Exchange Commission (the “SEC”) staff. If we do attempt to use a VIE structure and are unsuccessful in structuring it so as to qualify as a VIE, we would not be able to consolidate the financial statements of the VIE with our financial statements, which could have a material adverse effect on our operating results and financial condition.</w:t>
      </w:r>
    </w:p>
    <w:p>
      <w:pPr>
        <w:spacing w:after="0" w:line="29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FibroGen China would be subject to restrictions on paying dividends or making other payments to us, which may restrict our ability to satisfy our liquidity requirements.*</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plan to conduct all of our business in China through FibroGen China. We may rely on dividends and royalties paid by FibroGen China for a portion of our cash needs, including the funds necessary to service any debt we may incur and to pay our operating expenses. The payment of dividends by FibroGen China is subject to limitations. Regulations in China currently permit payment of dividends only out of accumulated profits as determined in accordance with accounting standards and regulations in China. FibroGen China is not permitted to distribute any profits until losses from prior fiscal years have been recouped and in any event must maintain certain minimum capital requirements. FibroGen China is also required to set aside at least 10.0% of its after-tax profit based on Chinese accounting standards each year to its statutory reserve fund until the cumulative amount of such reserves reach 50.0% of its registered capital. Statutory reserves are not distributable as cash dividends. In addition, if FibroGen China incurs debt on its own behalf in the future, the agreements governing such debt may restrict its ability to pay dividends or make other distributions to us. As of March 31, 2015, approximately $6.7 million of our cash and cash equivalents is held in China.</w:t>
      </w:r>
    </w:p>
    <w:p>
      <w:pPr>
        <w:spacing w:after="0" w:line="29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capital contributions from us to FibroGen China must be approved by the Ministry of Commerce in China, and failure to obtain such approval may materially and adversely affect the liquidity position of FibroGen China.</w:t>
      </w:r>
    </w:p>
    <w:p>
      <w:pPr>
        <w:spacing w:after="0" w:line="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Ministry of Commerce in China or its local counterpart must approve the amount and use of any capital contributions from us to FibroGen China, and there can be no assurance that we will be able to complete the necessary government registrations and obtain the necessary government approvals on a timely basis, or at all. If we fail to do so, we may not be able to contribute additional capital to fund our Chinese operations, and the liquidity and financial position of FibroGen China may be materially and adversely affected.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currency exchange rate fluctuations and currency exchange restrictions with respect to our operations in China, which could adversely affect our financial performance.</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roxadustat is approved for sale in China, most of our product sales will occur in local Chinese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value of the Renminbi against the U.S. dollar, Euro and other currencies is affected by, among other things, changes in China’s political and economic conditions. Currently, the Renminbi is permitted to fluctuate within a narrow and managed band against a basket of certain foreign currencies. Any significant currency exchange rate fluctuations may have a material adverse effect on our business and financial condition.</w:t>
      </w:r>
    </w:p>
    <w:p>
      <w:pPr>
        <w:spacing w:after="0" w:line="18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China government imposes controls on the convertibility of the Renminbi into foreign currencies and the remittance of foreign currency out of China for certain transactions. Shortages in the availability of foreign currency may restrict the ability of FibroGen China to remit sufficient foreign currency to pay dividends or other payments to us, or otherwise satisfy their foreign currency-denominated obligations. Under existing Chinese foreign exchange regulations, payments of current account items, including profit distributions, interest payments and balance of trade, can be made in foreign currencies without prior approval from the State Administration of Foreign Exchange (“SAFE”) by complying with certain procedural requirements. However, approval from SAFE or its local branch is required where Renminbi is to be converted into foreign currency and remitted out of China to pay capital expenses such as the repayment of loans denominated in foreign currencies. The China government may also at its discretion restrict access in the future to foreign currencies for current account transactions. If the foreign exchange control system prevents us from obtaining sufficient foreign currency to satisfy our operational requirements, our liquidity and financial position may be materially and adversely affected.</w:t>
      </w:r>
    </w:p>
    <w:p>
      <w:pPr>
        <w:spacing w:after="0" w:line="29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FibroGen China’s funds are held in banks that do not provide insurance, the failure of any bank in which FibroGen China deposit its funds could adversely affect our business.</w:t>
      </w:r>
    </w:p>
    <w:p>
      <w:pPr>
        <w:spacing w:after="0" w:line="5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Banks and other financial institutions in China do not provide insurance for funds held on deposit. As a result, in the event of a bank failure, FibroGen China may not have access to funds on deposit. Depending upon the amount of money FibroGen China maintains in a bank that fails, its inability to have access to cash could materially impair its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tax inefficiencies associated with our offshore corporate structure.</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tax regulations of the United States and other jurisdictions in which we operate are extremely complex and subject to change. New laws, new interpretations of existing laws, or limitations on our ability to structure our operations and intercompany transactions may lead to inefficient tax treatment of our revenue, profits, royalties and distributions, if any are achieved. For example, under the Internal Revenue Code, certain types of income derived by our foreign subsidiaries that are controlled foreign corporations could give rise to a current inclusion of income to FibroGen, Inc., for U.S. tax purposes.</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we and our foreign subsidiaries have various intercompany transactions. We may not be able to obtain certain benefits under relevant tax treaties to avoid double taxation on certain transactions among our subsidiaries. If we are not able to avail ourselves of the tax treaties we could be subject to additional taxes, which could adversely affect our financial condition and results of operations.</w:t>
      </w:r>
    </w:p>
    <w:p>
      <w:pPr>
        <w:spacing w:after="0" w:line="28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enactment of legislation implementing changes in the U.S. taxation of international business activities or the adoption of other tax reform policies could materially impact our financial position and results of operations</w:t>
      </w:r>
      <w:r>
        <w:rPr>
          <w:rFonts w:ascii="Times New Roman" w:cs="Times New Roman" w:eastAsia="Times New Roman" w:hAnsi="Times New Roman"/>
          <w:sz w:val="18"/>
          <w:szCs w:val="18"/>
          <w:i w:val="1"/>
          <w:iCs w:val="1"/>
          <w:color w:val="auto"/>
        </w:rPr>
        <w:t>.</w:t>
      </w:r>
    </w:p>
    <w:p>
      <w:pPr>
        <w:spacing w:after="0" w:line="5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current Administration has proposed, and Congress has introduced, legislation to reform the U.S. taxation of international business activities, including, but not limited to, limiting the ability of taxpayers to claim and utilize foreign tax credits, limiting the check-the-box regime, revising the rules applicable to transfers of intangible property, and deferring certain tax deductions until non-U.S. earnings are repatriated to the United States. The current Administration has made public statements indicating that it has made the issue a priority, and key members of the U.S. Congress have conducted hearings and proposed legislation. Accordingly, depending on the final form of legislation enacted, if any, the consequences of changes to the U.S. taxation of international business activities may be significant for our China Business and other offshore activities. If any of these proposals are enacted into legislation, they could have material adverse consequences on our effective tax rate, the amount of tax we pay and our financial position and results of operations.</w:t>
      </w:r>
    </w:p>
    <w:p>
      <w:pPr>
        <w:spacing w:after="0" w:line="2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implemented a corporate structure taking into consideration our international operations and potentially applicable tax impact on our worldwide operations, and any changes in applicable tax laws and regulations may negatively impact our financial condition and operating results.</w:t>
      </w:r>
    </w:p>
    <w:p>
      <w:pPr>
        <w:spacing w:after="0" w:line="5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have developed our corporate structure to be closely aligned with the international nature of our business. There can be no assurance that the applicable tax laws and regulations will continue in effect or that the taxing authorities in any or all of the applicable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00"/>
          </w:cols>
          <w:pgMar w:left="240" w:top="455" w:right="2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jurisdictions will not challenge one or more aspects or characterizations of our corporate structure and the treatment of transactions or agreements within our corporate structure, or determine that the manner in which we operate our business is not consistent with our corporate structure. Any unfavorable changes in laws and regulations or positions by tax authorities could harm our financial position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foreign operations, particularly those in China, are subject to significant risks involving the protection of intellectual property.</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seek to protect the products and technology that we consider important to our business by filing China and international patent applications, relying on trade secrets or pharmaceutical regulatory protection or employing a combination of these methods. We currently have 3 granted patents and 15 pending patent applications relating to roxadustat in China. Refer to “Business—Intellectual Property” in our Annual Report on Form 10-K for the year ended December 31, 2014. However,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 The patents we hold and patents that may be granted from our currently pending patent applications have, absent any patent term adjustment or extension, a twenty-year protection period starting from the date of application.</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Intellectual property rights and confidentiality protections in China may not be as effective as those in the United States or other countries for many reasons, including lack of procedural rules for discovery and evidence, low damage awards, and lack of judicial independence. Implementation and enforcement of Chinese intellectual property laws have historically been 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Chinese courts in handling intellectual property litigation varies, and outcomes are unpredictable. An adverse determination in any such litigation could materially impair our intellectual property rights and may harm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laws and regulations governing corruption, which will require us to develop and implement costly compliance programs.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must comply with a wide range of laws and regulations to prevent corruption, bribery, and other unethical business practices, including the FCPA and anti-bribery and anti-corruption laws in other countries, particularly China. The creation and implementation of international business practices compliance programs is costly and such programs are difficult to enforce, particularly where reliance on third parties is required.</w:t>
      </w:r>
    </w:p>
    <w:p>
      <w:pPr>
        <w:spacing w:after="0" w:line="17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Anti-bribery laws prohibit us, our employees, and some of our agents or representatives from offering or providing any personal benefit to covered government officials to influence their performance of their duties or induce them to serve interests other than the missions of the public organizations in which they serve. Certain commercial bribery rules also prohibit offering or providing any personal benefit to employees and representatives of commercial companies to influence their performance of their duties or induce them to serve interests other than their employers. The FCPA also obligates companies whose securities are listed in the United States to comply with certain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Department of Justice (“DOJ”). The SEC is involved with enforcement of the books and records provisions of the FCPA.</w:t>
      </w:r>
    </w:p>
    <w:p>
      <w:pPr>
        <w:spacing w:after="0" w:line="1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Compliance with these anti-bribery laws is expensive and difficult, particularly in countries in which corruption is a recognized problem. In addition, the anti-bribery laws present particular challenges in the pharmaceutical industry, because, in many countries including China, hospitals are state-owned or operated by the government, and doctors and other hospital employees are considered foreign government officials; furthermore, in certain countries (China in particular), hospitals and clinics are permitted to sell pharmaceuticals to their patients and are primary or significant distributors of pharmaceuticals, Certain payments to hospitals in connection with clinical studies, procurement of pharmaceuticals and other work have been deemed to be improper payments to government officials and have led to vigorous anti-bribery law enforcement actions imposing heavy fines in multiple jurisdictions, particularly in the United States and China.</w:t>
      </w:r>
    </w:p>
    <w:p>
      <w:pPr>
        <w:spacing w:after="0" w:line="189"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the pharmaceutical industry, corrupt practices include, among others, acceptance of kickbacks, bribes or other illegal gains or benefits by the hospitals and medical practitioners from pharmaceutical manufacturers, distributors or their third party agents in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455" w:right="2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connection with the prescription of certain pharmaceuticals. If our employees, affiliates, distributors or third 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The Chinese government has also sponsored anti-corruption campaigns from time to time, which could have a chilling effect on any future marketing efforts by us to new hospital customers. There have been recent occurrences in which certain hospitals have denied access to sales representatives from pharmaceutical companies because the hospitals wanted to avoid the perception of corruption. If this attitude becomes widespread among our potential customers, our ability to promote our products to hospitals may be adversely affected.</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we expand our operations in China and other jurisdictions internationally, we will need to increase the scope of our compliance programs to address the risks relating to the potential for violations of the FCPA and other anti-bribery and anti-corruption laws. Our compliance programs will need to include policies addressing not only the FCPA, but also the provisions of a variety of anti-bribery and anti-corruption laws in multiple foreign jurisdictions, including China, encompass provisions relating to books and records that will apply to us as we become a public company and include effective training for our personnel throughout our organization. The creation and implementation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SEC also may suspend or bar us from trading securities on U.S. exchanges for violations of the FCPA’s accounting provisions. Even if we are not ultimately punished by government authorities, the costs of investigation and review, the distraction of company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spacing w:after="0" w:line="29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subject to China Labor Contract Law, which became effective in 2008 and provides stronger protections for employees and imposes more obligations on employers. The Labor Contract Law places certain restrictions on the circumstances under which employers may terminate labor contracts and require economic compensation to employees upon termination of employment, among other things. In addition, companies operating in China are generally required to contribute to labor union funds and the mandatory social insurance and housing funds. Any failure by us to comply with Chinese labor and social insurance laws may subject us to late fees, fines and penalties, or cause the suspension or termination of our ability to conduct business in China, any of which could have a material and adverse effect on business, results of operations and prospects.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China legal system could have a material adverse effect on us.</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legal system of China is a civil law system primarily based on written statutes. Unlike in a common law system, prior court decisions may be cited for reference but are not binding. Because the China legal system continues to rapidly evolve, the interpretations of many laws, regulations and rules are not always uniform and enforcement of these laws, regulations and rules involve uncertainties, which may limit legal protections available to us. Moreover, decision makers in China judicial system have significant discretion in interpreting and implementing statutory and contractual terms, which may render it difficult for FibroGen China to enforce the contracts it has entered into with our business partners, customers and suppliers. Different government departments may have different interpretations of certain laws and regulations, and licenses and permits issued or granted by one government authority may be revoked by a higher government authority at a later time. Navigating the uncertainty and change in China legal system will require the devotion of significant resources and time, and there can be no assurance that our contractual and other rights will ultimately be enforced.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China’s economic, political or social conditions or government policies could have a material adverse effect on our business and operations.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Chinese economy and Chinese society continue to undergo significant change. Adverse changes in the political and economic policies of the Chinese government could have a material adverse effect on the overall economic growth of China, which could adversely affect our ability to conduct business in China. The Chinese government continues to adjust economic policies to promote economic growth. Some of these measures benefit the overall Chinese economy, but may also have a negative effect on us. For example, our financial condition and results of operations in China may be adversely affected by government control over capital investments or changes in tax regulations. As the Chinese pharmaceutical industry grows and evolves, the Chinese government may also implement measures to change the structure of foreign investment in this industry. We are unable to predict the frequency and scope of such policy changes, any of which could materially and adversely affect FibroGen China’s liquidity and access to capital and its ability to conduct business in China. Any failure on our part to comply with changing government regulations and policies could result in the loss of our ability to develop and commercialize our product candidates in China.</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00"/>
          </w:cols>
          <w:pgMar w:left="240" w:top="455" w:right="2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Operation of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and expanding our operations successfully.</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and we continue to undertake the efforts and expense to operate as a public reporting company, we expect that we will need to increase the responsibilities on members of management and manage any future growth effectively. Our failure to accomplish any of them could prevent us from successfully implementing our strategy and maintaining the confidence of investors in our company.</w:t>
      </w:r>
    </w:p>
    <w:p>
      <w:pPr>
        <w:spacing w:after="0" w:line="28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keep senior management and key personnel, in particular our chief executive officer, we may be unable to successfully develop our product candidates, conduct our clinical trials and commercialize our product candidates.</w:t>
      </w:r>
    </w:p>
    <w:p>
      <w:pPr>
        <w:spacing w:after="0" w:line="5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are highly dependent on our chief executive officer, Thomas B. Neff, and other members of our senior management team. The loss of the services of Mr. Neff or any of these other individuals would be expected to significantly negatively impact the development and commercialization of our product candidates, our existing collaborative relationships and our ability to successfully implement our business strategy.</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Recruiting and retaining qualified commercial, development, scientific, clinical and manufacturing personnel are and will continue to be critical to our success.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We may be unable to hire, train, retain or motivate these key personnel on acceptable terms given the intense competition among numerous biopharmaceutical companies for similar personnel.</w:t>
      </w:r>
    </w:p>
    <w:p>
      <w:pPr>
        <w:spacing w:after="0" w:line="1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is also significant competition, in particular in the San Francisco Bay area, for the hiring of experienced and qualified personnel, which increases the importance of retention of our existing personnel. If we are unable to continue to attract and retain personnel with the quality and experience applicable to our product candidates, our ability to pursue our strategy will be limited and our business and operations would be adversely affected.</w:t>
      </w:r>
    </w:p>
    <w:p>
      <w:pPr>
        <w:spacing w:after="0" w:line="28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5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spacing w:after="0" w:line="89" w:lineRule="exact"/>
        <w:rPr>
          <w:sz w:val="20"/>
          <w:szCs w:val="20"/>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further development of unapproved product candidates or significantly reduced demand for any approved products;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costs and expenses to defend the related litigation;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time and resources across the entire organization, including our executive management;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restrictions;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our collaboration relationships or disputes with our collaboration partners;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damage negatively impacting our other product candidates in development.</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 party advisors, there can be no assurance that such levels will be sufficient for our needs. Moreover, our insurance policies have various exclusions, and we may be in a dispute with our carrier as to the extent and nature of our coverage, including</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80"/>
          </w:cols>
          <w:pgMar w:left="240" w:top="455" w:right="27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computer system failures.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If such an event were to occur and cause interruptions in our operations, it could result in a material disruption of our drug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293"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headquarters and data storage facilities are located near known earthquake fault zones. The occurrence of an earthquake, fire or any other catastrophic event could disrupt our operations or the operations of third parties who provide vital support functions to us, which could have a material adverse effect on our business, results of operations and financial condition.</w:t>
      </w:r>
    </w:p>
    <w:p>
      <w:pPr>
        <w:spacing w:after="0" w:line="6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and some of the third party service providers on which we depend for various support functions, such as data storage, are vulnerable to damage from catastrophic events, such as power loss, natural disasters, terrorism and similar unforeseen events beyond our control. Our corporate headquarters and other facilities are located in the San Francisco Bay Area, which in the past has experienced severe earthquakes and fires.</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do not carry earthquake insurance. Earthquakes or other natural disasters could severely disrupt our operations, and have a material adverse effect on our business, results of operations, financial condition and prospects.</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a natural disaster, power outage or other event occurred that prevented us from using all or a significant portion of our headquarters, damaged critical infrastructure, such as our data storage facilities, enterprise financial systems or manufacturing resource planning and enterprise quality systems,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8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highly volatile, and you may not be able to resell your shares at or above your purchase price.</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spacing w:after="0" w:line="86" w:lineRule="exact"/>
        <w:rPr>
          <w:sz w:val="20"/>
          <w:szCs w:val="20"/>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product candidates, including roxadustat and FG-3019;</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release of results of and regulatory updates regarding our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competitors’ products;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issues with respect to our product candidates or our competitors’ products;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 candidates and any approved products or our competitors’ products;</w:t>
      </w:r>
    </w:p>
    <w:p>
      <w:pPr>
        <w:spacing w:after="0" w:line="130" w:lineRule="exact"/>
        <w:rPr>
          <w:rFonts w:ascii="Times New Roman" w:cs="Times New Roman" w:eastAsia="Times New Roman" w:hAnsi="Times New Roman"/>
          <w:sz w:val="18"/>
          <w:szCs w:val="18"/>
          <w:color w:val="auto"/>
        </w:rPr>
      </w:pPr>
    </w:p>
    <w:p>
      <w:pPr>
        <w:ind w:left="900" w:right="180" w:hanging="325"/>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financial condition and operating results, which will be significantly affected by the manner in which we recognize revenue from the achievement of milestones under our collaboration agreements;</w:t>
      </w:r>
    </w:p>
    <w:p>
      <w:pPr>
        <w:spacing w:after="0" w:line="2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340"/>
          </w:cols>
          <w:pgMar w:left="240" w:top="455" w:right="31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collaborations and our manufacturers;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 collaboration or the inability to establish additional collaborations;</w:t>
      </w:r>
    </w:p>
    <w:p>
      <w:pPr>
        <w:spacing w:after="0" w:line="130" w:lineRule="exact"/>
        <w:rPr>
          <w:rFonts w:ascii="Times New Roman" w:cs="Times New Roman" w:eastAsia="Times New Roman" w:hAnsi="Times New Roman"/>
          <w:sz w:val="18"/>
          <w:szCs w:val="18"/>
          <w:color w:val="auto"/>
        </w:rPr>
      </w:pPr>
    </w:p>
    <w:p>
      <w:pPr>
        <w:ind w:left="900" w:right="120" w:hanging="325"/>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publication of research reports by securities analysts about us or our competitors or our industry or negative recommendations or withdrawal of research coverage by securities analysts;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adequate product supply for any approved drug product or inability to do so at acceptable prices;</w:t>
      </w:r>
    </w:p>
    <w:p>
      <w:pPr>
        <w:spacing w:after="0" w:line="130" w:lineRule="exact"/>
        <w:rPr>
          <w:rFonts w:ascii="Times New Roman" w:cs="Times New Roman" w:eastAsia="Times New Roman" w:hAnsi="Times New Roman"/>
          <w:sz w:val="18"/>
          <w:szCs w:val="18"/>
          <w:color w:val="auto"/>
        </w:rPr>
      </w:pPr>
    </w:p>
    <w:p>
      <w:pPr>
        <w:ind w:left="900" w:right="260" w:hanging="325"/>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ineffectiveness of our internal controls;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strategic decisions by us or our competitors;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legislation or other regulatory developments affecting our product candidates or our industry;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the biotechnology industry and particular companies perceived by investors to be comparable to us;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of the government of China, including those related to the pharmaceutical industry as well as industrial policy generally;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other United States publicly traded companies with significant operations in China;</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such as earthquakes and other calamities;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conditions for biopharmaceutical stocks;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28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reports about our business, or if they change their recommendations regarding our stock adversely, our stock price and trading volume could decline.</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one or more of the analysts who cover us downgrade our stock, our stock price would likely decline. If one or more of these analysts cease coverage of our company or fail to regularly publish reports on us, we could lose visibility in the financial markets, which in turn could cause our stock price or trading volume to decline.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April 30, 2015, our executive officers, directors and principal stockholders, together with their respective affiliates, owned approximately 24.4% of our common stock, including shares subject to outstanding options that are exercisable within 60 days after such date and shares issuable upon settlement of restricted stock units that will vest within 60 days after such date. Accordingly, these stockholders will be able to exert a significant degree of influence over our management and affairs and over matters requiring stockholder approval, including the election of our board of directors and approval of significant corporate transactions. The interests of this group may differ from those of other stockholders and they may vote their shares in a way that is contrary to the way other stockholders vote their shares.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289"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as defined in the Jumpstart Our Business Startups Act of 2012, and we cannot be certain if the reduced disclosure requirements applicable to emerging growth companies will make our common stock less attractive to investors.</w:t>
      </w:r>
    </w:p>
    <w:p>
      <w:pPr>
        <w:spacing w:after="0" w:line="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and for so long as we continue to be an emerging growth company, we may take advantage of exemptions from various reporting requirements that are applicable to other public companies that are not emerging growth companies. Specifically, the JOBS Act:</w:t>
      </w:r>
    </w:p>
    <w:p>
      <w:pPr>
        <w:spacing w:after="0" w:line="82" w:lineRule="exact"/>
        <w:rPr>
          <w:sz w:val="20"/>
          <w:szCs w:val="20"/>
          <w:color w:val="auto"/>
        </w:rPr>
      </w:pPr>
    </w:p>
    <w:p>
      <w:pPr>
        <w:ind w:left="900" w:right="440" w:hanging="325"/>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us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eliminates the requirement to comply with the auditor attestation requirements in the assessment of our internal control over financial reporting;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removes the requirement to comply with any requirement that may be adopted by the Public Company Accounting Oversight Board;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disclosure obligations regarding executive compensation; and</w:t>
      </w:r>
    </w:p>
    <w:p>
      <w:pPr>
        <w:spacing w:after="0" w:line="130" w:lineRule="exact"/>
        <w:rPr>
          <w:rFonts w:ascii="Times New Roman" w:cs="Times New Roman" w:eastAsia="Times New Roman" w:hAnsi="Times New Roman"/>
          <w:sz w:val="18"/>
          <w:szCs w:val="18"/>
          <w:color w:val="auto"/>
        </w:rPr>
      </w:pPr>
    </w:p>
    <w:p>
      <w:pPr>
        <w:ind w:left="900" w:right="160" w:hanging="325"/>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exempts from the requirements of holding a non-binding stockholder advisory vote on executive compensation and stockholder approval of any golden parachute payments not previously approved.</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This Quarterly Report is based upon the reduced reporting burdens under the JOBS Act and we expect to continue at these reduced levels for so long as we are permitted under the JOBS Act. Specifically, we could be an emerging growth company for up to five years, although circumstances could cause us to lose that status earlier, including any of the following: if the market value of our common stock held by non-affiliates exceeds $700 million as of June 30 in any calendar year before that time or if we have total annual gross revenue of $1 billion or more during any fiscal year before that time, in which cases we would no longer be an emerging growth company as of the end of such year or, if we issue more than $1 billion in non-convertible debt during any three-year period before that time, we would cease to be an emerging growth company immediately. If any investors find our common stock less attractive as a result, there may be a less active market for our common stock and our stock price may be more volatile.</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Section 107 of the JOBS Act provides that an emerging growth company can take advantage of an extended transition period for complying with new or revised accounting standards. However, we chose to “opt out” of such extended transition period, and as a result, we will comply with new or revised accounting standards on the relevant dates that adoption of such standards is required for non-emerging growth companies. Our decision to opt out of the extended transition period for complying with new or revised accounting standards is irrevocable.</w:t>
      </w:r>
    </w:p>
    <w:p>
      <w:pPr>
        <w:spacing w:after="0" w:line="28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may be sold into the public market in the near future, which could cause the market price of our common stock to drop significantly, even if our business is doing well.*</w:t>
      </w:r>
    </w:p>
    <w:p>
      <w:pPr>
        <w:spacing w:after="0" w:line="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of April 30, 2015, we had 59,268,249 shares of common stock outstanding. Sales of a substantial number of shares of our common stock in the public market could occur at any time after the expiration of the lock-up agreements entered into in connection with our initial public offering. These sales, or the market perception that the holders of a large number of shares intend to sell shares, could reduce the market price of our common stock. As of April 30, 2015, 82% of our outstanding shares were restricted as a result of lock-up agreements or market stand off agreements but will be able to be sold, subject to any applicable volume limitations under federal securities laws with respect to affiliate sales, beginning on May 13, 2015. In addition, as of April 30, 2015, there were 15,373,718 shares subject to outstanding options, of which 11,130,340 shares were vested, 1,135,913 shares subject to outstanding restricted stock unit awards and 173,116 shares subject to outstanding warrants to purchase common stock that will</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become eligible for sale in the public market to the extent permitted by any applicable vesting requirements, the lock-up agreements and Rules 144 and 701 under the Securities Act of 1933, as amended (the “Securities Act”). We have registered all shares of common stock that we may issue under our employee benefit plans, including our 2005 Equity Incentive Plan and 2014 Equity Incentive Plan. Once these shares are issued in accordance with the terms of the plans, they can be freely sold in the public market upon issuance, subject to the lock-up agreements entered into in connection with our initial public offering (which we expect to expire on May 13, 2015) and the restrictions imposed on our affiliates under Rule 144.</w:t>
      </w:r>
    </w:p>
    <w:p>
      <w:pPr>
        <w:spacing w:after="0" w:line="28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Additional remedial measures that may be imposed in the proceedings instituted by the SEC against five China based accounting firms, including the Chinese affiliate of our independent registered public accounting firm, could result in our consolidated financial statements being determined to not be in compliance with the requirements of the Exchange Act.</w:t>
      </w:r>
    </w:p>
    <w:p>
      <w:pPr>
        <w:spacing w:after="0" w:line="6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late 2012, the SEC commenced administrative proceedings under Rule 102(e) of its Rules of Practice and also under the Sarbanes-Oxley Act of 2002 against the Chinese affiliates of the “big four” accounting firms, including PricewaterhouseCoopers Zhong Tian CPAs Limited, the Chinese affiliate of our independent registered public accounting firm. The Rule 102(e) proceedings initiated by the SEC relate to these firms’ failure to produce documents, including audit work papers, in response to the request of the SEC pursuant to Section 106 of the Sarbanes-Oxley Act of 2002, as the auditors located in China are not in a position lawfully to produce documents directly to the SEC because of restrictions under Chinese law and specific directives issued by the China Securities Regulatory Commission (“CSRC”). The issues raised by the proceedings are not specific to our auditors or to us.</w:t>
      </w:r>
    </w:p>
    <w:p>
      <w:pPr>
        <w:spacing w:after="0" w:line="1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January 2014, an administrative law judge reached an initial decision that the Chinese affiliates of the “big four” accounting firms should be barred from practicing before the SEC for a period of six months. In February 2015, the Chinese affiliates of the “big four” accounting firms each agreed to a censure and to pay a fine to the SEC to settle the dispute and avoid suspension of their ability to practice before the SEC and audit U.S.-listed companies. The settlement required the firms to follow detailed procedures and to seek to provide the SEC with access to Chinese firms’ audit documents via the CSRC. If future document productions fail to meet specified criteria, the SEC retains authority to impose a variety of additional remedial measures on the firms depending on the nature of the failure.</w:t>
      </w:r>
    </w:p>
    <w:p>
      <w:pPr>
        <w:spacing w:after="0" w:line="18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cannot predict if the SEC will further review the four firms’ compliance with specified criteria or if such further review would result in the SEC imposing additional penalties such as suspensions or commencing any further administrative proceedings. Although it does not play a substantial role (as defined under PCAOB standards) in the audit of our consolidated financial statements, if PricewaterhouseCoopers Zhong Tian CPAs Limited were denied, temporarily, the ability to practice before the SEC, our ability to produce audited consolidated financial statements for our company could be affected and we could be determined not to be in compliance with the requirements of the Exchange Act. Such a determination could ultimately lead to the delisting of our shares from the NASDAQ Global Select Market or deregistration from the SEC, or both, which would substantially reduce or effectively terminate the trading of our stock.</w:t>
      </w:r>
    </w:p>
    <w:p>
      <w:pPr>
        <w:spacing w:after="0" w:line="293"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incurring significant compliance costs as a result of operating as a public company and our management is required to devote substantial resources to public company compliance programs.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a newly public company, we are incurring significant legal, insurance, accounting and other expenses that we did not incur as a private company. The Sarbanes-Oxley Act of 2002, the Dodd-Frank Wall Street Reform and Consumer Protection Act of 2010, the listing requirements of The NASDAQ Stock Market and other applicable securities rules and regulations impose various requirements on public companies, including establishment and maintenance of effective disclosure and financial controls and corporate governance practices. We are currently and intend to continue to invest resources to comply with evolving laws, regulations and standards, and this investment will result in increased general and administrative expenses and may divert management’s time and attention from product development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8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Specifically, in order to comply with the requirements of being a public company, we may need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Any failure to develop or maintain effective controls could adversely affect the results of periodic management evaluations. In the event that we are not able to demonstrate compliance with the</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00"/>
          </w:cols>
          <w:pgMar w:left="240" w:top="455" w:right="2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Sarbanes-Oxley Act, that our internal control over financial reporting is perceived as inadequate, or that we are unable to produce timely or accurate financial statements, investors may lose confidence in our operating results and the price of our ordinary shares could decline. In addition, if we are unable to continue to meet these requirements, we may not be able to remain listed on The NASDAQ Stock Market.</w:t>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not currently required to comply with the SEC’s rules that implement Section 404 of the Sarbanes-Oxley Act, or Section 404, and are therefore not yet required to make a formal assessment of the effectiveness of our internal control over financial reporting for that purpose. We will be required to comply with certain of these rules, including the requirement of an annual management report on the effectiveness of our internal control over financial reporting, commencing with our annual report on Form 10-K for the fiscal year ending December 31, 2015. This assessment will need to include the disclosure of any material weaknesses in our internal control over financial reporting identified by our management or our independent registered public accounting firm. In addition, we will be required to have our independent registered public accounting firm attest to the effectiveness of our internal control over financial reporting beginning with our first annual report on Form 10-K following the date on which we are no longer an emerging growth company. To achieve compliance with Section 404 within the prescribed period, we will need to continue to dedicate internal resources, outside consultants and continue to execute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consolidated financial statements and we cannot assure you that there will not be material weaknesses or significant deficiencies in our internal controls in the future.</w:t>
      </w:r>
    </w:p>
    <w:p>
      <w:pPr>
        <w:spacing w:after="0" w:line="30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future acquisitions that could disrupt our business, cause dilution to our stockholders and harm our business, results of operations, financial condition and cash flows and future prospects.</w:t>
      </w:r>
    </w:p>
    <w:p>
      <w:pPr>
        <w:spacing w:after="0" w:line="5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While we currently have no specific plans to acquire any other businesses, we may, in the future, make acquisitions of, or investments in, companies that we believe have products or capabilities that are a strategic or commercial fit with our present or future product candidates and business or otherwise offer opportunities for our company. In connection with these acquisitions or investments, we may:</w:t>
      </w:r>
    </w:p>
    <w:p>
      <w:pPr>
        <w:spacing w:after="0" w:line="82" w:lineRule="exact"/>
        <w:rPr>
          <w:sz w:val="20"/>
          <w:szCs w:val="20"/>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stock that would dilute our existing stockholders’ percentage of ownership;</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 and assume liabilities;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amortization expenses related to intangible assets or incur large and immediate write-offs.</w:t>
      </w:r>
    </w:p>
    <w:p>
      <w:pPr>
        <w:spacing w:after="0" w:line="22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spacing w:after="0" w:line="82" w:lineRule="exact"/>
        <w:rPr>
          <w:sz w:val="20"/>
          <w:szCs w:val="20"/>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integrating the purchased business, products or technologies, or employees or other assets of the acquisition target;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to our expenses;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or undisclosed liabilities of the acquired asset or company;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their day-to-day responsibilities;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reprioritization of our development programs and even cessation of development and commercialization of our current product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operating results or financial condition;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entrance into markets in which we have limited or no prior experience;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particularly those of the acquired entity.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not be able to complete any acquisitions or effectively integrate the operations, products or personnel gained through any such acquisition.</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00"/>
          </w:cols>
          <w:pgMar w:left="240" w:top="455" w:right="2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Delaware law may have anti-takeover effects that could discourage an acquisition of us by others, even if an acquisition would be beneficial to our stockholders, and may prevent attempts by our stockholders to replace or remove our current directors or management.</w:t>
      </w:r>
    </w:p>
    <w:p>
      <w:pPr>
        <w:spacing w:after="0" w:line="6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93" w:lineRule="exact"/>
        <w:rPr>
          <w:sz w:val="20"/>
          <w:szCs w:val="20"/>
          <w:color w:val="auto"/>
        </w:rPr>
      </w:pPr>
    </w:p>
    <w:p>
      <w:pPr>
        <w:ind w:left="900" w:right="200" w:hanging="325"/>
        <w:spacing w:after="0" w:line="282"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classified board of directors whose members serve staggered three-year terms;</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pursuant to a resolution adopted by a majority of the total number of directors;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130" w:lineRule="exact"/>
        <w:rPr>
          <w:rFonts w:ascii="Times New Roman" w:cs="Times New Roman" w:eastAsia="Times New Roman" w:hAnsi="Times New Roman"/>
          <w:sz w:val="18"/>
          <w:szCs w:val="18"/>
          <w:color w:val="auto"/>
        </w:rPr>
      </w:pPr>
    </w:p>
    <w:p>
      <w:pPr>
        <w:ind w:left="900" w:right="120" w:hanging="325"/>
        <w:spacing w:after="0" w:line="282"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prior to the end of their term only for cause;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the holders of our common stock or the majority vote of our board of directors to amend our bylaws; and</w:t>
      </w:r>
    </w:p>
    <w:p>
      <w:pPr>
        <w:spacing w:after="0" w:line="130" w:lineRule="exact"/>
        <w:rPr>
          <w:rFonts w:ascii="Times New Roman" w:cs="Times New Roman" w:eastAsia="Times New Roman" w:hAnsi="Times New Roman"/>
          <w:sz w:val="18"/>
          <w:szCs w:val="18"/>
          <w:color w:val="auto"/>
        </w:rPr>
      </w:pPr>
    </w:p>
    <w:p>
      <w:pPr>
        <w:ind w:left="900" w:right="340" w:hanging="325"/>
        <w:spacing w:after="0" w:line="282"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the holders of our common stock to amend the classification of our board of directors into three classes and to amend certain other provisions of our certificate of incorporation.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certain limitations.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general, under Section 382 of the Internal Revenue Code of 1986, as amended (the “Code”) a corporation that undergoes an “ownership change” is subject to limitations on its ability to utilize its pre-change net operating losses (“NOLs”) or tax credits (“credits”), to offset future taxable income. Our existing NOLs or credits may be subject to substantial limitations arising from previous ownership changes, and if we undergo an ownership change our ability to utilize NOLs or credits could be further limited by Section 382 of the Code. In addition, future changes in our stock ownership, many of which are outside of our control, could result in an ownership change under Section 382 of the Code. Our NOLs or credits may also be impaired under state law. Accordingly, we may not be able to utilize a material portion of our NOLs or credits. Furthermore, our ability to utilize our NOLs or credits is conditioned upon our attaining profitability and generating United States federal and state taxable income. As described above under “—Risks Related to our Financial Position and History of Operating Losses,” we have incurred significant net losses since our inception and anticipate that we will continue to incur significant losses for the foreseeable future; thus, we do not know whether or when we will generate the United States federal or state taxable income necessary to utilize our NOLs or credits. A full valuation allowance has been provided for the entire amount of our NOLs and credits.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45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subject to limited exceptions, the state and federal courts located in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97"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 and you may never receive a return on your investment.</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for Public Offering of Common Stock</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November 13, 2014, our Registration Statement on Form S-1, as amended (Reg. Nos. 333-199069 and 333-200189 was declared effective by the SEC for our initial public offering (“IPO”) of common stock, pursuant to which we sold an aggregate of 9,315,000 shares of our common stock at a public offering price of $18.00 per share. AstraZeneca, one of our collaboration partners, agreed to purchase from us, concurrently with the closing of our IPO, in a private placement 1,111,111 shares of our common stock with an aggregate purchase price of $20.0 million at a price per share equal to the IPO price. Net proceeds from our IPO and concurrent private placement were $171.8 million, after deducting underwriting discounts of $11.7 million and offering expenses of $4.1 million.</w:t>
      </w:r>
    </w:p>
    <w:p>
      <w:pPr>
        <w:spacing w:after="0" w:line="18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March 31, 2015, the net proceeds are held in our investment accounts. There has been no material change in the planned use of proceeds from our IPO as described in our final prospectus filed with the SEC pursuant to Rule 424(b) under the Securities Act on November 14, 2014.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on the accompanying Exhibit Index are filed or incorporated by reference (as stated therein) as part of this Quarterly Report on From 10-Q.</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455" w:right="2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ectPr>
          <w:pgSz w:w="11900" w:h="16838" w:orient="portrait"/>
          <w:cols w:equalWidth="0" w:num="1">
            <w:col w:w="11420"/>
          </w:cols>
          <w:pgMar w:left="240" w:top="4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12,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12, 2015</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u w:val="single" w:color="auto"/>
          <w:color w:val="auto"/>
        </w:rPr>
        <w:t>FibroGen, Inc.</w:t>
      </w:r>
    </w:p>
    <w:p>
      <w:pPr>
        <w:spacing w:after="0" w:line="229" w:lineRule="exact"/>
        <w:rPr>
          <w:sz w:val="20"/>
          <w:szCs w:val="20"/>
          <w:color w:val="auto"/>
        </w:rPr>
      </w:pPr>
    </w:p>
    <w:p>
      <w:pPr>
        <w:ind w:left="220"/>
        <w:spacing w:after="0"/>
        <w:tabs>
          <w:tab w:leader="none" w:pos="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B. Neff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17145</wp:posOffset>
            </wp:positionV>
            <wp:extent cx="32588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Thomas B. Neff</w:t>
      </w:r>
    </w:p>
    <w:p>
      <w:pPr>
        <w:spacing w:after="0" w:line="9" w:lineRule="exact"/>
        <w:rPr>
          <w:sz w:val="20"/>
          <w:szCs w:val="20"/>
          <w:color w:val="auto"/>
        </w:rPr>
      </w:pPr>
    </w:p>
    <w:p>
      <w:pPr>
        <w:jc w:val="right"/>
        <w:ind w:right="140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20" w:lineRule="exact"/>
        <w:rPr>
          <w:sz w:val="20"/>
          <w:szCs w:val="20"/>
          <w:color w:val="auto"/>
        </w:rPr>
      </w:pPr>
    </w:p>
    <w:p>
      <w:pPr>
        <w:ind w:left="220"/>
        <w:spacing w:after="0"/>
        <w:tabs>
          <w:tab w:leader="none" w:pos="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Pat Cotroneo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17145</wp:posOffset>
            </wp:positionV>
            <wp:extent cx="32588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Pat Cotroneo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Vice President, Finance and Chief Financial Officer</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2">
            <w:col w:w="4900" w:space="720"/>
            <w:col w:w="5800"/>
          </w:cols>
          <w:pgMar w:left="240" w:top="455" w:right="239" w:bottom="1440" w:gutter="0" w:footer="0" w:header="0"/>
          <w:type w:val="continuous"/>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0" w:type="dxa"/>
            <w:vAlign w:val="bottom"/>
          </w:tcPr>
          <w:p>
            <w:pPr>
              <w:spacing w:after="0"/>
              <w:rPr>
                <w:sz w:val="1"/>
                <w:szCs w:val="1"/>
                <w:color w:val="auto"/>
              </w:rPr>
            </w:pPr>
          </w:p>
        </w:tc>
      </w:tr>
      <w:tr>
        <w:trPr>
          <w:trHeight w:val="117"/>
        </w:trPr>
        <w:tc>
          <w:tcPr>
            <w:tcW w:w="520" w:type="dxa"/>
            <w:vAlign w:val="bottom"/>
            <w:vMerge w:val="continue"/>
          </w:tcPr>
          <w:p>
            <w:pPr>
              <w:spacing w:after="0"/>
              <w:rPr>
                <w:sz w:val="10"/>
                <w:szCs w:val="10"/>
                <w:color w:val="auto"/>
              </w:rPr>
            </w:pPr>
          </w:p>
        </w:tc>
        <w:tc>
          <w:tcPr>
            <w:tcW w:w="7860" w:type="dxa"/>
            <w:vAlign w:val="bottom"/>
            <w:gridSpan w:val="3"/>
            <w:vMerge w:val="restart"/>
          </w:tcPr>
          <w:p>
            <w:pPr>
              <w:ind w:left="34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SEC File</w:t>
            </w:r>
          </w:p>
        </w:tc>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87"/>
        </w:trPr>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860" w:type="dxa"/>
            <w:vAlign w:val="bottom"/>
            <w:gridSpan w:val="3"/>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w:t>
            </w:r>
          </w:p>
        </w:tc>
        <w:tc>
          <w:tcPr>
            <w:tcW w:w="58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7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Amended and Restated Certificate of Incorporation of FibroGen, Inc.</w:t>
            </w: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001-36740</w:t>
            </w:r>
          </w:p>
        </w:tc>
        <w:tc>
          <w:tcPr>
            <w:tcW w:w="1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11/21/2014</w:t>
            </w:r>
          </w:p>
        </w:tc>
        <w:tc>
          <w:tcPr>
            <w:tcW w:w="0" w:type="dxa"/>
            <w:vAlign w:val="bottom"/>
          </w:tcPr>
          <w:p>
            <w:pPr>
              <w:spacing w:after="0"/>
              <w:rPr>
                <w:sz w:val="1"/>
                <w:szCs w:val="1"/>
                <w:color w:val="auto"/>
              </w:rPr>
            </w:pPr>
          </w:p>
        </w:tc>
      </w:tr>
      <w:tr>
        <w:trPr>
          <w:trHeight w:val="324"/>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w:t>
            </w:r>
          </w:p>
        </w:tc>
        <w:tc>
          <w:tcPr>
            <w:tcW w:w="7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Amended and Restated Bylaws of FibroGen, Inc.</w:t>
            </w: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S-1/A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10/23/2014</w:t>
            </w:r>
          </w:p>
        </w:tc>
        <w:tc>
          <w:tcPr>
            <w:tcW w:w="0" w:type="dxa"/>
            <w:vAlign w:val="bottom"/>
          </w:tcPr>
          <w:p>
            <w:pPr>
              <w:spacing w:after="0"/>
              <w:rPr>
                <w:sz w:val="1"/>
                <w:szCs w:val="1"/>
                <w:color w:val="auto"/>
              </w:rPr>
            </w:pPr>
          </w:p>
        </w:tc>
      </w:tr>
      <w:tr>
        <w:trPr>
          <w:trHeight w:val="324"/>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7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Form of Common Stock Certificate.</w:t>
            </w: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001-36740</w:t>
            </w:r>
          </w:p>
        </w:tc>
        <w:tc>
          <w:tcPr>
            <w:tcW w:w="1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11/21/2014</w:t>
            </w:r>
          </w:p>
        </w:tc>
        <w:tc>
          <w:tcPr>
            <w:tcW w:w="0" w:type="dxa"/>
            <w:vAlign w:val="bottom"/>
          </w:tcPr>
          <w:p>
            <w:pPr>
              <w:spacing w:after="0"/>
              <w:rPr>
                <w:sz w:val="1"/>
                <w:szCs w:val="1"/>
                <w:color w:val="auto"/>
              </w:rPr>
            </w:pPr>
          </w:p>
        </w:tc>
      </w:tr>
      <w:tr>
        <w:trPr>
          <w:trHeight w:val="306"/>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w:t>
            </w:r>
          </w:p>
        </w:tc>
        <w:tc>
          <w:tcPr>
            <w:tcW w:w="7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Investor Rights Agreement by and among FibroGen, Inc. and certain of its stockholders, dated as of</w:t>
            </w: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S-1</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10/01/2014</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7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December 1995.</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4.3</w:t>
            </w:r>
          </w:p>
        </w:tc>
        <w:tc>
          <w:tcPr>
            <w:tcW w:w="7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Investor Rights Agreement by and among FibroGen, Inc. and certain of its stockholders, dated as of</w:t>
            </w: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S-1</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10/01/2014</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7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February 20, 1998.</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4.4</w:t>
            </w:r>
          </w:p>
        </w:tc>
        <w:tc>
          <w:tcPr>
            <w:tcW w:w="7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Investor Rights Agreement by and among FibroGen, Inc. and certain of its warrant holders, dated as of</w:t>
            </w: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S-1</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10/01/2014</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7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June 3, 1999.</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4.5</w:t>
            </w:r>
          </w:p>
        </w:tc>
        <w:tc>
          <w:tcPr>
            <w:tcW w:w="7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Investor Rights Agreement by and among FibroGen, Inc. and certain of its warrant holders, dated as of</w:t>
            </w: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S-1</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10/01/2014</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7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February 8, 2000.</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4.6</w:t>
            </w:r>
          </w:p>
        </w:tc>
        <w:tc>
          <w:tcPr>
            <w:tcW w:w="7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Warrant to Purchase 67,200 Shares of Common Stock issued to Lease Management Services, Inc., dated</w:t>
            </w: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S-1</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10/01/2014</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as of June 6, 1995; as amended by Amendment to Warrant to Purchase 67,200 Shares of Common Stock</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by and between FibroGen, Inc. and Phoenixcor, Inc. (as successor in interest to Lease Management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7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Services, Inc.), dated as of June 5, 2001.</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4.7</w:t>
            </w:r>
          </w:p>
        </w:tc>
        <w:tc>
          <w:tcPr>
            <w:tcW w:w="7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Warrant to Purchase 43,140 Shares of Common Stock issued to Lease Management Services, Inc., dated</w:t>
            </w: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S-1</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10/01/2014</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as of December 11, 1997; as amended by Amendment to Warrant to Purchase 43,140 Shares of</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Common Stock by and between FibroGen, Inc. and General Electric Capital Corporation (as successor</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7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 interest to Lease Management Services, Inc.), dated as of December 9, 2003.</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4.8</w:t>
            </w:r>
          </w:p>
        </w:tc>
        <w:tc>
          <w:tcPr>
            <w:tcW w:w="7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Warrant to Purchase 4,000 Shares of Common Stock issued to Laurence S. Shushan and Magdalena</w:t>
            </w: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S-1</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10/01/2014</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7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Shushan, Trustees of The Laurence and Magdalena Shushan Family Trust, dated as of June 3, 1999.</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4.9</w:t>
            </w:r>
          </w:p>
        </w:tc>
        <w:tc>
          <w:tcPr>
            <w:tcW w:w="7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Warrant to Purchase 180,000 Shares of Common Stock issued to Slough Estates USA, Inc., dated as of</w:t>
            </w: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S-1</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10/01/2014</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7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June 3, 1999.</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4.10</w:t>
            </w:r>
          </w:p>
        </w:tc>
        <w:tc>
          <w:tcPr>
            <w:tcW w:w="7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Warrant to Purchase 11,076 Shares of Common Stock issued to Bristow Investments, L.P, dated as of</w:t>
            </w: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S-1</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10/01/2014</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7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February 8, 2000.</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4.11</w:t>
            </w:r>
          </w:p>
        </w:tc>
        <w:tc>
          <w:tcPr>
            <w:tcW w:w="7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Warrant to Purchase 2,769 Shares of Common Stock issued to Laurence S. Shushan and Magdalena</w:t>
            </w: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S-1</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10/01/2014</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7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Shushan, Trustees of The Laurence and Magdalena Shushan Family Trust, dated as of February 8, 2000.</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4.12</w:t>
            </w:r>
          </w:p>
        </w:tc>
        <w:tc>
          <w:tcPr>
            <w:tcW w:w="7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Warrant to Purchase 124,605 Shares of Common Stock issued to Slough Estates USA, Inc., dated as of</w:t>
            </w: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S-1</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10/01/2014</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7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February 8, 2000.</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4.13</w:t>
            </w:r>
          </w:p>
        </w:tc>
        <w:tc>
          <w:tcPr>
            <w:tcW w:w="7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Shareholders’ Agreement by and among FibroGen China Anemia Holdings, Ltd. and certain of its</w:t>
            </w: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S-1</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10/01/2014</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7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shareholders, dated as of July 11, 2012.</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4.14</w:t>
            </w:r>
          </w:p>
        </w:tc>
        <w:tc>
          <w:tcPr>
            <w:tcW w:w="7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Share Purchase Agreement by and among FibroGen China Anemia Holdings, Ltd. and the purchasers</w:t>
            </w: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S-1</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333-199069</w:t>
            </w:r>
          </w:p>
        </w:tc>
        <w:tc>
          <w:tcPr>
            <w:tcW w:w="10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10/01/2014</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78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party thereto, dated as of July 11, 2012.</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7860" w:type="dxa"/>
            <w:vAlign w:val="bottom"/>
            <w:gridSpan w:val="3"/>
          </w:tcPr>
          <w:p>
            <w:pPr>
              <w:ind w:left="5100"/>
              <w:spacing w:after="0"/>
              <w:rPr>
                <w:sz w:val="20"/>
                <w:szCs w:val="20"/>
                <w:color w:val="auto"/>
              </w:rPr>
            </w:pPr>
            <w:r>
              <w:rPr>
                <w:rFonts w:ascii="Times New Roman" w:cs="Times New Roman" w:eastAsia="Times New Roman" w:hAnsi="Times New Roman"/>
                <w:sz w:val="18"/>
                <w:szCs w:val="18"/>
                <w:color w:val="auto"/>
              </w:rPr>
              <w:t>68</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180" w:type="dxa"/>
            <w:vAlign w:val="bottom"/>
            <w:vMerge w:val="restart"/>
          </w:tcPr>
          <w:p>
            <w:pPr>
              <w:spacing w:after="0"/>
              <w:rPr>
                <w:sz w:val="13"/>
                <w:szCs w:val="13"/>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28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180" w:type="dxa"/>
            <w:vAlign w:val="bottom"/>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5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4.15</w:t>
            </w:r>
          </w:p>
        </w:tc>
        <w:tc>
          <w:tcPr>
            <w:tcW w:w="72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99"/>
              </w:rPr>
              <w:t>Common Stock Purchase Agreement by and between FibroGen, Inc. and AstraZeneca AB, dated</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72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as of October 20, 2014.</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2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FibroGen, Inc. Non-Employee Director Compensation Policy, as amended.</w:t>
            </w:r>
          </w:p>
        </w:tc>
        <w:tc>
          <w:tcPr>
            <w:tcW w:w="0" w:type="dxa"/>
            <w:vAlign w:val="bottom"/>
          </w:tcPr>
          <w:p>
            <w:pPr>
              <w:spacing w:after="0"/>
              <w:rPr>
                <w:sz w:val="1"/>
                <w:szCs w:val="1"/>
                <w:color w:val="auto"/>
              </w:rPr>
            </w:pPr>
          </w:p>
        </w:tc>
      </w:tr>
      <w:tr>
        <w:trPr>
          <w:trHeight w:val="324"/>
        </w:trPr>
        <w:tc>
          <w:tcPr>
            <w:tcW w:w="5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98"/>
              </w:rPr>
              <w:t>31.1*</w:t>
            </w:r>
          </w:p>
        </w:tc>
        <w:tc>
          <w:tcPr>
            <w:tcW w:w="72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Certification of Chief Executive Officer, as required by Rule 13a-14(a) or Rule 15d-14(a).</w:t>
            </w:r>
          </w:p>
        </w:tc>
        <w:tc>
          <w:tcPr>
            <w:tcW w:w="0" w:type="dxa"/>
            <w:vAlign w:val="bottom"/>
          </w:tcPr>
          <w:p>
            <w:pPr>
              <w:spacing w:after="0"/>
              <w:rPr>
                <w:sz w:val="1"/>
                <w:szCs w:val="1"/>
                <w:color w:val="auto"/>
              </w:rPr>
            </w:pPr>
          </w:p>
        </w:tc>
      </w:tr>
      <w:tr>
        <w:trPr>
          <w:trHeight w:val="324"/>
        </w:trPr>
        <w:tc>
          <w:tcPr>
            <w:tcW w:w="5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98"/>
              </w:rPr>
              <w:t>31.2*</w:t>
            </w:r>
          </w:p>
        </w:tc>
        <w:tc>
          <w:tcPr>
            <w:tcW w:w="72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Certification of Chief Financial Officer, as required by Rule 13a-14(a) or Rule 15d-14(a).</w:t>
            </w:r>
          </w:p>
        </w:tc>
        <w:tc>
          <w:tcPr>
            <w:tcW w:w="0" w:type="dxa"/>
            <w:vAlign w:val="bottom"/>
          </w:tcPr>
          <w:p>
            <w:pPr>
              <w:spacing w:after="0"/>
              <w:rPr>
                <w:sz w:val="1"/>
                <w:szCs w:val="1"/>
                <w:color w:val="auto"/>
              </w:rPr>
            </w:pPr>
          </w:p>
        </w:tc>
      </w:tr>
      <w:tr>
        <w:trPr>
          <w:trHeight w:val="306"/>
        </w:trPr>
        <w:tc>
          <w:tcPr>
            <w:tcW w:w="5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98"/>
              </w:rPr>
              <w:t>32.1*</w:t>
            </w:r>
          </w:p>
        </w:tc>
        <w:tc>
          <w:tcPr>
            <w:tcW w:w="72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Certification of Principal Executive Officer and Principal Financial Officer, as required by Rule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2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13a-14(b) or Rule 15d-14(b) and Section 1350 of Chapter 63 of Title 18 of the United States</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72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Code (18 U.S.C. §1350)(1).</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780" w:right="300" w:hanging="779"/>
        <w:spacing w:after="0" w:line="261" w:lineRule="auto"/>
        <w:tabs>
          <w:tab w:leader="none" w:pos="7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Financial statements from the quarterly report on Form 10-Q of the Company for the quarter ended March 31, 2015, formatted in XBRL: (i) the Condensed Consolidated Balance Sheets,</w:t>
      </w:r>
    </w:p>
    <w:p>
      <w:pPr>
        <w:ind w:left="780" w:right="140" w:hanging="2"/>
        <w:spacing w:after="0" w:line="255" w:lineRule="auto"/>
        <w:tabs>
          <w:tab w:leader="none" w:pos="104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Consolidated Statements of Operations (iii) the Condensed Consolidated Statement of Comprehensive Loss, (iv) the Condensed Consolidated Statements of Cash Flows and (v) the Notes to the Condensed Consolidated Financial Statements.</w:t>
      </w:r>
    </w:p>
    <w:p>
      <w:pPr>
        <w:spacing w:after="0" w:line="15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 management contract or compensatory plan.</w:t>
      </w:r>
    </w:p>
    <w:p>
      <w:pPr>
        <w:spacing w:after="0" w:line="1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44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20" w:type="dxa"/>
            <w:vAlign w:val="bottom"/>
            <w:tcBorders>
              <w:top w:val="single" w:sz="8" w:color="auto"/>
            </w:tcBorders>
            <w:vMerge w:val="restart"/>
          </w:tcPr>
          <w:p>
            <w:pPr>
              <w:spacing w:after="0"/>
              <w:rPr>
                <w:sz w:val="10"/>
                <w:szCs w:val="10"/>
                <w:color w:val="auto"/>
              </w:rPr>
            </w:pPr>
          </w:p>
        </w:tc>
        <w:tc>
          <w:tcPr>
            <w:tcW w:w="1120" w:type="dxa"/>
            <w:vAlign w:val="bottom"/>
            <w:tcBorders>
              <w:top w:val="single" w:sz="8" w:color="auto"/>
            </w:tcBorders>
            <w:gridSpan w:val="2"/>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SEC File</w:t>
            </w:r>
          </w:p>
        </w:tc>
        <w:tc>
          <w:tcPr>
            <w:tcW w:w="4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20" w:type="dxa"/>
            <w:vAlign w:val="bottom"/>
            <w:tcBorders>
              <w:top w:val="single" w:sz="8" w:color="auto"/>
            </w:tcBorders>
            <w:vMerge w:val="restart"/>
          </w:tcPr>
          <w:p>
            <w:pPr>
              <w:spacing w:after="0"/>
              <w:rPr>
                <w:sz w:val="10"/>
                <w:szCs w:val="10"/>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87"/>
        </w:trPr>
        <w:tc>
          <w:tcPr>
            <w:tcW w:w="44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9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No.</w:t>
            </w:r>
          </w:p>
        </w:tc>
        <w:tc>
          <w:tcPr>
            <w:tcW w:w="220" w:type="dxa"/>
            <w:vAlign w:val="bottom"/>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S-1/A   333-199069</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4.17</w:t>
            </w:r>
          </w:p>
        </w:tc>
        <w:tc>
          <w:tcPr>
            <w:tcW w:w="2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10/24/2014</w:t>
            </w:r>
          </w:p>
        </w:tc>
        <w:tc>
          <w:tcPr>
            <w:tcW w:w="0" w:type="dxa"/>
            <w:vAlign w:val="bottom"/>
          </w:tcPr>
          <w:p>
            <w:pPr>
              <w:spacing w:after="0"/>
              <w:rPr>
                <w:sz w:val="1"/>
                <w:szCs w:val="1"/>
                <w:color w:val="auto"/>
              </w:rPr>
            </w:pPr>
          </w:p>
        </w:tc>
      </w:tr>
      <w:tr>
        <w:trPr>
          <w:trHeight w:val="540"/>
        </w:trPr>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001-36740</w:t>
            </w:r>
          </w:p>
        </w:tc>
        <w:tc>
          <w:tcPr>
            <w:tcW w:w="22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03/26/2015</w:t>
            </w:r>
          </w:p>
        </w:tc>
        <w:tc>
          <w:tcPr>
            <w:tcW w:w="0" w:type="dxa"/>
            <w:vAlign w:val="bottom"/>
          </w:tcPr>
          <w:p>
            <w:pPr>
              <w:spacing w:after="0"/>
              <w:rPr>
                <w:sz w:val="1"/>
                <w:szCs w:val="1"/>
                <w:color w:val="auto"/>
              </w:rPr>
            </w:pPr>
          </w:p>
        </w:tc>
      </w:tr>
      <w:tr>
        <w:trPr>
          <w:trHeight w:val="324"/>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24"/>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24"/>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756"/>
        </w:trPr>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ectPr>
          <w:pgSz w:w="11900" w:h="16838" w:orient="portrait"/>
          <w:cols w:equalWidth="0" w:num="2">
            <w:col w:w="7760" w:space="300"/>
            <w:col w:w="3360"/>
          </w:cols>
          <w:pgMar w:left="240" w:top="455" w:right="2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B. Neff, certify that;</w:t>
      </w:r>
    </w:p>
    <w:p>
      <w:pPr>
        <w:spacing w:after="0" w:line="225" w:lineRule="exact"/>
        <w:rPr>
          <w:sz w:val="20"/>
          <w:szCs w:val="20"/>
          <w:color w:val="auto"/>
        </w:rPr>
      </w:pPr>
    </w:p>
    <w:p>
      <w:pPr>
        <w:ind w:left="180" w:hanging="172"/>
        <w:spacing w:after="0"/>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FibroGen, Inc.;</w:t>
      </w:r>
    </w:p>
    <w:p>
      <w:pPr>
        <w:spacing w:after="0" w:line="225"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0" w:firstLine="8"/>
        <w:spacing w:after="0" w:line="282"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right="500" w:firstLine="464"/>
        <w:spacing w:after="0" w:line="266" w:lineRule="auto"/>
        <w:tabs>
          <w:tab w:leader="none" w:pos="70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right="20" w:firstLine="464"/>
        <w:spacing w:after="0" w:line="282" w:lineRule="auto"/>
        <w:tabs>
          <w:tab w:leader="none" w:pos="71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60" w:firstLine="464"/>
        <w:spacing w:after="0" w:line="266" w:lineRule="auto"/>
        <w:tabs>
          <w:tab w:leader="none" w:pos="70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400" w:firstLine="464"/>
        <w:spacing w:after="0" w:line="282" w:lineRule="auto"/>
        <w:tabs>
          <w:tab w:leader="none" w:pos="70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340" w:firstLine="464"/>
        <w:spacing w:after="0" w:line="282" w:lineRule="auto"/>
        <w:tabs>
          <w:tab w:leader="none" w:pos="71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 May 12, 2015</w:t>
      </w:r>
      <w:r>
        <w:rPr>
          <w:sz w:val="20"/>
          <w:szCs w:val="20"/>
          <w:color w:val="auto"/>
        </w:rPr>
        <w:tab/>
      </w:r>
      <w:r>
        <w:rPr>
          <w:rFonts w:ascii="Times New Roman" w:cs="Times New Roman" w:eastAsia="Times New Roman" w:hAnsi="Times New Roman"/>
          <w:sz w:val="17"/>
          <w:szCs w:val="17"/>
          <w:color w:val="auto"/>
        </w:rPr>
        <w:t>/s/ Thomas B. Neff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Thomas B. Neff</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17" w:right="2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 Cotroneo, certify that;</w:t>
      </w:r>
    </w:p>
    <w:p>
      <w:pPr>
        <w:spacing w:after="0" w:line="225" w:lineRule="exact"/>
        <w:rPr>
          <w:sz w:val="20"/>
          <w:szCs w:val="20"/>
          <w:color w:val="auto"/>
        </w:rPr>
      </w:pPr>
    </w:p>
    <w:p>
      <w:pPr>
        <w:ind w:left="180" w:hanging="172"/>
        <w:spacing w:after="0"/>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FibroGen, Inc.;</w:t>
      </w:r>
    </w:p>
    <w:p>
      <w:pPr>
        <w:spacing w:after="0" w:line="225"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0" w:firstLine="8"/>
        <w:spacing w:after="0" w:line="282"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right="500" w:firstLine="464"/>
        <w:spacing w:after="0" w:line="266" w:lineRule="auto"/>
        <w:tabs>
          <w:tab w:leader="none" w:pos="70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right="20" w:firstLine="464"/>
        <w:spacing w:after="0" w:line="282" w:lineRule="auto"/>
        <w:tabs>
          <w:tab w:leader="none" w:pos="71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60" w:firstLine="464"/>
        <w:spacing w:after="0" w:line="266" w:lineRule="auto"/>
        <w:tabs>
          <w:tab w:leader="none" w:pos="70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400" w:firstLine="464"/>
        <w:spacing w:after="0" w:line="282" w:lineRule="auto"/>
        <w:tabs>
          <w:tab w:leader="none" w:pos="70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340" w:firstLine="464"/>
        <w:spacing w:after="0" w:line="282" w:lineRule="auto"/>
        <w:tabs>
          <w:tab w:leader="none" w:pos="71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 May 12, 2015</w:t>
      </w:r>
      <w:r>
        <w:rPr>
          <w:sz w:val="20"/>
          <w:szCs w:val="20"/>
          <w:color w:val="auto"/>
        </w:rPr>
        <w:tab/>
      </w:r>
      <w:r>
        <w:rPr>
          <w:rFonts w:ascii="Times New Roman" w:cs="Times New Roman" w:eastAsia="Times New Roman" w:hAnsi="Times New Roman"/>
          <w:sz w:val="17"/>
          <w:szCs w:val="17"/>
          <w:color w:val="auto"/>
        </w:rPr>
        <w:t>/s/ Pat Cotroneo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Pat Cotroneo</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Vice President, Finance and Chief Financial Officer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117" w:right="2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Thomas B. Neff, Chief Executive Officer of FibroGen, Inc. (the “Company”), and Pat Cotroneo, Chief Financial Officer of the Company, each hereby certifies that, to the best of his knowledge:</w:t>
      </w:r>
    </w:p>
    <w:p>
      <w:pPr>
        <w:spacing w:after="0" w:line="82" w:lineRule="exact"/>
        <w:rPr>
          <w:sz w:val="20"/>
          <w:szCs w:val="20"/>
          <w:color w:val="auto"/>
        </w:rPr>
      </w:pPr>
    </w:p>
    <w:p>
      <w:pPr>
        <w:ind w:left="460" w:right="540" w:hanging="452"/>
        <w:spacing w:after="0" w:line="282"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2015, to which this Certification is attached as Exhibit 32.1 (the “Quarterly Report”) fully complies with the requirements of Section 13(a) or Section 15(d) of the Exchange Act, and</w:t>
      </w:r>
    </w:p>
    <w:p>
      <w:pPr>
        <w:spacing w:after="0" w:line="67" w:lineRule="exact"/>
        <w:rPr>
          <w:rFonts w:ascii="Times New Roman" w:cs="Times New Roman" w:eastAsia="Times New Roman" w:hAnsi="Times New Roman"/>
          <w:sz w:val="18"/>
          <w:szCs w:val="18"/>
          <w:color w:val="auto"/>
        </w:rPr>
      </w:pPr>
    </w:p>
    <w:p>
      <w:pPr>
        <w:ind w:left="460" w:right="560" w:hanging="452"/>
        <w:spacing w:after="0" w:line="282"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have set their hands hereto as of the 12th day of May, 2015.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B. Neff</w:t>
            </w:r>
          </w:p>
        </w:tc>
        <w:tc>
          <w:tcPr>
            <w:tcW w:w="1840" w:type="dxa"/>
            <w:vAlign w:val="bottom"/>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Pat Cotroneo</w:t>
            </w:r>
          </w:p>
        </w:tc>
      </w:tr>
      <w:tr>
        <w:trPr>
          <w:trHeight w:val="205"/>
        </w:trPr>
        <w:tc>
          <w:tcPr>
            <w:tcW w:w="4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Thomas B. Neff</w:t>
            </w:r>
          </w:p>
        </w:tc>
        <w:tc>
          <w:tcPr>
            <w:tcW w:w="1840" w:type="dxa"/>
            <w:vAlign w:val="bottom"/>
          </w:tcPr>
          <w:p>
            <w:pPr>
              <w:spacing w:after="0"/>
              <w:rPr>
                <w:sz w:val="17"/>
                <w:szCs w:val="17"/>
                <w:color w:val="auto"/>
              </w:rPr>
            </w:pPr>
          </w:p>
        </w:tc>
        <w:tc>
          <w:tcPr>
            <w:tcW w:w="4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Pat Cotroneo</w:t>
            </w:r>
          </w:p>
        </w:tc>
      </w:t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c>
          <w:tcPr>
            <w:tcW w:w="184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Finance and Chief Financial Officer</w:t>
            </w:r>
          </w:p>
        </w:tc>
      </w:tr>
    </w:tbl>
    <w:p>
      <w:pPr>
        <w:spacing w:after="0" w:line="19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decimal"/>
      <w:start w:val="2"/>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1)"/>
      <w:numFmt w:val="lowerRoman"/>
      <w:start w:val="2"/>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1)"/>
      <w:numFmt w:val="lowerRoman"/>
      <w:start w:val="2"/>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1)"/>
      <w:numFmt w:val="lowerRoman"/>
      <w:start w:val="2"/>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1."/>
      <w:numFmt w:val="decimal"/>
      <w:start w:val="3"/>
    </w:lvl>
  </w:abstractNum>
  <w:abstractNum w:abstractNumId="16">
    <w:nsid w:val="3006C83E"/>
    <w:multiLevelType w:val="hybridMultilevel"/>
    <w:lvl w:ilvl="0">
      <w:lvlJc w:val="left"/>
      <w:lvlText w:val="%1."/>
      <w:numFmt w:val="decimal"/>
      <w:start w:val="5"/>
    </w:lvl>
  </w:abstractNum>
  <w:abstractNum w:abstractNumId="17">
    <w:nsid w:val="614FD4A1"/>
    <w:multiLevelType w:val="hybridMultilevel"/>
    <w:lvl w:ilvl="0">
      <w:lvlJc w:val="left"/>
      <w:lvlText w:val="%1."/>
      <w:numFmt w:val="decimal"/>
      <w:start w:val="6"/>
    </w:lvl>
  </w:abstractNum>
  <w:abstractNum w:abstractNumId="18">
    <w:nsid w:val="419AC241"/>
    <w:multiLevelType w:val="hybridMultilevel"/>
    <w:lvl w:ilvl="0">
      <w:lvlJc w:val="left"/>
      <w:lvlText w:val="%1."/>
      <w:numFmt w:val="decimal"/>
      <w:start w:val="7"/>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
      <w:numFmt w:val="bullet"/>
      <w:start w:val="1"/>
    </w:lvl>
    <w:lvl w:ilvl="1">
      <w:lvlJc w:val="left"/>
      <w:lvlText w:val="(%2)"/>
      <w:numFmt w:val="lowerRoman"/>
      <w:start w:val="2"/>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2019-12-29T18:10:10Z</dcterms:created>
  <dcterms:modified xsi:type="dcterms:W3CDTF">2019-12-29T18:10:10Z</dcterms:modified>
</cp:coreProperties>
</file>