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360" w:right="360" w:hanging="339"/>
        <w:spacing w:after="0" w:line="237"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360" w:right="360" w:hanging="339"/>
        <w:spacing w:after="0" w:line="262" w:lineRule="auto"/>
        <w:tabs>
          <w:tab w:leader="none" w:pos="3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4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400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52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60" w:type="dxa"/>
            <w:vAlign w:val="bottom"/>
          </w:tcPr>
          <w:p>
            <w:pPr>
              <w:jc w:val="right"/>
              <w:ind w:right="1817"/>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51"/>
        </w:trPr>
        <w:tc>
          <w:tcPr>
            <w:tcW w:w="80" w:type="dxa"/>
            <w:vAlign w:val="bottom"/>
          </w:tcPr>
          <w:p>
            <w:pPr>
              <w:spacing w:after="0"/>
              <w:rPr>
                <w:sz w:val="13"/>
                <w:szCs w:val="13"/>
                <w:color w:val="auto"/>
              </w:rPr>
            </w:pPr>
          </w:p>
        </w:tc>
        <w:tc>
          <w:tcPr>
            <w:tcW w:w="3400" w:type="dxa"/>
            <w:vAlign w:val="bottom"/>
            <w:gridSpan w:val="2"/>
          </w:tcPr>
          <w:p>
            <w:pPr>
              <w:jc w:val="center"/>
              <w:ind w:left="85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160" w:type="dxa"/>
            <w:vAlign w:val="bottom"/>
          </w:tcPr>
          <w:p>
            <w:pPr>
              <w:jc w:val="center"/>
              <w:ind w:right="1397"/>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0" w:type="dxa"/>
            <w:vAlign w:val="bottom"/>
          </w:tcPr>
          <w:p>
            <w:pPr>
              <w:spacing w:after="0"/>
              <w:rPr>
                <w:sz w:val="16"/>
                <w:szCs w:val="16"/>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60" w:type="dxa"/>
            <w:vAlign w:val="bottom"/>
          </w:tcPr>
          <w:p>
            <w:pPr>
              <w:jc w:val="center"/>
              <w:ind w:right="14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8"/>
        </w:trPr>
        <w:tc>
          <w:tcPr>
            <w:tcW w:w="80" w:type="dxa"/>
            <w:vAlign w:val="bottom"/>
          </w:tcPr>
          <w:p>
            <w:pPr>
              <w:spacing w:after="0"/>
              <w:rPr>
                <w:sz w:val="24"/>
                <w:szCs w:val="24"/>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rPr>
              <w:t>409 Illinois Street</w:t>
            </w: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3400" w:type="dxa"/>
            <w:vAlign w:val="bottom"/>
            <w:gridSpan w:val="2"/>
          </w:tcPr>
          <w:p>
            <w:pPr>
              <w:jc w:val="center"/>
              <w:ind w:left="837"/>
              <w:spacing w:after="0"/>
              <w:rPr>
                <w:sz w:val="20"/>
                <w:szCs w:val="20"/>
                <w:color w:val="auto"/>
              </w:rPr>
            </w:pPr>
            <w:r>
              <w:rPr>
                <w:rFonts w:ascii="Times New Roman" w:cs="Times New Roman" w:eastAsia="Times New Roman" w:hAnsi="Times New Roman"/>
                <w:sz w:val="18"/>
                <w:szCs w:val="18"/>
                <w:b w:val="1"/>
                <w:bCs w:val="1"/>
                <w:color w:val="auto"/>
              </w:rPr>
              <w:t>San Francisco, CA</w:t>
            </w:r>
          </w:p>
        </w:tc>
        <w:tc>
          <w:tcPr>
            <w:tcW w:w="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160" w:type="dxa"/>
            <w:vAlign w:val="bottom"/>
          </w:tcPr>
          <w:p>
            <w:pPr>
              <w:jc w:val="right"/>
              <w:ind w:right="2017"/>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3"/>
        </w:trPr>
        <w:tc>
          <w:tcPr>
            <w:tcW w:w="80" w:type="dxa"/>
            <w:vAlign w:val="bottom"/>
          </w:tcPr>
          <w:p>
            <w:pPr>
              <w:spacing w:after="0"/>
              <w:rPr>
                <w:sz w:val="16"/>
                <w:szCs w:val="16"/>
                <w:color w:val="auto"/>
              </w:rPr>
            </w:pPr>
          </w:p>
        </w:tc>
        <w:tc>
          <w:tcPr>
            <w:tcW w:w="3400" w:type="dxa"/>
            <w:vAlign w:val="bottom"/>
            <w:gridSpan w:val="2"/>
          </w:tcPr>
          <w:p>
            <w:pPr>
              <w:jc w:val="center"/>
              <w:ind w:left="8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60" w:type="dxa"/>
            <w:vAlign w:val="bottom"/>
          </w:tcPr>
          <w:p>
            <w:pPr>
              <w:jc w:val="center"/>
              <w:ind w:right="141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4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(415) 978-1200</w:t>
            </w:r>
          </w:p>
        </w:tc>
        <w:tc>
          <w:tcPr>
            <w:tcW w:w="9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190"/>
        </w:trPr>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60" w:type="dxa"/>
            <w:vAlign w:val="bottom"/>
          </w:tcPr>
          <w:p>
            <w:pPr>
              <w:spacing w:after="0"/>
              <w:rPr>
                <w:sz w:val="16"/>
                <w:szCs w:val="16"/>
                <w:color w:val="auto"/>
              </w:rPr>
            </w:pPr>
          </w:p>
        </w:tc>
      </w:tr>
      <w:tr>
        <w:trPr>
          <w:trHeight w:val="64"/>
        </w:trPr>
        <w:tc>
          <w:tcPr>
            <w:tcW w:w="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3"/>
        </w:trPr>
        <w:tc>
          <w:tcPr>
            <w:tcW w:w="7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160" w:type="dxa"/>
            <w:vAlign w:val="bottom"/>
          </w:tcPr>
          <w:p>
            <w:pPr>
              <w:spacing w:after="0"/>
              <w:rPr>
                <w:sz w:val="22"/>
                <w:szCs w:val="22"/>
                <w:color w:val="auto"/>
              </w:rPr>
            </w:pPr>
          </w:p>
        </w:tc>
      </w:tr>
      <w:tr>
        <w:trPr>
          <w:trHeight w:val="98"/>
        </w:trPr>
        <w:tc>
          <w:tcPr>
            <w:tcW w:w="80" w:type="dxa"/>
            <w:vAlign w:val="bottom"/>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gridSpan w:val="2"/>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r>
      <w:tr>
        <w:trPr>
          <w:trHeight w:val="184"/>
        </w:trPr>
        <w:tc>
          <w:tcPr>
            <w:tcW w:w="80" w:type="dxa"/>
            <w:vAlign w:val="bottom"/>
            <w:tcBorders>
              <w:right w:val="single" w:sz="8" w:color="auto"/>
            </w:tcBorders>
          </w:tcPr>
          <w:p>
            <w:pPr>
              <w:spacing w:after="0"/>
              <w:rPr>
                <w:sz w:val="15"/>
                <w:szCs w:val="15"/>
                <w:color w:val="auto"/>
              </w:rPr>
            </w:pPr>
          </w:p>
        </w:tc>
        <w:tc>
          <w:tcPr>
            <w:tcW w:w="3240" w:type="dxa"/>
            <w:vAlign w:val="bottom"/>
            <w:tcBorders>
              <w:right w:val="single" w:sz="8" w:color="auto"/>
            </w:tcBorders>
          </w:tcPr>
          <w:p>
            <w:pPr>
              <w:ind w:left="940"/>
              <w:spacing w:after="0" w:line="184"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6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1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65"/>
        </w:trPr>
        <w:tc>
          <w:tcPr>
            <w:tcW w:w="80" w:type="dxa"/>
            <w:vAlign w:val="bottom"/>
            <w:tcBorders>
              <w:right w:val="single" w:sz="8" w:color="auto"/>
            </w:tcBorders>
          </w:tcPr>
          <w:p>
            <w:pPr>
              <w:spacing w:after="0"/>
              <w:rPr>
                <w:sz w:val="23"/>
                <w:szCs w:val="23"/>
                <w:color w:val="auto"/>
              </w:rPr>
            </w:pPr>
          </w:p>
        </w:tc>
        <w:tc>
          <w:tcPr>
            <w:tcW w:w="324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0"/>
        </w:trPr>
        <w:tc>
          <w:tcPr>
            <w:tcW w:w="8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16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7"/>
              </w:rPr>
              <w:t>FGEN</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49" w:lineRule="exact"/>
        <w:rPr>
          <w:sz w:val="24"/>
          <w:szCs w:val="24"/>
          <w:color w:val="auto"/>
        </w:rPr>
      </w:pPr>
    </w:p>
    <w:p>
      <w:pPr>
        <w:jc w:val="both"/>
        <w:ind w:right="40" w:firstLine="5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firstLine="562"/>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40" w:firstLine="562"/>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 w:lineRule="exact"/>
        <w:rPr>
          <w:sz w:val="24"/>
          <w:szCs w:val="24"/>
          <w:color w:val="auto"/>
        </w:rPr>
      </w:pPr>
    </w:p>
    <w:p>
      <w:pPr>
        <w:ind w:right="220" w:firstLine="569"/>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80" w:right="15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outstanding as of April 30, 2024 was 99,475,398.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8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40" w:type="dxa"/>
            <w:vAlign w:val="bottom"/>
            <w:gridSpan w:val="15"/>
          </w:tcPr>
          <w:p>
            <w:pPr>
              <w:jc w:val="center"/>
              <w:ind w:right="3880"/>
              <w:spacing w:after="0" w:line="182" w:lineRule="exact"/>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440" w:type="dxa"/>
            <w:vAlign w:val="bottom"/>
          </w:tcPr>
          <w:p>
            <w:pPr>
              <w:spacing w:after="0"/>
              <w:rPr>
                <w:sz w:val="15"/>
                <w:szCs w:val="15"/>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160" w:type="dxa"/>
            <w:vAlign w:val="bottom"/>
            <w:tcBorders>
              <w:top w:val="single" w:sz="8" w:color="0000FF"/>
            </w:tcBorders>
            <w:gridSpan w:val="7"/>
          </w:tcPr>
          <w:p>
            <w:pPr>
              <w:spacing w:after="0"/>
              <w:rPr>
                <w:sz w:val="24"/>
                <w:szCs w:val="24"/>
                <w:color w:val="auto"/>
              </w:rPr>
            </w:pPr>
          </w:p>
        </w:tc>
        <w:tc>
          <w:tcPr>
            <w:tcW w:w="388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7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2024 and December 31, 2023 (Unaudited)</w:t>
            </w:r>
          </w:p>
        </w:tc>
        <w:tc>
          <w:tcPr>
            <w:tcW w:w="20" w:type="dxa"/>
            <w:vAlign w:val="bottom"/>
            <w:tcBorders>
              <w:bottom w:val="single" w:sz="8" w:color="0000EE"/>
            </w:tcBorders>
          </w:tcPr>
          <w:p>
            <w:pPr>
              <w:spacing w:after="0"/>
              <w:rPr>
                <w:sz w:val="19"/>
                <w:szCs w:val="19"/>
                <w:color w:val="auto"/>
              </w:rPr>
            </w:pPr>
          </w:p>
        </w:tc>
        <w:tc>
          <w:tcPr>
            <w:tcW w:w="2660" w:type="dxa"/>
            <w:vAlign w:val="bottom"/>
            <w:gridSpan w:val="5"/>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20" w:type="dxa"/>
            <w:vAlign w:val="bottom"/>
          </w:tcPr>
          <w:p>
            <w:pPr>
              <w:spacing w:after="0"/>
              <w:rPr>
                <w:sz w:val="19"/>
                <w:szCs w:val="19"/>
                <w:color w:val="auto"/>
              </w:rPr>
            </w:pP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Months Ended March 31,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20" w:type="dxa"/>
            <w:vAlign w:val="bottom"/>
          </w:tcPr>
          <w:p>
            <w:pPr>
              <w:spacing w:after="0"/>
              <w:rPr>
                <w:sz w:val="19"/>
                <w:szCs w:val="19"/>
                <w:color w:val="auto"/>
              </w:rPr>
            </w:pPr>
          </w:p>
        </w:tc>
        <w:tc>
          <w:tcPr>
            <w:tcW w:w="928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Deficit for the Three Months Ended March 31, 2024 and 2023</w:t>
            </w:r>
          </w:p>
        </w:tc>
        <w:tc>
          <w:tcPr>
            <w:tcW w:w="20" w:type="dxa"/>
            <w:vAlign w:val="bottom"/>
            <w:tcBorders>
              <w:bottom w:val="single" w:sz="8" w:color="0000FF"/>
            </w:tcBorders>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86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 (Unaudited)</w:t>
            </w:r>
          </w:p>
        </w:tc>
        <w:tc>
          <w:tcPr>
            <w:tcW w:w="1260" w:type="dxa"/>
            <w:vAlign w:val="bottom"/>
            <w:gridSpan w:val="3"/>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20" w:type="dxa"/>
            <w:vAlign w:val="bottom"/>
          </w:tcPr>
          <w:p>
            <w:pPr>
              <w:spacing w:after="0"/>
              <w:rPr>
                <w:sz w:val="19"/>
                <w:szCs w:val="19"/>
                <w:color w:val="auto"/>
              </w:rPr>
            </w:pPr>
          </w:p>
        </w:tc>
        <w:tc>
          <w:tcPr>
            <w:tcW w:w="5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 (Unaudited)</w:t>
            </w:r>
          </w:p>
        </w:tc>
        <w:tc>
          <w:tcPr>
            <w:tcW w:w="20" w:type="dxa"/>
            <w:vAlign w:val="bottom"/>
            <w:tcBorders>
              <w:bottom w:val="single" w:sz="8" w:color="0000EE"/>
            </w:tcBorders>
          </w:tcPr>
          <w:p>
            <w:pPr>
              <w:spacing w:after="0"/>
              <w:rPr>
                <w:sz w:val="19"/>
                <w:szCs w:val="19"/>
                <w:color w:val="auto"/>
              </w:rPr>
            </w:pPr>
          </w:p>
        </w:tc>
        <w:tc>
          <w:tcPr>
            <w:tcW w:w="4680" w:type="dxa"/>
            <w:vAlign w:val="bottom"/>
            <w:gridSpan w:val="10"/>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5"/>
          </w:tcPr>
          <w:p>
            <w:pPr>
              <w:spacing w:after="0"/>
              <w:rPr>
                <w:sz w:val="19"/>
                <w:szCs w:val="19"/>
                <w:color w:val="auto"/>
              </w:rPr>
            </w:pPr>
          </w:p>
        </w:tc>
        <w:tc>
          <w:tcPr>
            <w:tcW w:w="3420" w:type="dxa"/>
            <w:vAlign w:val="bottom"/>
            <w:gridSpan w:val="7"/>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71"/>
        </w:trPr>
        <w:tc>
          <w:tcPr>
            <w:tcW w:w="9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15"/>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440" w:type="dxa"/>
            <w:vAlign w:val="bottom"/>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60" w:type="dxa"/>
            <w:vAlign w:val="bottom"/>
            <w:gridSpan w:val="5"/>
          </w:tcPr>
          <w:p>
            <w:pPr>
              <w:spacing w:after="0"/>
              <w:rPr>
                <w:sz w:val="24"/>
                <w:szCs w:val="24"/>
                <w:color w:val="auto"/>
              </w:rPr>
            </w:pPr>
          </w:p>
        </w:tc>
        <w:tc>
          <w:tcPr>
            <w:tcW w:w="2860" w:type="dxa"/>
            <w:vAlign w:val="bottom"/>
            <w:tcBorders>
              <w:top w:val="single" w:sz="8" w:color="0000FF"/>
            </w:tcBorders>
            <w:gridSpan w:val="5"/>
          </w:tcPr>
          <w:p>
            <w:pPr>
              <w:spacing w:after="0"/>
              <w:rPr>
                <w:sz w:val="24"/>
                <w:szCs w:val="24"/>
                <w:color w:val="auto"/>
              </w:rPr>
            </w:pPr>
          </w:p>
        </w:tc>
        <w:tc>
          <w:tcPr>
            <w:tcW w:w="402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9"/>
                <w:szCs w:val="19"/>
                <w:color w:val="auto"/>
              </w:rPr>
            </w:pPr>
          </w:p>
        </w:tc>
        <w:tc>
          <w:tcPr>
            <w:tcW w:w="8940" w:type="dxa"/>
            <w:vAlign w:val="bottom"/>
            <w:gridSpan w:val="22"/>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520" w:type="dxa"/>
            <w:vAlign w:val="bottom"/>
            <w:gridSpan w:val="13"/>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9"/>
                <w:szCs w:val="19"/>
                <w:color w:val="auto"/>
              </w:rPr>
            </w:pPr>
          </w:p>
        </w:tc>
        <w:tc>
          <w:tcPr>
            <w:tcW w:w="7560" w:type="dxa"/>
            <w:vAlign w:val="bottom"/>
            <w:gridSpan w:val="16"/>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560" w:type="dxa"/>
            <w:vAlign w:val="bottom"/>
            <w:gridSpan w:val="20"/>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9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20" w:type="dxa"/>
            <w:vAlign w:val="bottom"/>
            <w:gridSpan w:val="2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98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682"/>
        </w:trPr>
        <w:tc>
          <w:tcPr>
            <w:tcW w:w="9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420" w:type="dxa"/>
            <w:vAlign w:val="bottom"/>
            <w:gridSpan w:val="13"/>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105,734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Accounts receivable, net ($7,122 and $6,079 from related parties)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37,083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36,150</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41,855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278,167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331,559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time deposits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method investment in unconsolidated variable interest entity</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64,751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365,868</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423,529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deficit</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and other current liabilities ($45,870 and $39,814 to a related party)</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164,286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 ($7,901 and $7,220 to related parties)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15,231</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Product development obligations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net of current ($2,343 and $9,705 to a related party)</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147,118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62,511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Senior secured term loan facilities, non-current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72,213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Liability related to sale of future revenues, non-current</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52,216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 ($2,458 and $656 to a related party)</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552,023</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585,728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80" w:type="dxa"/>
            <w:vAlign w:val="bottom"/>
            <w:shd w:val="clear" w:color="auto" w:fill="CFF0FC"/>
          </w:tcPr>
          <w:p>
            <w:pPr>
              <w:ind w:left="180"/>
              <w:spacing w:after="0" w:line="139" w:lineRule="exact"/>
              <w:rPr>
                <w:sz w:val="20"/>
                <w:szCs w:val="20"/>
                <w:color w:val="auto"/>
              </w:rPr>
            </w:pPr>
            <w:r>
              <w:rPr>
                <w:rFonts w:ascii="Times New Roman" w:cs="Times New Roman" w:eastAsia="Times New Roman" w:hAnsi="Times New Roman"/>
                <w:sz w:val="14"/>
                <w:szCs w:val="14"/>
                <w:color w:val="auto"/>
              </w:rPr>
              <w:t>Preferred stock, $0.01 par value; 125,000 shares authorized; no shares issued</w:t>
            </w:r>
          </w:p>
        </w:tc>
        <w:tc>
          <w:tcPr>
            <w:tcW w:w="180" w:type="dxa"/>
            <w:vAlign w:val="bottom"/>
            <w:shd w:val="clear" w:color="auto" w:fill="CFF0FC"/>
          </w:tcPr>
          <w:p>
            <w:pPr>
              <w:spacing w:after="0"/>
              <w:rPr>
                <w:sz w:val="12"/>
                <w:szCs w:val="12"/>
                <w:color w:val="auto"/>
              </w:rPr>
            </w:pPr>
          </w:p>
        </w:tc>
        <w:tc>
          <w:tcPr>
            <w:tcW w:w="166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and outstanding at March 31, 2024 and December 31, 2023</w:t>
            </w:r>
          </w:p>
        </w:tc>
        <w:tc>
          <w:tcPr>
            <w:tcW w:w="180" w:type="dxa"/>
            <w:vAlign w:val="bottom"/>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8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Common stock, $0.01 par value; 225,000 shares authorized at March 31, 2024</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December 31, 2023; 99,474 and 98,770 shares issued and outstanding at</w:t>
            </w:r>
          </w:p>
        </w:tc>
        <w:tc>
          <w:tcPr>
            <w:tcW w:w="18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March 31, 2024 and December 31, 2023</w:t>
            </w: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1,652,243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(6,507 )</w:t>
            </w:r>
          </w:p>
        </w:tc>
        <w:tc>
          <w:tcPr>
            <w:tcW w:w="100" w:type="dxa"/>
            <w:vAlign w:val="bottom"/>
          </w:tcPr>
          <w:p>
            <w:pPr>
              <w:spacing w:after="0"/>
              <w:rPr>
                <w:sz w:val="15"/>
                <w:szCs w:val="15"/>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(6,875 )</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(1,874,853 )</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(1,841,920 )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deficit attributable to FibroGen</w:t>
            </w:r>
          </w:p>
        </w:tc>
        <w:tc>
          <w:tcPr>
            <w:tcW w:w="18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(228,122 )</w:t>
            </w:r>
          </w:p>
        </w:tc>
        <w:tc>
          <w:tcPr>
            <w:tcW w:w="100" w:type="dxa"/>
            <w:vAlign w:val="bottom"/>
          </w:tcPr>
          <w:p>
            <w:pPr>
              <w:spacing w:after="0"/>
              <w:rPr>
                <w:sz w:val="14"/>
                <w:szCs w:val="14"/>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(204,166 )</w:t>
            </w:r>
          </w:p>
        </w:tc>
        <w:tc>
          <w:tcPr>
            <w:tcW w:w="0" w:type="dxa"/>
            <w:vAlign w:val="bottom"/>
          </w:tcPr>
          <w:p>
            <w:pPr>
              <w:spacing w:after="0"/>
              <w:rPr>
                <w:sz w:val="1"/>
                <w:szCs w:val="1"/>
                <w:color w:val="auto"/>
              </w:rPr>
            </w:pPr>
          </w:p>
        </w:tc>
      </w:tr>
      <w:tr>
        <w:trPr>
          <w:trHeight w:val="175"/>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8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2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Total deficit</w:t>
            </w:r>
          </w:p>
        </w:tc>
        <w:tc>
          <w:tcPr>
            <w:tcW w:w="18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(207,635 )</w:t>
            </w:r>
          </w:p>
        </w:tc>
        <w:tc>
          <w:tcPr>
            <w:tcW w:w="100" w:type="dxa"/>
            <w:vAlign w:val="bottom"/>
          </w:tcPr>
          <w:p>
            <w:pPr>
              <w:spacing w:after="0"/>
              <w:rPr>
                <w:sz w:val="14"/>
                <w:szCs w:val="14"/>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(183,679 )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deficit</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365,868</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423,529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-4405630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-4405630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-3728085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-3728085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-2802255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-2802255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-496570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-496570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-264795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-264795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Development and other revenue (includes $294 and $1,624</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from a related party)</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 (includes $27,113 and $21,372</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from a related party)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Drug product revenue, net (includes $1,184 and $2,109</w:t>
            </w:r>
          </w:p>
        </w:tc>
        <w:tc>
          <w:tcPr>
            <w:tcW w:w="108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from a related party)</w:t>
            </w:r>
          </w:p>
        </w:tc>
        <w:tc>
          <w:tcPr>
            <w:tcW w:w="10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300" w:type="dxa"/>
            <w:vAlign w:val="bottom"/>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(31,063 )</w:t>
            </w:r>
          </w:p>
        </w:tc>
        <w:tc>
          <w:tcPr>
            <w:tcW w:w="10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(76,091 )</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(4,996 )</w:t>
            </w:r>
          </w:p>
        </w:tc>
        <w:tc>
          <w:tcPr>
            <w:tcW w:w="10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(2,372 )</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10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3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0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(2,426 )</w:t>
            </w:r>
          </w:p>
        </w:tc>
        <w:tc>
          <w:tcPr>
            <w:tcW w:w="10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(1,336 )</w:t>
            </w:r>
          </w:p>
        </w:tc>
        <w:tc>
          <w:tcPr>
            <w:tcW w:w="0" w:type="dxa"/>
            <w:vAlign w:val="bottom"/>
          </w:tcPr>
          <w:p>
            <w:pPr>
              <w:spacing w:after="0"/>
              <w:rPr>
                <w:sz w:val="1"/>
                <w:szCs w:val="1"/>
                <w:color w:val="auto"/>
              </w:rPr>
            </w:pPr>
          </w:p>
        </w:tc>
      </w:tr>
      <w:tr>
        <w:trPr>
          <w:trHeight w:val="241"/>
        </w:trPr>
        <w:tc>
          <w:tcPr>
            <w:tcW w:w="74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(33,489 )</w:t>
            </w:r>
          </w:p>
        </w:tc>
        <w:tc>
          <w:tcPr>
            <w:tcW w:w="10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(77,427 )</w:t>
            </w:r>
          </w:p>
        </w:tc>
        <w:tc>
          <w:tcPr>
            <w:tcW w:w="0" w:type="dxa"/>
            <w:vAlign w:val="bottom"/>
          </w:tcPr>
          <w:p>
            <w:pPr>
              <w:spacing w:after="0"/>
              <w:rPr>
                <w:sz w:val="1"/>
                <w:szCs w:val="1"/>
                <w:color w:val="auto"/>
              </w:rPr>
            </w:pPr>
          </w:p>
        </w:tc>
      </w:tr>
      <w:tr>
        <w:trPr>
          <w:trHeight w:val="245"/>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income in unconsolidated variable</w:t>
            </w:r>
          </w:p>
        </w:tc>
        <w:tc>
          <w:tcPr>
            <w:tcW w:w="108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entity</w:t>
            </w:r>
          </w:p>
        </w:tc>
        <w:tc>
          <w:tcPr>
            <w:tcW w:w="10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(32,933 )</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(76,705 )</w:t>
            </w:r>
          </w:p>
        </w:tc>
        <w:tc>
          <w:tcPr>
            <w:tcW w:w="0" w:type="dxa"/>
            <w:vAlign w:val="bottom"/>
          </w:tcPr>
          <w:p>
            <w:pPr>
              <w:spacing w:after="0"/>
              <w:rPr>
                <w:sz w:val="1"/>
                <w:szCs w:val="1"/>
                <w:color w:val="auto"/>
              </w:rPr>
            </w:pPr>
          </w:p>
        </w:tc>
      </w:tr>
      <w:tr>
        <w:trPr>
          <w:trHeight w:val="226"/>
        </w:trPr>
        <w:tc>
          <w:tcPr>
            <w:tcW w:w="7420" w:type="dxa"/>
            <w:vAlign w:val="bottom"/>
            <w:tcBorders>
              <w:top w:val="single" w:sz="8" w:color="CFF0FC"/>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(0.33 )</w:t>
            </w:r>
          </w:p>
        </w:tc>
        <w:tc>
          <w:tcPr>
            <w:tcW w:w="104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(0.81 )</w:t>
            </w: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to calculate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98,982</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-3736975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5787390</wp:posOffset>
            </wp:positionH>
            <wp:positionV relativeFrom="paragraph">
              <wp:posOffset>-2814955</wp:posOffset>
            </wp:positionV>
            <wp:extent cx="9398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-2814955</wp:posOffset>
            </wp:positionV>
            <wp:extent cx="93980"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-1859280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-779145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3"/>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(32,933 )   $</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(76,705 )</w:t>
            </w: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r>
      <w:tr>
        <w:trPr>
          <w:trHeight w:val="23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10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(24 )</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21"/>
                <w:szCs w:val="21"/>
                <w:color w:val="auto"/>
              </w:rPr>
            </w:pPr>
          </w:p>
        </w:tc>
      </w:tr>
      <w:tr>
        <w:trPr>
          <w:trHeight w:val="236"/>
        </w:trPr>
        <w:tc>
          <w:tcPr>
            <w:tcW w:w="7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 net of taxes</w:t>
            </w:r>
          </w:p>
        </w:tc>
        <w:tc>
          <w:tcPr>
            <w:tcW w:w="10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tcBorders>
              <w:top w:val="single" w:sz="8" w:color="CFF0FC"/>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top w:val="single" w:sz="8" w:color="CFF0FC"/>
            </w:tcBorders>
          </w:tcPr>
          <w:p>
            <w:pPr>
              <w:spacing w:after="0"/>
              <w:rPr>
                <w:sz w:val="20"/>
                <w:szCs w:val="20"/>
                <w:color w:val="auto"/>
              </w:rPr>
            </w:pPr>
          </w:p>
        </w:tc>
      </w:tr>
      <w:tr>
        <w:trPr>
          <w:trHeight w:val="25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(32,565 )</w:t>
            </w:r>
          </w:p>
        </w:tc>
        <w:tc>
          <w:tcPr>
            <w:tcW w:w="102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(75,555 )</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-350520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4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Nonredeemable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Redeemable</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1460" w:type="dxa"/>
            <w:vAlign w:val="bottom"/>
            <w:tcBorders>
              <w:bottom w:val="single" w:sz="8" w:color="auto"/>
            </w:tcBorders>
            <w:gridSpan w:val="3"/>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Non-Controlling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Non-Controlling</w:t>
            </w: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w w:val="93"/>
              </w:rPr>
              <w:t>Interests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(Note 3)</w:t>
            </w:r>
          </w:p>
        </w:tc>
        <w:tc>
          <w:tcPr>
            <w:tcW w:w="0" w:type="dxa"/>
            <w:vAlign w:val="bottom"/>
          </w:tcPr>
          <w:p>
            <w:pPr>
              <w:spacing w:after="0"/>
              <w:rPr>
                <w:sz w:val="1"/>
                <w:szCs w:val="1"/>
                <w:color w:val="auto"/>
              </w:rPr>
            </w:pPr>
          </w:p>
        </w:tc>
      </w:tr>
      <w:tr>
        <w:trPr>
          <w:trHeight w:val="141"/>
        </w:trPr>
        <w:tc>
          <w:tcPr>
            <w:tcW w:w="1920" w:type="dxa"/>
            <w:vAlign w:val="bottom"/>
            <w:shd w:val="clear" w:color="auto" w:fill="CFF0FC"/>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98,770,247</w:t>
            </w:r>
          </w:p>
        </w:tc>
        <w:tc>
          <w:tcPr>
            <w:tcW w:w="5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4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1,643,641</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(6,875 )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(1,841,920 )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(183,679 )</w:t>
            </w:r>
          </w:p>
        </w:tc>
        <w:tc>
          <w:tcPr>
            <w:tcW w:w="10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(32,933 )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(32,933 )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704,151</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99,474,398</w:t>
            </w:r>
          </w:p>
        </w:tc>
        <w:tc>
          <w:tcPr>
            <w:tcW w:w="5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4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1,652,243</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(6,507 )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(1,874,853 )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20,487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(207,635 )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21,480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920" w:type="dxa"/>
            <w:vAlign w:val="bottom"/>
            <w:shd w:val="clear" w:color="auto" w:fill="CFF0FC"/>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92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920" w:type="dxa"/>
            <w:vAlign w:val="bottom"/>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94,166,086</w:t>
            </w:r>
          </w:p>
        </w:tc>
        <w:tc>
          <w:tcPr>
            <w:tcW w:w="5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4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1,541,019</w:t>
            </w:r>
          </w:p>
        </w:tc>
        <w:tc>
          <w:tcPr>
            <w:tcW w:w="24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(5,720 )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(1,557,688 )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(1,480 )</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60" w:type="dxa"/>
            <w:vAlign w:val="bottom"/>
            <w:vMerge w:val="continue"/>
            <w:shd w:val="clear" w:color="auto" w:fill="CFF0FC"/>
          </w:tcPr>
          <w:p>
            <w:pPr>
              <w:spacing w:after="0"/>
              <w:rPr>
                <w:sz w:val="16"/>
                <w:szCs w:val="16"/>
                <w:color w:val="auto"/>
              </w:rPr>
            </w:pPr>
          </w:p>
        </w:tc>
        <w:tc>
          <w:tcPr>
            <w:tcW w:w="50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900" w:type="dxa"/>
            <w:vAlign w:val="bottom"/>
            <w:tcBorders>
              <w:right w:val="single" w:sz="8" w:color="auto"/>
            </w:tcBorders>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(76,705 )</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(76,705 )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or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w:t>
            </w:r>
          </w:p>
        </w:tc>
        <w:tc>
          <w:tcPr>
            <w:tcW w:w="9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under ATM</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1,541,579</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31,116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31,131</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Program</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from stock</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plans, net of payroll</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915,644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taxes paid</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16,112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16,112</w:t>
            </w:r>
          </w:p>
        </w:tc>
        <w:tc>
          <w:tcPr>
            <w:tcW w:w="2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right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2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96,623,309</w:t>
            </w: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1,589,145</w:t>
            </w:r>
          </w:p>
        </w:tc>
        <w:tc>
          <w:tcPr>
            <w:tcW w:w="2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(4,570 )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(1,634,393 )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(28,885 )</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192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-2065020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-2047875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-2065020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-2047875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-2065020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-2047875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-2065020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-2047875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-2065020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-2047875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-2065020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-2047875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-2065020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-2047875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-213995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-213995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-213995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-213995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-213995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-213995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-213995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340" w:type="dxa"/>
            <w:vAlign w:val="bottom"/>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3"/>
                <w:szCs w:val="13"/>
                <w:color w:val="auto"/>
              </w:rPr>
            </w:pPr>
          </w:p>
        </w:tc>
      </w:tr>
      <w:tr>
        <w:trPr>
          <w:trHeight w:val="16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(32,933 )</w:t>
            </w:r>
          </w:p>
        </w:tc>
        <w:tc>
          <w:tcPr>
            <w:tcW w:w="72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(76,705 )</w:t>
            </w: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w:t>
            </w:r>
          </w:p>
        </w:tc>
        <w:tc>
          <w:tcPr>
            <w:tcW w:w="10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finance lease right-of-use assets</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accretion of premium and discount on investments</w:t>
            </w:r>
          </w:p>
        </w:tc>
        <w:tc>
          <w:tcPr>
            <w:tcW w:w="102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(1,294 )</w:t>
            </w: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(689 )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income in unconsolidated variable interest entity</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(589 )</w:t>
            </w: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(796 )</w:t>
            </w: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16,112</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interest expense related to sale of future revenues</w:t>
            </w:r>
          </w:p>
        </w:tc>
        <w:tc>
          <w:tcPr>
            <w:tcW w:w="10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Impairment of investment</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Realized loss on sales of available-for-sale securities</w:t>
            </w:r>
          </w:p>
        </w:tc>
        <w:tc>
          <w:tcPr>
            <w:tcW w:w="10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2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(24,685 )</w:t>
            </w: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(1,299 )</w:t>
            </w:r>
          </w:p>
        </w:tc>
      </w:tr>
      <w:tr>
        <w:trPr>
          <w:trHeight w:val="17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13,786</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(1,940 )</w:t>
            </w: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(13,587 )</w:t>
            </w: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40,473</w:t>
            </w:r>
          </w:p>
        </w:tc>
        <w:tc>
          <w:tcPr>
            <w:tcW w:w="100" w:type="dxa"/>
            <w:vAlign w:val="bottom"/>
            <w:shd w:val="clear" w:color="auto" w:fill="CFF0FC"/>
          </w:tcPr>
          <w:p>
            <w:pPr>
              <w:spacing w:after="0"/>
              <w:rPr>
                <w:sz w:val="15"/>
                <w:szCs w:val="15"/>
                <w:color w:val="auto"/>
              </w:rPr>
            </w:pP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102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(2,989 )</w:t>
            </w: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(66,266 )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(371 )</w:t>
            </w:r>
          </w:p>
        </w:tc>
      </w:tr>
      <w:tr>
        <w:trPr>
          <w:trHeight w:val="176"/>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02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(10,202 )</w:t>
            </w: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(18,877 )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interest expense related to sale of future revenues</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(3,638 )</w:t>
            </w: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interest for finance lease liabilities</w:t>
            </w:r>
          </w:p>
        </w:tc>
        <w:tc>
          <w:tcPr>
            <w:tcW w:w="10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(56 )</w:t>
            </w:r>
          </w:p>
        </w:tc>
      </w:tr>
      <w:tr>
        <w:trPr>
          <w:trHeight w:val="17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(4,001 )</w:t>
            </w: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(2,720 )</w:t>
            </w:r>
          </w:p>
        </w:tc>
      </w:tr>
      <w:tr>
        <w:trPr>
          <w:trHeight w:val="175"/>
        </w:trPr>
        <w:tc>
          <w:tcPr>
            <w:tcW w:w="7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5"/>
                <w:szCs w:val="15"/>
                <w:color w:val="auto"/>
              </w:rPr>
            </w:pPr>
          </w:p>
        </w:tc>
      </w:tr>
      <w:tr>
        <w:trPr>
          <w:trHeight w:val="16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(59,288 )</w:t>
            </w:r>
          </w:p>
        </w:tc>
        <w:tc>
          <w:tcPr>
            <w:tcW w:w="7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(101,591 )</w:t>
            </w:r>
          </w:p>
        </w:tc>
      </w:tr>
      <w:tr>
        <w:trPr>
          <w:trHeight w:val="169"/>
        </w:trPr>
        <w:tc>
          <w:tcPr>
            <w:tcW w:w="734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2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(29 )</w:t>
            </w: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(591 )</w:t>
            </w: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(8,628 )</w:t>
            </w: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(2,472 )</w:t>
            </w: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available-for-sale securities</w:t>
            </w:r>
          </w:p>
        </w:tc>
        <w:tc>
          <w:tcPr>
            <w:tcW w:w="10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5"/>
                <w:szCs w:val="15"/>
                <w:color w:val="auto"/>
              </w:rPr>
            </w:pPr>
          </w:p>
        </w:tc>
      </w:tr>
      <w:tr>
        <w:trPr>
          <w:trHeight w:val="175"/>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10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59,933</w:t>
            </w:r>
          </w:p>
        </w:tc>
        <w:tc>
          <w:tcPr>
            <w:tcW w:w="3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104,815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51,276</w:t>
            </w: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103,482</w:t>
            </w:r>
          </w:p>
        </w:tc>
        <w:tc>
          <w:tcPr>
            <w:tcW w:w="100" w:type="dxa"/>
            <w:vAlign w:val="bottom"/>
          </w:tcPr>
          <w:p>
            <w:pPr>
              <w:spacing w:after="0"/>
              <w:rPr>
                <w:sz w:val="14"/>
                <w:szCs w:val="14"/>
                <w:color w:val="auto"/>
              </w:rPr>
            </w:pPr>
          </w:p>
        </w:tc>
      </w:tr>
      <w:tr>
        <w:trPr>
          <w:trHeight w:val="169"/>
        </w:trPr>
        <w:tc>
          <w:tcPr>
            <w:tcW w:w="73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Repayments of finance lease liabilities</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(12 )</w:t>
            </w: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(71 )</w:t>
            </w: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lease obligations</w:t>
            </w:r>
          </w:p>
        </w:tc>
        <w:tc>
          <w:tcPr>
            <w:tcW w:w="10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(101 )</w:t>
            </w:r>
          </w:p>
        </w:tc>
      </w:tr>
      <w:tr>
        <w:trPr>
          <w:trHeight w:val="17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payroll taxes on restricted stock unit releases</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(153 )</w:t>
            </w:r>
          </w:p>
        </w:tc>
        <w:tc>
          <w:tcPr>
            <w:tcW w:w="7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ATM Program, net of commissions</w:t>
            </w:r>
          </w:p>
        </w:tc>
        <w:tc>
          <w:tcPr>
            <w:tcW w:w="1020" w:type="dxa"/>
            <w:vAlign w:val="bottom"/>
          </w:tcPr>
          <w:p>
            <w:pPr>
              <w:spacing w:after="0"/>
              <w:rPr>
                <w:sz w:val="15"/>
                <w:szCs w:val="15"/>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100" w:type="dxa"/>
            <w:vAlign w:val="bottom"/>
          </w:tcPr>
          <w:p>
            <w:pPr>
              <w:spacing w:after="0"/>
              <w:rPr>
                <w:sz w:val="15"/>
                <w:szCs w:val="15"/>
                <w:color w:val="auto"/>
              </w:rPr>
            </w:pPr>
          </w:p>
        </w:tc>
      </w:tr>
      <w:tr>
        <w:trPr>
          <w:trHeight w:val="17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plans</w:t>
            </w:r>
          </w:p>
        </w:tc>
        <w:tc>
          <w:tcPr>
            <w:tcW w:w="10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FF0FC"/>
          </w:tcPr>
          <w:p>
            <w:pPr>
              <w:spacing w:after="0"/>
              <w:rPr>
                <w:sz w:val="15"/>
                <w:szCs w:val="15"/>
                <w:color w:val="auto"/>
              </w:rPr>
            </w:pPr>
          </w:p>
        </w:tc>
      </w:tr>
      <w:tr>
        <w:trPr>
          <w:trHeight w:val="169"/>
        </w:trPr>
        <w:tc>
          <w:tcPr>
            <w:tcW w:w="73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0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3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7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31,485</w:t>
            </w:r>
          </w:p>
        </w:tc>
        <w:tc>
          <w:tcPr>
            <w:tcW w:w="100" w:type="dxa"/>
            <w:vAlign w:val="bottom"/>
          </w:tcPr>
          <w:p>
            <w:pPr>
              <w:spacing w:after="0"/>
              <w:rPr>
                <w:sz w:val="14"/>
                <w:szCs w:val="14"/>
                <w:color w:val="auto"/>
              </w:rPr>
            </w:pPr>
          </w:p>
        </w:tc>
      </w:tr>
      <w:tr>
        <w:trPr>
          <w:trHeight w:val="16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 on cash and cash equivalents</w:t>
            </w:r>
          </w:p>
        </w:tc>
        <w:tc>
          <w:tcPr>
            <w:tcW w:w="10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3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(526 )</w:t>
            </w:r>
          </w:p>
        </w:tc>
      </w:tr>
      <w:tr>
        <w:trPr>
          <w:trHeight w:val="20"/>
        </w:trPr>
        <w:tc>
          <w:tcPr>
            <w:tcW w:w="73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20" w:type="dxa"/>
            <w:vAlign w:val="bottom"/>
          </w:tcPr>
          <w:p>
            <w:pPr>
              <w:spacing w:after="0"/>
              <w:rPr>
                <w:sz w:val="14"/>
                <w:szCs w:val="14"/>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(7,954 )</w:t>
            </w: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32,850</w:t>
            </w:r>
          </w:p>
        </w:tc>
        <w:tc>
          <w:tcPr>
            <w:tcW w:w="100" w:type="dxa"/>
            <w:vAlign w:val="bottom"/>
          </w:tcPr>
          <w:p>
            <w:pPr>
              <w:spacing w:after="0"/>
              <w:rPr>
                <w:sz w:val="14"/>
                <w:szCs w:val="14"/>
                <w:color w:val="auto"/>
              </w:rPr>
            </w:pPr>
          </w:p>
        </w:tc>
      </w:tr>
      <w:tr>
        <w:trPr>
          <w:trHeight w:val="175"/>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at beginning of period</w:t>
            </w:r>
          </w:p>
        </w:tc>
        <w:tc>
          <w:tcPr>
            <w:tcW w:w="10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113,688</w:t>
            </w:r>
          </w:p>
        </w:tc>
        <w:tc>
          <w:tcPr>
            <w:tcW w:w="3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155,700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 at end of period</w:t>
            </w:r>
          </w:p>
        </w:tc>
        <w:tc>
          <w:tcPr>
            <w:tcW w:w="102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105,734</w:t>
            </w: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188,550</w:t>
            </w:r>
          </w:p>
        </w:tc>
        <w:tc>
          <w:tcPr>
            <w:tcW w:w="10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-2202180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-1525270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-629285</wp:posOffset>
            </wp:positionV>
            <wp:extent cx="939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-629285</wp:posOffset>
            </wp:positionV>
            <wp:extent cx="9398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-376555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-145415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8480" w:firstLine="8"/>
        <w:spacing w:after="0" w:line="378" w:lineRule="auto"/>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Description of Operations</w:t>
      </w: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FibroGen, Inc. (“FibroGen” or the “Company”) is headquartered in San Francisco, California, with subsidiary offices in Beijing and Shanghai, People’s Republic of China (“China”). FibroGen is developing and commercializing a diversified pipeline of novel therapeutics that work at the frontier of cancer biology and anemia.</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Pamrevlumab, a human monoclonal antibody targeting connective tissue growth factor, is in Phase 3 clinical development for the treatment of locally advanced unresectable pancreatic cancer. Pamrevlumab is also in Phase 2/3 development for the treatment of metastatic pancreatic cancer. To date, the Company has retained exclusive worldwide rights for pamrevlumab.</w:t>
      </w:r>
    </w:p>
    <w:p>
      <w:pPr>
        <w:spacing w:after="0" w:line="183" w:lineRule="exact"/>
        <w:rPr>
          <w:sz w:val="20"/>
          <w:szCs w:val="20"/>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Roxadustat is an oral small molecule inhibitor of HIF prolyl hydroxylase activity.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in China, Europe, Japan, and numerous other countries for the treatment of anemia in chronic kidney disease (“CKD”) for patients who are on dialysis and not on dialysis. Roxadustat is in clinical development for chemotherapy-induced anemia in China.</w:t>
      </w:r>
    </w:p>
    <w:p>
      <w:pPr>
        <w:spacing w:after="0" w:line="2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FibroGen is also developing earlier stage clinical and preclinical product candidates, FG-3246, FG-3165 and FG-3175, to address unmet patient needs in oncology.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 For any VIE for which FibroGen is not the primary beneficiary, the Company uses the equity method of accounting.</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operates as one reportable segment — the discovery, development and commercialization of novel therapeutics to treat serious unmet medical needs.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2023, filed on February 26, 2024.</w:t>
      </w:r>
    </w:p>
    <w:p>
      <w:pPr>
        <w:spacing w:after="0" w:line="1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Based on its current operating plan, which contemplates the maintenance of a minimum balance of $30 million of unrestricted cash and cash equivalents held in accounts in the U.S., as required under the debt covenants associated with the senior secured term loan facilities, the Company believes that its existing cash and cash equivalents, short-term investments and accounts receivable will be sufficient to meet its anticipated cash requirements for at least the next 12 months from the date of issuance of the financial statements. However, the Company may need additional capital to fund its operations and its liquidity assumptions may materially differ. For example, the Company may utilize its available financial resources sooner than it currently expects and may incur additional expenses. In addition, the Company may elect to raise additional funds at any time through equity, equity-linked, debt financing arrangements or from other sources.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accounting policies used by the Company in its presentation of interim financial results are consistent with those presented in Note 2 to the consolidated financial statements included in the Company’s Annual Report on Form 10-K for the year ended December 31, 2023, filed on February 26,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Potential common shares that would have the effect of increasing diluted earnings per share are considered to be anti-dilutive and as such, these shares are not included in the calculation of diluted earnings per share. The Company reported a net loss for each of the three months ended March 31, 2024 and 2023. Therefore, dilutive common shares are not assumed to have been issued since their effect is anti-dilutive for these periods.</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tcPr>
          <w:p>
            <w:pPr>
              <w:spacing w:after="0"/>
              <w:rPr>
                <w:sz w:val="16"/>
                <w:szCs w:val="16"/>
                <w:color w:val="auto"/>
              </w:rPr>
            </w:pPr>
          </w:p>
        </w:tc>
        <w:tc>
          <w:tcPr>
            <w:tcW w:w="314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40" w:type="dxa"/>
            <w:vAlign w:val="bottom"/>
          </w:tcPr>
          <w:p>
            <w:pPr>
              <w:spacing w:after="0"/>
              <w:rPr>
                <w:sz w:val="14"/>
                <w:szCs w:val="14"/>
                <w:color w:val="auto"/>
              </w:rPr>
            </w:pPr>
          </w:p>
        </w:tc>
        <w:tc>
          <w:tcPr>
            <w:tcW w:w="20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options</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shd w:val="clear" w:color="auto" w:fill="CFF0FC"/>
          </w:tcPr>
          <w:p>
            <w:pPr>
              <w:spacing w:after="0"/>
              <w:rPr>
                <w:sz w:val="20"/>
                <w:szCs w:val="20"/>
                <w:color w:val="auto"/>
              </w:rPr>
            </w:pPr>
          </w:p>
        </w:tc>
      </w:tr>
      <w:tr>
        <w:trPr>
          <w:trHeight w:val="23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PRSUs and TSR awards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20"/>
                <w:szCs w:val="20"/>
                <w:color w:val="auto"/>
              </w:rPr>
            </w:pPr>
          </w:p>
        </w:tc>
      </w:tr>
      <w:tr>
        <w:trPr>
          <w:trHeight w:val="24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21"/>
                <w:szCs w:val="21"/>
                <w:color w:val="auto"/>
              </w:rPr>
            </w:pPr>
          </w:p>
        </w:tc>
      </w:tr>
      <w:tr>
        <w:trPr>
          <w:trHeight w:val="237"/>
        </w:trPr>
        <w:tc>
          <w:tcPr>
            <w:tcW w:w="684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00" w:type="dxa"/>
            <w:vAlign w:val="bottom"/>
          </w:tcPr>
          <w:p>
            <w:pPr>
              <w:spacing w:after="0"/>
              <w:rPr>
                <w:sz w:val="20"/>
                <w:szCs w:val="20"/>
                <w:color w:val="auto"/>
              </w:rPr>
            </w:pPr>
          </w:p>
        </w:tc>
      </w:tr>
      <w:tr>
        <w:trPr>
          <w:trHeight w:val="20"/>
        </w:trPr>
        <w:tc>
          <w:tcPr>
            <w:tcW w:w="68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 Not Yet Adopted</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280): Improvements to Reportable Segment Disclosures, </w:t>
      </w:r>
      <w:r>
        <w:rPr>
          <w:rFonts w:ascii="Times New Roman" w:cs="Times New Roman" w:eastAsia="Times New Roman" w:hAnsi="Times New Roman"/>
          <w:sz w:val="18"/>
          <w:szCs w:val="18"/>
          <w:color w:val="auto"/>
        </w:rPr>
        <w:t>which requires all public entities, including public entities with a single reportable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in interim and annual periods one or more measures of segment profit or loss used by the chief operating decision maker to allocate resources and assess performance. In addition, this guidance requires disclosures of significant segment expenses and other segment items as well as incremental qualitative disclosures. This guidance is effective for fiscal years beginning after December 15, 2023, and interim periods after December 15, 2024, with retrospective application required, and early adoption permitted. The Company is currently in the process of evaluating the effects of this guidance on its related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This guidance is effective for annual periods beginning after December 15, 2024, with early adoption permitted. The Company is currently in the process of evaluating the impact of this pronouncement on its related disclosures.</w:t>
      </w:r>
    </w:p>
    <w:p>
      <w:pPr>
        <w:spacing w:after="0" w:line="289" w:lineRule="exact"/>
        <w:rPr>
          <w:sz w:val="20"/>
          <w:szCs w:val="20"/>
          <w:color w:val="auto"/>
        </w:rPr>
      </w:pPr>
    </w:p>
    <w:p>
      <w:pPr>
        <w:ind w:right="6180" w:firstLine="8"/>
        <w:spacing w:after="0" w:line="376" w:lineRule="auto"/>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 License Agreement and Revenues Astellas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2005, the Company entered into a collaboration agreement with Astellas Pharma Inc.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consideration received through March 31, 2024 totaled $105.1 million, excluding drug product revenue that is discussed under the </w:t>
      </w:r>
      <w:r>
        <w:rPr>
          <w:rFonts w:ascii="Times New Roman" w:cs="Times New Roman" w:eastAsia="Times New Roman" w:hAnsi="Times New Roman"/>
          <w:sz w:val="18"/>
          <w:szCs w:val="18"/>
          <w:i w:val="1"/>
          <w:iCs w:val="1"/>
          <w:color w:val="auto"/>
        </w:rPr>
        <w:t xml:space="preserve">Drug Product Revenue, Net </w:t>
      </w:r>
      <w:r>
        <w:rPr>
          <w:rFonts w:ascii="Times New Roman" w:cs="Times New Roman" w:eastAsia="Times New Roman" w:hAnsi="Times New Roman"/>
          <w:sz w:val="18"/>
          <w:szCs w:val="18"/>
          <w:color w:val="auto"/>
        </w:rPr>
        <w:t>section below. Based on its current development plans for roxadustat in Japan, the Company does not expect to receive most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the additional potential milestones under the Astellas Japan Agreement.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Japan Agreement were not material for the three months ended March 31, 2024 and 2023.</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March 31, 2024 and accounts receivable has been allocated to each of the following performance obligations under the Astellas Japan Agreement (in thousands):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Astellas Japan Agreement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87"/>
        </w:trPr>
        <w:tc>
          <w:tcPr>
            <w:tcW w:w="5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7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three months ended March 31, 2024 under the Astellas Japan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aggregate amount of consideration received under the Astellas Europe Agreement through March 31, 2024 totaled $685.0 million, excluding drug product revenue that is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Based on its current development plans for roxadustat in Europe, the Company does not expect to receive most or all of the additional potential milestones under the Astellas Europe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Amounts recognized as license revenue and development revenue under the Astellas Europe Agreement were as follows for the three months ended March 31,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80" w:type="dxa"/>
            <w:vAlign w:val="bottom"/>
          </w:tcPr>
          <w:p>
            <w:pPr>
              <w:spacing w:after="0"/>
              <w:rPr>
                <w:sz w:val="16"/>
                <w:szCs w:val="16"/>
                <w:color w:val="auto"/>
              </w:rPr>
            </w:pPr>
          </w:p>
        </w:tc>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80" w:type="dxa"/>
            <w:vAlign w:val="bottom"/>
            <w:vMerge w:val="restart"/>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280" w:type="dxa"/>
            <w:vAlign w:val="bottom"/>
            <w:shd w:val="clear" w:color="auto" w:fill="CFF0FC"/>
          </w:tcPr>
          <w:p>
            <w:pPr>
              <w:spacing w:after="0"/>
              <w:rPr>
                <w:sz w:val="20"/>
                <w:szCs w:val="20"/>
                <w:color w:val="auto"/>
              </w:rPr>
            </w:pPr>
          </w:p>
        </w:tc>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2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transaction price related to consideration received through March 31, 2024 and accounts receivable has been allocated to each of the following performance obligations under the Astellas Europe Agreement as follows (in thousands):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Astellas Europe Agreement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87"/>
        </w:trPr>
        <w:tc>
          <w:tcPr>
            <w:tcW w:w="5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w:t>
            </w:r>
          </w:p>
        </w:tc>
        <w:tc>
          <w:tcPr>
            <w:tcW w:w="7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618,975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revenue</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license and development revenue</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905,979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three months ended March 31, 2024 under the Astellas Europe Agreement. The Company does not expect material variable consideration from estimated future co-development billing beyond the development period in the transaction price related to the Astellas Japan Agreement.</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U.S./Rest of World (“RoW”) Agreement</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(“AstraZeneca U.S./RoW Agreement”).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23, 2024, the Company and AstraZeneca entered into an agreement to terminate the AstraZeneca U.S./RoW Agreement, effective as of February 25, 2024. Pursuant to the termination and transition agreement, AstraZeneca returns all of their non-China roxadustat rights to the Company, with the exception of South Korea, and provides certain assistance during a transition period. In addition, as a part of this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aggregate amount of consideration for milestone and upfront payments received under the AstraZeneca U.S./RoW Agreement through the termination totaled $439.0 million, excluding drug product revenue under the Master Supply Agreement with AstraZeneca under the AstraZeneca U.S./RoW Agreement (“AstraZeneca Master Supply Agreement”), entered in 2020, which is described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below. In addition, resulting from the above-mentioned termination and transition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recorded a cumulative catch-up adjustment as described under the </w:t>
      </w:r>
      <w:r>
        <w:rPr>
          <w:rFonts w:ascii="Times New Roman" w:cs="Times New Roman" w:eastAsia="Times New Roman" w:hAnsi="Times New Roman"/>
          <w:sz w:val="18"/>
          <w:szCs w:val="18"/>
          <w:i w:val="1"/>
          <w:iCs w:val="1"/>
          <w:color w:val="auto"/>
        </w:rPr>
        <w:t>Drug Product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section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collaboration agreement with AstraZeneca for roxadustat in China, as described below, remains in place.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Agreement</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Effective July 30, 2013, the Company (through its subsidiaries affiliated with China) entered into a collaboration agreement with AstraZeneca for roxadustat for the treatment of anemia in China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AstraZeneca China Amendment in 2020 as discussed below, and provides for joint development costs (including capital and equipment costs for construction of the manufacturing plant in China), to be shared equally during the development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amount of such consideration received for milestone and upfront payments through March 31, 2024 totaled $77.2 million.</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18, 2023, the Company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U.S./RoW Agreement and the AstraZeneca China Agreement, $3.5 million of which was recognized as revenue during the third quarter of 2023 from performance obligations satisfied or partially satisfied. As of March 31, 2024, the $4.0 million milestone was recorded as a contract asset and was fully netted against the contract liabilities (deferred revenue) related to the AstraZeneca China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July 2020, FibroGen China Anemia Holdings, Ltd., FibroGen (China) Medical Technology Development Co., Ltd. (“FibroGen Beijing”), and FibroGen International (Hong Kong) Limited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Beijing Falikang Pharmaceutical Co., Ltd. (“Falikang”), which performs roxadustat distribution, as well as conducts sales and marketing through AstraZeneca.</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 The net product revenue from the sales to Falikang and the net product revenue from direct sales distributors in China are described under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below.</w:t>
      </w:r>
    </w:p>
    <w:p>
      <w:pPr>
        <w:spacing w:after="0" w:line="180"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Prior to the above-mentioned termination of the AstraZeneca U.S./RoW Agreement, the Company evaluated under the ASC 606 and accounted for the AstraZeneca U.S./RoW Agreement and the AstraZeneca China Agreement as a single arrangement with the presumption that two or more agreements executed with a single customer at or around the same time should be presumed to be a single arrangement. As a result of the termination of the AstraZeneca U.S./RoW Agreement, during the three months ended March 31, 2024, the Company recorded the final development revenue under the AstraZeneca U.S./RoW Agreement and AstraZeneca China Agreement. Amounts recognized as license revenue and development revenue under the AstraZeneca U.S./RoW Agreement and AstraZeneca China Agreement were as follows for the three months ended March 31, 2024 and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6"/>
                <w:szCs w:val="16"/>
                <w:color w:val="auto"/>
              </w:rPr>
            </w:pPr>
          </w:p>
        </w:tc>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20" w:type="dxa"/>
            <w:vAlign w:val="bottom"/>
            <w:vMerge w:val="restart"/>
          </w:tcPr>
          <w:p>
            <w:pPr>
              <w:spacing w:after="0"/>
              <w:rPr>
                <w:sz w:val="16"/>
                <w:szCs w:val="16"/>
                <w:color w:val="auto"/>
              </w:rPr>
            </w:pPr>
          </w:p>
        </w:tc>
        <w:tc>
          <w:tcPr>
            <w:tcW w:w="306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AstraZeneca U.S./RoW Agreement and AstraZeneca</w:t>
            </w:r>
          </w:p>
        </w:tc>
        <w:tc>
          <w:tcPr>
            <w:tcW w:w="220" w:type="dxa"/>
            <w:vAlign w:val="bottom"/>
            <w:shd w:val="clear" w:color="auto" w:fill="CFF0FC"/>
          </w:tcPr>
          <w:p>
            <w:pPr>
              <w:spacing w:after="0"/>
              <w:rPr>
                <w:sz w:val="17"/>
                <w:szCs w:val="17"/>
                <w:color w:val="auto"/>
              </w:rPr>
            </w:pPr>
          </w:p>
        </w:tc>
        <w:tc>
          <w:tcPr>
            <w:tcW w:w="306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Development revenue</w:t>
            </w:r>
          </w:p>
        </w:tc>
        <w:tc>
          <w:tcPr>
            <w:tcW w:w="1140" w:type="dxa"/>
            <w:vAlign w:val="bottom"/>
            <w:shd w:val="clear" w:color="auto" w:fill="CFF0FC"/>
          </w:tcPr>
          <w:p>
            <w:pPr>
              <w:jc w:val="right"/>
              <w:ind w:right="96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468</w:t>
            </w:r>
          </w:p>
        </w:tc>
        <w:tc>
          <w:tcPr>
            <w:tcW w:w="1440" w:type="dxa"/>
            <w:vAlign w:val="bottom"/>
            <w:gridSpan w:val="2"/>
            <w:shd w:val="clear" w:color="auto" w:fill="CFF0FC"/>
          </w:tcPr>
          <w:p>
            <w:pPr>
              <w:jc w:val="right"/>
              <w:ind w:right="888"/>
              <w:spacing w:after="0" w:line="205"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Agreement</w:t>
            </w:r>
          </w:p>
        </w:tc>
        <w:tc>
          <w:tcPr>
            <w:tcW w:w="220" w:type="dxa"/>
            <w:vAlign w:val="bottom"/>
            <w:shd w:val="clear" w:color="auto" w:fill="CFF0FC"/>
          </w:tcPr>
          <w:p>
            <w:pPr>
              <w:spacing w:after="0"/>
              <w:rPr>
                <w:sz w:val="21"/>
                <w:szCs w:val="21"/>
                <w:color w:val="auto"/>
              </w:rPr>
            </w:pPr>
          </w:p>
        </w:tc>
        <w:tc>
          <w:tcPr>
            <w:tcW w:w="2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transaction price related to consideration received and accounts receivable through the termination of the AstraZeneca U.S./RoW Agreement has been allocated to each of the performance obligations under the AstraZeneca U.S./RoW Agreement and AstraZeneca China Agreement, including $344.5 million for license, $625.6 million for co-development, information sharing and committee services, and $399.5 million for China performance obligation (with cumulative revenue of $222.9 million through March 31, 2024) that is recognized as product revenue, as described under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below.</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was no license revenue or development revenue resulting from changes to estimated variable consideration in the current period relating to performance obligations satisfied or partially satisfied in previous periods for the three months ended March 31, 2024 under the AstraZeneca U.S./RoW Agreement through the agreement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Product revenue, net from the sales of roxadustat commercial product in China was as follows for the three months ended March 31,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 Sales:</w:t>
            </w:r>
          </w:p>
        </w:tc>
        <w:tc>
          <w:tcPr>
            <w:tcW w:w="1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1180" w:type="dxa"/>
            <w:vAlign w:val="bottom"/>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8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Discounts and rebates</w:t>
            </w:r>
          </w:p>
        </w:tc>
        <w:tc>
          <w:tcPr>
            <w:tcW w:w="1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(360 )</w:t>
            </w:r>
          </w:p>
        </w:tc>
        <w:tc>
          <w:tcPr>
            <w:tcW w:w="8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(273 )</w:t>
            </w:r>
          </w:p>
        </w:tc>
      </w:tr>
      <w:tr>
        <w:trPr>
          <w:trHeight w:val="24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returns</w:t>
            </w:r>
          </w:p>
        </w:tc>
        <w:tc>
          <w:tcPr>
            <w:tcW w:w="11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(1 )</w:t>
            </w:r>
          </w:p>
        </w:tc>
        <w:tc>
          <w:tcPr>
            <w:tcW w:w="8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r>
      <w:tr>
        <w:trPr>
          <w:trHeight w:val="237"/>
        </w:trPr>
        <w:tc>
          <w:tcPr>
            <w:tcW w:w="6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Direct sales revenue, net</w:t>
            </w:r>
          </w:p>
        </w:tc>
        <w:tc>
          <w:tcPr>
            <w:tcW w:w="118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8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to Falikang:</w:t>
            </w:r>
          </w:p>
        </w:tc>
        <w:tc>
          <w:tcPr>
            <w:tcW w:w="1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transaction price</w:t>
            </w:r>
          </w:p>
        </w:tc>
        <w:tc>
          <w:tcPr>
            <w:tcW w:w="1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Profit share</w:t>
            </w:r>
          </w:p>
        </w:tc>
        <w:tc>
          <w:tcPr>
            <w:tcW w:w="1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(19,023 )</w:t>
            </w:r>
          </w:p>
        </w:tc>
        <w:tc>
          <w:tcPr>
            <w:tcW w:w="8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(14,988 )</w:t>
            </w:r>
          </w:p>
        </w:tc>
      </w:tr>
      <w:tr>
        <w:trPr>
          <w:trHeight w:val="232"/>
        </w:trPr>
        <w:tc>
          <w:tcPr>
            <w:tcW w:w="6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transaction price</w:t>
            </w:r>
          </w:p>
        </w:tc>
        <w:tc>
          <w:tcPr>
            <w:tcW w:w="1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24,537</w:t>
            </w:r>
          </w:p>
        </w:tc>
        <w:tc>
          <w:tcPr>
            <w:tcW w:w="380" w:type="dxa"/>
            <w:vAlign w:val="bottom"/>
            <w:tcBorders>
              <w:top w:val="single" w:sz="8" w:color="CFF0F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00" w:type="dxa"/>
            <w:vAlign w:val="bottom"/>
            <w:tcBorders>
              <w:top w:val="single" w:sz="8" w:color="CFF0FC"/>
            </w:tcBorders>
          </w:tcPr>
          <w:p>
            <w:pPr>
              <w:spacing w:after="0"/>
              <w:rPr>
                <w:sz w:val="20"/>
                <w:szCs w:val="20"/>
                <w:color w:val="auto"/>
              </w:rPr>
            </w:pPr>
          </w:p>
        </w:tc>
      </w:tr>
      <w:tr>
        <w:trPr>
          <w:trHeight w:val="247"/>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1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to Falikang revenue, net</w:t>
            </w:r>
          </w:p>
        </w:tc>
        <w:tc>
          <w:tcPr>
            <w:tcW w:w="1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27,113</w:t>
            </w: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100" w:type="dxa"/>
            <w:vAlign w:val="bottom"/>
          </w:tcPr>
          <w:p>
            <w:pPr>
              <w:spacing w:after="0"/>
              <w:rPr>
                <w:sz w:val="20"/>
                <w:szCs w:val="20"/>
                <w:color w:val="auto"/>
              </w:rPr>
            </w:pPr>
          </w:p>
        </w:tc>
      </w:tr>
      <w:tr>
        <w:trPr>
          <w:trHeight w:val="276"/>
        </w:trPr>
        <w:tc>
          <w:tcPr>
            <w:tcW w:w="6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180" w:type="dxa"/>
            <w:vAlign w:val="bottom"/>
            <w:tcBorders>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3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-1293495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-668020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-350520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Sales</w:t>
      </w:r>
    </w:p>
    <w:p>
      <w:pPr>
        <w:spacing w:after="0" w:line="1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determined at the individual distributor level. The contract liabilities were included in accrued and other current liabilities in the condensed consolidated balance sheet and the rebates and discounts reflected as reductions to gross accounts receivable for direct sales were immaterial as of March 31, 2024 and December 31,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to Falikang – China Performance Obligation</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roxadustat sales to Falikang marked the beginning of the Company’s China performance obligation under the Company’s agreements with AstraZeneca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and is expected to continue through 2033, which reflects our best estimates. Any net transaction price in excess of the revenue recognized is added to the deferred balance to date, and will be recognized in future periods as the performance obligation is satisfied.</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Periodically, the Company updates its assumptions such as total sales quantity, performance period, gross transaction price and profit share and other inputs including foreign currency translation impact, among others. Following updates to its estimates, the Company recognized $2.6 million from the previously deferred revenue of the China performance obligation during the three months ended March 31, 2024. The product revenue recognized for the three months ended March 31, 2024 included a decrease in revenue of $2.1 million resulting from changes to estimated variable consideration in the current period relating to performance obligation satisfied in previous periods. Comparatively, following updates to its estimates, the Company recognized $2.1 million from the previously deferred revenue of the China performance obligation during the three months ended March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roll-forward of the related deferred revenue that is considered as a contract liability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vMerge w:val="restart"/>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Product revenue - AstraZeneca China</w:t>
            </w:r>
          </w:p>
        </w:tc>
        <w:tc>
          <w:tcPr>
            <w:tcW w:w="2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(179,851 )   $</w:t>
            </w:r>
          </w:p>
        </w:tc>
        <w:tc>
          <w:tcPr>
            <w:tcW w:w="13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(24,950 )</w:t>
            </w: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27,113</w:t>
            </w:r>
          </w:p>
        </w:tc>
        <w:tc>
          <w:tcPr>
            <w:tcW w:w="4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3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(176,631 )</w:t>
            </w:r>
          </w:p>
        </w:tc>
        <w:tc>
          <w:tcPr>
            <w:tcW w:w="0" w:type="dxa"/>
            <w:vAlign w:val="bottom"/>
          </w:tcPr>
          <w:p>
            <w:pPr>
              <w:spacing w:after="0"/>
              <w:rPr>
                <w:sz w:val="1"/>
                <w:szCs w:val="1"/>
                <w:color w:val="auto"/>
              </w:rPr>
            </w:pPr>
          </w:p>
        </w:tc>
      </w:tr>
      <w:tr>
        <w:trPr>
          <w:trHeight w:val="227"/>
        </w:trPr>
        <w:tc>
          <w:tcPr>
            <w:tcW w:w="4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performance obligation - deferred revenue</w:t>
            </w:r>
          </w:p>
        </w:tc>
        <w:tc>
          <w:tcPr>
            <w:tcW w:w="220" w:type="dxa"/>
            <w:vAlign w:val="bottom"/>
            <w:vMerge w:val="continue"/>
            <w:shd w:val="clear" w:color="auto" w:fill="CFF0FC"/>
          </w:tcPr>
          <w:p>
            <w:pPr>
              <w:spacing w:after="0"/>
              <w:rPr>
                <w:sz w:val="19"/>
                <w:szCs w:val="19"/>
                <w:color w:val="auto"/>
              </w:rPr>
            </w:pPr>
          </w:p>
        </w:tc>
        <w:tc>
          <w:tcPr>
            <w:tcW w:w="1560" w:type="dxa"/>
            <w:vAlign w:val="bottom"/>
            <w:gridSpan w:val="3"/>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60" w:type="dxa"/>
            <w:vAlign w:val="bottom"/>
            <w:gridSpan w:val="2"/>
            <w:vMerge w:val="continue"/>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-25400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Contract assets and liabilities related to rights and obligations in the same contract are recorded net on the condensed consolidated balance sheets. As of March 31, 2024, deferred revenue included $149.7 million related to China performance obligation, which represents the net of $176.6 million of deferred revenue presented above and a $26.9 million unbilled milestone and co-development revenue under the AstraZeneca China Amendment.</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2024, approximately $5.0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Due to the Company’s legal right to offset, at each balance sheet date, the rebates and discounts, mainly related to profit sharing, are presented as reductions to gross accounts receivable from Falikang, which was $3.4 million and $3.0 million as of March 31, 2024 and December 31, 2023,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Product Revenue, Net</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Drug product revenue from commercial-grade active pharmaceutical ingredient (“API”) or bulk drug product sales to Astellas and AstraZeneca was as follows for the three months ended March 31, 2024 and 2023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40" w:type="dxa"/>
            <w:vAlign w:val="bottom"/>
          </w:tcPr>
          <w:p>
            <w:pPr>
              <w:spacing w:after="0"/>
              <w:rPr>
                <w:sz w:val="14"/>
                <w:szCs w:val="14"/>
                <w:color w:val="auto"/>
              </w:rPr>
            </w:pPr>
          </w:p>
        </w:tc>
        <w:tc>
          <w:tcPr>
            <w:tcW w:w="1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Astellas Japan Agreement</w:t>
            </w:r>
          </w:p>
        </w:tc>
        <w:tc>
          <w:tcPr>
            <w:tcW w:w="1400" w:type="dxa"/>
            <w:vAlign w:val="bottom"/>
            <w:shd w:val="clear" w:color="auto" w:fill="CFF0FC"/>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(2,205 )</w:t>
            </w: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4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1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400" w:type="dxa"/>
            <w:vAlign w:val="bottom"/>
            <w:tcBorders>
              <w:top w:val="single" w:sz="8" w:color="auto"/>
              <w:bottom w:val="single" w:sz="8" w:color="auto"/>
            </w:tcBorders>
          </w:tcPr>
          <w:p>
            <w:pPr>
              <w:jc w:val="right"/>
              <w:ind w:right="12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50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-187960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updates its estimate of variable consideration related to the API shipments fulfilled under the terms of Astellas Japan Amendment at each balance sheet date. As a result, the Company recorded a reduction to the drug product revenue of $2.2 million for the three months ended March 31, 2024.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the Company updated its estimate of variable consideration related to the API shipments fulfilled under the terms of Astellas Japan Amendment, and accordingly recorded an adjustment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spacing w:after="0" w:line="18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2024, the balances related to the API price true-up under the Astellas Japan Agreement were $1.6 million in accrued liabilities and $2.5 million in other long-term liabilities, representing the Company’s best estimate of the timing for these amounts to be paid. As of December 31, 2023, the balances related to the API price true-up under the Astellas Japan Agreement were $1.2 million in accrued liabilities and $0.7 million in other long-term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transferred bulk drug product for commercial purposes under the terms of the Astellas Europe Agreement and the Astellas EU Supply Agreement in the prior years. The Company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the Company transferred bulk drug product for commercial purposes under the terms of the Astellas Europe Agreement and the Astellas EU Supply Agreement, and recognized the related fully-burdened manufacturing costs of $0.8 million as drug product revenue, and recorded $17.7 million as deferred revenue due to a high degree of uncertainty associated with the variable consideration for revenue recognition purposes. In addition,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for the year ended December 31, 2023, the Company reclassified $38.7 million from the related deferred revenue to accrued liabilities. As of December 31, 2023, the related balance in accrued liabilities was $38.6 million. Further for the three months ended March 31, 2024, the Company reclassified $5.7 million from the related deferred revenue to accrued liabilities. As of March 31, 2024, the balances related to the bulk drug product price true-up under the Astellas Europe Agreement and the Astellas EU Supply Agreement were $44.3 million in accrued liabilities, representing the Company’s best estimate that these amounts will be paid within the next 12 months.</w:t>
      </w:r>
    </w:p>
    <w:p>
      <w:pPr>
        <w:spacing w:after="0" w:line="194"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Company recognized royalty revenue of $1.0 million and $0.4 million as drug product revenue from the deferred revenue under the Astellas Europe Agreement during the three months ended March 31, 2024 and 2023, respectively. It is the Company’s best estimate that the remainder of the deferred revenue will be recognized as revenue when uncertainty is resolved, based on the performance of roxadustat product sales in the Astellas territory.</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includes a roll-forward of the above-mentioned deferred revenues that are considered as contract liabilities related to drug product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Reclassified to</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Recognized as</w:t>
            </w:r>
          </w:p>
        </w:tc>
        <w:tc>
          <w:tcPr>
            <w:tcW w:w="3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Accrued Liability</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 Accounts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Payable</w:t>
            </w:r>
          </w:p>
        </w:tc>
        <w:tc>
          <w:tcPr>
            <w:tcW w:w="30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Drug product revenue - deferred revenue:</w:t>
            </w: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(16,925 )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(10,244 )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i w:val="1"/>
          <w:iCs w:val="1"/>
          <w:color w:val="auto"/>
        </w:rPr>
        <w:t>AstraZeneca Agreements</w:t>
      </w:r>
      <w:r>
        <w:rPr>
          <w:rFonts w:ascii="Times New Roman" w:cs="Times New Roman" w:eastAsia="Times New Roman" w:hAnsi="Times New Roman"/>
          <w:sz w:val="18"/>
          <w:szCs w:val="18"/>
          <w:color w:val="auto"/>
        </w:rPr>
        <w:t xml:space="preserve"> section above, pursuant to the termination and transition agreement related to the AstraZeneca U.S./RoW Agreement, the Company and AstraZeneca settled the outstanding balances relating to past transactions under the AstraZeneca Master Supply Agreement. Accordingly, during the three months ended March 31, 2024, the Company accounted for the termination of the AstraZeneca U.S./RoW agreement as a contract modification under the ASC 606 and recorded a cumulative catch-up net adjustment of $25.7 million to the drug product revenue. As of March 31, 2024, the related accounts receivable was $26.0 million and the related accrued liabilities were $11.5 million. Comparatively, the related accrued liabilities were $11.2 million as of December 31, 2023. Both the accounts receivable and accrued liabilities have been settled in April 2024.</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Corresponding to the drug product revenue, during the three months ended March 31, 2024, the Company recorded the related cost of goods sold of $21.1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Eluminex Agreement</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6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Under the terms of the agreement with Eluminex, as amended and restated in January 2022, Eluminex made an $8.0 million upfront payment to FibroGen during the first quarter of 2022. In addition, FibroGen may receive up to a total of $64.0 million in future manufacturing, clinical, regulatory, and commercial milestone payments for the biosynthetic cornea program, as well as $36.0 million in commercial milestones for the first recombinant collagen</w:t>
      </w:r>
    </w:p>
    <w:p>
      <w:pPr>
        <w:spacing w:after="0" w:line="1" w:lineRule="exact"/>
        <w:rPr>
          <w:sz w:val="20"/>
          <w:szCs w:val="20"/>
          <w:color w:val="auto"/>
        </w:rPr>
      </w:pPr>
    </w:p>
    <w:p>
      <w:pPr>
        <w:ind w:right="40" w:firstLine="8"/>
        <w:spacing w:after="0" w:line="255"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is not the biosynthetic cornea. FibroGen will also be eligible to receive mid-single-digit to low double-digit royalties based upon worldwide net sales of cornea products, and low single-digit to mid-single-digit royalties based upon worldwide net sales of other recombinant human collagen type III products that are not cornea products.</w:t>
      </w:r>
    </w:p>
    <w:p>
      <w:pPr>
        <w:spacing w:after="0" w:line="1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the Company recognized a $3.0 million milestone payment based on Eluminex implanting a biosynthetic cornea in the first patient of its clinical trial in China, and a $3.0 million manufacturing related milestone payment.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which occurred by the end of 2023. The related contract manufacturing revenue was recorded as other revenue and included in development and other revenue in the condensed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as revenue under the agreements with Eluminex were as follows for the three months ended March 31, 2024 and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40" w:type="dxa"/>
            <w:vAlign w:val="bottom"/>
          </w:tcPr>
          <w:p>
            <w:pPr>
              <w:spacing w:after="0"/>
              <w:rPr>
                <w:sz w:val="16"/>
                <w:szCs w:val="16"/>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240" w:type="dxa"/>
            <w:vAlign w:val="bottom"/>
            <w:vMerge w:val="restart"/>
          </w:tcPr>
          <w:p>
            <w:pPr>
              <w:spacing w:after="0"/>
              <w:rPr>
                <w:sz w:val="16"/>
                <w:szCs w:val="16"/>
                <w:color w:val="auto"/>
              </w:rPr>
            </w:pPr>
          </w:p>
        </w:tc>
        <w:tc>
          <w:tcPr>
            <w:tcW w:w="440" w:type="dxa"/>
            <w:vAlign w:val="bottom"/>
          </w:tcPr>
          <w:p>
            <w:pPr>
              <w:spacing w:after="0"/>
              <w:rPr>
                <w:sz w:val="16"/>
                <w:szCs w:val="16"/>
                <w:color w:val="auto"/>
              </w:rPr>
            </w:pPr>
          </w:p>
        </w:tc>
        <w:tc>
          <w:tcPr>
            <w:tcW w:w="3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18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Eluminex</w:t>
            </w:r>
          </w:p>
        </w:tc>
        <w:tc>
          <w:tcPr>
            <w:tcW w:w="240" w:type="dxa"/>
            <w:vAlign w:val="bottom"/>
            <w:shd w:val="clear" w:color="auto" w:fill="CFF0FC"/>
          </w:tcPr>
          <w:p>
            <w:pPr>
              <w:spacing w:after="0"/>
              <w:rPr>
                <w:sz w:val="20"/>
                <w:szCs w:val="20"/>
                <w:color w:val="auto"/>
              </w:rPr>
            </w:pPr>
          </w:p>
        </w:tc>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 - contract manufacturing</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Entity - Fortis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May 5, 2023 (the “Option Acquisition Date”), the Company entered into an exclusive option agreement to acquire Fortis Therapeutics (“Fortis”) with its novel Phase 1 antibody-drug conjugate, FOR46 (now referred to as “FG-3246”), that targets a novel epitope on CD46 preferentially expressed on certain cancer cells. FG-3246 is in development for the treatment of metastatic castration-resistant prostate cancer with potential applicability in other solid tumors and hematologic malignancies. If FibroGen exercises the option to acquire Fortis, it will pay Fortis an </w:t>
      </w:r>
      <w:r>
        <w:rPr>
          <w:rFonts w:ascii="Times New Roman" w:cs="Times New Roman" w:eastAsia="Times New Roman" w:hAnsi="Times New Roman"/>
          <w:sz w:val="18"/>
          <w:szCs w:val="18"/>
          <w:color w:val="212529"/>
        </w:rPr>
        <w:t>option exercise payment</w:t>
      </w:r>
      <w:r>
        <w:rPr>
          <w:rFonts w:ascii="Times New Roman" w:cs="Times New Roman" w:eastAsia="Times New Roman" w:hAnsi="Times New Roman"/>
          <w:sz w:val="18"/>
          <w:szCs w:val="18"/>
          <w:color w:val="auto"/>
        </w:rPr>
        <w:t xml:space="preserve"> of $80.0 million, and thereafter, legacy Fortis shareholders would be eligible to receive from FibroGen up to $200.0 million in contingent payments associated with the achievement of various regulatory approvals. If FibroGen acquires Fortis, it would also be responsible to pay the University of California, San Francisco (“UCSF”), an upstream licensor to Fortis, development milestone fees and a single digit royalty on net sales of therapeutic or diagnostic products arising from the </w:t>
      </w:r>
      <w:r>
        <w:rPr>
          <w:rFonts w:ascii="Times New Roman" w:cs="Times New Roman" w:eastAsia="Times New Roman" w:hAnsi="Times New Roman"/>
          <w:sz w:val="18"/>
          <w:szCs w:val="18"/>
          <w:color w:val="212529"/>
        </w:rPr>
        <w:t>licensing arrangement between Fortis and UCSF</w:t>
      </w:r>
      <w:r>
        <w:rPr>
          <w:rFonts w:ascii="Times New Roman" w:cs="Times New Roman" w:eastAsia="Times New Roman" w:hAnsi="Times New Roman"/>
          <w:sz w:val="18"/>
          <w:szCs w:val="18"/>
          <w:color w:val="auto"/>
        </w:rPr>
        <w:t>. If FibroGen chooses not to acquire Fortis, its exclusive license to FG-3246 would expire.</w:t>
      </w:r>
    </w:p>
    <w:p>
      <w:pPr>
        <w:spacing w:after="0" w:line="19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up-to four-year option period. As part of the clinical development strategy, FibroGen will continue the work to develop a PET-based biomarker utilizing a radiolabeled version of the targeting antibody for patient selection. Additionally, the Company is obligated to make four quarterly payments totaling $5.4 million to Fortis in support of its continued development obligations, of which the last payment was $1.7 million and was made during the three months ended March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guidance under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March 31, 2024.</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Fortis has authorized and issued common shares and Series A preferred shares. As of the Option Acquisition Date and March 31, 2024, the Company owned approximately 2% of Fortis’ Series A preferred shares, which was acquired previously and carried at zero cost. The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shares holders upon occurrence of certain events out of the Company’s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Option Acquisition Date, Fortis’ net income is allocated to its common shares and preferred shares based on their respective stated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Fortis’ net loss is allocated to its common shares only as the holders of preferred shares do not have a contractual obligation to absorb such losses.</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2024, total assets and liabilities of Fortis were immaterial. For the three months ended March 31, 2024, Fortis’ net income (losses) was immaterial.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 - Unconsolidated VIE - Falikang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Falikang is a distribution entity jointly owned by AstraZeneca and FibroGen Beijing. FibroGen Beijing owns 51.1% of the outstanding shares of Falikang.</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guidance under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there has been no such loans.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equity method investment in Falikang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00" w:type="dxa"/>
            <w:vAlign w:val="bottom"/>
          </w:tcPr>
          <w:p>
            <w:pPr>
              <w:spacing w:after="0"/>
              <w:rPr>
                <w:sz w:val="13"/>
                <w:szCs w:val="13"/>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 of Net Income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3"/>
                <w:szCs w:val="13"/>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87"/>
        </w:trPr>
        <w:tc>
          <w:tcPr>
            <w:tcW w:w="14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60" w:type="dxa"/>
            <w:vAlign w:val="bottom"/>
          </w:tcPr>
          <w:p>
            <w:pPr>
              <w:spacing w:after="0"/>
              <w:rPr>
                <w:sz w:val="16"/>
                <w:szCs w:val="16"/>
                <w:color w:val="auto"/>
              </w:rPr>
            </w:pPr>
          </w:p>
        </w:tc>
        <w:tc>
          <w:tcPr>
            <w:tcW w:w="162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Falikang</w:t>
            </w:r>
          </w:p>
        </w:tc>
        <w:tc>
          <w:tcPr>
            <w:tcW w:w="1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51.1 %</w:t>
            </w:r>
          </w:p>
        </w:tc>
        <w:tc>
          <w:tcPr>
            <w:tcW w:w="1620" w:type="dxa"/>
            <w:vAlign w:val="bottom"/>
            <w:shd w:val="clear" w:color="auto" w:fill="CFF0FC"/>
          </w:tcPr>
          <w:p>
            <w:pPr>
              <w:jc w:val="right"/>
              <w:ind w:right="14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5,290</w:t>
            </w:r>
          </w:p>
        </w:tc>
        <w:tc>
          <w:tcPr>
            <w:tcW w:w="38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(103 )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-24765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Falikang is considered a related party to the Company. See Note 9,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related disclosures.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financial assets that are measured on a recurring basis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47,985</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31,264</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36,212</w:t>
            </w:r>
          </w:p>
        </w:tc>
        <w:tc>
          <w:tcPr>
            <w:tcW w:w="100" w:type="dxa"/>
            <w:vAlign w:val="bottom"/>
          </w:tcPr>
          <w:p>
            <w:pPr>
              <w:spacing w:after="0"/>
              <w:rPr>
                <w:sz w:val="20"/>
                <w:szCs w:val="20"/>
                <w:color w:val="auto"/>
              </w:rPr>
            </w:pPr>
          </w:p>
        </w:tc>
      </w:tr>
      <w:tr>
        <w:trPr>
          <w:trHeight w:val="243"/>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9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30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90,268</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4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3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13,992</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88,289</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88,289</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9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300" w:type="dxa"/>
            <w:vAlign w:val="bottom"/>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shd w:val="clear" w:color="auto" w:fill="CFF0FC"/>
          </w:tcPr>
          <w:p>
            <w:pPr>
              <w:spacing w:after="0"/>
              <w:rPr>
                <w:sz w:val="21"/>
                <w:szCs w:val="21"/>
                <w:color w:val="auto"/>
              </w:rPr>
            </w:pPr>
          </w:p>
        </w:tc>
      </w:tr>
      <w:tr>
        <w:trPr>
          <w:trHeight w:val="232"/>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55,085</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117,105</w:t>
            </w:r>
          </w:p>
        </w:tc>
        <w:tc>
          <w:tcPr>
            <w:tcW w:w="300" w:type="dxa"/>
            <w:vAlign w:val="bottom"/>
          </w:tcPr>
          <w:p>
            <w:pPr>
              <w:spacing w:after="0"/>
              <w:rPr>
                <w:sz w:val="20"/>
                <w:szCs w:val="20"/>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172,190</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-1542415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-1542415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-1542415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three months ended March 31, 2024 and 2023, a total of $26.3 million and $7.0 million, respectively, of U.S. treasury notes and bills were transferred from Level 1 to Level 2 as such instruments were changed to off-the-run when they were issued before the most recent issue and were still outstanding at measurement day.</w:t>
      </w:r>
    </w:p>
    <w:p>
      <w:pPr>
        <w:spacing w:after="0" w:line="29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63,396</w:t>
            </w:r>
          </w:p>
        </w:tc>
        <w:tc>
          <w:tcPr>
            <w:tcW w:w="80" w:type="dxa"/>
            <w:vAlign w:val="bottom"/>
            <w:shd w:val="clear" w:color="auto" w:fill="CFF0FC"/>
          </w:tcPr>
          <w:p>
            <w:pPr>
              <w:spacing w:after="0"/>
              <w:rPr>
                <w:sz w:val="20"/>
                <w:szCs w:val="20"/>
                <w:color w:val="auto"/>
              </w:rPr>
            </w:pP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80" w:type="dxa"/>
            <w:vAlign w:val="bottom"/>
          </w:tcPr>
          <w:p>
            <w:pPr>
              <w:spacing w:after="0"/>
              <w:rPr>
                <w:sz w:val="20"/>
                <w:szCs w:val="20"/>
                <w:color w:val="auto"/>
              </w:rPr>
            </w:pPr>
          </w:p>
        </w:tc>
      </w:tr>
      <w:tr>
        <w:trPr>
          <w:trHeight w:val="24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w:t>
            </w:r>
          </w:p>
        </w:tc>
        <w:tc>
          <w:tcPr>
            <w:tcW w:w="80" w:type="dxa"/>
            <w:vAlign w:val="bottom"/>
            <w:shd w:val="clear" w:color="auto" w:fill="CFF0FC"/>
          </w:tcPr>
          <w:p>
            <w:pPr>
              <w:spacing w:after="0"/>
              <w:rPr>
                <w:sz w:val="21"/>
                <w:szCs w:val="21"/>
                <w:color w:val="auto"/>
              </w:rPr>
            </w:pP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21"/>
                <w:szCs w:val="21"/>
                <w:color w:val="auto"/>
              </w:rPr>
            </w:pPr>
          </w:p>
        </w:tc>
      </w:tr>
      <w:tr>
        <w:trPr>
          <w:trHeight w:val="272"/>
        </w:trPr>
        <w:tc>
          <w:tcPr>
            <w:tcW w:w="5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105,734</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113,688</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a total of $27.6 million and $32.2 million of the Company’s cash and cash equivalents were held outside of the U.S. in its foreign subsidiaries to be used primarily for its China operations,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investments consist primarily of available-for-sale debt investments. The amortized cost, gross unrealized holding gains or losses, and fair value of the Company’s investments by major investments type are summarized in the tables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1"/>
                <w:szCs w:val="11"/>
                <w:color w:val="auto"/>
              </w:rPr>
            </w:pPr>
          </w:p>
        </w:tc>
        <w:tc>
          <w:tcPr>
            <w:tcW w:w="1300" w:type="dxa"/>
            <w:vAlign w:val="bottom"/>
          </w:tcPr>
          <w:p>
            <w:pPr>
              <w:jc w:val="center"/>
              <w:ind w:left="124"/>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left="102"/>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Borders>
              <w:bottom w:val="single" w:sz="8" w:color="auto"/>
            </w:tcBorders>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60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28,747</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3"/>
              </w:rPr>
              <w:t>(2 )</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32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71,864</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71,865</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1"/>
                <w:szCs w:val="11"/>
                <w:color w:val="auto"/>
              </w:rPr>
            </w:pPr>
          </w:p>
        </w:tc>
        <w:tc>
          <w:tcPr>
            <w:tcW w:w="1300" w:type="dxa"/>
            <w:vAlign w:val="bottom"/>
          </w:tcPr>
          <w:p>
            <w:pPr>
              <w:jc w:val="center"/>
              <w:ind w:left="124"/>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jc w:val="center"/>
              <w:ind w:left="102"/>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Borders>
              <w:bottom w:val="single" w:sz="8" w:color="auto"/>
            </w:tcBorders>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2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60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3"/>
              </w:rPr>
              <w:t>(5 )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3"/>
              </w:rPr>
              <w:t>(1 )</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121,874</w:t>
            </w:r>
          </w:p>
        </w:tc>
        <w:tc>
          <w:tcPr>
            <w:tcW w:w="3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124"/>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3"/>
              </w:rPr>
              <w:t>(6 )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-1319530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-1302385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-1482725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-1319530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-1302385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-1482725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-1319530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-1302385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-1482725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-1482725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all available for sale securities in an unrealized loss position, the fair value and gross unrealized loss by length of time the security has been in a continual unrealized loss position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8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r>
      <w:tr>
        <w:trPr>
          <w:trHeight w:val="187"/>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6"/>
                <w:szCs w:val="16"/>
                <w:color w:val="auto"/>
              </w:rPr>
            </w:pPr>
          </w:p>
        </w:tc>
      </w:tr>
      <w:tr>
        <w:trPr>
          <w:trHeight w:val="236"/>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81"/>
        </w:trPr>
        <w:tc>
          <w:tcPr>
            <w:tcW w:w="280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99"/>
        </w:trPr>
        <w:tc>
          <w:tcPr>
            <w:tcW w:w="2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4"/>
                <w:szCs w:val="14"/>
                <w:color w:val="auto"/>
              </w:rPr>
            </w:pPr>
          </w:p>
        </w:tc>
        <w:tc>
          <w:tcPr>
            <w:tcW w:w="19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8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r>
      <w:tr>
        <w:trPr>
          <w:trHeight w:val="187"/>
        </w:trPr>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00" w:type="dxa"/>
            <w:vAlign w:val="bottom"/>
          </w:tcPr>
          <w:p>
            <w:pPr>
              <w:spacing w:after="0"/>
              <w:rPr>
                <w:sz w:val="16"/>
                <w:szCs w:val="16"/>
                <w:color w:val="auto"/>
              </w:rPr>
            </w:pPr>
          </w:p>
        </w:tc>
      </w:tr>
      <w:tr>
        <w:trPr>
          <w:trHeight w:val="237"/>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98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Agency bonds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28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98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2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-1285240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-1268095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-1447800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-1285240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-1268095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-1447800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-1285240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-1268095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-1447800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-1285240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-1268095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-1447800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-1285240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-1268095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-1447800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-187960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all available-for-sale investments were within one year as of March 31, 2024.</w:t>
      </w:r>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periodically assesses whether the unrealized losses on its available-for-sale investments were temporary. The Company considers factors such as the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impairment for its available-for-sale investments during the three months ended March 31, 2024 and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20"/>
                <w:szCs w:val="20"/>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34,614</w:t>
            </w:r>
          </w:p>
        </w:tc>
        <w:tc>
          <w:tcPr>
            <w:tcW w:w="8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41,565</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As described under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above, resulting from the termination and transition agreement related to the AstraZeneca U.S./RoW Agreement, the Company was reimbursed $12.6 million for work-in-progress inventory, which was written off and recognized as cost of goods sold during the three months ended March 31,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26,894</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from associated contracts</w:t>
            </w:r>
          </w:p>
        </w:tc>
        <w:tc>
          <w:tcPr>
            <w:tcW w:w="2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(26,894 )</w:t>
            </w:r>
          </w:p>
        </w:tc>
        <w:tc>
          <w:tcPr>
            <w:tcW w:w="16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(26,481 )</w:t>
            </w:r>
          </w:p>
        </w:tc>
      </w:tr>
      <w:tr>
        <w:trPr>
          <w:trHeight w:val="241"/>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contract assets</w:t>
            </w:r>
          </w:p>
        </w:tc>
        <w:tc>
          <w:tcPr>
            <w:tcW w:w="22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 receivable for litigation settlement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80" w:type="dxa"/>
            <w:vAlign w:val="bottom"/>
          </w:tcPr>
          <w:p>
            <w:pPr>
              <w:spacing w:after="0"/>
              <w:rPr>
                <w:sz w:val="20"/>
                <w:szCs w:val="20"/>
                <w:color w:val="auto"/>
              </w:rPr>
            </w:pPr>
          </w:p>
        </w:tc>
      </w:tr>
      <w:tr>
        <w:trPr>
          <w:trHeight w:val="277"/>
        </w:trPr>
        <w:tc>
          <w:tcPr>
            <w:tcW w:w="5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unbilled contract assets as of March 31, 2024 and December 31, 2023 included $22.9 million and $22.5 million, respectively, related to unbilled co-development revenue under the AstraZeneca China Amendment. In addition, the unbilled contract assets as of March 31, 2024 and December 31, 2023 each included the $4.0 million unbilled regulatory milestone payment under the AstraZeneca China Agreement. See the </w:t>
      </w:r>
      <w:r>
        <w:rPr>
          <w:rFonts w:ascii="Times New Roman" w:cs="Times New Roman" w:eastAsia="Times New Roman" w:hAnsi="Times New Roman"/>
          <w:sz w:val="18"/>
          <w:szCs w:val="18"/>
          <w:i w:val="1"/>
          <w:iCs w:val="1"/>
          <w:color w:val="auto"/>
        </w:rPr>
        <w:t>AstraZeneca China Agreement</w:t>
      </w:r>
      <w:r>
        <w:rPr>
          <w:rFonts w:ascii="Times New Roman" w:cs="Times New Roman" w:eastAsia="Times New Roman" w:hAnsi="Times New Roman"/>
          <w:sz w:val="18"/>
          <w:szCs w:val="18"/>
          <w:color w:val="auto"/>
        </w:rPr>
        <w:t xml:space="preserve"> section in Note 3,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for details.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each of March 31, 2024 and December 31, 2023, the Company recorded a $28.5 million receivable in prepaid expenses and other current assets, corresponding to the accrued litigation settlement of the same amount related to the Company’s agreement in principle with plaintiffs to settle the class action lawsuit. As the Company maintains insurance that covers exposure related to the class action lawsuit, this amount is fully recoverable under the Company’s insurance policies. The determination that the recorded receivables are probable of collection is based on the terms of the applicable insurance policies and communications with the insurers. See the </w:t>
      </w:r>
      <w:r>
        <w:rPr>
          <w:rFonts w:ascii="Times New Roman" w:cs="Times New Roman" w:eastAsia="Times New Roman" w:hAnsi="Times New Roman"/>
          <w:sz w:val="18"/>
          <w:szCs w:val="18"/>
          <w:i w:val="1"/>
          <w:iCs w:val="1"/>
          <w:color w:val="auto"/>
        </w:rPr>
        <w:t>Accrued and Other Current Liabilities</w:t>
      </w:r>
      <w:r>
        <w:rPr>
          <w:rFonts w:ascii="Times New Roman" w:cs="Times New Roman" w:eastAsia="Times New Roman" w:hAnsi="Times New Roman"/>
          <w:sz w:val="18"/>
          <w:szCs w:val="18"/>
          <w:color w:val="auto"/>
        </w:rPr>
        <w:t xml:space="preserve"> section below, and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details.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27,663</w:t>
            </w: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API and bulk drug product price true-up</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cost related</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co-promotion expenses - current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Roxadustat profit share to AstraZeneca</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Property taxes and other taxes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liability related to sale of future revenues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80" w:type="dxa"/>
            <w:vAlign w:val="bottom"/>
            <w:tcBorders>
              <w:bottom w:val="single" w:sz="8" w:color="CFF0FC"/>
            </w:tcBorders>
          </w:tcPr>
          <w:p>
            <w:pPr>
              <w:spacing w:after="0"/>
              <w:rPr>
                <w:sz w:val="20"/>
                <w:szCs w:val="20"/>
                <w:color w:val="auto"/>
              </w:rPr>
            </w:pPr>
          </w:p>
        </w:tc>
      </w:tr>
      <w:tr>
        <w:trPr>
          <w:trHeight w:val="277"/>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164,286</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172,891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accrued liabilities of $57.4 million and $51.0 million for API and bulk drug product price true-up as of March 31, 2024 and December 31, 2023, respectively,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Included in the balance as of March 31, 2024, the amount due to AstraZeneca was $11.5 million, as discussed under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and Revenues, </w:t>
      </w:r>
      <w:r>
        <w:rPr>
          <w:rFonts w:ascii="Times New Roman" w:cs="Times New Roman" w:eastAsia="Times New Roman" w:hAnsi="Times New Roman"/>
          <w:sz w:val="18"/>
          <w:szCs w:val="18"/>
          <w:color w:val="auto"/>
        </w:rPr>
        <w:t>resulting from the termination and transition agreement related to the AstraZeneca U.S./RoW Agreement, and has been settled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April 2024. In addition, the Company recorded an accrued inventory related cost of $8.5 million as of March 31, 2024, as part of the cost of goods sold resulting from this termination and transition agreement. See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for details.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 of March 31, 2024 and December 31, 2023, the accrued litigation settlement of $28.5 million was related to the Company’s agreement in principle with plaintiffs to settle the class action lawsuit.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The determination that the recorded receivables are probable of collection is based on the terms of the applicable insurance policies and communications with the insurers. See the </w:t>
      </w:r>
      <w:r>
        <w:rPr>
          <w:rFonts w:ascii="Times New Roman" w:cs="Times New Roman" w:eastAsia="Times New Roman" w:hAnsi="Times New Roman"/>
          <w:sz w:val="18"/>
          <w:szCs w:val="18"/>
          <w:i w:val="1"/>
          <w:iCs w:val="1"/>
          <w:color w:val="auto"/>
        </w:rPr>
        <w:t>Legal Proceedings and Other Matters</w:t>
      </w:r>
      <w:r>
        <w:rPr>
          <w:rFonts w:ascii="Times New Roman" w:cs="Times New Roman" w:eastAsia="Times New Roman" w:hAnsi="Times New Roman"/>
          <w:sz w:val="18"/>
          <w:szCs w:val="18"/>
          <w:color w:val="auto"/>
        </w:rPr>
        <w:t xml:space="preserve"> section in Note 10,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details.</w:t>
      </w:r>
    </w:p>
    <w:p>
      <w:pPr>
        <w:spacing w:after="0" w:line="291"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Senior Secured Term Loan Facilities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29, 2023, the Company entered into a financing agreement (“Financing Agreement”) with investment funds managed by Morgan Stanley Tactical Value, as lenders (the “Lenders”), and Wilmington Trust, National Association, as the administrative agent, providing for senior secured term loan facilities consisting of (i) a $75.0 million initial term loan (the “Initial Term Loan”), (ii) a $37.5 million delayed draw term loan that will be funded upon the achievement of certain clinical development milestones (“Delayed Draw Term Loan 1”) and, (iii) an uncommitted delayed draw term loan of up to $37.5 million to be funded at the Lenders sole discretion, (“Delayed Draw Term Loan 2” and, together with the Initial Term Loan and Delayed Draw Term Loan 1, the “Term Loans”).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Financing Agreement, the Lenders have funded the Initial Term Loan. The clinical development milestones which could have triggered Delayed Draw Term Loan 1 were not achieved, and the Lenders have not funded Delayed Draw Term Loan 2. As such, these features expired during 2023. The Company has determined that certain other features embedded within the Loan should be bifurcated and accounted for separately as a derivative. At inception and as of March 31, 2024, the fair values of such derivatives were negligible due to the low probability of the underlying events.</w:t>
      </w:r>
    </w:p>
    <w:p>
      <w:pPr>
        <w:spacing w:after="0" w:line="18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p>
    <w:p>
      <w:pPr>
        <w:sectPr>
          <w:pgSz w:w="11900" w:h="16838" w:orient="portrait"/>
          <w:cols w:equalWidth="0" w:num="1">
            <w:col w:w="11200"/>
          </w:cols>
          <w:pgMar w:left="320" w:top="769" w:right="379" w:bottom="1440" w:gutter="0" w:footer="0" w:header="0"/>
        </w:sectPr>
      </w:pP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initial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16.13% for three months ended March 31, 2024. The Company recorded interest expense of $2.9 million for the three months ended March 31, 2024. As of March 31, 2024, the related accrued interest was $0.4 million. The Company was in compliance with all debt covenants associated with the senior secured term loan facilities as of March 31, 2024, including maintaining a minimum balance of $30 million of unrestricted cash and cash equivalents held in accounts in the U.S.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senior secured term loan facilities as of March 31, 2024 were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senior secured term loan facilities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FF0FC"/>
          </w:tcPr>
          <w:p>
            <w:pPr>
              <w:spacing w:after="0"/>
              <w:rPr>
                <w:sz w:val="20"/>
                <w:szCs w:val="20"/>
                <w:color w:val="auto"/>
              </w:rPr>
            </w:pPr>
          </w:p>
        </w:tc>
      </w:tr>
      <w:tr>
        <w:trPr>
          <w:trHeight w:val="239"/>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Unamortized issuance costs and transaction costs</w:t>
            </w:r>
          </w:p>
        </w:tc>
        <w:tc>
          <w:tcPr>
            <w:tcW w:w="30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(2,787 )</w:t>
            </w:r>
          </w:p>
        </w:tc>
      </w:tr>
      <w:tr>
        <w:trPr>
          <w:trHeight w:val="241"/>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facilities, ending balance</w:t>
            </w:r>
          </w:p>
        </w:tc>
        <w:tc>
          <w:tcPr>
            <w:tcW w:w="30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72,213</w:t>
            </w:r>
          </w:p>
        </w:tc>
        <w:tc>
          <w:tcPr>
            <w:tcW w:w="80" w:type="dxa"/>
            <w:vAlign w:val="bottom"/>
            <w:shd w:val="clear" w:color="auto" w:fill="CFF0FC"/>
          </w:tcPr>
          <w:p>
            <w:pPr>
              <w:spacing w:after="0"/>
              <w:rPr>
                <w:sz w:val="20"/>
                <w:szCs w:val="20"/>
                <w:color w:val="auto"/>
              </w:rPr>
            </w:pPr>
          </w:p>
        </w:tc>
      </w:tr>
      <w:tr>
        <w:trPr>
          <w:trHeight w:val="239"/>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30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term loan facilities, non-current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Sale of Future Revenues</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On November 4,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November 2022, the Company received the Investment Amount, net of initial issuance costs, and accounted for it as long-term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NovaQuest will retain this entitlement until it has reached the Payment Cap, at which point 100% of such revenue interest on future global net sales of Astellas will revert to the Company.</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15.96% as of March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of the liability related to sale of future revenues for the three months ended March 31, 2024:</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beginning balance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57,067</w:t>
            </w:r>
          </w:p>
        </w:tc>
        <w:tc>
          <w:tcPr>
            <w:tcW w:w="8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0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(5,653 )</w:t>
            </w:r>
          </w:p>
        </w:tc>
      </w:tr>
      <w:tr>
        <w:trPr>
          <w:trHeight w:val="247"/>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20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 ending balance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53,429</w:t>
            </w:r>
          </w:p>
        </w:tc>
        <w:tc>
          <w:tcPr>
            <w:tcW w:w="80" w:type="dxa"/>
            <w:vAlign w:val="bottom"/>
          </w:tcPr>
          <w:p>
            <w:pPr>
              <w:spacing w:after="0"/>
              <w:rPr>
                <w:sz w:val="20"/>
                <w:szCs w:val="20"/>
                <w:color w:val="auto"/>
              </w:rPr>
            </w:pPr>
          </w:p>
        </w:tc>
      </w:tr>
      <w:tr>
        <w:trPr>
          <w:trHeight w:val="243"/>
        </w:trPr>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Current portion classified to accrued and other current liabilities</w:t>
            </w:r>
          </w:p>
        </w:tc>
        <w:tc>
          <w:tcPr>
            <w:tcW w:w="20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(1,213 )</w:t>
            </w:r>
          </w:p>
        </w:tc>
      </w:tr>
      <w:tr>
        <w:trPr>
          <w:trHeight w:val="241"/>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Liability related to sale of future revenues, non-current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52,216</w:t>
            </w:r>
          </w:p>
        </w:tc>
        <w:tc>
          <w:tcPr>
            <w:tcW w:w="8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the Company recognized, under Astellas Agreements, development revenue of $0.3 million, and a net reduction to drug product revenue of $1.2 million. See Note 2, </w:t>
      </w:r>
      <w:r>
        <w:rPr>
          <w:rFonts w:ascii="Times New Roman" w:cs="Times New Roman" w:eastAsia="Times New Roman" w:hAnsi="Times New Roman"/>
          <w:sz w:val="18"/>
          <w:szCs w:val="18"/>
          <w:i w:val="1"/>
          <w:iCs w:val="1"/>
          <w:color w:val="auto"/>
        </w:rPr>
        <w:t>Collaboration Agreements, License Agreement and Revenue</w:t>
      </w:r>
      <w:r>
        <w:rPr>
          <w:rFonts w:ascii="Times New Roman" w:cs="Times New Roman" w:eastAsia="Times New Roman" w:hAnsi="Times New Roman"/>
          <w:sz w:val="18"/>
          <w:szCs w:val="18"/>
          <w:color w:val="auto"/>
        </w:rPr>
        <w:t>, for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recognized the related non-cash interest expense of $2.0 million.</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Based on the current estimates of drug product revenue and revenue from milestone payments under the Astellas Agreements, and taking into the consideration of the terms discussed above, the Company anticipates to reach a Payment Cap up to $125.0 million by 2031.</w:t>
      </w:r>
    </w:p>
    <w:p>
      <w:pPr>
        <w:spacing w:after="0" w:line="266"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income tax for the three months ended March 31, 2024 and 2023 were primarily due to foreign taxes.</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280"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Astellas is an equity investor in the Company and is considered a related party. The Company recorded license and development revenue related to collaboration agreements with Astellas of $0.3 million and $1.6 million for the three months ended March 31, 2024 and 2023, respectively. The Company recorded a reduction to drug product revenue from Astellas of $1.2 million for the three months ended March 31, 2024 and recorded drug product revenue from Astellas of $2.1 million for the three months ended March 31, 2023. See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for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expense related to collaboration agreements with Astellas was immaterial for each of the three months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accounts receivable from Astellas were $0.3 million and $0.8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total deferred revenue from Astellas was $10.2 million and $16.9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amounts due to Astellas, included in accrued and other current liabilities, and other long-term liabilities, totaled $48.3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amount due to Astellas, included in accrued and other current liabilities, and other long-term liabilities, totaled $40.5 million.</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3, </w:t>
      </w:r>
      <w:r>
        <w:rPr>
          <w:rFonts w:ascii="Times New Roman" w:cs="Times New Roman" w:eastAsia="Times New Roman" w:hAnsi="Times New Roman"/>
          <w:sz w:val="18"/>
          <w:szCs w:val="18"/>
          <w:i w:val="1"/>
          <w:iCs w:val="1"/>
          <w:color w:val="auto"/>
        </w:rPr>
        <w:t>Equity method investment - 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 for details.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The net product revenue from Falikang was $27.1 million and $21.4 million for the three months ended March 31, 2024 and 2023, respectively. See the </w:t>
      </w: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section in Note 2,</w:t>
      </w:r>
      <w:r>
        <w:rPr>
          <w:rFonts w:ascii="Times New Roman" w:cs="Times New Roman" w:eastAsia="Times New Roman" w:hAnsi="Times New Roman"/>
          <w:sz w:val="18"/>
          <w:szCs w:val="18"/>
          <w:i w:val="1"/>
          <w:iCs w:val="1"/>
          <w:color w:val="auto"/>
        </w:rPr>
        <w:t xml:space="preserve"> Collaboration Agreements, License Agreement and Revenues</w:t>
      </w:r>
      <w:r>
        <w:rPr>
          <w:rFonts w:ascii="Times New Roman" w:cs="Times New Roman" w:eastAsia="Times New Roman" w:hAnsi="Times New Roman"/>
          <w:sz w:val="18"/>
          <w:szCs w:val="18"/>
          <w:color w:val="auto"/>
        </w:rPr>
        <w:t>, for details.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investment income in Falikang was $0.6 million and $0.8 million for the three months ended March 31, 2024 and 2023, respectively. As of March 31, 2024 and December 31, 2023, the Company’s equity method investment in Falikang was $5.8 million and $5.3 million, respectively. See Note 3,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investment - Variable Interest Entity</w:t>
      </w:r>
      <w:r>
        <w:rPr>
          <w:rFonts w:ascii="Times New Roman" w:cs="Times New Roman" w:eastAsia="Times New Roman" w:hAnsi="Times New Roman"/>
          <w:sz w:val="18"/>
          <w:szCs w:val="18"/>
          <w:color w:val="auto"/>
        </w:rPr>
        <w:t>, for details. The other income from Falikang was immaterial for each of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accounts receivable, net, from Falikang, were $6.8 million and $5.2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Obligations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outstanding total non-cancelable purchase obligations of $35.6 million, including $22.8 million for manufacture and supply of pamrevlumab, $1.7 million for manufacture and supply of roxadustat, and $11.0 million for other purchases and programs. The Company expects to fulfill its commitments under these agreements in the normal course of business, and as such, no liability has been recorded.</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Some of the Company’s license agreements provide for periodic maintenance fees over specified time periods, as well as payments by the Company upon the achievement of development, regulatory and commercial milestones. As of March 31, 2024, future milestone payments for research and preclinical stage development programs consisted of up to approximately $697.9 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had $77.7 million of operating lease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see Note 6,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xml:space="preserve"> for details of the related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Matters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except for the class action settlement mentioned below, in its condensed consolidated balance sheet as of March 31, 2024, as the Company could not predict the ultimate outcome of these matters, or reasonably estimate the potential exposure.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Between April 2021 and May 2021, five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On October 17, 2023, the parties reached an agreement in principle to settle the class action at $28.5 million. Accordingly, as of December 31, 2023, the Company recorded the $28.5 million in accrued and other current liabilities in the condensed consolidated balance sheet. The Company maintains insurance that covers exposure related to the class action lawsuit. As the amount is fully recoverable under the Company’s insurance policies, the Company recorded a corresponding receivable in prepaid expenses and other current assets in the condensed consolidated balance sheet. The determination that the recorded receivables are probable of collection is based on the terms of the applicable insurance policies and communications with the insurers. The Court preliminarily approved the settlement on February 13, 2024 and a hearing on final approval is scheduled for May 16, 2024. Another case, filed on May 25, 2023, against the same defendants, asserting similar claims as the class action and additional common-law and California state fraud claims was voluntarily dismissed on December 20, 2023.</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July 30, 2021 and April 3, 2024, seven shareholder derivative complaints were filed, naming as defendants certain of our current and former officers and certain current and former members of our board, as well as FibroGen as nominal defendants (the “Derivative Lawsuits”). Of these Derivative Lawsuits, four were filed in the Delaware Court of Chancery (the “Delaware Chancery Derivative Actions”), two were filed in the U.S. District Court for the District of Delaware (the “Delaware Federal Derivative Actions”), and one was filed in the U.S. District Court for the Northern District of California (the “California Federal Derivative Action”). The plaintiffs assert state and federal claims based on some of the same alleged misstatements as the securities class action complaint. The complaints seek unspecified damages, attorneys’ fees, and other costs. The status of the seven Derivative Lawsuits is currently as follows:</w:t>
      </w:r>
    </w:p>
    <w:p>
      <w:pPr>
        <w:spacing w:after="0" w:line="81" w:lineRule="exact"/>
        <w:rPr>
          <w:sz w:val="20"/>
          <w:szCs w:val="20"/>
          <w:color w:val="auto"/>
        </w:rPr>
      </w:pPr>
    </w:p>
    <w:p>
      <w:pPr>
        <w:jc w:val="both"/>
        <w:ind w:left="520" w:hanging="512"/>
        <w:spacing w:after="0" w:line="258"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Delaware Chancery Derivative Actions, filed on April 14, 2022, and June 1, 2023, have been consolidated (the “Delaware Chancery Consolidated Derivative”). On February 1, 2024, Defendants moved to dismiss the Delaware Chancery Consolidated Derivative action. In the other two Delaware Chancery Derivative Actions, filed in the Delaware Court of Chancery on December 3, 2023 and April 3, 2024, Defendants have not been formally served, though the parties are in the process of negotiating a stay of the actions pending resolution of the motion to dismiss the Delaware Chancery Consolidated Derivative action;</w:t>
      </w:r>
    </w:p>
    <w:p>
      <w:pPr>
        <w:spacing w:after="0" w:line="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of the Delaware Federal Derivative Actions remain stayed. One is stayed pending the resolution of the putative securities class action, and the other is stayed pending resolution of the motion to dismiss the Delaware Chancery Consolidated Derivative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Federal Derivative Action was voluntarily dismissed on January 22, 2024.</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believes that the claims asserted in the Derivative Lawsuits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the fourth quarter of 2021, the Company received a subpoena from the SEC requesting documents related to roxadustat’s pooled cardiovascular safety data. The SEC followed up with a subpoena for additional documents in the second quarter of 2024.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Between 2022 and 2024, the Company’s Board of Directors received six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such additional demands.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believes the estimated fair value of these arrangements is minimal.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2023 filed with the SEC on February 26, 2024 (“2023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and other statements. While we may elect to update these forward-looking and other statements at some point in the future, we have no current intention of doing so except to the extent required by applicable law. You should, therefore, not rely on these forward-looking and other statements as representing our views as of any date subsequent to the date of this Quarterly Report on Form 10-Q and are cautioned not to place undue reliance on such forward-looking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headquartered in San Francisco, California, with subsidiary offices in Beijing and Shanghai, People’s Republic of China (“China”). FibroGen is developing and commercializing a diversified pipeline of novel therapeutics that work at the frontier of cancer biology and anemia.</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Pamrevlumab, a human monoclonal antibody targeting CTGF, is in Phase 3 clinical development for the treatment of locally advanced unresectable pancreatic cancer (“LAPC”). Pamrevlumab is also in Phase 2/3 development for the treatment of metastatic pancreatic cancer. To date, we have retained exclusive worldwide rights for pamrevlumab.</w:t>
      </w:r>
    </w:p>
    <w:p>
      <w:pPr>
        <w:spacing w:after="0" w:line="183" w:lineRule="exact"/>
        <w:rPr>
          <w:sz w:val="20"/>
          <w:szCs w:val="20"/>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Roxadustat is an oral small molecule inhibitor of HIF prolyl hydroxylase (“HIF-PH”) activity.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in China, Europe, Japan, and numerous other countries for the treatment of anemia in chronic kidney disease (“CKD”) for patients who are on dialysis and not on dialysis. Roxadustat is in clinical development for chemotherapy-induced anemia (“CIA”) in China.</w:t>
      </w:r>
    </w:p>
    <w:p>
      <w:pPr>
        <w:spacing w:after="0" w:line="20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FibroGen is also developing earlier stage clinical and preclinical product candidates, FG-3246, FG-3165 and FG-3175, to address unmet patient needs in oncology.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416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60" w:type="dxa"/>
            <w:vAlign w:val="bottom"/>
          </w:tcPr>
          <w:p>
            <w:pPr>
              <w:spacing w:after="0"/>
              <w:rPr>
                <w:sz w:val="14"/>
                <w:szCs w:val="14"/>
                <w:color w:val="auto"/>
              </w:rPr>
            </w:pPr>
          </w:p>
        </w:tc>
        <w:tc>
          <w:tcPr>
            <w:tcW w:w="1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416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(in thousands, except for per share data)</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Result of Operations</w:t>
            </w:r>
          </w:p>
        </w:tc>
        <w:tc>
          <w:tcPr>
            <w:tcW w:w="17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55,902</w:t>
            </w:r>
          </w:p>
        </w:tc>
        <w:tc>
          <w:tcPr>
            <w:tcW w:w="260" w:type="dxa"/>
            <w:vAlign w:val="bottom"/>
          </w:tcPr>
          <w:p>
            <w:pPr>
              <w:spacing w:after="0"/>
              <w:rPr>
                <w:sz w:val="20"/>
                <w:szCs w:val="20"/>
                <w:color w:val="auto"/>
              </w:rPr>
            </w:pP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7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112,252</w:t>
            </w: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tcPr>
          <w:p>
            <w:pPr>
              <w:spacing w:after="0"/>
              <w:rPr>
                <w:sz w:val="20"/>
                <w:szCs w:val="20"/>
                <w:color w:val="auto"/>
              </w:rPr>
            </w:pP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(32,933 )</w:t>
            </w:r>
          </w:p>
        </w:tc>
        <w:tc>
          <w:tcPr>
            <w:tcW w:w="15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(76,705 )</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720" w:type="dxa"/>
            <w:vAlign w:val="bottom"/>
            <w:shd w:val="clear" w:color="auto" w:fill="CFF0FC"/>
          </w:tcPr>
          <w:p>
            <w:pPr>
              <w:jc w:val="right"/>
              <w:ind w:right="15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(0.33 )</w:t>
            </w:r>
          </w:p>
        </w:tc>
        <w:tc>
          <w:tcPr>
            <w:tcW w:w="1540" w:type="dxa"/>
            <w:vAlign w:val="bottom"/>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(0.81 )</w:t>
            </w:r>
          </w:p>
        </w:tc>
      </w:tr>
      <w:tr>
        <w:trPr>
          <w:trHeight w:val="473"/>
        </w:trPr>
        <w:tc>
          <w:tcPr>
            <w:tcW w:w="616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r>
      <w:tr>
        <w:trPr>
          <w:trHeight w:val="169"/>
        </w:trPr>
        <w:tc>
          <w:tcPr>
            <w:tcW w:w="6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w:t>
            </w:r>
          </w:p>
        </w:tc>
        <w:tc>
          <w:tcPr>
            <w:tcW w:w="1800" w:type="dxa"/>
            <w:vAlign w:val="bottom"/>
            <w:gridSpan w:val="2"/>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7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105,734</w:t>
            </w:r>
          </w:p>
        </w:tc>
        <w:tc>
          <w:tcPr>
            <w:tcW w:w="260" w:type="dxa"/>
            <w:vAlign w:val="bottom"/>
          </w:tcPr>
          <w:p>
            <w:pPr>
              <w:spacing w:after="0"/>
              <w:rPr>
                <w:sz w:val="20"/>
                <w:szCs w:val="20"/>
                <w:color w:val="auto"/>
              </w:rPr>
            </w:pP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113,688</w:t>
            </w: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17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71,865</w:t>
            </w:r>
          </w:p>
        </w:tc>
        <w:tc>
          <w:tcPr>
            <w:tcW w:w="26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121,898</w:t>
            </w:r>
          </w:p>
        </w:tc>
        <w:tc>
          <w:tcPr>
            <w:tcW w:w="100" w:type="dxa"/>
            <w:vAlign w:val="bottom"/>
            <w:shd w:val="clear" w:color="auto" w:fill="CFF0FC"/>
          </w:tcPr>
          <w:p>
            <w:pPr>
              <w:spacing w:after="0"/>
              <w:rPr>
                <w:sz w:val="21"/>
                <w:szCs w:val="21"/>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37,083</w:t>
            </w:r>
          </w:p>
        </w:tc>
        <w:tc>
          <w:tcPr>
            <w:tcW w:w="260" w:type="dxa"/>
            <w:vAlign w:val="bottom"/>
          </w:tcPr>
          <w:p>
            <w:pPr>
              <w:spacing w:after="0"/>
              <w:rPr>
                <w:sz w:val="20"/>
                <w:szCs w:val="20"/>
                <w:color w:val="auto"/>
              </w:rPr>
            </w:pP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for the three months ended March 31, 2024 included primarily the revenue recognized related to the following:</w:t>
      </w:r>
    </w:p>
    <w:p>
      <w:pPr>
        <w:spacing w:after="0" w:line="11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 million from roxadustat commercial sales in China, mostly from sales to Beijing Falikang Pharmaceutical Co. Ltd. (“Falikang”);</w:t>
      </w:r>
    </w:p>
    <w:p>
      <w:pPr>
        <w:spacing w:after="0" w:line="117"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million cumulative catch-up net adjustment in the drug product revenue as a result of the termination and transition agreement related to the AstraZeneca AB (“AstraZeneca”) U.S./RoW Agreement, , as defined below, with the exception of South Korea, and a net reduction of $1.2 million to drug product revenue related to API deliveries to Astellas Pharma Inc. (“Astellas”); and</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development revenue recognized under our collaboration agreements with our partners Astellas and AstraZeneca.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comparison, our revenue for the three months ended March 31, 2023 included primarily the revenue recognized related to the following:</w:t>
      </w:r>
    </w:p>
    <w:p>
      <w:pPr>
        <w:spacing w:after="0" w:line="11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million from roxadustat commercial sales in China, mostly from sales to Falikang;</w:t>
      </w:r>
    </w:p>
    <w:p>
      <w:pPr>
        <w:spacing w:after="0" w:line="117" w:lineRule="exact"/>
        <w:rPr>
          <w:rFonts w:ascii="Times New Roman" w:cs="Times New Roman" w:eastAsia="Times New Roman" w:hAnsi="Times New Roman"/>
          <w:sz w:val="18"/>
          <w:szCs w:val="18"/>
          <w:color w:val="auto"/>
        </w:rPr>
      </w:pPr>
    </w:p>
    <w:p>
      <w:pPr>
        <w:ind w:left="520" w:right="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total milestone payments recognized under our license agreement with Eluminex, including a $3.0 million milestone payment based on Eluminex implanting a biosynthetic cornea in the first patient of its clinical trial in China, and a $3.0 million manufacturing related milestone payment;</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of development revenue recognized under our collaboration agreements with our partners Astellas and AstraZeneca;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of drug product revenue related to API deliveries to Astellas.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costs and expenses for the three months ended March 31, 2024 decreased compared to the same period a year ago primarily as a result of the net effect of the following:</w:t>
      </w:r>
    </w:p>
    <w:p>
      <w:pPr>
        <w:spacing w:after="0" w:line="54" w:lineRule="exact"/>
        <w:rPr>
          <w:sz w:val="20"/>
          <w:szCs w:val="20"/>
          <w:color w:val="auto"/>
        </w:rPr>
      </w:pPr>
    </w:p>
    <w:p>
      <w:pPr>
        <w:ind w:left="520" w:right="6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 million lower clinical trial expenses primarily associated with the wind down on Phase 2/3 trials for pamrevlumab for the treatment of metastatic pancreatic cancer;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million lower employee-related expenses primarily due to the impact from reduction in force actions in July 2023 and cost control efforts;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lower stock-based compensation primarily resulting from significantly lower stock price and cancellations of stock options and restricted stock units;</w:t>
      </w:r>
    </w:p>
    <w:p>
      <w:pPr>
        <w:spacing w:after="0" w:line="53"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lower facilities-related expenses due to cost control efforts and lower depreciation expense as certain Property and equipment reached their useful lives in prior year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lower legal expenses primarily due to lower corporate legal activities;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lower drug development expenses associated with drug substance activities related to pamrevlumab which was largely completed; and</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million one-time cost of goods sold recorded correspondingly to the above-mentioned drug product revenue resulting from the termination and transition agreement related to the AstraZeneca U.S./RoW Agreement.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had a net loss of $32.9 million, or a net loss per basic and diluted share of $0.33, as compared to a net loss of $76.7 million, or a net loss per basic and diluted share of $0.81, for the same period a year ago, due to increases in revenue and decreases in operating costs and expenses as discussed above.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Cash and cash equivalents, investments, and accounts receivable totaled $214.7 million at March 31, 2024, a decrease of $33.5 million from December 31, 2023, primarily due to the cash used in operations as discussed under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Development and Research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overview of our clinical, commercial, and research programs.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Pamrevlumab: Monoclonal Antibody Targeting Connective Tissue Growth Factor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Pamrevlumab is our first-in-class antibody developed to inhibit the activity of CTGF. In addition to enabling progression of fibrosis, CTGF has been shown preclinically to have pro-tumorigenic effects in pancreatic cancer through increasing tumor cell proliferation and survival and promoting tumor angiogenesis and metastasis.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U.S. Food and Drug Administration (“FDA”) has granted Fast Track designation to pamrevlumab for the treatment of patients with locally advanced pancreatic cancer (“LAPC”). The FDA has granted orphan drug designation to pamrevlumab for the treatment of pancreatic cancer.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Pamrevlumab for the Treatment of Metastatic Pancreatic Cancer</w:t>
      </w:r>
    </w:p>
    <w:p>
      <w:pPr>
        <w:spacing w:after="0" w:line="12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In June 2021, the Pancreatic Cancer Action Network’s (PanCAN) Precision Promise</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adaptive trial platform included pamrevlumab in combination with standard-of-care chemotherapy treatments for pancreatic cancer (gemcitabine and Abraxane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patients with metastatic pancreatic cancer. Drug candidates in the Precision Promise study will progress from Stage 1 to Stage 2 of this seamless Phase 2/3 study, unless stopped sooner for safety or futility. The objective of Precision Promise is to expedite the study and approval of promising therapies for pancreatic cancer by bringing multiple stakeholders together, including academic, industry and regulatory entities.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third quarter of 2022, pamrevlumab graduated from Stage 1 to Stage 2, achieving a protocol pre-specified ≥ 35% predictive probability of success for the primary endpoint of overall survival at the completion of the trial. Pamrevlumab was the first experimental treatment arm to graduate to Stage 2 of the trial. The pamrevlumab combination therapy was offered to patients as either a first- or second-line treatment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2024, the pamrevlumab portion of the trial was completed, and we expect topline results to be available in mid-2024.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Pamrevlumab for the Treatment of Locally Advanced Unresectable Pancreatic Cancer (“LAPIS”)</w:t>
      </w:r>
    </w:p>
    <w:p>
      <w:pPr>
        <w:spacing w:after="0" w:line="12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LAPIS is our double-blind placebo-controlled Phase 3 clinical program for pamrevlumab as a therapy for LAPC. We completed enrollment of 284 patients that are randomized at a 1:1 ratio to receive either pamrevlumab or placebo, in each case in combination with chemotherapy (either FOLFIRINOX or gemcitabine plus nab-paclitaxel). We expect topline data for the primary endpoint of overall survival to be available in the third quarter of 2024.</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for the Treatment of Anemia in Chronic Kidney Disease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Roxadustat is our commercial-stage product, an oral small molecule inhibitor of HIF-PH activity that acts by stimulating the body’s natural pathway of erythropoiesis, or red blood cell production.</w:t>
      </w:r>
    </w:p>
    <w:p>
      <w:pPr>
        <w:spacing w:after="0" w:line="169" w:lineRule="exact"/>
        <w:rPr>
          <w:sz w:val="20"/>
          <w:szCs w:val="20"/>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is approved in China, Europe, Japan, and numerous other countries for the treatment of anemia in CKD for patients who are on dialysis and not on dialysis.</w:t>
      </w:r>
    </w:p>
    <w:p>
      <w:pPr>
        <w:spacing w:after="0" w:line="206" w:lineRule="exact"/>
        <w:rPr>
          <w:sz w:val="20"/>
          <w:szCs w:val="20"/>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In China, roxadustat (tradename: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continues to see significant volume growth in the treatment of anemia caused by CKD in non-dialysis and dialysis patients. In the first quarter of 2024, roxadustat achieved an over 39% increase in sales volume relative to the first quarter of 2023. As of February, 2024, roxadustat was the top CKD anemia brand in China with approximately 47% value share within the segment of erythropoiesis stimulating agents and HIF-PH inhibitors (roxadustat is currently the only HIF-PH inhibitor on the market in China).</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Roxadustat for the Treatment of Chemotherapy-Induced Anemia</w:t>
      </w:r>
    </w:p>
    <w:p>
      <w:pPr>
        <w:spacing w:after="0" w:line="121" w:lineRule="exact"/>
        <w:rPr>
          <w:sz w:val="20"/>
          <w:szCs w:val="20"/>
          <w:color w:val="auto"/>
        </w:rPr>
      </w:pPr>
    </w:p>
    <w:p>
      <w:pPr>
        <w:ind w:right="340"/>
        <w:spacing w:after="0" w:line="261" w:lineRule="exact"/>
        <w:rPr>
          <w:sz w:val="20"/>
          <w:szCs w:val="20"/>
          <w:color w:val="auto"/>
        </w:rPr>
      </w:pPr>
      <w:r>
        <w:rPr>
          <w:rFonts w:ascii="Times New Roman" w:cs="Times New Roman" w:eastAsia="Times New Roman" w:hAnsi="Times New Roman"/>
          <w:sz w:val="18"/>
          <w:szCs w:val="18"/>
          <w:color w:val="auto"/>
        </w:rPr>
        <w:t>In May 2023, we announced positive topline data from our Phase 3 clinical study of roxadustat for treatment of anemia in patients receiving concurrent chemotherapy treatment for non-myeloid malignancies in China. Roxadustat (</w:t>
      </w:r>
      <w:r>
        <w:rPr>
          <w:rFonts w:ascii="SimSun" w:cs="SimSun" w:eastAsia="SimSun" w:hAnsi="SimSun"/>
          <w:sz w:val="18"/>
          <w:szCs w:val="18"/>
          <w:color w:val="auto"/>
        </w:rPr>
        <w:t>爱瑞卓</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demonstrated non-inferiority compared to recombinant erythropoietin alfa (SEPO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on the primary endpoint of change in hemoglobin (Hb) level from baseline to the average level during Weeks 9-13.</w:t>
      </w:r>
    </w:p>
    <w:p>
      <w:pPr>
        <w:spacing w:after="0" w:line="12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the preliminary safety analysis, the adverse event profile of roxadustat was generally consistent with previous findings and supportive of a positive benefit risk in this patient population.</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total of 159 patients with non-myeloid malignancy (solid tumor) with a baseline hemoglobin level at or below 10 g/dL were enrolled into this Phase 3, randomized, open-label, active-controlled study investigating the efficacy and safety of roxadustat for treatment of CIA. Patients were randomly assigned roxadustat or erythropoietin alfa three times per week (TIW), during a treatment period of 12 weeks, with an additional 4-week follow-up period. We recently presented results from this study in an oral presentation at the European Society for Medical Oncology Congress 2023.</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supplemental New Drug Application for roxadustat in CIA was accepted by the China Health Authority in August 2023, and we expect an approval decision in the second half of 2024.</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CIA is one of the most common side effects of chemotherapy, it is frequently undertreated. CIA can adversely affect long-term patient outcomes, as anemia limits both quality of life and the ability of patients to continue chemotherapy treatment. The incidence and severity of CIA depends on a variety of factors. This includes the type of cancer and the treatment, including the type of chemotherapy, schedule, and intensity of therapy. It also depends on whether the patient has received prior myelosuppressive chemotherapy, radiation therapy, or both. Almost 80% of cancer patients in China receiving chemotherapy develop anemia. Approximately 50% of cancer patients in China receiving chemotherapy develop severe anemia that merits treatment (hemoglobin under 10g/dL). In China, over 3 million cancer patients undergo chemotherapy.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FG-3246: Prostate Cancer; Potential Additional Cancer Indications</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May 2023 we obtained an exclusive license to develop FG-3246 (previously FOR46) in metastatic castration-resistant prostate cancer (“mCRPC”) and other cancer indications. FG-3246 is a first-in-class antibody-drug conjugate targeting a novel epitope on CD46 that is expressed at high levels in certain tumor types with limited expression in most normal tissues. The cytotoxic payload of FG-3246 is monomethyl auristatin E, an anti-mitotic agent that has been utilized in four commercially approved antibody-drug conjugate drugs.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FG-3246 demonstrated monotherapy efficacy in a Phase 1 clinical study in heavily-pretreated (and not biomarker selected) patients with mCRPC. Results included a median radiographic progression-free survival of 8.7 months and a PSA50 response in 36% of evaluable patients. For RECIST evaluable patients, 20% met the criteria of a partial response, or measurable reduction in tumor size of ≥ 30%, with a median duration of response of 7.5 months. FG-3246 demonstrated an acceptable safety profile, with adverse events consistent with those observed in other antibody drug conjugate therapies with a MMAE payload, and included infusion related reactions, fatigue, weight loss, neutropenia, and peripheral neuropathy. We plan to meet with the FDA to discuss the development pathway, and we anticipate initiation of a Phase 2 monotherapy dose optimization study of FG-3246 for mCRPC in the second half of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 investigator-sponsored trial of FG-3246 plus enzalutimide is ongoing. Side effects have been manageable and are consistent with other monomethyl auristatin E-based antibody-drug conjugate drugs.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Development of the CD46-targeted PET biomarker is currently underway with UCSF, a collaborator of Fortis. We are also exploring additional potential tumor indications in which CD46 is commonly expressed.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Pipeline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preclinical pipeline consists of two antibodies for immuno-oncology that are in investigational new drug application-enabling studies.</w:t>
      </w:r>
    </w:p>
    <w:p>
      <w:pPr>
        <w:spacing w:after="0" w:line="2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FG-3165 </w:t>
      </w:r>
      <w:r>
        <w:rPr>
          <w:rFonts w:ascii="Times New Roman" w:cs="Times New Roman" w:eastAsia="Times New Roman" w:hAnsi="Times New Roman"/>
          <w:sz w:val="18"/>
          <w:szCs w:val="18"/>
          <w:color w:val="auto"/>
        </w:rPr>
        <w:t>is a galectin-9 (“Gal9”) targeted antibody under development for treatment of solid tumors characterized by high Gal9 levels of expression. Gal9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reported to bind to multiple immune checkpoints on lymphocytes that suppress T and natural killer cell activation, and it is a driver of cancer progression in acute myeloid leukemia. In preclinical studies FG-3165 and its variants inhibit Gal9 mediated T cell death, and also promotes anti-tumor immune responses in combination with other immune checkpoint targeted drugs. We submitted an investigational new drug application for FG-3165 in April 2024.</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FG-3175 </w:t>
      </w:r>
      <w:r>
        <w:rPr>
          <w:rFonts w:ascii="Times New Roman" w:cs="Times New Roman" w:eastAsia="Times New Roman" w:hAnsi="Times New Roman"/>
          <w:sz w:val="18"/>
          <w:szCs w:val="18"/>
          <w:color w:val="auto"/>
        </w:rPr>
        <w:t>is a c-c motif chemokine receptor 8 (“CCR8”) targeted antibody under development for treatment of solid tumors that are highly infiltrated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CCR8-positive T regulatory cells. T regulatory cells contribute to an immune suppressed tumor microenvironment, and multiple preclinical studies have demonstrated immune activation and tumor regression following depletion of this cell type from the tumor microenvironment. FG-3175 is a variant of our previous lead anti-CCR8 antibody, FG-3163, and was deemed to be a superior clinical candidate following extended characterization of both antibodies. FG-3175 has enhanced antibody dependent cellular cytotoxicity activity and induces potent killing of CCR8 expressing cells by natural killer cells in in vitro assay systems. We plan to submit an investigational new drug application (IND) in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and Option to Acquire Fortis Therapeutics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5, 2023, we entered into an exclusive option agreement to acquire Fortis with its novel Phase 1 antibody-drug conjugate, FG-3246 (previously FOR46), that targets a novel epitope on CD46 preferentially expressed on certain cancer cells. FG-3246 is in development for the treatment of metastatic castration-resistant prostate cancer with potential applicability in other solid tumors and hematologic malignancies.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FibroGen have made four quarterly payments totaling $5.4 million to Fortis in support of its continued development obligations, of which the last payment was $1.7 million and was made during the three months ended March 31, 2024.</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spacing w:after="0" w:line="178"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this transaction, see the </w:t>
      </w:r>
      <w:r>
        <w:rPr>
          <w:rFonts w:ascii="Times New Roman" w:cs="Times New Roman" w:eastAsia="Times New Roman" w:hAnsi="Times New Roman"/>
          <w:sz w:val="18"/>
          <w:szCs w:val="18"/>
          <w:i w:val="1"/>
          <w:iCs w:val="1"/>
          <w:color w:val="auto"/>
        </w:rPr>
        <w:t>Consolidated Variable Interest Entity - Fortis</w:t>
      </w:r>
      <w:r>
        <w:rPr>
          <w:rFonts w:ascii="Times New Roman" w:cs="Times New Roman" w:eastAsia="Times New Roman" w:hAnsi="Times New Roman"/>
          <w:sz w:val="18"/>
          <w:szCs w:val="18"/>
          <w:color w:val="auto"/>
        </w:rPr>
        <w:t xml:space="preserve"> section in Note 3, </w:t>
      </w:r>
      <w:r>
        <w:rPr>
          <w:rFonts w:ascii="Times New Roman" w:cs="Times New Roman" w:eastAsia="Times New Roman" w:hAnsi="Times New Roman"/>
          <w:sz w:val="18"/>
          <w:szCs w:val="18"/>
          <w:i w:val="1"/>
          <w:iCs w:val="1"/>
          <w:color w:val="auto"/>
        </w:rPr>
        <w:t>Variable Interest Entity</w:t>
      </w:r>
      <w:r>
        <w:rPr>
          <w:rFonts w:ascii="Times New Roman" w:cs="Times New Roman" w:eastAsia="Times New Roman" w:hAnsi="Times New Roman"/>
          <w:sz w:val="18"/>
          <w:szCs w:val="18"/>
          <w:color w:val="auto"/>
        </w:rPr>
        <w:t>, to the condensed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from HiFiBiO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2021, we entered into an exclusive license and option agreement with HiFiBiO (HK) Ltd. (d.b.a. HiFiBiO Therapeutics) (“HiFiBiO”), pursuant to which we exclusively licensed from HiFiBiO all product candidates in HiFiBiO’s Galectin-9 program and subsequently exclusively licensed all product candidates in HiFiBiO’s CCR8 program. In addition to the upfront payments we previously paid, HiFiBiO may receive up to a total of $345 million in future clinical, regulatory, and commercial milestone payments for each program. HiFiBiO will also be eligible to receive tiered royalties based upon worldwide net sales.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License to Eluminex</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w:t>
      </w:r>
    </w:p>
    <w:p>
      <w:pPr>
        <w:spacing w:after="0" w:line="160"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Eluminex Agreement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the condensed consolidated financial statements for details.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 xml:space="preserve">Our current and future research, development, manufacturing and commercialization efforts with respect to roxadustat depend on funds from our collaboration agreements with Astellas and AstraZeneca. See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to the condensed consolidated financial statements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Astellas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March 31, 2024 totaled $790.1 million. Based on the current development plans for roxadustat in Japan and Europe, we do not expect to receive most or all of the additional potential milestones under the Astellas Japan Agreement or the Astellas Europe Agreement.</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2018, we and Astellas entered into an amendment to the Astellas Japan Agreement that allows Astellas to manufacture roxadustat drug product for commercialization in Japan (the “Astellas Japan Amendment”). The related drug product revenue was $(2.2) million and $1.7 million for the three months ended March 31, 2024 and 2023, respectively.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$1.0 million and $0.4 million for the three months ended March 31, 2024 and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AstraZeneca</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2013, we entered into a collaboration agreement with AstraZeneca for roxadustat for the treatment of anemia in the U.S. and all territories, except for China and other territories not previously licensed to Astellas (the “AstraZeneca U.S./RoW Agreement”). 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23, 2024, we entered into an agreement to terminate the AstraZeneca U.S./RoW Agreement with AstraZeneca, effective as of February 25, 2024. Pursuant to the termination and transition agreement, AstraZeneca returns all of their non-China roxadustat rights to us, with the exception of South Korea, and provides certain assistance during a transition period. In addition, as a part of this termination and transition agreement, AstraZeneca will receive tiered mid-single digit royalties on FibroGen’s sales of roxadustat in the terminated territories, or thirty-five percent of all revenue FibroGen receives if it licenses or sells such rights to a third-party. Neither party incurred any early termination penalties. The aggregate amount of consideration for milestone and upfront payments received under the AstraZeneca U.S./RoW Agreement through the termination totaled $439.0 million. In addition, resulting from the above-mentioned termination and transition agreement, FibroGen and AstraZeneca settled the outstanding balances relating to past transactions under the AstraZeneca Master Supply Agreement. Accordingly, during the three months ended March 31, 2024, we recorded a cumulative catch-up net adjustment of $25.7 million to the drug product revenue.</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March 31, 2024 totaled $77.2 million.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Times New Roman" w:cs="Times New Roman" w:eastAsia="Times New Roman" w:hAnsi="Times New Roman"/>
          <w:sz w:val="18"/>
          <w:szCs w:val="18"/>
          <w:i w:val="1"/>
          <w:iCs w:val="1"/>
          <w:color w:val="auto"/>
        </w:rPr>
        <w:t>AstraZeneca China Amendment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18, 2023, we received the formal notice, from Beijing Medical Products Administration, of renewal of its right to continue to market Roxadustat in China through 2028. The Company evaluated the regulatory milestone payment associated with this renewal under the AstraZeneca China Agreement and concluded that this milestone was achieved in the third quarter of 2023. Accordingly, the consideration of $4.0 million associated with this milestone was included in the transaction price and allocated to performance obligations under the AstraZeneca U.S./RoW Agreement and the AstraZeneca China Agreement, $3.5 million of which was recognized as revenue during the third quarter of 2023 from performance obligations satisfied or partially satisfied. As of March 31, 2024, the $4.0 million milestone was recorded as a contract asset and was fully netted against the contract liabilities (deferred revenue) related to the AstraZeneca China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China Amendment</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Beijing Falikang Pharmaceutical Co., Ltd. (“Falikang”), which performs roxadustat distribution, as well as conducts sales and marketing through AstraZeneca.</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related net product revenue of $30.5 million and $24.2 million for the three months ended March 31, 2024 and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404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(6,000 )</w:t>
            </w:r>
          </w:p>
        </w:tc>
        <w:tc>
          <w:tcPr>
            <w:tcW w:w="18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(100 ) %</w:t>
            </w: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Development and other revenue</w:t>
            </w: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(3,013 )</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(77 ) %</w:t>
            </w: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Drug product revenue, net</w:t>
            </w:r>
          </w:p>
        </w:tc>
        <w:tc>
          <w:tcPr>
            <w:tcW w:w="10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3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4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55,902</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-187960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p>
    <w:p>
      <w:pPr>
        <w:spacing w:after="0" w:line="17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Development revenue includes co-development and other development related services. We recognize development services as revenue in the period in which they are billed to our partners, excluding China. As of March 31, 2024, we do not expect to incur significant future co-development services. For China co-development services, we defer revenue until we begin to transfer control of the manufactured commercial product to AstraZeneca, which commenced in the first quarter of 2021 and we expect to continue through 2033, which reflects our best estimates. Other revenues consist of contract manufacturing revenue, patent transfer and sales of research and development material, which have not been material for any of the periods presented.</w:t>
      </w:r>
    </w:p>
    <w:p>
      <w:pPr>
        <w:spacing w:after="0" w:line="1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recognize product revenue when our customer obtains control of promised goods or services in an amount that reflects the consideration we expect to receive in exchange for those goods or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AstraZeneca U.S./RoW Agreement was terminated on February 23, 2024 (except for South Korea), while the AstraZeneca China Agreement and relationship continue unaffected. In the future, we will continue generating revenue from collaboration agreements in the form of milestone payments and royalties on drug product sales, and from product sales. We expect that any revenues we generate will fluctuate from quarter to quarter due to the uncertain timing and amount of such payments and sales.</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Total revenue increased $19.7 million, or 55%, for the three months ended March 31, 2024, compared to the same period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12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r>
      <w:tr>
        <w:trPr>
          <w:trHeight w:val="169"/>
        </w:trPr>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43"/>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Eluminex</w:t>
            </w:r>
          </w:p>
        </w:tc>
        <w:tc>
          <w:tcPr>
            <w:tcW w:w="1200" w:type="dxa"/>
            <w:vAlign w:val="bottom"/>
          </w:tcPr>
          <w:p>
            <w:pPr>
              <w:spacing w:after="0"/>
              <w:rPr>
                <w:sz w:val="21"/>
                <w:szCs w:val="21"/>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center"/>
              <w:ind w:left="699"/>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(6,000 )</w:t>
            </w:r>
          </w:p>
        </w:tc>
        <w:tc>
          <w:tcPr>
            <w:tcW w:w="2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r>
      <w:tr>
        <w:trPr>
          <w:trHeight w:val="20"/>
        </w:trPr>
        <w:tc>
          <w:tcPr>
            <w:tcW w:w="45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7"/>
        </w:trPr>
        <w:tc>
          <w:tcPr>
            <w:tcW w:w="4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license revenue</w:t>
            </w:r>
          </w:p>
        </w:tc>
        <w:tc>
          <w:tcPr>
            <w:tcW w:w="120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center"/>
              <w:ind w:left="699"/>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(6,000 )</w:t>
            </w:r>
          </w:p>
        </w:tc>
        <w:tc>
          <w:tcPr>
            <w:tcW w:w="2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(100 ) %</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was no license revenue during the three months ended March 31, 2024. License revenue recognized for three months ended March 31, 2023 included a $3.0 million milestone payment based on Eluminex implanting a biosynthetic cornea in the first patient of its clinical trial in China, and a $3.0 million manufacturing related milestone payment when such milestones were achieved.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 and Other Revenue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600" w:type="dxa"/>
            <w:vAlign w:val="bottom"/>
            <w:tcBorders>
              <w:bottom w:val="single" w:sz="8" w:color="auto"/>
            </w:tcBorders>
            <w:gridSpan w:val="5"/>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Development revenue:</w:t>
            </w: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(1,330 )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(82 ) %</w:t>
            </w:r>
          </w:p>
        </w:tc>
      </w:tr>
      <w:tr>
        <w:trPr>
          <w:trHeight w:val="247"/>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AstraZeneca</w:t>
            </w: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(1,564 )</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(77 ) %</w:t>
            </w:r>
          </w:p>
        </w:tc>
      </w:tr>
      <w:tr>
        <w:trPr>
          <w:trHeight w:val="20"/>
        </w:trPr>
        <w:tc>
          <w:tcPr>
            <w:tcW w:w="47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232"/>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development revenue</w:t>
            </w: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(2,894 )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(79 ) %</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(119 )</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(51 ) %</w:t>
            </w:r>
          </w:p>
        </w:tc>
      </w:tr>
      <w:tr>
        <w:trPr>
          <w:trHeight w:val="20"/>
        </w:trPr>
        <w:tc>
          <w:tcPr>
            <w:tcW w:w="47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development and other revenue</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3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(3,013 )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(77 ) %</w:t>
            </w:r>
          </w:p>
        </w:tc>
      </w:tr>
      <w:tr>
        <w:trPr>
          <w:trHeight w:val="20"/>
        </w:trPr>
        <w:tc>
          <w:tcPr>
            <w:tcW w:w="47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-504825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-504825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-504825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-187960</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other revenue decreased $3.0 million, or 77%, for the three months ended March 31, 2024, compared to the same period a year ago.</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Astellas for the three months ended March 31, 2024 was impacted by the decrease in co-development billings due to the closeout activities under our collaboration agreements with Astellas for roxadustat.</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Development revenue recognized under our collaboration agreements with AstraZeneca for the three months ended March 31, 2024 was the final development revenue as a result of the termination of the AstraZeneca U.S./RoW Agreement.</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Other revenue recognized for the three months ended March 31, 2024 and 2023 included our contract manufacturing agreement with Eluminex, under which we are responsible for supplying the cornea product at 110% of our product manufacturing costs until our manufacturing technology is fully transferred to Eluminex, which occurred by the end of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Revenue,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3640" w:type="dxa"/>
            <w:vAlign w:val="bottom"/>
            <w:gridSpan w:val="6"/>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12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 Sales:</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revenue</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3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Discounts and rebates</w:t>
            </w:r>
          </w:p>
        </w:tc>
        <w:tc>
          <w:tcPr>
            <w:tcW w:w="9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(360 )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(273 )</w:t>
            </w: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(87 )</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returns</w:t>
            </w:r>
          </w:p>
        </w:tc>
        <w:tc>
          <w:tcPr>
            <w:tcW w:w="9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21"/>
                <w:szCs w:val="21"/>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(150 ) %</w:t>
            </w:r>
          </w:p>
        </w:tc>
      </w:tr>
      <w:tr>
        <w:trPr>
          <w:trHeight w:val="237"/>
        </w:trPr>
        <w:tc>
          <w:tcPr>
            <w:tcW w:w="48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Direct sales revenue, net</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3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3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 to Falikang:</w:t>
            </w: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transaction price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43,560</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Profit share</w:t>
            </w:r>
          </w:p>
        </w:tc>
        <w:tc>
          <w:tcPr>
            <w:tcW w:w="9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6"/>
              </w:rPr>
              <w:t>(19,023 )</w:t>
            </w:r>
          </w:p>
        </w:tc>
        <w:tc>
          <w:tcPr>
            <w:tcW w:w="3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(14,988 )</w:t>
            </w: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(4,035 )</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transaction price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24,537</w:t>
            </w:r>
          </w:p>
        </w:tc>
        <w:tc>
          <w:tcPr>
            <w:tcW w:w="3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3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9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Sales to Falikang revenue, net</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27,113</w:t>
            </w:r>
          </w:p>
        </w:tc>
        <w:tc>
          <w:tcPr>
            <w:tcW w:w="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3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-1293495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-1293495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-1293495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-668020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-668020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-350520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-350520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-350520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Substantially all direct product sales to distributors in China have been made by Falikang, while FibroGen Beijing continues to sell product directly in one province in China. Total product revenue, net increased $6.4 million, or 26%, for the three months ended March 31, 2024, compared to the same period a year ago.</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 product revenue from direct sales to distributors in an amount that reflects the consideration that we expect to be entitled to in exchange for those products, net of various sales rebates and discounts. Product revenue from direct sales, increased $0.6 million, or 23%, for the three months ended March 31, 2024, compared to the same period a year ago, due to the increase in sales volume during the current year period. The total discounts and rebates were immaterial for each of the three months ended March 31, 2024 and 2023.</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FibroGen Beijing manufactures and supplies commercial product to Falikang based on a gross transaction price, adjusted for the estimated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Sales to Falikang revenue, net increased $5.7 million, or 27%, for the three months ended March 31, 2024, compared to the same period a year ago. The gross transfer price increased $9.3 million, and the calculated profit share increased $4.0 million for the three months ended March 31, 2024, compared to the same period a year ago, primarily due to the increase in sales volume during the current year period.</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Periodically, we update our assumptions such as total sales quantity, performance period, gross transaction price, profit share and other inputs including foreign currency translation impact, among others. Following updates to our estimates, we recognized $2.6 million and $2.1 million from the previously deferred revenue of the China performance obligation during the three months ended March 31, 2024 and 2023,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Drug Product Revenue, Net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3360" w:type="dxa"/>
            <w:vAlign w:val="bottom"/>
            <w:tcBorders>
              <w:bottom w:val="single" w:sz="8" w:color="auto"/>
            </w:tcBorders>
            <w:gridSpan w:val="5"/>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r>
      <w:tr>
        <w:trPr>
          <w:trHeight w:val="169"/>
        </w:trPr>
        <w:tc>
          <w:tcPr>
            <w:tcW w:w="46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Drug product revenue, net:</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r>
      <w:tr>
        <w:trPr>
          <w:trHeight w:val="239"/>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Astellas Japan Agreement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(3,937 )</w:t>
            </w:r>
          </w:p>
        </w:tc>
        <w:tc>
          <w:tcPr>
            <w:tcW w:w="24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(227 ) %</w:t>
            </w:r>
          </w:p>
        </w:tc>
      </w:tr>
      <w:tr>
        <w:trPr>
          <w:trHeight w:val="247"/>
        </w:trPr>
        <w:tc>
          <w:tcPr>
            <w:tcW w:w="4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 Europe Agreement</w:t>
            </w:r>
          </w:p>
        </w:tc>
        <w:tc>
          <w:tcPr>
            <w:tcW w:w="9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AstraZeneca U.S./RoW Agreement</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spacing w:after="0"/>
              <w:rPr>
                <w:sz w:val="21"/>
                <w:szCs w:val="21"/>
                <w:color w:val="auto"/>
              </w:rPr>
            </w:pPr>
          </w:p>
        </w:tc>
      </w:tr>
      <w:tr>
        <w:trPr>
          <w:trHeight w:val="277"/>
        </w:trPr>
        <w:tc>
          <w:tcPr>
            <w:tcW w:w="4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drug product revenue, net:</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3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3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4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 product revenue, net increased $22.4 million, or 1,061%, for the three months ended March 31, 2024, compared to the same period a year ago.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Japan Agreement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updated our estimate of variable consideration related to the active pharmaceutical ingredient (“API”) shipments fulfilled under the terms of Astellas Japan Amendment, and accordingly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and foreign exchange impacts, among others. .</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first quarter of 2023, we updated our estimate of variable consideration related to the API shipments fulfilled under the terms of Astellas Japan Amendment, and accordingly recorded adjustments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31, 2024, the balances related to the API price true-up under the Astellas Japan Agreement $1.6 million in accrued liabilities and $2.5 million in other long-term liabilities, representing our best estimate of the timing for these amounts to be paid. As of December 31, 2023, the related balances were $1.2 million in accrued liabilities and $0.7 million in other long-term liabilities.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Europe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updated our estimate of variable consideration related to the bulk drug product transferred under the terms of the Astellas Europe Agreement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EU Supply Agreement in prior years. Specifically, the change in estimated variable consideration was based on the bulk drug product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Astellas at the period end, adjusted to reflect the changes in the estimated transfer price, forecast information, shelf-life estimates and other items.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we reclassified from the related deferred revenue to accrued liabilities and as of December 31, 2023, the related balance in accrued liabilities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$38.6 million. Further during the first quarter of 2024, we reclassified $5.7 million from the related deferred revenue to accrued liabilities. As of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balances related to the bulk drug product price true-up under the Astellas Europe Agreement and the Astellas EU Supply Agreement were $44.3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accrued liabilities, representing our best estimate that these amounts will be paid within the next 12 months.</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recognized royalty revenue as drug product revenue, from the deferred revenue under the Astellas Europe Agreement, of $1.0 million and $0.4 million for the three months ended March 31, 2024 and 2023, respectively. It is our best estimate that the remainder of the deferred revenue will be recognized as revenue and when uncertainty is resolved, based on the performance of roxadustat product sales in the Astellas territory.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 U.S./RoW Agreement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above, pursuant to the termination and transition agreement related to the AstraZeneca U.S./RoW Agreement, FibroGen and AstraZeneca settled the outstanding balances relating to past transactions under the AstraZeneca Master Supply Agreement. Accordingly, during the three months ended March 31, 2024, we accounted for the termination of the AstraZeneca U.S./RoW agreement as a contract modification under the ASC 606 and recorded a cumulative catch-up net adjustment of $25.7 million to the drug product revenue. As of March 31, 2024, the related accounts receivable was $26.0 million and the related accrued liabilities of $11.5 million, both of which have been settled in April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480" w:type="dxa"/>
            <w:vAlign w:val="bottom"/>
            <w:tcBorders>
              <w:bottom w:val="single" w:sz="8" w:color="auto"/>
            </w:tcBorders>
            <w:gridSpan w:val="5"/>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r>
      <w:tr>
        <w:trPr>
          <w:trHeight w:val="239"/>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7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w:t>
            </w:r>
          </w:p>
        </w:tc>
        <w:tc>
          <w:tcPr>
            <w:tcW w:w="2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638  %</w:t>
            </w:r>
          </w:p>
        </w:tc>
      </w:tr>
      <w:tr>
        <w:trPr>
          <w:trHeight w:val="247"/>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74,486</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(36,094 )</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 %</w:t>
            </w:r>
          </w:p>
        </w:tc>
      </w:tr>
      <w:tr>
        <w:trPr>
          <w:trHeight w:val="239"/>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(11,455 )</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(33 ) %</w:t>
            </w:r>
          </w:p>
        </w:tc>
      </w:tr>
      <w:tr>
        <w:trPr>
          <w:trHeight w:val="281"/>
        </w:trPr>
        <w:tc>
          <w:tcPr>
            <w:tcW w:w="47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360" w:type="dxa"/>
            <w:vAlign w:val="bottom"/>
            <w:tcBorders>
              <w:top w:val="single" w:sz="8" w:color="CFF0FC"/>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112,252</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(25,287</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-187960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Total operating costs and expenses decreased $25.3 million, or 23%, compared to the same period a year ago for the reasons discussed in the sections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 of Goods Sold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increased $22.3 million, or 638%, for the three months ended March 31, 2024, compared to the same period a year ago.</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described above, during the three months ended March 31, 2024, we recorded a cumulative catch-up net adjustment to the drug product revenue resulting from the termination and transition agreement related to the AstraZeneca U.S./RoW Agreement. Correspondingly, we recorded the related cost of goods sold of $21.1 million during the three months ended March 31, 2024.</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$4.4 million and $3.2 million for the three months ended March 31, 2024 and 2023. Cost of goods sold in China increased as compared to the prior year periods due to the increases in the sales volume, offset by the improved unit cost efficiency resulting from higher production volume.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goods sold also included manufacturing costs related to our contract manufacturing revenue from Eluminex, which was immaterial for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in-process research and development (“IPR&amp;D”) assets that have no alternative future use other than in a particular research and development project. We have implemented efforts to streamline operations to align with our business goals in the second half of 2023. As a result, research and development expenses have decreased and may continue to decrease in certain areas over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March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Phase of</w:t>
            </w:r>
          </w:p>
        </w:tc>
        <w:tc>
          <w:tcPr>
            <w:tcW w:w="4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r>
      <w:tr>
        <w:trPr>
          <w:trHeight w:val="169"/>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200" w:type="dxa"/>
            <w:vAlign w:val="bottom"/>
          </w:tcPr>
          <w:p>
            <w:pPr>
              <w:spacing w:after="0"/>
              <w:rPr>
                <w:sz w:val="14"/>
                <w:szCs w:val="14"/>
                <w:color w:val="auto"/>
              </w:rPr>
            </w:pPr>
          </w:p>
        </w:tc>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Pamrevlumab</w:t>
            </w:r>
          </w:p>
        </w:tc>
        <w:tc>
          <w:tcPr>
            <w:tcW w:w="200" w:type="dxa"/>
            <w:vAlign w:val="bottom"/>
            <w:shd w:val="clear" w:color="auto" w:fill="CFF0FC"/>
          </w:tcPr>
          <w:p>
            <w:pPr>
              <w:spacing w:after="0"/>
              <w:rPr>
                <w:sz w:val="21"/>
                <w:szCs w:val="21"/>
                <w:color w:val="auto"/>
              </w:rPr>
            </w:pPr>
          </w:p>
        </w:tc>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Phase 2/3</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21,698</w:t>
            </w:r>
          </w:p>
        </w:tc>
        <w:tc>
          <w:tcPr>
            <w:tcW w:w="8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40,865</w:t>
            </w:r>
          </w:p>
        </w:tc>
        <w:tc>
          <w:tcPr>
            <w:tcW w:w="100" w:type="dxa"/>
            <w:vAlign w:val="bottom"/>
            <w:shd w:val="clear" w:color="auto" w:fill="CFF0FC"/>
          </w:tcPr>
          <w:p>
            <w:pPr>
              <w:spacing w:after="0"/>
              <w:rPr>
                <w:sz w:val="21"/>
                <w:szCs w:val="2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Roxadustat</w:t>
            </w:r>
          </w:p>
        </w:tc>
        <w:tc>
          <w:tcPr>
            <w:tcW w:w="20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 Phase 3</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20"/>
                <w:szCs w:val="20"/>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FG-3246</w:t>
            </w:r>
          </w:p>
        </w:tc>
        <w:tc>
          <w:tcPr>
            <w:tcW w:w="200" w:type="dxa"/>
            <w:vAlign w:val="bottom"/>
            <w:shd w:val="clear" w:color="auto" w:fill="CFF0FC"/>
          </w:tcPr>
          <w:p>
            <w:pPr>
              <w:spacing w:after="0"/>
              <w:rPr>
                <w:sz w:val="21"/>
                <w:szCs w:val="21"/>
                <w:color w:val="auto"/>
              </w:rPr>
            </w:pPr>
          </w:p>
        </w:tc>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Phase 1</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3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00" w:type="dxa"/>
            <w:vAlign w:val="bottom"/>
          </w:tcPr>
          <w:p>
            <w:pPr>
              <w:spacing w:after="0"/>
              <w:rPr>
                <w:sz w:val="21"/>
                <w:szCs w:val="21"/>
                <w:color w:val="auto"/>
              </w:rPr>
            </w:pPr>
          </w:p>
        </w:tc>
      </w:tr>
      <w:tr>
        <w:trPr>
          <w:trHeight w:val="277"/>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CFF0FC"/>
            </w:tcBorders>
            <w:shd w:val="clear" w:color="auto" w:fill="CFF0FC"/>
          </w:tcPr>
          <w:p>
            <w:pPr>
              <w:spacing w:after="0"/>
              <w:rPr>
                <w:sz w:val="24"/>
                <w:szCs w:val="24"/>
                <w:color w:val="auto"/>
              </w:rPr>
            </w:pPr>
          </w:p>
        </w:tc>
        <w:tc>
          <w:tcPr>
            <w:tcW w:w="24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74,486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$36.1 million, or 48%, for the three months ended March 31, 2024, compared to the same period a year ago, primarily as a result of the net effect of the following:</w:t>
      </w:r>
    </w:p>
    <w:p>
      <w:pPr>
        <w:spacing w:after="0" w:line="54" w:lineRule="exact"/>
        <w:rPr>
          <w:sz w:val="20"/>
          <w:szCs w:val="20"/>
          <w:color w:val="auto"/>
        </w:rPr>
      </w:pPr>
    </w:p>
    <w:p>
      <w:pPr>
        <w:ind w:left="520" w:right="2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$14.5 million in clinical trials costs primarily associated with the wind down on Phase 2/3 trials for pamrevlumab for the treatment of metastatic pancreatic cancer;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$9.4 million in employee-related costs primarily due to the impact from reduction in force actions in July 2023 and cost control efforts;</w:t>
      </w:r>
    </w:p>
    <w:p>
      <w:pPr>
        <w:spacing w:after="0" w:line="11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$3.7 million in facilities-related expenses due to cost control efforts and lower depreciation expense as certain Property and equipment reached their useful lives in prior year period;</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$3.7 million in stock-based compensation primarily resulting from significantly lower stock price and cancellations of stock options and restricted stock units;</w:t>
      </w:r>
    </w:p>
    <w:p>
      <w:pPr>
        <w:spacing w:after="0" w:line="53"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$2.9 million in drug development expenses associated with drug substance activities related to pamrevlumab which was largely completed in the prior year;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$2.1 million in outside services expenses primarily related to cancellation of certain early-stage programs to streamline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We have implemented efforts to streamline operations to align with our business goals in the second half of 2023. As a result, SG&amp;A expenses have decreased in certain areas and may continue to decrease over time.</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SG&amp;A expenses decreased $11.5 million, or 33%, for the three months ended March 31, 2024, compared to the same period a year ago, primarily as a result of the net effect of the following:</w:t>
      </w:r>
    </w:p>
    <w:p>
      <w:pPr>
        <w:spacing w:after="0" w:line="54"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$4.7 million in employee-related costs primarily due to the impact from reduction in force actions in July 2023 and cost control efforts;</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$3.7 million in stock-based compensation primarily resulting from significantly lower stock price and cancellations of stock options and restricted stock units;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lower legal expenses primarily due to lower corporate legal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9"/>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(2,624 )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9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920" w:type="dxa"/>
            <w:vAlign w:val="bottom"/>
          </w:tcPr>
          <w:p>
            <w:pPr>
              <w:spacing w:after="0"/>
              <w:rPr>
                <w:sz w:val="20"/>
                <w:szCs w:val="20"/>
                <w:color w:val="auto"/>
              </w:rPr>
            </w:pPr>
          </w:p>
        </w:tc>
        <w:tc>
          <w:tcPr>
            <w:tcW w:w="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(1,090 )</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628"/>
        </w:trPr>
        <w:tc>
          <w:tcPr>
            <w:tcW w:w="4640" w:type="dxa"/>
            <w:vAlign w:val="bottom"/>
          </w:tcPr>
          <w:p>
            <w:pPr>
              <w:spacing w:after="0"/>
              <w:rPr>
                <w:sz w:val="24"/>
                <w:szCs w:val="24"/>
                <w:color w:val="auto"/>
              </w:rPr>
            </w:pPr>
          </w:p>
        </w:tc>
        <w:tc>
          <w:tcPr>
            <w:tcW w:w="12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36</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-1096645</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-1096645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-1096645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represents the interest related to the senior secured term loan facilities, interest related to sale of future revenues and interest related to the Technology Development Center of the Republic of Finland product development obligations.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increased $2.6 million, or 111%, for the three months ended March 31, 2024, compared to the same period a year ago. Interest expense for the three months ended March 31, 2024, due to the $2.9 million related to the senior secured term loan facilities drawn in the second quarter of 2023. See Note 6,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to the condensed consolidated financial statements for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(expenses), net increased $1.5 million, or 148%, for the three months ended March 31, 2024, primarily due to lower loss related to our investments as compared to the same period a year ago.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r>
      <w:tr>
        <w:trPr>
          <w:trHeight w:val="169"/>
        </w:trPr>
        <w:tc>
          <w:tcPr>
            <w:tcW w:w="6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(dollars in</w:t>
            </w: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(33,489 )</w:t>
            </w: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(77,427 )</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tcPr>
          <w:p>
            <w:pPr>
              <w:spacing w:after="0"/>
              <w:rPr>
                <w:sz w:val="20"/>
                <w:szCs w:val="20"/>
                <w:color w:val="auto"/>
              </w:rPr>
            </w:pPr>
          </w:p>
        </w:tc>
      </w:tr>
      <w:tr>
        <w:trPr>
          <w:trHeight w:val="247"/>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11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(0.1 ) %</w:t>
            </w:r>
          </w:p>
        </w:tc>
        <w:tc>
          <w:tcPr>
            <w:tcW w:w="7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(0.1 ) %</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income taxes for the three months ended March 31, 2024 and 2023 were primarily due to foreign taxes.</w:t>
      </w:r>
    </w:p>
    <w:p>
      <w:pPr>
        <w:spacing w:after="0" w:line="22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 in Unconsolidated Variable Interest Entity</w:t>
      </w:r>
    </w:p>
    <w:p>
      <w:pPr>
        <w:spacing w:after="0" w:line="121"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 xml:space="preserve">Investment income in unconsolidated variable interest entity represented our proportionate share of the reported profits of Falikang, an unconsolidated variable interest entity accounted for under the equity method, which was immaterial for the three months ended March 31, 2024 and 2023. See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method investment - Unconsolidated VIE - Falikang </w:t>
      </w:r>
      <w:r>
        <w:rPr>
          <w:rFonts w:ascii="Times New Roman" w:cs="Times New Roman" w:eastAsia="Times New Roman" w:hAnsi="Times New Roman"/>
          <w:sz w:val="18"/>
          <w:szCs w:val="18"/>
          <w:color w:val="auto"/>
        </w:rPr>
        <w:t>section of Note 3,</w:t>
      </w:r>
      <w:r>
        <w:rPr>
          <w:rFonts w:ascii="Times New Roman" w:cs="Times New Roman" w:eastAsia="Times New Roman" w:hAnsi="Times New Roman"/>
          <w:sz w:val="18"/>
          <w:szCs w:val="18"/>
          <w:i w:val="1"/>
          <w:iCs w:val="1"/>
          <w:color w:val="auto"/>
        </w:rPr>
        <w:t xml:space="preserve"> Variable Interest Entity</w:t>
      </w:r>
      <w:r>
        <w:rPr>
          <w:rFonts w:ascii="Times New Roman" w:cs="Times New Roman" w:eastAsia="Times New Roman" w:hAnsi="Times New Roman"/>
          <w:sz w:val="18"/>
          <w:szCs w:val="18"/>
          <w:color w:val="auto"/>
        </w:rPr>
        <w:t>, to the condensed consolidated financial statements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On November 4, 2022, we entered into a RIFA with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7,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February 27,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we may issue and sell, from time to time and through the Sales Agents, shares of our common stock having an aggregate offering price of up to $200.0 million (the “ATM Program”). Under the ATM Program, we sold a total of 2,472,090 shares of our common stock and received net proceeds of approximately $48.4 million during the first and second quarter of 2023.</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On April 29, 2023, we entered into the Financing Agreement with investment funds managed by Morgan Stanley Tactical Value, (“Lenders”), and Wilmington Trust, National Association, as the administrative agent, providing for senior secured term loan facilities consisting of a $75.0 million initial term loan. The clinical development milestones which could have triggered Delayed Draw Term Loan 1 were not achieved, and the Lenders have not funded Delayed Draw Term Loan 2. For additional details about this financing transaction, see Note 6, </w:t>
      </w:r>
      <w:r>
        <w:rPr>
          <w:rFonts w:ascii="Times New Roman" w:cs="Times New Roman" w:eastAsia="Times New Roman" w:hAnsi="Times New Roman"/>
          <w:sz w:val="18"/>
          <w:szCs w:val="18"/>
          <w:i w:val="1"/>
          <w:iCs w:val="1"/>
          <w:color w:val="auto"/>
        </w:rPr>
        <w:t>Senior Secured Revolving Line of Credit</w:t>
      </w:r>
      <w:r>
        <w:rPr>
          <w:rFonts w:ascii="Times New Roman" w:cs="Times New Roman" w:eastAsia="Times New Roman" w:hAnsi="Times New Roman"/>
          <w:sz w:val="18"/>
          <w:szCs w:val="18"/>
          <w:color w:val="auto"/>
        </w:rPr>
        <w:t>, to the condensed consolidated financial statements.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March 31, 2024, we had cash and cash equivalents of $105.7 million, compared to $113.7 million as of December 31, 2023. Cash is invested in accordance with our investment policy, primarily with a view to liquidity and capital preservation. Investments, consisting of available-for-sale securities, and stated at fair value, are also available as a source of liquidity. As of March 31, 2024, we had short-term investments of $71.9 million, compared to short-term investments of $121.9 million as of December 31, 2023. As of March 31, 2024, a total of $27.6 million of our cash and cash equivalents was held outside of the U.S. in our foreign subsidiaries, substantially all held in China, to be used primarily for our China operations.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long-term plans for distributing cash flows from FibroGen Beijing may involve any number of scenarios including keeping the money onshore to fund future expansion of our China operations or paying down certain debt obligations. During the three months ended March 31, 2024, FibroGen Beijing made a total of $16.5 million repayments of intercompany loans. Our capital contributions to FibroGen Beijing and the liquidity position of FibroGen Beijing depend on many factors, including those set forth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set forth below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0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(59,288 )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(101,591 )</w:t>
            </w:r>
          </w:p>
        </w:tc>
      </w:tr>
      <w:tr>
        <w:trPr>
          <w:trHeight w:val="247"/>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103,482</w:t>
            </w:r>
          </w:p>
        </w:tc>
        <w:tc>
          <w:tcPr>
            <w:tcW w:w="80" w:type="dxa"/>
            <w:vAlign w:val="bottom"/>
            <w:shd w:val="clear" w:color="auto" w:fill="CFF0FC"/>
          </w:tcPr>
          <w:p>
            <w:pPr>
              <w:spacing w:after="0"/>
              <w:rPr>
                <w:sz w:val="21"/>
                <w:szCs w:val="21"/>
                <w:color w:val="auto"/>
              </w:rPr>
            </w:pPr>
          </w:p>
        </w:tc>
      </w:tr>
      <w:tr>
        <w:trPr>
          <w:trHeight w:val="23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31,485</w:t>
            </w:r>
          </w:p>
        </w:tc>
        <w:tc>
          <w:tcPr>
            <w:tcW w:w="80" w:type="dxa"/>
            <w:vAlign w:val="bottom"/>
          </w:tcPr>
          <w:p>
            <w:pPr>
              <w:spacing w:after="0"/>
              <w:rPr>
                <w:sz w:val="20"/>
                <w:szCs w:val="20"/>
                <w:color w:val="auto"/>
              </w:rPr>
            </w:pPr>
          </w:p>
        </w:tc>
      </w:tr>
      <w:tr>
        <w:trPr>
          <w:trHeight w:val="247"/>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(526 )</w:t>
            </w:r>
          </w:p>
        </w:tc>
      </w:tr>
      <w:tr>
        <w:trPr>
          <w:trHeight w:val="20"/>
        </w:trPr>
        <w:tc>
          <w:tcPr>
            <w:tcW w:w="60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(7,954 )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8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-187960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$59.3 million for the three months ended March 31, 2024 and consisted primarily of net loss of $32.9 million adjusted for non-operating cash items of $7.7 million, and a net decrease in operating assets and liabilities of $34.1 million. The significant non-operating cash items included stock-based compensation expense of $8.8 million. The significant items in the changes in operating assets and liabilities included the following:</w:t>
      </w:r>
    </w:p>
    <w:p>
      <w:pPr>
        <w:spacing w:after="0" w:line="72" w:lineRule="exact"/>
        <w:rPr>
          <w:sz w:val="20"/>
          <w:szCs w:val="20"/>
          <w:color w:val="auto"/>
        </w:rPr>
      </w:pPr>
    </w:p>
    <w:p>
      <w:pPr>
        <w:ind w:left="520" w:hanging="512"/>
        <w:spacing w:after="0" w:line="261"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Accounts receivable increased $24.7 million, primarily driven by the receivable from AstraZeneca of $26.0 million associated with the settlement of the past transactions under the AstraZeneca Master Supply Agreement resulting from the termination of the AstraZeneca U.S./RoW agreement.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the condensed consolidated financial statements for details.</w:t>
      </w:r>
    </w:p>
    <w:p>
      <w:pPr>
        <w:spacing w:after="0" w:line="7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$13.6 million, primarily driven by the timing of invoicing and payments;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5" w:lineRule="exact"/>
        <w:rPr>
          <w:sz w:val="20"/>
          <w:szCs w:val="20"/>
          <w:color w:val="auto"/>
        </w:rPr>
      </w:pPr>
    </w:p>
    <w:p>
      <w:pPr>
        <w:ind w:left="520" w:hanging="512"/>
        <w:spacing w:after="0" w:line="25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Deferred revenue decreased $10.2 million, primarily related to the reclassification of $5.7 million to accrued liabilities, resulting from changes in estimated variable consideration associated with the bulk drug product transferred to Astellas under the terms of the Astellas Europe Agreement and the Astellas EU Supply Agreement during the current year period. See the </w:t>
      </w:r>
      <w:r>
        <w:rPr>
          <w:rFonts w:ascii="Times New Roman" w:cs="Times New Roman" w:eastAsia="Times New Roman" w:hAnsi="Times New Roman"/>
          <w:sz w:val="18"/>
          <w:szCs w:val="18"/>
          <w:i w:val="1"/>
          <w:iCs w:val="1"/>
          <w:color w:val="auto"/>
        </w:rPr>
        <w:t>Drug 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Agreement and Revenues, </w:t>
      </w:r>
      <w:r>
        <w:rPr>
          <w:rFonts w:ascii="Times New Roman" w:cs="Times New Roman" w:eastAsia="Times New Roman" w:hAnsi="Times New Roman"/>
          <w:sz w:val="18"/>
          <w:szCs w:val="18"/>
          <w:color w:val="auto"/>
        </w:rPr>
        <w:t>to the condensed consolidated financial statements for details. In addition, the decrease in deferred revenue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related to the product revenue recognized from the previously deferred revenue of the China performance obligation during the three months ended March 31, 2024. See the </w:t>
      </w: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xml:space="preserve"> section in Note 2, </w:t>
      </w:r>
      <w:r>
        <w:rPr>
          <w:rFonts w:ascii="Times New Roman" w:cs="Times New Roman" w:eastAsia="Times New Roman" w:hAnsi="Times New Roman"/>
          <w:sz w:val="18"/>
          <w:szCs w:val="18"/>
          <w:i w:val="1"/>
          <w:iCs w:val="1"/>
          <w:color w:val="auto"/>
        </w:rPr>
        <w:t>Collaboration Agreements, License Agreement and Revenues,</w:t>
      </w:r>
      <w:r>
        <w:rPr>
          <w:rFonts w:ascii="Times New Roman" w:cs="Times New Roman" w:eastAsia="Times New Roman" w:hAnsi="Times New Roman"/>
          <w:sz w:val="18"/>
          <w:szCs w:val="18"/>
          <w:color w:val="auto"/>
        </w:rPr>
        <w:t xml:space="preserve"> to the condensed consolidated financial statements for details;</w:t>
      </w:r>
    </w:p>
    <w:p>
      <w:pPr>
        <w:spacing w:after="0" w:line="8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expense related to sale of future revenues decreased $3.6 million due to the $5.7 million interest paid, offset by the interest expense of $2.0 million accrued during the three months ended March 31, 2024. See Note 7,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xml:space="preserve"> to the condensed consolidated financial statements for details;</w:t>
      </w:r>
    </w:p>
    <w:p>
      <w:pPr>
        <w:spacing w:after="0" w:line="67" w:lineRule="exact"/>
        <w:rPr>
          <w:rFonts w:ascii="Times New Roman" w:cs="Times New Roman" w:eastAsia="Times New Roman" w:hAnsi="Times New Roman"/>
          <w:sz w:val="18"/>
          <w:szCs w:val="18"/>
          <w:color w:val="auto"/>
        </w:rPr>
      </w:pPr>
    </w:p>
    <w:p>
      <w:pPr>
        <w:ind w:left="520" w:right="80" w:hanging="512"/>
        <w:spacing w:after="0" w:line="258"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$3.0 million, primarily related to bonus and severance payouts totaling $19.1 million, offset by accrued inventory related cost of $8.5 million as of March 31, 2024, as part of the cost of goods sold resulting from the above-mentioned termination of the AstraZeneca U.S./RoW agreement, as well as the movements related to API and bulk drug product price true-up, resulting from changes in estimated variable consideration primarily associated with the bulk drug product transferred under the terms of the Astellas Europe Agreement and the Astellas EU Supply Agreement. The accrued and other liabilities were also impacted by the timing of invoicing and payment;</w:t>
      </w:r>
    </w:p>
    <w:p>
      <w:pPr>
        <w:spacing w:after="0" w:line="75"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decreased $13.8 million primarily driven by the $12.6 million of work-in-progress inventory that was reimbursed as part of the above-mentioned termination of the AstraZeneca U.S./RoW agreement; and</w:t>
      </w:r>
    </w:p>
    <w:p>
      <w:pPr>
        <w:spacing w:after="0" w:line="5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current assets decreased $5.3 million, primarily due to the reimbursements from the insurance for the legal fees associated with the class action lawsuit, which is recoverable under our insurance policies.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$101.6 million for the three months ended March 31, 2023 and consisted primarily of net loss of $76.7 million adjusted for non-operating cash items of $21.1 million, and a net decrease in operating assets and liabilities of $46.0 million. The significant non-operating cash items included stock-based compensation expense of $16.1 million and depreciation expense of $2.5 million and non-cash interest expense related to sale of future revenues of $2.2 million. The significant items in the changes in operating assets and liabilities included the following:</w:t>
      </w:r>
    </w:p>
    <w:p>
      <w:pPr>
        <w:spacing w:after="0" w:line="72" w:lineRule="exact"/>
        <w:rPr>
          <w:sz w:val="20"/>
          <w:szCs w:val="20"/>
          <w:color w:val="auto"/>
        </w:rPr>
      </w:pPr>
    </w:p>
    <w:p>
      <w:pPr>
        <w:ind w:left="520" w:right="280" w:hanging="512"/>
        <w:spacing w:after="0" w:line="258"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other liabilities decreased $66.3 million, primarily related to the movements related to API and bulk drug product price true-up, resulting from changes in estimated variable consideration associated with the API shipments fulfilled under the terms of the Astellas Japan Amendment, and the bulk drug product transferred under the terms of the Astellas Europe Agreement and the Astellas EU Supply Agreement, including scheduling for payment of $57.4 million previously accrued balance and therefore moved it to accounts payable as of March 31, 2023. The accrued and other liabilities were also impacted by the timing of invoicing and payment;</w:t>
      </w:r>
    </w:p>
    <w:p>
      <w:pPr>
        <w:spacing w:after="0" w:line="75"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decreased $18.9 million, primarily related to the reclassification of $16.6 million to accrued liabilities, resulting from changes in estimated variable consideration associated with the bulk drug product transferred to Astellas under the terms of the Astellas Europe Agreement and the Astellas EU Supply Agreement during the current year period;</w:t>
      </w:r>
    </w:p>
    <w:p>
      <w:pPr>
        <w:spacing w:after="0" w:line="6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$1.9 million, driven by the increased inventory level primarily related to FibroGen Beijing’s productions of roxadustat for commercial sales purposes; and</w:t>
      </w:r>
    </w:p>
    <w:p>
      <w:pPr>
        <w:spacing w:after="0" w:line="53"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$40.5 million, primarily driven by the above-mentioned scheduling for payment of $57.4 million previously accrued balance related to the bulk drug product transferred under the terms of the Astellas Europe Agreement and the Astellas EU Supply Agreement, as well as the timing of invoicing and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Investing activities primarily consist of purchases of property and equipment, purchases of investments, purchase of acquired IPR&amp;D assets and proceeds from the maturity and sale of investments.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$51.3 million for the three months ended March 31, 2024 and consisted primarily of $59.9 million of proceeds from maturities of investments, partially offset by $8.6 million of cash used in purchases of available-for-sale securities.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$103.5 million for the three months ended March 31, 2023 and consisted primarily of $104.8 million of proceeds from maturities of investments and $1.7 million of proceeds from sales of available-for-sale securities, partially offset by $2.5 million of cash used in purchases of available-for-sale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Financing activities primarily reflect proceeds from strategic financing arrangements, proceeds from the issuance of our common stock, cash paid for payroll taxes on restricted stock unit releases, and repayments of our lease liabilities and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was immaterial for the three months ended March 31, 2024.</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$31.5 million for the three months ended March 31, 2023 and consisted primarily of $30.8 million net proceeds received under the ATM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generate revenue from commercial sales of roxadustat product in China, Japan and Europe. Even with the expectation of increases in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Quarterly Report on Form 10-Q, as well as unknown factors that may adversely affect our business. We anticipate that we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additional funding in connection with our continuing operations.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which contemplates the maintenance of a minimum balance of $30 million of unrestricted cash and cash equivalents held in accounts in the U.S., as required under the debt covenants associated with the senior secured term loan facilities, we believe that our existing cash and cash equivalents, short-term and long-term investments and accounts receivable, together with the proceeds from senior secured term loan facilities in the second quarter of 2023, the financing amount under the RIFA received in the fourth quarter of 2022, and the net proceeds received under our ATM program in the first half of 2023, as well as the cost savings we have recently implemented (including from the reduction in workforce that we announced on July 19, 2023), will be sufficient to meet our anticipated cash requirements for at least the next 12 months from the date of issuance of the financial statements included in this Quarterly Report on Form 10-Q. However, we may need additional capital to fund our operations, and our liquidity assumptions may materially differ. For example, we may utilize our available financial resources sooner than we currently expect and may incur additional expenses.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funding, we could delay, reduce or eliminate research and development programs, product portfolio development or future commercialization efforts which could adversely affect our business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2024, we had $77.7 million of operating lease liabilities. The material cash requirements related to our lease liabilities included $18.6 million expected to be paid within the next 12 months.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March 31, 2024, we had outstanding total non-cancelable purchase obligations of $35.6 million, including $22.8 million for manufacture and supply of pamrevlumab, $1.7 million for manufacture and supply of roxadustat, and $11.0 million for other purchases and programs. We expect to fulfill our commitments under these agreements in the normal course of business, and as such, no liability has been recorded. The material cash requirements related to our non-cancelable purchase obligations included $30.7 million expected to be paid within the next 12 months.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Under the Financing Agreement with Morgan Stanley Tactical Value, as of March 31, 2024, we had $72.2 million of senior secured term loan facilities balance on the condensed consolidated balance sheets, which are not subject for repayment until May 2026. Meanwhile, we are obliged to pay interest on a monthly basis, for which we expect to pay a total of $10.5 million within the next 12 months. See Note 6,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to the condensed consolidated financial statements for details.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RIFA with NovaQuest, as of March 31, 2024, we had $53.4 million of liability related to sale of future revenues on the condensed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 $1.2 million of which we anticipate to pay within the next 12 month. Based on our current estimates of drug product revenue and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milestone payments under the Astellas Agreements, and taking into the consideration of the terms under the RIFA, we anticipate to reach a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 up to $125.0 million by 2031. See Note 7, </w:t>
      </w:r>
      <w:r>
        <w:rPr>
          <w:rFonts w:ascii="Times New Roman" w:cs="Times New Roman" w:eastAsia="Times New Roman" w:hAnsi="Times New Roman"/>
          <w:sz w:val="18"/>
          <w:szCs w:val="18"/>
          <w:i w:val="1"/>
          <w:iCs w:val="1"/>
          <w:color w:val="auto"/>
        </w:rPr>
        <w:t>Liability Related to Sale of Future Revenues</w:t>
      </w:r>
      <w:r>
        <w:rPr>
          <w:rFonts w:ascii="Times New Roman" w:cs="Times New Roman" w:eastAsia="Times New Roman" w:hAnsi="Times New Roman"/>
          <w:sz w:val="18"/>
          <w:szCs w:val="18"/>
          <w:color w:val="auto"/>
        </w:rPr>
        <w:t>, to the condensed consolidated financial statements for details.</w:t>
      </w:r>
    </w:p>
    <w:p>
      <w:pPr>
        <w:spacing w:after="0" w:line="207"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Some of our license agreements provide for periodic maintenance fees over specified time periods, as well as payments by the Company upon the achievement of development, regulatory and commercial milestones. As of March 31, 2024,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estimates and judgments during the three months ended March 31, 2024 compared with the disclosures in Part II, Item 7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2024, we believe there were no material changes to our exposure to market risks as set forth in Part II, Item 7A </w:t>
      </w: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in our 2023 Form 10-K.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March 31, 2024,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our evaluation, the Principal Executive Officer and Principal Financial Officer have concluded that our disclosure controls and procedures were effective at the reasonable assurance level as of March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March 31, 2024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March 31, 2024, as we could not predict the ultimate outcome of these matters, or reasonably estimate the potential exposure.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for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success of FibroGen will depend on a number of factors, many of which are beyond our control and involve risks, including but not limited to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products pamrevlumab and roxadustat.</w:t>
      </w:r>
    </w:p>
    <w:p>
      <w:pPr>
        <w:spacing w:after="0" w:line="11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obtainment of marketing authorization are very difficult endeavors, and we may ultimately be unable to obtain regulatory approval for our various product candidates in one or more jurisdictions and one or more indications.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Phase 1, and Phase 2 clinical trial results may not be indicative of the results that may be obtained in larger clinical trials.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53"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or we cannot properly manufacture the appropriate volume of product, we may experience delays in development, regulatory approval, launch, or successful commercialization.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the discovery, development and commercialization of product candidates.</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necessary for commercial success.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21" w:lineRule="exact"/>
        <w:rPr>
          <w:sz w:val="20"/>
          <w:szCs w:val="20"/>
          <w:color w:val="auto"/>
        </w:rPr>
      </w:pPr>
    </w:p>
    <w:p>
      <w:pPr>
        <w:ind w:left="520" w:right="2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were terminated or if our partners were unwilling or unable to contribute or participate in these collaborations, our ability to successfully develop and commercialize the relevant product candidate would suffer.</w:t>
      </w:r>
    </w:p>
    <w:p>
      <w:pPr>
        <w:spacing w:after="0" w:line="53"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preclinical and clinical trial contractors do not properly perform their agreed-upon obligations, we may not be able to obtain or may be delayed in receiving regulatory approvals for our product candidates.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right="8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shortfalls, delays, or excesses in manufacturing.</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520" w:right="2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protect our proprietary and exclusively licensed technologies are not adequate, we may not be able to compete effectively in our market.</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1"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highly uncertain and we may not obtain regulatory approval for our product candidates.</w:t>
      </w:r>
    </w:p>
    <w:p>
      <w:pPr>
        <w:spacing w:after="0" w:line="11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3" w:lineRule="exact"/>
        <w:rPr>
          <w:rFonts w:ascii="Times New Roman" w:cs="Times New Roman" w:eastAsia="Times New Roman" w:hAnsi="Times New Roman"/>
          <w:sz w:val="18"/>
          <w:szCs w:val="18"/>
          <w:color w:val="auto"/>
        </w:rPr>
      </w:pPr>
    </w:p>
    <w:p>
      <w:pPr>
        <w:ind w:left="520" w:right="300" w:hanging="512"/>
        <w:spacing w:after="0" w:line="261"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21" w:lineRule="exact"/>
        <w:rPr>
          <w:sz w:val="20"/>
          <w:szCs w:val="20"/>
          <w:color w:val="auto"/>
        </w:rPr>
      </w:pPr>
    </w:p>
    <w:p>
      <w:pPr>
        <w:ind w:left="520" w:right="2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in China is highly regulated and such regulations are subject to change.</w:t>
      </w:r>
    </w:p>
    <w:p>
      <w:pPr>
        <w:spacing w:after="0" w:line="117" w:lineRule="exact"/>
        <w:rPr>
          <w:rFonts w:ascii="Times New Roman" w:cs="Times New Roman" w:eastAsia="Times New Roman" w:hAnsi="Times New Roman"/>
          <w:sz w:val="18"/>
          <w:szCs w:val="18"/>
          <w:color w:val="auto"/>
        </w:rPr>
      </w:pPr>
    </w:p>
    <w:p>
      <w:pPr>
        <w:ind w:left="520" w:right="14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successfully growing and sustaining sales of roxadustat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prices of any product candidates that we develop will be subject to pricing control in China and elsewhere.</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FibroGen Beijing would be subject to restrictions on paying dividends or making other payments to us, which may restrict our ability to satisfy our liquidity requirements.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operations, particularly those in China, are subject to significant risks involving the protection of intellectual property.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China legal system and regulations could have a material adverse effect on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governmental, or social conditions could have a material adverse effect on our business.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products pamrevlumab and roxadustat.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invested substantially in the research and development of pamrevlumab and roxadustat.</w:t>
      </w:r>
    </w:p>
    <w:p>
      <w:pPr>
        <w:spacing w:after="0" w:line="225" w:lineRule="exact"/>
        <w:rPr>
          <w:sz w:val="20"/>
          <w:szCs w:val="20"/>
          <w:color w:val="auto"/>
        </w:rPr>
      </w:pPr>
    </w:p>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t>The near-term value drivers for the Company depend in large part on pamrevlumab, which is in clinical development for locally advanced unresectable pancreatic cancer (“LAPC”) and metastatic pancreatic cancer. Even if one or both of the Phase 3 clinical trials are successful, pamrevlumab will require substantial further investment. At this time, we do not have a collaboration partner to support the development and commercialization of pamrevlumab. Additionally, as a monoclonal antibody, it will cost significantly more to manufacture pamrevlumab than it would for a typical small molecule drug.</w:t>
      </w:r>
    </w:p>
    <w:p>
      <w:pPr>
        <w:spacing w:after="0" w:line="16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near-term value drivers also include continued development and commercialization of roxadustat in the People’s Republic of China (“China”), Japan, Europe, and elsewhere. We continue to co-commercialize roxadustat in China with AstraZeneca AB (“AstraZeneca”) and develop roxadustat in China in chemotherapy-induced anemia (“CIA”).</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After terminating (except for South Korea) our collaboration agreement with AstraZeneca for roxadustat for the treatment of anemia in the U.S. and all territories except for China and those territories previously licensed to Astellas Pharma Inc. (“Astellas”) (the “AstraZeneca U.S./RoW Agreement”) on February 23, 2024, we are currently investigating new licensing opportunities for roxadustat; however, there can be no assurance that we will find such a partner or be able to agree to a license on reasonable terms.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we continue to fulfill our mission to develop novel therapeutics, we are investing in new drug programs to expand our early oncology pipeline. While we see great potential value in our early development oncology pipeline, these programs are years away from commercialization, and the success of any development program is not guaranteed. Our biggest value drivers in the near term rely on the success of pamrevlumab Phase 3 trials and roxadustat commercialization.</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for any clinical trial to support a New Drug Application (“NDA”)/Biologics License Application (“BLA”)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Regulatory authorities may take actions or impose requirements that delay, limit or deny approval of our product candidates for many reasons, including, among others:</w:t>
      </w:r>
    </w:p>
    <w:p>
      <w:pPr>
        <w:spacing w:after="0" w:line="54" w:lineRule="exact"/>
        <w:rPr>
          <w:sz w:val="20"/>
          <w:szCs w:val="20"/>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of clinical trials to meet the level of statistical significance required for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right="38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information (including additional preclinical or clinical data or trials) is necessary to demonstrate the safety and efficacy of a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exhibiting an unacceptable safety signal at any stage of development;</w:t>
      </w:r>
    </w:p>
    <w:p>
      <w:pPr>
        <w:spacing w:after="0" w:line="117" w:lineRule="exact"/>
        <w:rPr>
          <w:rFonts w:ascii="Times New Roman" w:cs="Times New Roman" w:eastAsia="Times New Roman" w:hAnsi="Times New Roman"/>
          <w:sz w:val="18"/>
          <w:szCs w:val="18"/>
          <w:color w:val="auto"/>
        </w:rPr>
      </w:pPr>
    </w:p>
    <w:p>
      <w:pPr>
        <w:ind w:left="520" w:right="6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the clinical research organizations (“CROs”) or investigators that conduct clinical trials on our behalf, to comply with regulations or GCPs, clinical trial protocols, or contractual agreements, which may adversely impact our clinical trials;</w:t>
      </w:r>
    </w:p>
    <w:p>
      <w:pPr>
        <w:spacing w:after="0" w:line="53"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results from clinical trial sites in a country where the standard of care is potentially different from that in the U.S.;</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either by us or third-party contractors manufacturing our product candidates to maintain current good manufacturing practices (“cGMP”), successfully pass inspection, or meet other applicable manufacturing regulatory requirements;</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exclude the use of patient data from unreliable clinical trials, or disagreement with our interpretation of the data from our preclinical trials and clinical trials; or</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collaboration partners to perform or complete their clinical programs in a timely manner, or at all.</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delay or jeopardize our or our collaboration partners’ abilities to obtain regulatory approval for our product candidates in one or more indications.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scenarios could materially harm the commercial prospects for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Phase 1, and Phase 2 clinical trial results may not be indicative of the results that may be obtained in larger clinical trials.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6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clinical trials will need to be redesigned based on interim results or if we will be able to achieve sufficient patient enrollment or complete planned clinical trials on schedule.</w:t>
      </w:r>
    </w:p>
    <w:p>
      <w:pPr>
        <w:spacing w:after="0" w:line="5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54" w:lineRule="exact"/>
        <w:rPr>
          <w:sz w:val="20"/>
          <w:szCs w:val="20"/>
          <w:color w:val="auto"/>
        </w:rPr>
      </w:pPr>
    </w:p>
    <w:p>
      <w:pPr>
        <w:ind w:left="520" w:right="3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required regulatory or institutional review board approval or guidance;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timely agreement on acceptable terms with prospective CROs and clinical trial sites;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recruit, enroll and retain patients through the completion of the trial;</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or retention, clinical site initiation, or retention problems associated with civil unrest or military conflicts around the world;</w:t>
      </w:r>
    </w:p>
    <w:p>
      <w:pPr>
        <w:spacing w:after="0" w:line="53"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maintain clinical sites in compliance with clinical trial protocols or to conduct the clinical trial in accordance with regulatory requirements or our clinical protocols;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initiate or add a sufficient number of clinical trial sites;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quantities of product candidate for use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enrolling a sufficient number of patients to conduct our clinical trials as planned;</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 by the FDA or other regulatory authorities resulting in the imposition of a clinical hold, warning letter, or other regulatory action;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68"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1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of the potential advantages of our product candidates being studied in relation to available therapies or other products under development;</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our trial sites’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7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development plan becoming longer and more expensive;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some of our clinical trials for the product candidates or specific indications affected;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Pamrevlumab is being studied in patient populations that are at high risk of death and adverse events, and even if unrelated to pamrevlumab,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have relatively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if we or a partner are not able to obtain regulatory approval of roxadustat in the U.S. in anemia associated with MDS,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the indications being studied (LAPC and metastatic pancreatic cancer). Any delay or interruption in the supply of our product candidates or products could have a material adverse effect on our business and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or our partners may add or change manufacturers, change our manufacturing processes, or change packaging specifications to accommodate changes in regulations, manufacturing equipment or to account for different processes at new or second source suppliers. Changes made to roxadustat or pamrevlumab including, but not limited to, demonstration of comparability to regulatory approved/ in approval products and processes, additional clinical trials, delays in development or commercialization, earlier expiration dates, shorter shelf life, or specification failures, may materially impact our operations and potential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pamrevlumab, which is a monoclonal antibody;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additional suppliers and validation/qualification of additional facilities to meet growing demand;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coordination of multiple contractors in our supply chain and securing necessary licenses (such as export licenses);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availability and shelf-life requirements of raw materials and supplies;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stability and product shelf life;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maintenance issues or failure;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quality assurance issues;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or forecasting limitations and scheduling availability in contracted facilities;</w:t>
      </w:r>
    </w:p>
    <w:p>
      <w:pPr>
        <w:spacing w:after="0" w:line="11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pandemics, floods, storms, earthquakes, tsunamis, and droughts, or accidents such as fire, that affect facilities, possibly limit or postpone production, and increase costs;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license to proprietary starting materials.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FibroGen may also elect to transition its manufacturing responsibilities to another party. There may be risks underlying this manufacturing transition, as well as new risks that may emerge after the new organization takes over manufacturing, if that were to happen.</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Even if we believe we have achieved positive clinical results, regulatory authorities conduct their own benefit-risk analysis and may reach different conclusions. Regulatory authorities may use, among other things, different statistical methods, different endpoints or definitions thereof, and different patient populations or sub-populations. For example, the Precision Promise study employs a Bayesian statistical methodology for analysis of the study primary endpoint, and while PanCAN consulted with the FDA regarding the study design and statistical methodology, there is a risk that the FDA may employ different statistical methodologies in their review, and may not view positive study results as sufficient for regulatory approval.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post-approval clinical trials.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discovery, development and commercialization of product candidates.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As of March 31, 2024, the Chinese health authority has accepted abbreviated New Drug Applications for over 20 generic roxadustat applicants.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we will likely face competition from other companies developing products in the same diseases or indications in which we are developing or commercializing products. We will also face competition for patient recruitment and enrollment for clinical trials.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our products.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spacing w:after="0" w:line="2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6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the product candidate as demonstrated in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and perceptions of safety of our product candidates relative to competitive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healthcare providers and patients;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520" w:right="64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product candidate relative to alternative treatments;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pricing and reimbursement by third parties and government authorities as described below;</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publicity relating to the product candidate.</w:t>
      </w:r>
    </w:p>
    <w:p>
      <w:pPr>
        <w:spacing w:after="0" w:line="22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see the risk factor titled “</w:t>
      </w:r>
      <w:r>
        <w:rPr>
          <w:rFonts w:ascii="Times New Roman" w:cs="Times New Roman" w:eastAsia="Times New Roman" w:hAnsi="Times New Roman"/>
          <w:sz w:val="18"/>
          <w:szCs w:val="18"/>
          <w:i w:val="1"/>
          <w:iCs w:val="1"/>
          <w:color w:val="auto"/>
        </w:rPr>
        <w:t>Our product candidates may cause or have attributed to them undesirable side effects or have other properties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delay or prevent their regulatory approval or limit their commercial potential</w:t>
      </w:r>
      <w:r>
        <w:rPr>
          <w:rFonts w:ascii="Times New Roman" w:cs="Times New Roman" w:eastAsia="Times New Roman" w:hAnsi="Times New Roman"/>
          <w:sz w:val="18"/>
          <w:szCs w:val="18"/>
          <w:color w:val="auto"/>
        </w:rPr>
        <w:t>” above. If any product candidate is approved but does not achieve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level of acceptance by such parties, we may not generate or derive sufficient revenue from that product candidate and may not become or remain profitable.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or limited reimbursement or insurance coverage of our approved products, by third-party payors may render our products less attractive to patients and healthcare providers.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2"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applicable health plan;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were terminated or if our partners were unwilling or unable to contribute or participate in the collaborations, our ability to successfully develop and commercialize the relevant product candidate would suffer.</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entered into an Evaluation Agreement with Fortis Therapeutics, Inc. (“Fortis”) under which we rely, in part, on Fortis and its development partners, including UCSF, for the continued development of FOR46 (now referred to as “FG-3246”). While we control development of FG-3246 up to the 4-year evaluation period, we will be doing so under Fortis’s investigational new drug application. If Fortis were unable or unwilling to continue their development efforts, our ability to develop FG-3246 would be delayed.</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rely on the Pancreatic Cancer Action Network (“PanCAN”) to run its Precision Promise</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xml:space="preserve"> Phase 2/3 registration study in metastatic pancreatic cancer. While this study includes pamrevlumab in combination with standard of care chemotherapy, PanCAN is the sponsor of the study and we do not run or control its conduct. Therefore, pamrevlumab’s success in this indication is highly dependent on PanCAN’s ability and willingness to run the Precision Promise study. Similarly, we depend on PanCAN to perform certain analyses of the study data and provide these to us to support the submission of a market authorization application to applicable regulatory authorities, if appropriate.</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we have recently terminated the AstraZeneca U.S./RoW Agreement (except for South Korea), we have active collaboration agreements with respect to the development and commercialization of roxadustat with Astellas and with AstraZeneca in China and South Korea. These agreements provide for reimbursement of our development costs by our collaboration partners and also provide for the commercialization of roxadustat throughout the major territories of the world.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current agreements with Astellas and AstraZeneca provide them with the right to terminate their agreements with us upon the occurrence of negative clinical results, delays in the development and commercialization of our product candidates or adverse regulatory requirements or guidance. In addition, each of those agreements provides our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commercialize roxadustat could suffer.</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instance, the AstraZeneca U.S./RoW Agreement was terminated on February 23, 2024 (except for South Korea). , Although our ongoing collaboration agreement with AstraZeneca for the development and commercialization of roxadustat for the treatment of anemia in China (the “AstraZeneca China Agreement”) continues in full force and is unaffected, this eliminates any additional potential milestones or other payments AstraZeneca would have made under the AstraZeneca U.S./RoW Agreement except for potentially in South Korea. Such payments were remote due to our withdrawal of the U.S. NDA for CKD anemia. And while we are now investigating new licensing opportunities for roxadustat, there can be no assurance that we will find such a partner or be able to agree to a license on reasonable terms.</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addition, if our collaboration partners are unsuccessful in their commercialization efforts (particularly in Europe and China), our results will be negatively affected.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as well as potentially impacting our commercial results.</w:t>
      </w:r>
    </w:p>
    <w:p>
      <w:pPr>
        <w:spacing w:after="0" w:line="19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requirements can occur through periodic inspections of trial sponsors, principal investigators, and trial sites.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ensure the quality and accuracy of our data remains uncompromised and reliable, our third-party service providers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28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do not have operating manufacturing facilities at this time other than our roxadustat manufacturing facilities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5" w:lineRule="exact"/>
        <w:rPr>
          <w:sz w:val="20"/>
          <w:szCs w:val="20"/>
          <w:color w:val="auto"/>
        </w:rPr>
      </w:pPr>
    </w:p>
    <w:p>
      <w:pPr>
        <w:ind w:left="520" w:right="2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53"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w:t>
      </w:r>
    </w:p>
    <w:p>
      <w:pPr>
        <w:spacing w:after="0" w:line="117"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for FibroGen to meet timing and volume obligations to Astellas due to insufficient resources.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shortfalls, delays, or excesses in manufacturing.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an initial commercial supply agreement for the manufacture of pamrevlumab with Samsung Biologics Co., Ltd. (“Samsung”).</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made certain manufacturing commitments to Samsung, and there is a contractual risk we will not require the quantities of pamrevlumab we have committed to, particularly if we do not submit a Biologics License Application (“BLA”) for pamrevlumab.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on the results of our clinical trials. We may be subject to payments to Samsung to cover portions or all of the committed manufacturing campaigns even if we do not need the material for clinical or commercial usage. In addition, third-party manufacturers tend to change their upfront fees or postponement/cancelation fees over time or upon initiation of additional contracts, and this may lead to unanticipated financial loss for FibroGen.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may also be additional delays in importing or exporting products, intermediates, or raw materials between countries.</w:t>
      </w:r>
    </w:p>
    <w:p>
      <w:pPr>
        <w:spacing w:after="0" w:line="3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Entering into new long-term commercial supply arrangements on commercially reasonable terms, could take significant time or may not be possible. Although we have entered into long-term clinical and commercial supply arrangements for pamrevlumab,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to date, the lead-time and regulatory approvals required to source from and into countries outside of the U.S. increase the risk of delay and potential shortages of supply.</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one of our suppliers, Catalent, was recently acquired by a private company, which could add additional risk to our ability to manufacture at such supplier, including entering into new or extended agreements with this supplier.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and exclusively licensed technologies are not adequate, we may not be able to compete effectively in our market.</w:t>
      </w:r>
    </w:p>
    <w:p>
      <w:pPr>
        <w:spacing w:after="0" w:line="12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our proprietary information or technology could compromise our competitive position. Moreover, we are, have been, and may in the future be involved in legal proceedings initiated by third parties involving our intellectual property, which proceedings can be associated with significant costs and commitment of management time and attention.</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generic manufacturers and competitors with significantly greater resources could threaten our ability to commercialize our product candidates.</w:t>
      </w:r>
    </w:p>
    <w:p>
      <w:pPr>
        <w:spacing w:after="0" w:line="189" w:lineRule="exact"/>
        <w:rPr>
          <w:sz w:val="20"/>
          <w:szCs w:val="20"/>
          <w:color w:val="auto"/>
        </w:rPr>
      </w:pPr>
    </w:p>
    <w:p>
      <w:pPr>
        <w:ind w:right="80"/>
        <w:spacing w:after="0" w:line="221" w:lineRule="exact"/>
        <w:rPr>
          <w:sz w:val="20"/>
          <w:szCs w:val="20"/>
          <w:color w:val="auto"/>
        </w:rPr>
      </w:pPr>
      <w:r>
        <w:rPr>
          <w:rFonts w:ascii="Times New Roman" w:cs="Times New Roman" w:eastAsia="Times New Roman" w:hAnsi="Times New Roman"/>
          <w:sz w:val="18"/>
          <w:szCs w:val="18"/>
          <w:color w:val="auto"/>
        </w:rPr>
        <w:t>Intellectual property protecting our roxadustat product is either being challenged or will expire at various times in the coming years, raising the possibility of generic competition. The introduction of generic competition for a patented branded medicine typically results in a significant and rapid reduction in net sales and operating income for the branded product because generic manufacturers typically offer their unpatented versions at sharply lower prices. Such competition can occur after successful challenges to intellectual property rights or the regular expiration of the term of the patent or other intellectual property rights. Such competition can also result from a Declaration of Public Interest or the compulsory licensing of our drugs by governments, or from a general weakening of intellectual property laws in certain countries around the world. In addition, generic manufacturers sometimes take an aggressive approach to challenging intellectual property rights, including conducting so-called "launches at risk" of products that are still under legal challenge for infringement before final resolution of legal proceedings. In China, numerous generic manufacturers have filed abbreviated new drug applications (ANDAs) seeking marketing approval for generic versions of our EVRENZO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product (</w:t>
      </w:r>
      <w:r>
        <w:rPr>
          <w:rFonts w:ascii="SimSun" w:cs="SimSun" w:eastAsia="SimSun" w:hAnsi="SimSun"/>
          <w:sz w:val="18"/>
          <w:szCs w:val="18"/>
          <w:color w:val="auto"/>
        </w:rPr>
        <w:t>爱瑞卓</w:t>
      </w:r>
      <w:r>
        <w:rPr>
          <w:rFonts w:ascii="Times New Roman" w:cs="Times New Roman" w:eastAsia="Times New Roman" w:hAnsi="Times New Roman"/>
          <w:sz w:val="18"/>
          <w:szCs w:val="18"/>
          <w:color w:val="auto"/>
        </w:rPr>
        <w:t>®, roxadustat). While we are taking steps to both defend our roxadustat patents and challenge these ANDA filers, the outcome is uncertain.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invalidation,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may be costly, time consuming, and may negatively affect our competitive position.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w:t>
      </w:r>
    </w:p>
    <w:p>
      <w:pPr>
        <w:spacing w:after="0" w:line="16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pamrevlumab or FG-3246.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have challenged and may again challenge our patents and patent applications. In particular, patent challenges have been filed against our crystal form patents in Europe and China, and against our photostable formulations patent in Europe. While both our European Patent No. 3470397 (the “`397 Patent”), which claims formulations comprising the commercial crystalline form of roxadustat, and our European Patent No. 3003284 (the “`284 Patent”), which claims photostable formulations of roxadustat, were upheld in opposition, the opponents have appealed the decisions in both cases. In China, three roxadustat crystal form patents were revoked in first-round proceedings and the revocations were upheld on first appeal; however, all decisions currently remain on appeal. Final resolution of these proceedings in Europe and China will take time and we cannot be assured that these patents will survive these proceedings as originally granted or at all.</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and generic competition, is imperative, and any unauthorized use or disclosure could impair our competitive position and may have a material adverse effect on our business and operations.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520" w:right="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ind w:left="520" w:right="4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our product candidates.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imprisonment,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8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confidential, proprietary, and sensitive information, including personal data, business data, trade secrets, intellectual property, information we collect about trial participants in connection with clinical trials, sensitive third-party data, business plans, transactions, and financial information.</w:t>
      </w:r>
    </w:p>
    <w:p>
      <w:pPr>
        <w:spacing w:after="0" w:line="15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U.S., there are State data privacy and security laws, including data breach notification laws, personal data privacy laws, consumer protection laws (e.g., Section 5 of the Federal Trade Commission Act), and the Federal Health Insurance Portability and Accountability Act, and other similar laws (e.g., wiretapping laws). For example, the California Consumer Privacy Act of 2018, as amended by the California Privacy Rights Act of 2020 (collectively,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 Although the CCPA exempts some data processed in the context of clinical trials, the CCPA increases compliance costs and potential liability.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upon whom we rely.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Outside the U.S., laws, regulations, and industry standards govern data privacy and security. For example, the European Union’s General Data Protection Regulation (“GDPR”), the United Kingdom (“UK’s) GDPR, Brazil’s General Data Protection Law (Lei Geral de Proteção de Dados Pessoais) (Law No. 13,709/2018), and China’s Personal Information Protection Law (“PIPL”) impose strict requirements for processing personal data, including health-related information. For example, under the European Union GDPR, companies may face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are subject to new and emerging data privacy regimes in Asia, including China’s PIPL, Japan’s Act on the Protection of Personal Information, and Singapore’s Personal Data Protection Act.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Additionally, companies that transfer personal data out of the EEA and UK to other jurisdictions are subject to scrutiny from regulators, individual litigants, and activities groups.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employees and personnel could use generative artificial intelligence (“AI”) technologies to perform certain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Preparing for and complying with these obligations requires us to devote resources and may necessitate changes to our services, information technologies, systems, and practices and to those of any third parties that process personal data on our behalf.</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require us to maintain costly compliance programs.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it may result in material misstatements in our financial statements.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Efforts required to remediate an ineffective system of control over financial reporting may place a significant burden on management and add increased pressure on our financial resources and processes. Moreover, we implemented an enterprise resource planning (“ERP”) system in the first quarter of 2023, which replaced our existing operating and financial systems, to improve the efficiency of certain financial and transactional processes. However, there is an increased risk that changing controls may be ineffective during the implementation and this ERP system may place additional burdens on employees to learn and adapt our processes to effectively operate under the ERP system. If the ERP system does not operate as intended, the effectiveness of our internal control over financial reporting could be negatively impacted. 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U.S. healthcare reform may adversely affect our business model.</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Further, on February 14, 2023, HHS released a report outlining three new models for testing by the Centers for Medicare &amp; Medicaid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 or otherwise adversely affect our business.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improper activities, which could result in significant liability or harm our reputation.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FDA regulations or similar regulations of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manufacturing standards we have established;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data privacy and security laws protecting personal data;</w:t>
      </w:r>
    </w:p>
    <w:p>
      <w:pPr>
        <w:spacing w:after="0" w:line="117" w:lineRule="exact"/>
        <w:rPr>
          <w:rFonts w:ascii="Times New Roman" w:cs="Times New Roman" w:eastAsia="Times New Roman" w:hAnsi="Times New Roman"/>
          <w:sz w:val="18"/>
          <w:szCs w:val="18"/>
          <w:color w:val="auto"/>
        </w:rPr>
      </w:pPr>
    </w:p>
    <w:p>
      <w:pPr>
        <w:ind w:left="520" w:right="68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and other anti-bribery laws;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or data accurately; 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 to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or safety laws and regulations, we could incur fines, penalties or other costs.</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pandemics.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China-operations portion of our audit is conducted by PricewaterhouseCoopers Zhong Tian LLP, an independent registered public accounting firm headquartered in China.</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majority of audit work incurred for the audit report included in the 2023 Form 10-K was performed by the U.S.-based independent registered public accounting firm we have retained, PricewaterhouseCoopers LLP, which is headquartered in the U.S. and was not identified in the report issued by the PCAOB on December 16, 2021.</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However, we estimate that between 20% and 30% of the total audit hours for our December 31, 2023 audit were provided by PricewaterhouseCoopers Zhong Tian LLP located in China.</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 (such period further reduced to two years by the enactment of the Accelerating Holding Foreign Companies Accountable Act (the “AHFCAA”) on December 29, 2022).</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HFCAA does not apply to registrants that retain a principal accountant that is headquartered in the U.S. and subject to PCAOB inspection. 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Accordingly, the HFCAA does not currently apply to us.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the PCAOB issued a report on December 16, 2021 on its determination that it was unable to inspect or investigate completely PCAOB-registered accounting firms headquartered in China and in Hong Kong, such as PricewaterhouseCoopers Zhong Tian LLP, on December 15, 2022, it announced that it was able to conduct inspections and investigations of such accounting firms in 2022 and vacated its previous 2021 determinations accordingly. While vacating those determinations, however,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though we currently view the likelihood to be remote, if our operations fundamentally change in a way that requires our independent registered public accounting firm be located in China or Hong Kong in order to comply with the standards of the PCAOB regarding principal auditor, then the HFCAA would apply to us, which consequences could include the potential delisting of our stock from the Nasdaq Global Select Market and prohibition from trading in the over-the counter market in the U.S. Such a restriction would negatively impact our ability to raise capital. Additionally, we cannot rule out the possibility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China relations, as well as relations with other countries, and/or regulations may adversely impact our business.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280"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manufacturing facilities in China, with one located in Beijing and the other in Cangzhou, Hebei.</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obligated to comply with cGMP requirements but there can be no assurance that we will maintain all of the appropriate licenses required to manufacture our product candidates for clinical and commercial use in China. In addition to our product suppliers,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but there can be no assurance that our efforts will continue to be successful in meeting these requirements.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all countries we or our partners are selling in, other than China. 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Further, the climate of geopolitical tensions in China affecting global supply chains may impact our ability to continually meet market demand. For example, certain U.S. lawmakers have encouraged sanctions and introduced legislation that could affect WuXi AppTec (Hong Kong) Limited, and our current supplier of FG-3246, WuXi Biologics (Hong Kong) Limited (“WuXi Biologics”) and companies that do business with WuXi Biologics. While the current legislation does not affect our roxadustat supplier Shanghai SynTheAll Pharmaceutical Co., Ltd. (“WuXi STA”), there is a risk that FibroGen could face consequences from contracting with WuXi Biologics, and there is a risk that such legislation could expand to include WuXi STA. The occurrence of any such event could materially and adversely affect our business, financial condition, results of operations, timing of supply deliveries, cash flows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successfully growing and sustaining sales of roxadustat in China.</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AstraZeneca and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Roxadustat’s recent inclusion in the 2023 National Reimbursement Drug List came with a limited 7% price reduction. Such reimbursement pricing for China is effective for a standard two-year period (between January 1, 2024, and December 31, 2025). However, after four generics are approved in China, there is a substantial risk of being subject to the country’s volume-based purchasing program whereby a national tender could be called for roxadustat. If a tender is called for roxadustat, our access to the market as the originator drug would be significantly constrained and our price would be further reduced.</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Sales of roxadustat in China may also be limited due to the complex nature of the healthcare system, low average personal income, pricing controls, still developing infrastructure, and potentially rapid competition from other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will be subject to pricing control in China and elsewhere.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of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are unpredictable, which may cause potential revenues from the sales of roxadustat to fluctuate from period to period.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China Anemia Holdings, Ltd., FibroGen Beijing and its branch offices, and our joint venture distribution entity, Beijing Falikang Pharmaceutical Co., Ltd. (“Falikang”).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2024, approximately $27.6 million of our cash and cash equivalents is held in China.</w:t>
      </w:r>
    </w:p>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as well as our partner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operations in Japan and Europe, which could adversely affect our financial performance.</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5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and regulations could have a material adverse effect on us.</w:t>
      </w:r>
    </w:p>
    <w:p>
      <w:pPr>
        <w:spacing w:after="0" w:line="12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8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governmental, or social conditions could have a material adverse effect on our business.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Chinese requirements, approvals or permissions in the future.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 to the China legal system and regulations could have a material adverse effect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There can be no assurance that we will not be subject to new or changing requirements, approvals or permissions in the future in order to 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2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Times New Roman" w:cs="Times New Roman" w:eastAsia="Times New Roman" w:hAnsi="Times New Roman"/>
          <w:sz w:val="18"/>
          <w:szCs w:val="18"/>
          <w:i w:val="1"/>
          <w:iCs w:val="1"/>
          <w:color w:val="auto"/>
        </w:rPr>
        <w:t>Uncertainties 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China legal system and regulations could have a material adverse effect on us.</w:t>
      </w:r>
      <w:r>
        <w:rPr>
          <w:rFonts w:ascii="Times New Roman" w:cs="Times New Roman" w:eastAsia="Times New Roman" w:hAnsi="Times New Roman"/>
          <w:sz w:val="18"/>
          <w:szCs w:val="18"/>
          <w:color w:val="auto"/>
        </w:rPr>
        <w:t>” If in the future the Chinese government determines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biopharmaceutical company with two lead product candidates in clinical development, roxadustat for CIA in China, and pamrevlumab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pancreatic cancer. Most of our revenue generated to date has been based on our collaboration agreements and we have limited commercial drug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to date. We continue to incur significant research and development and other expenses related to our ongoing operations. Our net loss for the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2023, 2022 and 2021 were $284.2 million, $293.7 million and $290.0 million, respectively. As of March 31, 2024, we had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deficit of $1.9 billion. As of March 31, 2024, we had capital resources consisting of cash, cash equivalents and short-term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$177.6 million. In addition, as of March 31, 2024, we had $37.1 million of accounts receivable in our current assets. Despite contractual development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coverage commitments from our collaboration partners, AstraZeneca and Astellas, and the potential to receive milestone and other payments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partners, and despite commercialization efforts for roxadustat for the treatment of anemia caused by CKD, we anticipate we will continue to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on an annual basis for the foreseeable future. If we do not successfully develop and continue to obtain regulatory approval for our existing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product candidates and effectively manufacture, market and sell the product candidates that are approved, we may never achieve or sustain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on a quarterly or annual basis. Our prior losses, combined with expected future losses, have had and will continue to have an adverse effect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equity (deficit) and working capital. Our failure to become and remain profitable would depress the market price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could impair our ability to raise capital, expand our business, diversify our product offerings or continue our operations.</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to grow our operations in China, continue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Based on our current operating plan, which contemplates the maintenance of a minimum balance of $30 million of unrestricted cash and cash equivalents held in accounts in the U.S., as required under the debt covenants associated with the senior secured term loan facilities,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12 months from the date of issuance of these consolidated financial statements.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Accordingly, we may seek additional funds sooner than planned. 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8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are unable to obtain funding, we could delay, reduce or eliminate research and development programs, product portfolio development or future commercialization efforts which could adversely affect our business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recognize an impairment of our long-lived assets, which could adversely affect our financial performance.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long-lived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6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November 4, 2022, we entered into a $50 million RIFA financing with NovaQuest with respect to our revenues from Astellas’ sales of roxadustat in Europe, Japan and the other Astellas territories.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April 29, 2023, we entered into a financing agreement (“Financing Agreement”) with a $75 million senior secured term loan with investment funds managed by Morgan Stanley Tactical Value, as lenders, and Wilmington Trust, National Association, as the administrative agent.</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Financing Agreement with Morgan Stanley Tactical Value requires us to maintain a minimum balance of $30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spacing w:after="0" w:line="18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For additional details about these financing transactions, see Note 6, </w:t>
      </w:r>
      <w:r>
        <w:rPr>
          <w:rFonts w:ascii="Times New Roman" w:cs="Times New Roman" w:eastAsia="Times New Roman" w:hAnsi="Times New Roman"/>
          <w:sz w:val="18"/>
          <w:szCs w:val="18"/>
          <w:i w:val="1"/>
          <w:iCs w:val="1"/>
          <w:color w:val="auto"/>
        </w:rPr>
        <w:t>Senior Secured Term Loan Facilities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Liability Related to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to the condensed consolidated financial statements.</w:t>
      </w:r>
    </w:p>
    <w:p>
      <w:pPr>
        <w:spacing w:after="0" w:line="16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obligations under these financing transactions could have significant negative consequences for our shareholders, and our business, results of operations and financial condition by, among other things:</w:t>
      </w:r>
    </w:p>
    <w:p>
      <w:pPr>
        <w:spacing w:after="0" w:line="54"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non-dilutive financing or enter into collaboration or partnership agreements of a certain size;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65" w:lineRule="exact"/>
        <w:rPr>
          <w:sz w:val="20"/>
          <w:szCs w:val="20"/>
          <w:color w:val="auto"/>
        </w:rPr>
      </w:pPr>
    </w:p>
    <w:p>
      <w:pPr>
        <w:ind w:left="520" w:right="20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debt, the risks described above could increase. A default in one of such agreements could trigger a default in the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risks would negatively impact our ability to operate our business and obtain additional debt or equity financing on favorable terms.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recent revenue has been earned through our roxadustat collaborations.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either our Astellas collaboration or our AstraZeneca China collaboration were to be terminated, we could have a sudden decrease of revenue and require significant additional capital in order to help fund our operations. If adequate funds or partners are not available to us on a timely basis or on favorable terms, we may be required to delay, limit, reduce or terminate development or commercialization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senior management and key personnel could adversely affect our business.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highly dependent on members of our senior management team. The loss of the services of any of our senior management could significantly impact the development and commercialization of our products and product candidates and our ability to successfully implement our business strategy.</w:t>
      </w:r>
    </w:p>
    <w:p>
      <w:pPr>
        <w:spacing w:after="0" w:line="16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July 14, 2023 and December 11, 2023, FibroGen approved a reduction to its U.S. workforce of approximately 32% and 7.4% to lower its operating expenses, causing the loss of valuable skills, experience, and productivity. Furthermore, employee turnover and other risks described above may be exacerbated by the restructuring as well as recent stock performance.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we are unable to continue to attract and retain personnel with the quality and experience applicable to our product candidates, our ability to pursue our strategy will be limited and our business and operations would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30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5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p>
    <w:p>
      <w:pPr>
        <w:spacing w:after="0" w:line="19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180"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2"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have to limit commercial operations.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withdrawals or labeling restrictions;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9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by a cybersecurity incident,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cybersecurity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 xml:space="preserve">In particular, severe ransomware attacks are becoming increasingly prevalent and can lead to significant interruptions in our operations, loss of </w:t>
      </w:r>
      <w:r>
        <w:rPr>
          <w:rFonts w:ascii="Times New Roman" w:cs="Times New Roman" w:eastAsia="Times New Roman" w:hAnsi="Times New Roman"/>
          <w:sz w:val="18"/>
          <w:szCs w:val="18"/>
          <w:color w:val="000000"/>
        </w:rPr>
        <w:t>confidential,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proprietary, and </w:t>
      </w:r>
      <w:r>
        <w:rPr>
          <w:rFonts w:ascii="Times New Roman" w:cs="Times New Roman" w:eastAsia="Times New Roman" w:hAnsi="Times New Roman"/>
          <w:sz w:val="18"/>
          <w:szCs w:val="18"/>
          <w:color w:val="231F20"/>
        </w:rPr>
        <w:t>sensitive data and income, reputational harm, and diversion of funds. While it is possible that extortion payments may alleviate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negative impact of a ransomware attack, we may be unwilling or unable to make such payments.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Times New Roman" w:cs="Times New Roman" w:eastAsia="Times New Roman" w:hAnsi="Times New Roman"/>
          <w:sz w:val="18"/>
          <w:szCs w:val="18"/>
          <w:color w:val="231F20"/>
        </w:rPr>
        <w:t>If our third-party service providers experience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third quarter of 2023, we were notified that a service provider of our third-party service provider had a security breach and certain of our pseudo anonymized clinical data was exfiltrated. Our incident response assessment was unable to determine a material impact to our Company (including the fact that we have found no personally identifiable information involved, and there is no business continuity risk). However, there is a risk that we discover a material impact in the future.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7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designated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headquarters are located near known earthquake fault zones.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has at times experienced price volatility and may continue to be volatile. For example, during 2023, the closing price of our common stock on The Nasdaq Global Select Market has ranged from $0.38 per share to $25.18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7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pamrevlumab;</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17"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5"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U.S. publicly traded companies with significant operations in China;</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115"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acquisitions that could dilute stockholders and harm our business.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68"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68"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5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520" w:right="30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1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17"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provision or exposure to additional tax liabilities could adversely affect our earnings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imposed by the U.S. and those imposed in response by other countries could have a material adverse effect on our business.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p>
    <w:p>
      <w:pPr>
        <w:spacing w:after="0" w:line="1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plan to pay dividends. Capital appreciation will be your sole possible source of gain, which may never occur.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or our share price could be negatively affected as a result of shareholder proposals or actions.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280" w:type="dxa"/>
            <w:vAlign w:val="bottom"/>
            <w:tcBorders>
              <w:bottom w:val="single" w:sz="8" w:color="auto"/>
            </w:tcBorders>
          </w:tcPr>
          <w:p>
            <w:pPr>
              <w:spacing w:after="0"/>
              <w:rPr>
                <w:sz w:val="16"/>
                <w:szCs w:val="16"/>
                <w:color w:val="auto"/>
              </w:rPr>
            </w:pPr>
          </w:p>
        </w:tc>
      </w:tr>
      <w:tr>
        <w:trPr>
          <w:trHeight w:val="155"/>
        </w:trPr>
        <w:tc>
          <w:tcPr>
            <w:tcW w:w="88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14"/>
          </w:tcPr>
          <w:p>
            <w:pPr>
              <w:ind w:left="880"/>
              <w:spacing w:after="0" w:line="155"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110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120" w:type="dxa"/>
            <w:vAlign w:val="bottom"/>
          </w:tcPr>
          <w:p>
            <w:pPr>
              <w:spacing w:after="0"/>
              <w:rPr>
                <w:sz w:val="13"/>
                <w:szCs w:val="13"/>
                <w:color w:val="auto"/>
              </w:rPr>
            </w:pPr>
          </w:p>
        </w:tc>
        <w:tc>
          <w:tcPr>
            <w:tcW w:w="900" w:type="dxa"/>
            <w:vAlign w:val="bottom"/>
            <w:tcBorders>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280" w:type="dxa"/>
            <w:vAlign w:val="bottom"/>
            <w:tcBorders>
              <w:bottom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5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5860" w:type="dxa"/>
            <w:vAlign w:val="bottom"/>
            <w:gridSpan w:val="18"/>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Amended and Restated Certificate of Incorporation of FibroGen, Inc.</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49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Amended and Restated Bylaws of FibroGen, Inc.</w:t>
              </w:r>
            </w:hyperlink>
          </w:p>
        </w:tc>
        <w:tc>
          <w:tcPr>
            <w:tcW w:w="880" w:type="dxa"/>
            <w:vAlign w:val="bottom"/>
            <w:gridSpan w:val="9"/>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333-199069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5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Common Stock Certificate.</w:t>
              </w:r>
            </w:hyperlink>
          </w:p>
        </w:tc>
        <w:tc>
          <w:tcPr>
            <w:tcW w:w="2320" w:type="dxa"/>
            <w:vAlign w:val="bottom"/>
            <w:gridSpan w:val="11"/>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001-36740</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11/21/2014</w:t>
            </w: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52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Common Stock Purchase Agreement by and between FibroGen, Inc. and</w:t>
              </w:r>
            </w:hyperlink>
          </w:p>
        </w:tc>
        <w:tc>
          <w:tcPr>
            <w:tcW w:w="580" w:type="dxa"/>
            <w:vAlign w:val="bottom"/>
            <w:gridSpan w:val="7"/>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333-199069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4.17</w:t>
            </w: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399">
              <w:r>
                <w:rPr>
                  <w:rFonts w:ascii="Times New Roman" w:cs="Times New Roman" w:eastAsia="Times New Roman" w:hAnsi="Times New Roman"/>
                  <w:sz w:val="18"/>
                  <w:szCs w:val="18"/>
                  <w:color w:val="0000FF"/>
                  <w:w w:val="99"/>
                </w:rPr>
                <w:t>AstraZeneca AB, dated as of October 20, 2014.</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Amendment No. 1 to the Exclusive License and Option Agreement, between</w:t>
            </w:r>
          </w:p>
        </w:tc>
        <w:tc>
          <w:tcPr>
            <w:tcW w:w="240" w:type="dxa"/>
            <w:vAlign w:val="bottom"/>
            <w:gridSpan w:val="4"/>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FibroGen, Inc. and HiFiBiO Inc., dated February 14, 2024.</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EE"/>
            </w:tcBorders>
            <w:gridSpan w:val="5"/>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Termination and Transition Agreement to Development and Commercialization</w:t>
            </w:r>
          </w:p>
        </w:tc>
        <w:tc>
          <w:tcPr>
            <w:tcW w:w="120" w:type="dxa"/>
            <w:vAlign w:val="bottom"/>
            <w:gridSpan w:val="2"/>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Agreement (for the U.S. and Certain Other Territories), by and between</w:t>
            </w:r>
          </w:p>
        </w:tc>
        <w:tc>
          <w:tcPr>
            <w:tcW w:w="66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AstraZeneca AB and FibroGen, Inc., dated February 23, 2024, effective as of</w:t>
            </w:r>
          </w:p>
        </w:tc>
        <w:tc>
          <w:tcPr>
            <w:tcW w:w="2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February 25, 2024.</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1"/>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5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 as amended, dated April 22,</w:t>
            </w:r>
          </w:p>
        </w:tc>
        <w:tc>
          <w:tcPr>
            <w:tcW w:w="380" w:type="dxa"/>
            <w:vAlign w:val="bottom"/>
            <w:gridSpan w:val="5"/>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2024.</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gridSpan w:val="9"/>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1"/>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Offer Letter by and between FibroGen, Inc. and Deyaa Adib, M.D., dated</w:t>
            </w:r>
          </w:p>
        </w:tc>
        <w:tc>
          <w:tcPr>
            <w:tcW w:w="520" w:type="dxa"/>
            <w:vAlign w:val="bottom"/>
            <w:gridSpan w:val="6"/>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February 6, 2024.</w:t>
            </w:r>
          </w:p>
        </w:tc>
        <w:tc>
          <w:tcPr>
            <w:tcW w:w="100" w:type="dxa"/>
            <w:vAlign w:val="bottom"/>
            <w:tcBorders>
              <w:bottom w:val="single" w:sz="8" w:color="0000EE"/>
            </w:tcBorders>
          </w:tcPr>
          <w:p>
            <w:pPr>
              <w:spacing w:after="0"/>
              <w:rPr>
                <w:sz w:val="17"/>
                <w:szCs w:val="17"/>
                <w:color w:val="auto"/>
              </w:rPr>
            </w:pPr>
          </w:p>
        </w:tc>
        <w:tc>
          <w:tcPr>
            <w:tcW w:w="448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7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as required by Rule 13a-14(a) or Rule</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15d-14(a).</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as required by Rule 13a-14(a) or Rule</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15d-14(a).</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 as</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040" w:type="dxa"/>
            <w:vAlign w:val="bottom"/>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required by Rule 13a-14(b) or Rule 15d-14(b) and Section 1350 of Chapter 63</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34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 Title 18 of the United States Code (18 U.S.C. §1350)(1)).</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340" w:type="dxa"/>
            <w:vAlign w:val="bottom"/>
            <w:tcBorders>
              <w:right w:val="single" w:sz="8" w:color="0000EE"/>
            </w:tcBorders>
            <w:gridSpan w:val="3"/>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Inline XBRL Instance Document: the instance document does not appear in the</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04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3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31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3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31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9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040" w:type="dxa"/>
            <w:vAlign w:val="bottom"/>
          </w:tcPr>
          <w:p>
            <w:pPr>
              <w:spacing w:after="0"/>
              <w:rPr>
                <w:sz w:val="20"/>
                <w:szCs w:val="20"/>
                <w:color w:val="auto"/>
              </w:rPr>
            </w:pPr>
          </w:p>
        </w:tc>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taxonomy extension information contained in Exhibits 101.)</w:t>
            </w: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686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7" w:lineRule="exact"/>
        <w:rPr>
          <w:sz w:val="20"/>
          <w:szCs w:val="20"/>
          <w:color w:val="auto"/>
        </w:rPr>
      </w:pPr>
    </w:p>
    <w:p>
      <w:pPr>
        <w:ind w:firstLine="8"/>
        <w:spacing w:after="0" w:line="255" w:lineRule="auto"/>
        <w:tabs>
          <w:tab w:leader="none" w:pos="1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56"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FibroGen, Inc.</w:t>
            </w:r>
          </w:p>
        </w:tc>
      </w:tr>
      <w:tr>
        <w:trPr>
          <w:trHeight w:val="20"/>
        </w:trPr>
        <w:tc>
          <w:tcPr>
            <w:tcW w:w="3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54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6, 2024</w:t>
            </w:r>
          </w:p>
        </w:tc>
        <w:tc>
          <w:tcPr>
            <w:tcW w:w="238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Thane Wettig</w:t>
            </w:r>
          </w:p>
        </w:tc>
      </w:tr>
      <w:tr>
        <w:trPr>
          <w:trHeight w:val="234"/>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Thane Wettig</w:t>
            </w:r>
          </w:p>
        </w:tc>
      </w:tr>
      <w:tr>
        <w:trPr>
          <w:trHeight w:val="238"/>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4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6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6, 2024</w:t>
            </w:r>
          </w:p>
        </w:tc>
        <w:tc>
          <w:tcPr>
            <w:tcW w:w="238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Juan Graham</w:t>
            </w:r>
          </w:p>
        </w:tc>
      </w:tr>
      <w:tr>
        <w:trPr>
          <w:trHeight w:val="234"/>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Juan Graham</w:t>
            </w:r>
          </w:p>
        </w:tc>
      </w:tr>
      <w:tr>
        <w:trPr>
          <w:trHeight w:val="238"/>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43"/>
        </w:trPr>
        <w:tc>
          <w:tcPr>
            <w:tcW w:w="34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62"/>
        </w:trPr>
        <w:tc>
          <w:tcPr>
            <w:tcW w:w="3480" w:type="dxa"/>
            <w:vAlign w:val="bottom"/>
          </w:tcPr>
          <w:p>
            <w:pPr>
              <w:spacing w:after="0"/>
              <w:rPr>
                <w:sz w:val="24"/>
                <w:szCs w:val="24"/>
                <w:color w:val="auto"/>
              </w:rPr>
            </w:pPr>
          </w:p>
        </w:tc>
        <w:tc>
          <w:tcPr>
            <w:tcW w:w="2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ind w:right="20" w:firstLine="8"/>
        <w:spacing w:after="0" w:line="286" w:lineRule="auto"/>
        <w:tabs>
          <w:tab w:leader="none" w:pos="25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EXCLUSIVE LICENSE AND OPTION AGREEMENT</w:t>
      </w:r>
    </w:p>
    <w:p>
      <w:pPr>
        <w:spacing w:after="0" w:line="11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w:t>
      </w:r>
      <w:r>
        <w:rPr>
          <w:rFonts w:ascii="Times New Roman" w:cs="Times New Roman" w:eastAsia="Times New Roman" w:hAnsi="Times New Roman"/>
          <w:sz w:val="18"/>
          <w:szCs w:val="18"/>
          <w:color w:val="auto"/>
        </w:rPr>
        <w:t xml:space="preserve"> to the Exclusive License and Option Agreement (this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is entered into as of February 14, 2024 (the “</w:t>
      </w:r>
      <w:r>
        <w:rPr>
          <w:rFonts w:ascii="Times New Roman" w:cs="Times New Roman" w:eastAsia="Times New Roman" w:hAnsi="Times New Roman"/>
          <w:sz w:val="18"/>
          <w:szCs w:val="18"/>
          <w:b w:val="1"/>
          <w:bCs w:val="1"/>
          <w:color w:val="auto"/>
        </w:rPr>
        <w:t>Amendment No. 1 Effective Date</w:t>
      </w:r>
      <w:r>
        <w:rPr>
          <w:rFonts w:ascii="Times New Roman" w:cs="Times New Roman" w:eastAsia="Times New Roman" w:hAnsi="Times New Roman"/>
          <w:sz w:val="18"/>
          <w:szCs w:val="18"/>
          <w:color w:val="auto"/>
        </w:rPr>
        <w:t>”) by and among HiFiBiO Inc., a Delaware corporation having an address at 237 Putnam Ave. Cambridge, MA 02139(“</w:t>
      </w:r>
      <w:r>
        <w:rPr>
          <w:rFonts w:ascii="Times New Roman" w:cs="Times New Roman" w:eastAsia="Times New Roman" w:hAnsi="Times New Roman"/>
          <w:sz w:val="18"/>
          <w:szCs w:val="18"/>
          <w:b w:val="1"/>
          <w:bCs w:val="1"/>
          <w:color w:val="auto"/>
        </w:rPr>
        <w:t>HFB US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FibroGen, Inc.</w:t>
      </w:r>
      <w:r>
        <w:rPr>
          <w:rFonts w:ascii="Times New Roman" w:cs="Times New Roman" w:eastAsia="Times New Roman" w:hAnsi="Times New Roman"/>
          <w:sz w:val="18"/>
          <w:szCs w:val="18"/>
          <w:color w:val="auto"/>
        </w:rPr>
        <w:t>, a Delaware corporation having its principal place of business at 409 Illinois St., San Francisco, CA 94158 (“</w:t>
      </w:r>
      <w:r>
        <w:rPr>
          <w:rFonts w:ascii="Times New Roman" w:cs="Times New Roman" w:eastAsia="Times New Roman" w:hAnsi="Times New Roman"/>
          <w:sz w:val="18"/>
          <w:szCs w:val="18"/>
          <w:b w:val="1"/>
          <w:bCs w:val="1"/>
          <w:color w:val="auto"/>
        </w:rPr>
        <w:t>FibroGen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right="140" w:firstLine="97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FibroGen and HIFIBIO (HK) LIMITED (d.b.a. HiFiBiO Therapeutics), a company incorporated in Hong Kong and having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at Room 303, 3rd Floor, St. George’s Building, 2 Ice House Street, Central, Hong Kong (“</w:t>
      </w:r>
      <w:r>
        <w:rPr>
          <w:rFonts w:ascii="Times New Roman" w:cs="Times New Roman" w:eastAsia="Times New Roman" w:hAnsi="Times New Roman"/>
          <w:sz w:val="18"/>
          <w:szCs w:val="18"/>
          <w:b w:val="1"/>
          <w:bCs w:val="1"/>
          <w:color w:val="auto"/>
        </w:rPr>
        <w:t>HFB HK</w:t>
      </w:r>
      <w:r>
        <w:rPr>
          <w:rFonts w:ascii="Times New Roman" w:cs="Times New Roman" w:eastAsia="Times New Roman" w:hAnsi="Times New Roman"/>
          <w:sz w:val="18"/>
          <w:szCs w:val="18"/>
          <w:color w:val="auto"/>
        </w:rPr>
        <w:t>”) are parties to that certain Exclusive License and Option Agreement effective as of June 16, 2021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80" w:firstLine="97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HFB HK has assigned and transferred all its right, title and interests in the Agreement to</w:t>
      </w:r>
      <w:r>
        <w:rPr>
          <w:rFonts w:ascii="Times New Roman" w:cs="Times New Roman" w:eastAsia="Times New Roman" w:hAnsi="Times New Roman"/>
          <w:sz w:val="18"/>
          <w:szCs w:val="18"/>
          <w:b w:val="1"/>
          <w:bCs w:val="1"/>
          <w:color w:val="auto"/>
        </w:rPr>
        <w:t xml:space="preserve"> HFB US</w:t>
      </w:r>
      <w:r>
        <w:rPr>
          <w:rFonts w:ascii="Times New Roman" w:cs="Times New Roman" w:eastAsia="Times New Roman" w:hAnsi="Times New Roman"/>
          <w:sz w:val="18"/>
          <w:szCs w:val="18"/>
          <w:color w:val="auto"/>
        </w:rPr>
        <w:t>, a wholly owned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HFB HK, effective as of December 20, 2023, and with FibroGen’s consent effective as of December 19, 2023; HFB HK, HFB US, and FibroGen are referred to herein individually as a “Party” and collectively as the “Parties.” and</w:t>
      </w:r>
    </w:p>
    <w:p>
      <w:pPr>
        <w:spacing w:after="0" w:line="171" w:lineRule="exact"/>
        <w:rPr>
          <w:sz w:val="20"/>
          <w:szCs w:val="20"/>
          <w:color w:val="auto"/>
        </w:rPr>
      </w:pPr>
    </w:p>
    <w:p>
      <w:pPr>
        <w:ind w:right="160" w:firstLine="97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FibroGen has two ongoing phase 3 studies of its product candidate pamrevlumab in pancreas cancer, and [*] the Parties desire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terms in this Amendment No. 1 to be effective.</w:t>
      </w:r>
    </w:p>
    <w:p>
      <w:pPr>
        <w:spacing w:after="0" w:line="155" w:lineRule="exact"/>
        <w:rPr>
          <w:sz w:val="20"/>
          <w:szCs w:val="20"/>
          <w:color w:val="auto"/>
        </w:rPr>
      </w:pPr>
    </w:p>
    <w:p>
      <w:pPr>
        <w:ind w:right="80" w:firstLine="978"/>
        <w:spacing w:after="0" w:line="268"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premises, the mutual promises and covenants of the Parties contained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intending to be legally bound, do hereby agree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All capitalized terms that are not defined in this Amendment No. 1 shall have the meaning set forth in the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Negative Phase 3 Data</w:t>
      </w:r>
      <w:r>
        <w:rPr>
          <w:rFonts w:ascii="Times New Roman" w:cs="Times New Roman" w:eastAsia="Times New Roman" w:hAnsi="Times New Roman"/>
          <w:sz w:val="18"/>
          <w:szCs w:val="18"/>
          <w:color w:val="auto"/>
        </w:rPr>
        <w:t>” means that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Positive Phase 3 Data</w:t>
      </w:r>
      <w:r>
        <w:rPr>
          <w:rFonts w:ascii="Times New Roman" w:cs="Times New Roman" w:eastAsia="Times New Roman" w:hAnsi="Times New Roman"/>
          <w:sz w:val="18"/>
          <w:szCs w:val="18"/>
          <w:color w:val="auto"/>
        </w:rPr>
        <w:t>” means that either of FibroGen’s registrational clinical studies [*]</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Pamrevlumab Program”</w:t>
      </w:r>
      <w:r>
        <w:rPr>
          <w:rFonts w:ascii="Times New Roman" w:cs="Times New Roman" w:eastAsia="Times New Roman" w:hAnsi="Times New Roman"/>
          <w:sz w:val="18"/>
          <w:szCs w:val="18"/>
          <w:color w:val="auto"/>
        </w:rPr>
        <w:t xml:space="preserve"> means FibroGen’s monoclonal antibody targeting CTGF known as FG-3019 for the treatment of pancreas cancer in either metastatic pancreas cancer or locally advanced, unresectable pancreas cancer.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Subsection 8.3(a) of the Agreement is hereby amended and restated in its entirety to read as follows: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“8.3(a) R&amp;D and Regulatory Milestones</w:t>
      </w:r>
      <w:r>
        <w:rPr>
          <w:rFonts w:ascii="Times New Roman" w:cs="Times New Roman" w:eastAsia="Times New Roman" w:hAnsi="Times New Roman"/>
          <w:sz w:val="18"/>
          <w:szCs w:val="18"/>
          <w:color w:val="auto"/>
        </w:rPr>
        <w:t>. FibroGen will make the [*]</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Subsection 8.4(a) of the Agreement is hereby amended and restated in its entirety to read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“8.4(a) Royalty Rates</w:t>
      </w:r>
      <w:r>
        <w:rPr>
          <w:rFonts w:ascii="Times New Roman" w:cs="Times New Roman" w:eastAsia="Times New Roman" w:hAnsi="Times New Roman"/>
          <w:sz w:val="18"/>
          <w:szCs w:val="18"/>
          <w:color w:val="auto"/>
        </w:rPr>
        <w:t>. On a Licensed Product-by-Licensed Product and country-by-country basis,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tab/>
        <w:t>If either (a) [*] or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 4.4 of the Agreement is hereby amended and restated in its entirety to read as follows: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FibroGen will use Commercially Reasonable Efforts to Develop in accordance with the Development Plan, and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FibroGen shall use Commercially Reasonable Efforts to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Miscellaneous Terms</w:t>
      </w:r>
    </w:p>
    <w:p>
      <w:pPr>
        <w:spacing w:after="0" w:line="229" w:lineRule="exact"/>
        <w:rPr>
          <w:sz w:val="20"/>
          <w:szCs w:val="20"/>
          <w:color w:val="auto"/>
        </w:rPr>
      </w:pPr>
    </w:p>
    <w:p>
      <w:pPr>
        <w:jc w:val="both"/>
        <w:ind w:firstLine="986"/>
        <w:spacing w:after="0" w:line="266" w:lineRule="auto"/>
        <w:tabs>
          <w:tab w:leader="none" w:pos="11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Agreement, as specifically amended by this Amendment No. 1, continues to remain in full force and effect, and together with this Amendment No. 1 set forth the legal, valid, binding and complete and exclusive agreement and entire understanding between the Parties existing as of the Effective Date with respect to the subject matter hereof.</w:t>
      </w:r>
    </w:p>
    <w:p>
      <w:pPr>
        <w:spacing w:after="0" w:line="175" w:lineRule="exact"/>
        <w:rPr>
          <w:rFonts w:ascii="Times New Roman" w:cs="Times New Roman" w:eastAsia="Times New Roman" w:hAnsi="Times New Roman"/>
          <w:sz w:val="18"/>
          <w:szCs w:val="18"/>
          <w:color w:val="auto"/>
        </w:rPr>
      </w:pPr>
    </w:p>
    <w:p>
      <w:pPr>
        <w:ind w:right="240" w:firstLine="986"/>
        <w:spacing w:after="0" w:line="282" w:lineRule="auto"/>
        <w:tabs>
          <w:tab w:leader="none" w:pos="12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alteration, amendment, change or addition to this Amendment No. 1 will be binding upon the Parties unless reduced to writing and signed by an authorized officer of each Party.</w:t>
      </w:r>
    </w:p>
    <w:p>
      <w:pPr>
        <w:spacing w:after="0" w:line="161" w:lineRule="exact"/>
        <w:rPr>
          <w:rFonts w:ascii="Times New Roman" w:cs="Times New Roman" w:eastAsia="Times New Roman" w:hAnsi="Times New Roman"/>
          <w:sz w:val="18"/>
          <w:szCs w:val="18"/>
          <w:color w:val="auto"/>
        </w:rPr>
      </w:pPr>
    </w:p>
    <w:p>
      <w:pPr>
        <w:ind w:right="380" w:firstLine="986"/>
        <w:spacing w:after="0" w:line="282"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execution of this Amendment No. 1 in one or more counterparts by industry standard electronic signature software or by exchanging PDF signatures will have the same legal force and effect as the exchange of original signatures.</w:t>
      </w:r>
    </w:p>
    <w:p>
      <w:pPr>
        <w:spacing w:after="0" w:line="161" w:lineRule="exact"/>
        <w:rPr>
          <w:rFonts w:ascii="Times New Roman" w:cs="Times New Roman" w:eastAsia="Times New Roman" w:hAnsi="Times New Roman"/>
          <w:sz w:val="18"/>
          <w:szCs w:val="18"/>
          <w:color w:val="auto"/>
        </w:rPr>
      </w:pPr>
    </w:p>
    <w:p>
      <w:pPr>
        <w:ind w:right="80" w:firstLine="986"/>
        <w:spacing w:after="0" w:line="282" w:lineRule="auto"/>
        <w:tabs>
          <w:tab w:leader="none" w:pos="1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will be governed by, and enforced and construed in accordance with, the laws of the State of Delaware, without regard to its conflicts of law provisions.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Amendment No. 1 by their duly authorized representatives as of the Effective Date.</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HIFIBIO, INC.</w:t>
            </w:r>
          </w:p>
        </w:tc>
        <w:tc>
          <w:tcPr>
            <w:tcW w:w="368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w w:val="98"/>
              </w:rPr>
              <w:t>FIBROGEN, INC.</w:t>
            </w:r>
          </w:p>
        </w:tc>
      </w:tr>
      <w:tr>
        <w:trPr>
          <w:trHeight w:val="67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 [*]</w:t>
            </w:r>
          </w:p>
        </w:tc>
      </w:tr>
      <w:tr>
        <w:trPr>
          <w:trHeight w:val="675"/>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Name:</w:t>
            </w:r>
          </w:p>
        </w:tc>
        <w:tc>
          <w:tcPr>
            <w:tcW w:w="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8"/>
        <w:spacing w:after="0" w:line="282"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Copy</w:t>
      </w:r>
    </w:p>
    <w:p>
      <w:pPr>
        <w:spacing w:after="0" w:line="200" w:lineRule="exact"/>
        <w:rPr>
          <w:sz w:val="20"/>
          <w:szCs w:val="20"/>
          <w:color w:val="auto"/>
        </w:rPr>
      </w:pPr>
    </w:p>
    <w:p>
      <w:pPr>
        <w:spacing w:after="0" w:line="241" w:lineRule="exact"/>
        <w:rPr>
          <w:sz w:val="20"/>
          <w:szCs w:val="20"/>
          <w:color w:val="auto"/>
        </w:rPr>
      </w:pPr>
    </w:p>
    <w:p>
      <w:pPr>
        <w:ind w:firstLine="8"/>
        <w:spacing w:after="0" w:line="286" w:lineRule="auto"/>
        <w:tabs>
          <w:tab w:leader="none" w:pos="25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38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ASTRAZENECA AB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February25,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1172845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50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r>
      <w:tr>
        <w:trPr>
          <w:trHeight w:val="44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2 TERMINATION OF AGREEMENTS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3 TRANSITION ACTIVITIES, TRANSFER OF ASSETS AND ONGOING RESPONSIBILITIES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4 REVERSION RIGHTS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5 PROSECUTION, MAINTENANCE AND ENFORCEMENT OF PATENTS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6 FINANCIAL TERMS; SETTLEMENT AND RELEASE; COVENANT NOT TO SUE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7 INDEMNITY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8 CONFIDENTIALITY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9 REPRESENTATIONS AND WARRANTIES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59"/>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ARTICLE 10 MISCELLANEOUS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This Termination Agreement (this “</w:t>
      </w:r>
      <w:r>
        <w:rPr>
          <w:rFonts w:ascii="Times New Roman" w:cs="Times New Roman" w:eastAsia="Times New Roman" w:hAnsi="Times New Roman"/>
          <w:sz w:val="18"/>
          <w:szCs w:val="18"/>
          <w:b w:val="1"/>
          <w:bCs w:val="1"/>
          <w:color w:val="auto"/>
        </w:rPr>
        <w:t>Termination Agreement</w:t>
      </w:r>
      <w:r>
        <w:rPr>
          <w:rFonts w:ascii="Times New Roman" w:cs="Times New Roman" w:eastAsia="Times New Roman" w:hAnsi="Times New Roman"/>
          <w:sz w:val="18"/>
          <w:szCs w:val="18"/>
          <w:color w:val="auto"/>
        </w:rPr>
        <w:t xml:space="preserve">”) is made and effective as of </w:t>
      </w:r>
      <w:r>
        <w:rPr>
          <w:rFonts w:ascii="Times New Roman" w:cs="Times New Roman" w:eastAsia="Times New Roman" w:hAnsi="Times New Roman"/>
          <w:sz w:val="18"/>
          <w:szCs w:val="18"/>
          <w:b w:val="1"/>
          <w:bCs w:val="1"/>
          <w:color w:val="auto"/>
        </w:rPr>
        <w:t>February 25, 2024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Termination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AstraZeneca AB, a company incorporated in Sweden under no. 556011-7482 with offices at Pepparedsleden 1, SE-431 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Mölndal, Sweden (“</w:t>
      </w:r>
      <w:r>
        <w:rPr>
          <w:rFonts w:ascii="Times New Roman" w:cs="Times New Roman" w:eastAsia="Times New Roman" w:hAnsi="Times New Roman"/>
          <w:sz w:val="18"/>
          <w:szCs w:val="18"/>
          <w:b w:val="1"/>
          <w:bCs w:val="1"/>
          <w:color w:val="auto"/>
        </w:rPr>
        <w:t>AstraZeneca</w:t>
      </w:r>
      <w:r>
        <w:rPr>
          <w:rFonts w:ascii="Times New Roman" w:cs="Times New Roman" w:eastAsia="Times New Roman" w:hAnsi="Times New Roman"/>
          <w:sz w:val="18"/>
          <w:szCs w:val="18"/>
          <w:color w:val="auto"/>
        </w:rPr>
        <w:t>”); and FibroGen, Inc., a Delaware corporation having its principal place of business at 409 Illinois St., San Francisco, California 94158, United States (“</w:t>
      </w:r>
      <w:r>
        <w:rPr>
          <w:rFonts w:ascii="Times New Roman" w:cs="Times New Roman" w:eastAsia="Times New Roman" w:hAnsi="Times New Roman"/>
          <w:sz w:val="18"/>
          <w:szCs w:val="18"/>
          <w:b w:val="1"/>
          <w:bCs w:val="1"/>
          <w:color w:val="auto"/>
        </w:rPr>
        <w:t>FibroGen</w:t>
      </w:r>
      <w:r>
        <w:rPr>
          <w:rFonts w:ascii="Times New Roman" w:cs="Times New Roman" w:eastAsia="Times New Roman" w:hAnsi="Times New Roman"/>
          <w:sz w:val="18"/>
          <w:szCs w:val="18"/>
          <w:color w:val="auto"/>
        </w:rPr>
        <w:t>”) (each of AstraZeneca and FibroGen,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AstraZeneca and FibroGen are parties to that certain Amended and Restated License,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entered into as of October 16, 2014 and effective as of July 30, 2013, and amended as of July 1, 2020, under which FibroGen granted AstraZeneca certain rights in respect of the development and commercialization of roxadustat in the Territory (as defined therein) (the “</w:t>
      </w:r>
      <w:r>
        <w:rPr>
          <w:rFonts w:ascii="Times New Roman" w:cs="Times New Roman" w:eastAsia="Times New Roman" w:hAnsi="Times New Roman"/>
          <w:sz w:val="18"/>
          <w:szCs w:val="18"/>
          <w:b w:val="1"/>
          <w:b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contemplated in the Collaboration Agreement, AstraZeneca UK Limited and FibroGen are parties to a master supply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as of September 10, 2020, under which FibroGen agreed to supply Product (as defined therein) to AstraZeneca UK Limited for AstraZeneca’s (and its Affiliates) use in commercialization on the terms set forth therein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and as contemplated in and pursuant to the requirements set out in the Collaboration Agreement and the Supply Agreement, AstraZeneca UK Limited and FibroGen entered into a quality assurance agreement effective as of September 9, 2022, setting out the responsibilities of the parties with respect to quality assurance, document retention, notification obligations, audit and inspection rights, and similar matters with respect to the manufacture of Product and Finished Product (the “</w:t>
      </w:r>
      <w:r>
        <w:rPr>
          <w:rFonts w:ascii="Times New Roman" w:cs="Times New Roman" w:eastAsia="Times New Roman" w:hAnsi="Times New Roman"/>
          <w:sz w:val="18"/>
          <w:szCs w:val="18"/>
          <w:b w:val="1"/>
          <w:bCs w:val="1"/>
          <w:color w:val="auto"/>
        </w:rPr>
        <w:t>Quality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with respect to the collaboration between the Parties and their Affiliates in China, the development and commercialization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are governed by, among other agreements, that certain Second Amended and Restated License, Development and Commercialization Agreement (China) by and between FibroGen China Anemia Holdings, Ltd., FibroGen (China) Medical Technology Development Co., Ltd., and FibroGen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113" w:lineRule="exact"/>
        <w:rPr>
          <w:sz w:val="20"/>
          <w:szCs w:val="20"/>
          <w:color w:val="auto"/>
        </w:rPr>
      </w:pPr>
    </w:p>
    <w:p>
      <w:pPr>
        <w:ind w:right="20" w:firstLine="8"/>
        <w:spacing w:after="0" w:line="261" w:lineRule="auto"/>
        <w:tabs>
          <w:tab w:leader="none" w:pos="21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International (Hong Kong) Limited (each Affiliates of FibroGen), and AstraZeneca, amended and restated with effect on July 1, 2020 (the “</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save that certain aspects of the governance structure for China are set out in the Collaboration Agreement;</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FibroGen has developed certain small molecule prolyl hydroxylase inhibitors that modulate hypoxia-inducible factor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anemia in collaboration with Astellas Pharma Inc. (“</w:t>
      </w:r>
      <w:r>
        <w:rPr>
          <w:rFonts w:ascii="Times New Roman" w:cs="Times New Roman" w:eastAsia="Times New Roman" w:hAnsi="Times New Roman"/>
          <w:sz w:val="18"/>
          <w:szCs w:val="18"/>
          <w:b w:val="1"/>
          <w:bCs w:val="1"/>
          <w:color w:val="auto"/>
        </w:rPr>
        <w:t>Astellas</w:t>
      </w:r>
      <w:r>
        <w:rPr>
          <w:rFonts w:ascii="Times New Roman" w:cs="Times New Roman" w:eastAsia="Times New Roman" w:hAnsi="Times New Roman"/>
          <w:sz w:val="18"/>
          <w:szCs w:val="18"/>
          <w:color w:val="auto"/>
        </w:rPr>
        <w:t>”), its exclusive licensee for Japan, Europe, the Commonwealth of Independent States (CIS), the Middle East and South Africa pursuant to the Astellas Agreements (as defined in the Collaboration Agreement) (collectively, the “</w:t>
      </w:r>
      <w:r>
        <w:rPr>
          <w:rFonts w:ascii="Times New Roman" w:cs="Times New Roman" w:eastAsia="Times New Roman" w:hAnsi="Times New Roman"/>
          <w:sz w:val="18"/>
          <w:szCs w:val="18"/>
          <w:b w:val="1"/>
          <w:bCs w:val="1"/>
          <w:color w:val="auto"/>
        </w:rPr>
        <w:t>Astellas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Collaboration</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FibroGen and FibroGen (China) Medical Technology Development Co., Ltd., AstraZeneca and Astellas entered into a Tripartite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Pharmacovigilance Agreement effective 13 November 2020 (the “</w:t>
      </w:r>
      <w:r>
        <w:rPr>
          <w:rFonts w:ascii="Times New Roman" w:cs="Times New Roman" w:eastAsia="Times New Roman" w:hAnsi="Times New Roman"/>
          <w:sz w:val="18"/>
          <w:szCs w:val="18"/>
          <w:b w:val="1"/>
          <w:bCs w:val="1"/>
          <w:color w:val="auto"/>
        </w:rPr>
        <w:t>PV Agreement</w:t>
      </w:r>
      <w:r>
        <w:rPr>
          <w:rFonts w:ascii="Times New Roman" w:cs="Times New Roman" w:eastAsia="Times New Roman" w:hAnsi="Times New Roman"/>
          <w:sz w:val="18"/>
          <w:szCs w:val="18"/>
          <w:color w:val="auto"/>
        </w:rPr>
        <w:t>”) to govern the responsibilities of each of the parties thereto in respect of pharmacovigilance activities for the Product globally, both in respect of clinical development and post-marketing PV activities.</w:t>
      </w:r>
    </w:p>
    <w:p>
      <w:pPr>
        <w:spacing w:after="0" w:line="171"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mutually agreed to terminate the Collaboration Agreement with respect to all countries in the Territory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 Korea), with corresponding termination of the Agreements (as defined below) as contemplated therein, in each case on the terms and conditions set forth herein and to establish certain terms and conditions governing the Parties’ respective rights and obligations following such termination.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in this Termination Agreement,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intending to be legally bound,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Unless otherwise specifically provided herein, (a) subject to clause (b), capitalized terms have the meanings ascribed thereto in the Collaboration Agreement and (b) the following terms, when used with a capital letter at the beginning, have the following meanings:</w:t>
      </w:r>
    </w:p>
    <w:p>
      <w:pPr>
        <w:spacing w:after="0" w:line="15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Accountants</w:t>
      </w:r>
      <w:r>
        <w:rPr>
          <w:rFonts w:ascii="Times New Roman" w:cs="Times New Roman" w:eastAsia="Times New Roman" w:hAnsi="Times New Roman"/>
          <w:sz w:val="18"/>
          <w:szCs w:val="18"/>
          <w:color w:val="auto"/>
        </w:rPr>
        <w:t>” means an accounting or valuation firm of national reputation in the United States (excluding each of FibroGen’s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and AstraZeneca’s and its Affiliates’ respective regular outside accounting or valuation firms or auditors) that is mutually acceptable to FibroGen and AstraZeneca;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FibroGen and AstraZeneca are unable to agree on such accounting or valuation firm [*] or any such mutually selected accounting or valuation firm is unwilling or unable to serve, then AstraZeneca shall deliver to FibroGen [*] of national reputation in the United States that have not performed services for FibroGen or its Affiliates or AstraZeneca or its Affiliates in [*], and FibroGen shall select [*] accounting or valuation firms.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means collectively the Collaboration Agreement, the Supply Agreement and the Quality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Allocated Value</w:t>
      </w:r>
      <w:r>
        <w:rPr>
          <w:rFonts w:ascii="Times New Roman" w:cs="Times New Roman" w:eastAsia="Times New Roman" w:hAnsi="Times New Roman"/>
          <w:sz w:val="18"/>
          <w:szCs w:val="18"/>
          <w:color w:val="auto"/>
        </w:rPr>
        <w:t>” has the meaning given in Section 6.4.2.</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Regulatory Approvals</w:t>
      </w:r>
      <w:r>
        <w:rPr>
          <w:rFonts w:ascii="Times New Roman" w:cs="Times New Roman" w:eastAsia="Times New Roman" w:hAnsi="Times New Roman"/>
          <w:sz w:val="18"/>
          <w:szCs w:val="18"/>
          <w:color w:val="auto"/>
        </w:rPr>
        <w:t>” means the Held Regulatory Approvals, the Withdrawn/Rejected Regulatory Approvals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Approvals Under Review. For clarity, Applicable Regulatory Approvals does not include the Retained Regulatory Approval.</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Assigned Marks</w:t>
      </w:r>
      <w:r>
        <w:rPr>
          <w:rFonts w:ascii="Times New Roman" w:cs="Times New Roman" w:eastAsia="Times New Roman" w:hAnsi="Times New Roman"/>
          <w:sz w:val="18"/>
          <w:szCs w:val="18"/>
          <w:color w:val="auto"/>
        </w:rPr>
        <w:t>” has meaning set forth in Section 3.2.3.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Astellas Business Sale Revenue</w:t>
      </w:r>
      <w:r>
        <w:rPr>
          <w:rFonts w:ascii="Times New Roman" w:cs="Times New Roman" w:eastAsia="Times New Roman" w:hAnsi="Times New Roman"/>
          <w:sz w:val="18"/>
          <w:szCs w:val="18"/>
          <w:color w:val="auto"/>
        </w:rPr>
        <w:t>” has the meaning set forth in Section 6.2.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113" w:lineRule="exact"/>
        <w:rPr>
          <w:sz w:val="20"/>
          <w:szCs w:val="20"/>
          <w:color w:val="auto"/>
        </w:rPr>
      </w:pPr>
    </w:p>
    <w:p>
      <w:pPr>
        <w:ind w:right="20" w:firstLine="8"/>
        <w:spacing w:after="0" w:line="261" w:lineRule="auto"/>
        <w:tabs>
          <w:tab w:leader="none" w:pos="21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Astellas Revenues</w:t>
      </w:r>
      <w:r>
        <w:rPr>
          <w:rFonts w:ascii="Times New Roman" w:cs="Times New Roman" w:eastAsia="Times New Roman" w:hAnsi="Times New Roman"/>
          <w:sz w:val="18"/>
          <w:szCs w:val="18"/>
          <w:color w:val="auto"/>
        </w:rPr>
        <w:t>” has meaning set forth in Section 6.2.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Product Payment Amount</w:t>
      </w:r>
      <w:r>
        <w:rPr>
          <w:rFonts w:ascii="Times New Roman" w:cs="Times New Roman" w:eastAsia="Times New Roman" w:hAnsi="Times New Roman"/>
          <w:sz w:val="18"/>
          <w:szCs w:val="18"/>
          <w:color w:val="auto"/>
        </w:rPr>
        <w:t>” has the meaning set forth in Section 6.7.</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 Indemnitees</w:t>
      </w:r>
      <w:r>
        <w:rPr>
          <w:rFonts w:ascii="Times New Roman" w:cs="Times New Roman" w:eastAsia="Times New Roman" w:hAnsi="Times New Roman"/>
          <w:sz w:val="18"/>
          <w:szCs w:val="18"/>
          <w:color w:val="auto"/>
        </w:rPr>
        <w:t>” has the meaning set forth in Section 7.1.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AstraZeneca’s Knowledge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Collaboration 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means any and all actual and documented out-of-pocket or Third Party costs and expenses incurred by AstraZeneca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in the performance of the transition services set out in Sections 3.1.1 and 3.1.2.</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Expert Notice</w:t>
      </w:r>
      <w:r>
        <w:rPr>
          <w:rFonts w:ascii="Times New Roman" w:cs="Times New Roman" w:eastAsia="Times New Roman" w:hAnsi="Times New Roman"/>
          <w:sz w:val="18"/>
          <w:szCs w:val="18"/>
          <w:color w:val="auto"/>
        </w:rPr>
        <w:t>” has the meaning given in Section 6.4.3.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FibroGen</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1.20 “FTE Rate</w:t>
      </w:r>
      <w:r>
        <w:rPr>
          <w:rFonts w:ascii="Times New Roman" w:cs="Times New Roman" w:eastAsia="Times New Roman" w:hAnsi="Times New Roman"/>
          <w:sz w:val="18"/>
          <w:szCs w:val="18"/>
          <w:color w:val="auto"/>
        </w:rPr>
        <w:t>” means, [*], which is the blended hourly fully burdened rate for AstraZeneca’s employees and agents conducting the transition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The FTE Rate will be adjusted [*] to reflect the percentage increase or decrease (as the case may be) from the preceding year in the average consumer price, calculated as the average of (i) the annual percentage change of US CPI-U and (ii) the average of the annual percentage changes of HICP for the 5 major EU countries (UK, France, Germany, Italy, and Spain) for such annual period, except as otherwise mutually agreed by the Parties. The FTE Rate includes, without limitation, the following general expense categories: salaries and wages (including bonuses, moving expenses, and payroll taxes), benefits provided (including health benefits, defined contribution, defined benefit plans, vacations, etc.), direct employee costs (including recruitment costs, internal and external training costs, computer charges, automobile leases, subscriptions and reference materials, telephone, fax, cellular phone, and copy machines and related costs), and allocation of other overhead costs (including rent, insurance, and utilities).</w:t>
      </w:r>
    </w:p>
    <w:p>
      <w:pPr>
        <w:spacing w:after="0" w:line="18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Held Regulatory Approvals</w:t>
      </w:r>
      <w:r>
        <w:rPr>
          <w:rFonts w:ascii="Times New Roman" w:cs="Times New Roman" w:eastAsia="Times New Roman" w:hAnsi="Times New Roman"/>
          <w:sz w:val="18"/>
          <w:szCs w:val="18"/>
          <w:color w:val="auto"/>
        </w:rPr>
        <w:t>” means the Regulatory Approvals for the following countries of the Territory, which have been obtained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held by AstraZeneca or its Affiliates [*].</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Services</w:t>
      </w:r>
      <w:r>
        <w:rPr>
          <w:rFonts w:ascii="Times New Roman" w:cs="Times New Roman" w:eastAsia="Times New Roman" w:hAnsi="Times New Roman"/>
          <w:sz w:val="18"/>
          <w:szCs w:val="18"/>
          <w:color w:val="auto"/>
        </w:rPr>
        <w:t>” has the meaning ascribed thereto in the Supply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Partnering Revenues</w:t>
      </w:r>
      <w:r>
        <w:rPr>
          <w:rFonts w:ascii="Times New Roman" w:cs="Times New Roman" w:eastAsia="Times New Roman" w:hAnsi="Times New Roman"/>
          <w:sz w:val="18"/>
          <w:szCs w:val="18"/>
          <w:color w:val="auto"/>
        </w:rPr>
        <w:t>” has the meaning set forth in Section 6.3.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each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Orders</w:t>
      </w:r>
      <w:r>
        <w:rPr>
          <w:rFonts w:ascii="Times New Roman" w:cs="Times New Roman" w:eastAsia="Times New Roman" w:hAnsi="Times New Roman"/>
          <w:sz w:val="18"/>
          <w:szCs w:val="18"/>
          <w:color w:val="auto"/>
        </w:rPr>
        <w:t>” has the meaning ascribed thereto in the Supply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PV 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PV Costs</w:t>
      </w:r>
      <w:r>
        <w:rPr>
          <w:rFonts w:ascii="Times New Roman" w:cs="Times New Roman" w:eastAsia="Times New Roman" w:hAnsi="Times New Roman"/>
          <w:sz w:val="18"/>
          <w:szCs w:val="18"/>
          <w:color w:val="auto"/>
        </w:rPr>
        <w:t>” means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113" w:lineRule="exact"/>
        <w:rPr>
          <w:sz w:val="20"/>
          <w:szCs w:val="20"/>
          <w:color w:val="auto"/>
        </w:rPr>
      </w:pPr>
    </w:p>
    <w:p>
      <w:pPr>
        <w:ind w:right="20" w:firstLine="8"/>
        <w:spacing w:after="0" w:line="261" w:lineRule="auto"/>
        <w:tabs>
          <w:tab w:leader="none" w:pos="21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 Under Review</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Regulatory Approval</w:t>
      </w:r>
      <w:r>
        <w:rPr>
          <w:rFonts w:ascii="Times New Roman" w:cs="Times New Roman" w:eastAsia="Times New Roman" w:hAnsi="Times New Roman"/>
          <w:sz w:val="18"/>
          <w:szCs w:val="18"/>
          <w:color w:val="auto"/>
        </w:rPr>
        <w:t>” means the Regulatory Approvals for the Republic of South Korea (“</w:t>
      </w:r>
      <w:r>
        <w:rPr>
          <w:rFonts w:ascii="Times New Roman" w:cs="Times New Roman" w:eastAsia="Times New Roman" w:hAnsi="Times New Roman"/>
          <w:sz w:val="18"/>
          <w:szCs w:val="18"/>
          <w:b w:val="1"/>
          <w:bCs w:val="1"/>
          <w:color w:val="auto"/>
        </w:rPr>
        <w:t>South Korea</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Reversion Sublicensee</w:t>
      </w:r>
      <w:r>
        <w:rPr>
          <w:rFonts w:ascii="Times New Roman" w:cs="Times New Roman" w:eastAsia="Times New Roman" w:hAnsi="Times New Roman"/>
          <w:sz w:val="18"/>
          <w:szCs w:val="18"/>
          <w:color w:val="auto"/>
        </w:rPr>
        <w:t>” has the meaning set forth in Section 4.2.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ROW FibroGen Commercialization Revenues</w:t>
      </w:r>
      <w:r>
        <w:rPr>
          <w:rFonts w:ascii="Times New Roman" w:cs="Times New Roman" w:eastAsia="Times New Roman" w:hAnsi="Times New Roman"/>
          <w:sz w:val="18"/>
          <w:szCs w:val="18"/>
          <w:color w:val="auto"/>
        </w:rPr>
        <w:t>” has the meaning set forth in Section</w:t>
      </w:r>
      <w:r>
        <w:rPr>
          <w:rFonts w:ascii="Times New Roman" w:cs="Times New Roman" w:eastAsia="Times New Roman" w:hAnsi="Times New Roman"/>
          <w:sz w:val="18"/>
          <w:szCs w:val="18"/>
          <w:b w:val="1"/>
          <w:bCs w:val="1"/>
          <w:color w:val="auto"/>
        </w:rPr>
        <w:t xml:space="preserve"> Error! Reference source not found.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Territory</w:t>
      </w:r>
      <w:r>
        <w:rPr>
          <w:rFonts w:ascii="Times New Roman" w:cs="Times New Roman" w:eastAsia="Times New Roman" w:hAnsi="Times New Roman"/>
          <w:sz w:val="18"/>
          <w:szCs w:val="18"/>
          <w:color w:val="auto"/>
        </w:rPr>
        <w:t>” means the Territory, other than (subject to Section 3.1.2(b)) South Korea.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has the meaning set forth in Section 2.1.</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Agreement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1.39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Agreement Effective Date</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entity other than FibroGen or AstraZeneca or an Affiliate of either of them.</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Business Sale Revenue</w:t>
      </w:r>
      <w:r>
        <w:rPr>
          <w:rFonts w:ascii="Times New Roman" w:cs="Times New Roman" w:eastAsia="Times New Roman" w:hAnsi="Times New Roman"/>
          <w:sz w:val="18"/>
          <w:szCs w:val="18"/>
          <w:color w:val="auto"/>
        </w:rPr>
        <w:t>” has the meaning set forth in Section 6.3.</w:t>
      </w:r>
    </w:p>
    <w:p>
      <w:pPr>
        <w:spacing w:after="0" w:line="22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Mark Assignment Agreements</w:t>
      </w:r>
      <w:r>
        <w:rPr>
          <w:rFonts w:ascii="Times New Roman" w:cs="Times New Roman" w:eastAsia="Times New Roman" w:hAnsi="Times New Roman"/>
          <w:sz w:val="18"/>
          <w:szCs w:val="18"/>
          <w:color w:val="auto"/>
        </w:rPr>
        <w:t>” means the agreements entered into between FibroGen (or a FibroGen Affiliate) and AstraZeneca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 AstraZeneca Affiliate) pursuant to Section 3.2.3 and pursuant to which AstraZeneca (or its Affiliates) will confirm its assignment and transfer of the Assigned Marks to FibroGen (or its Affiliates).</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Date</w:t>
      </w:r>
      <w:r>
        <w:rPr>
          <w:rFonts w:ascii="Times New Roman" w:cs="Times New Roman" w:eastAsia="Times New Roman" w:hAnsi="Times New Roman"/>
          <w:sz w:val="18"/>
          <w:szCs w:val="18"/>
          <w:color w:val="auto"/>
        </w:rPr>
        <w:t>” means, in respect of a Held Regulatory Approval, such date when such Held Regulatory Approval is transferred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FibroGen, as notified by AstraZeneca to the applicable Regulatory Authority.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1.44 “Transition Period” </w:t>
      </w:r>
      <w:r>
        <w:rPr>
          <w:rFonts w:ascii="Times New Roman" w:cs="Times New Roman" w:eastAsia="Times New Roman" w:hAnsi="Times New Roman"/>
          <w:sz w:val="18"/>
          <w:szCs w:val="18"/>
          <w:color w:val="auto"/>
        </w:rPr>
        <w:t>means, [*] and (ii) one hundred eighty (180) days following the Termination Agreement Effective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Transition Services Fee” </w:t>
      </w:r>
      <w:r>
        <w:rPr>
          <w:rFonts w:ascii="Times New Roman" w:cs="Times New Roman" w:eastAsia="Times New Roman" w:hAnsi="Times New Roman"/>
          <w:sz w:val="18"/>
          <w:szCs w:val="18"/>
          <w:color w:val="auto"/>
        </w:rPr>
        <w:t>has the meaning set forth in Section 3.1.3.</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1.46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Value Notice</w:t>
      </w:r>
      <w:r>
        <w:rPr>
          <w:rFonts w:ascii="Times New Roman" w:cs="Times New Roman" w:eastAsia="Times New Roman" w:hAnsi="Times New Roman"/>
          <w:sz w:val="18"/>
          <w:szCs w:val="18"/>
          <w:color w:val="auto"/>
        </w:rPr>
        <w:t>” has the meaning set forth in Section 6.4.2.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1.47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Wind-Down Asset Sale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1.47.1</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1.47.2</w:t>
      </w:r>
      <w:r>
        <w:rPr>
          <w:sz w:val="20"/>
          <w:szCs w:val="20"/>
          <w:color w:val="auto"/>
        </w:rPr>
        <w:tab/>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13" w:lineRule="exact"/>
        <w:rPr>
          <w:sz w:val="20"/>
          <w:szCs w:val="20"/>
          <w:color w:val="auto"/>
        </w:rPr>
      </w:pPr>
    </w:p>
    <w:p>
      <w:pPr>
        <w:ind w:right="20" w:firstLine="8"/>
        <w:spacing w:after="0" w:line="261" w:lineRule="auto"/>
        <w:tabs>
          <w:tab w:leader="none" w:pos="21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0"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Date</w:t>
      </w:r>
      <w:r>
        <w:rPr>
          <w:rFonts w:ascii="Times New Roman" w:cs="Times New Roman" w:eastAsia="Times New Roman" w:hAnsi="Times New Roman"/>
          <w:sz w:val="18"/>
          <w:szCs w:val="18"/>
          <w:color w:val="auto"/>
        </w:rPr>
        <w:t>” means in respect of a country in which there is a Held Regulatory Approval or a Regulatory Approval Under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on which such Regulatory Approval is withdrawn, as notified by or to the applicable Regulatory Authority in the applicable country.</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Withdrawn/Rejected Regulatory Approvals</w:t>
      </w:r>
      <w:r>
        <w:rPr>
          <w:rFonts w:ascii="Times New Roman" w:cs="Times New Roman" w:eastAsia="Times New Roman" w:hAnsi="Times New Roman"/>
          <w:sz w:val="18"/>
          <w:szCs w:val="18"/>
          <w:color w:val="auto"/>
        </w:rPr>
        <w:t>” means [the Regulatory Approvals for the following countries of the Territory, which,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Agreement Effective Date, have been withdrawn or rejected (as applicable) in the applicable country: Canada, Singapore, Brazil, Thailand, Australia, Taiwan and Columbia, in each case as further set out in Part 2 of Exhibit 1].</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OF AGREEMENTS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2.1  Termination.</w:t>
      </w:r>
    </w:p>
    <w:p>
      <w:pPr>
        <w:spacing w:after="0" w:line="225"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Except with respect to South Korea, for which the Collaboration Agreement shall survive as further set out in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2.4 of this Termination Agreement, the Parties hereby agree to terminate the Collaboration Agreement effective as of the Termination Agreement Effective Date, and that such termination shall be deemed a termination of the Collaboration Agreement at will by AstraZeneca pursuant to Section 13.2 of the Collaboration Agreement provided,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AstraZeneca shall not be required to provide one hundred and eighty (180) days’ prior written notice to FibroGen to terminate the Collaboration Agreement, and (ii) unless otherwise expressly set out in this Termination Agreement AstraZeneca’s only obligations to FibroGen, and FibroGen’s only obligations to AstraZeneca, under and with respect to the Collaboration Agreement following the Termination Agreement Effective Date are as expressly set forth in this Termination Agreement. For clarity, if there is a conflict between any provisions of this Termination Agreement and the Collaboration Agreement, the provisions of this Termination Agreement shall prevail.</w:t>
      </w:r>
    </w:p>
    <w:p>
      <w:pPr>
        <w:spacing w:after="0" w:line="185"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Pursuant to Section 17.2.1 of the Supply Agreement and Section 4.1 of the Quality Agreement, the Supply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Quality Agreement shall, subject to the terms of this Termination Agreement, automatically terminate (including, for the avoidance of doubt, with respect to South Korea) upon termination of the Collaboration Agreement and the Supply Agreement respectively, and each Party hereby acknowledges and agrees, on behalf of itself and on behalf of its applicable Affiliates that are parties to the applicable Agreements, that the Supply Agreement (including, for the avoidance of doubt, with respect to South Korea) and the Quality Agreement shall terminate on the Termination Agreement Effective Date (the termination of the Agreements, the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Survival of Certain Provisions for the Terminated Territory. </w:t>
      </w:r>
      <w:r>
        <w:rPr>
          <w:rFonts w:ascii="Times New Roman" w:cs="Times New Roman" w:eastAsia="Times New Roman" w:hAnsi="Times New Roman"/>
          <w:sz w:val="18"/>
          <w:szCs w:val="18"/>
          <w:color w:val="auto"/>
        </w:rPr>
        <w:t>Except as otherwise set out in this Termination Agreement,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Article 1 of the Collaboration Agreement shall survive the Termination with respect to the Terminated Territory to the extent necessary to give effect to the preamble in Article 1 hereof and any surviving provisions of the Collaboration Agreement.</w:t>
      </w:r>
    </w:p>
    <w:p>
      <w:pPr>
        <w:spacing w:after="0" w:line="171"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 Non-survival of Certain Provisions </w:t>
      </w:r>
      <w:r>
        <w:rPr>
          <w:rFonts w:ascii="Times New Roman" w:cs="Times New Roman" w:eastAsia="Times New Roman" w:hAnsi="Times New Roman"/>
          <w:sz w:val="18"/>
          <w:szCs w:val="18"/>
          <w:color w:val="auto"/>
        </w:rPr>
        <w:t>. Notwithstanding Section 2.2 of this Termination Agreement or Section 13.10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Agreement, or any other provision of the Agreements, and subject to Section 2.4 of this Termination Agreement in respect of South Korea only:</w:t>
      </w:r>
    </w:p>
    <w:p>
      <w:pPr>
        <w:spacing w:after="0" w:line="171"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2.3.2 </w:t>
      </w:r>
      <w:r>
        <w:rPr>
          <w:rFonts w:ascii="Times New Roman" w:cs="Times New Roman" w:eastAsia="Times New Roman" w:hAnsi="Times New Roman"/>
          <w:sz w:val="18"/>
          <w:szCs w:val="18"/>
          <w:color w:val="auto"/>
        </w:rPr>
        <w:t>Section 3.11 of the Collaboration Agreement shall survive with respect to the Terminated Territory only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recordkeeping obligations for the time period stated therein, and with respect to each Party’s right to review and copy such records maintained by the other Party at reasonable times and to obtain access to originals to the extent needed for patent or regulatory purposes or for other legal proceedings.</w:t>
      </w:r>
    </w:p>
    <w:p>
      <w:pPr>
        <w:spacing w:after="0" w:line="171"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color w:val="auto"/>
        </w:rPr>
        <w:t>The Parties agree that, with respect to the Terminated Territory, [*].</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113" w:lineRule="exact"/>
        <w:rPr>
          <w:sz w:val="20"/>
          <w:szCs w:val="20"/>
          <w:color w:val="auto"/>
        </w:rPr>
      </w:pPr>
    </w:p>
    <w:p>
      <w:pPr>
        <w:ind w:right="20" w:firstLine="8"/>
        <w:spacing w:after="0" w:line="261" w:lineRule="auto"/>
        <w:tabs>
          <w:tab w:leader="none" w:pos="21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2.3.4 </w:t>
      </w:r>
      <w:r>
        <w:rPr>
          <w:rFonts w:ascii="Times New Roman" w:cs="Times New Roman" w:eastAsia="Times New Roman" w:hAnsi="Times New Roman"/>
          <w:sz w:val="18"/>
          <w:szCs w:val="18"/>
          <w:color w:val="auto"/>
        </w:rPr>
        <w:t>Each Party agrees, on behalf of itself and on behalf of its applicable Affiliates that are parties to the applicable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Sections 17.2.4 and 17.3 (except that upon termination, [*]. Notwithstanding the foregoing, in the event that AstraZeneca elects, either itself or through a Third Party (subject to Section 3.1.2(b) of this Termination Agreement), to commercialize the Product in South Korea and desires FibroGen to supply Product for such commercialization, then the Parties shall discuss such supply, [*].</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2.4  Survival in respect of South Korea.</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2.4.1 </w:t>
      </w:r>
      <w:r>
        <w:rPr>
          <w:rFonts w:ascii="Times New Roman" w:cs="Times New Roman" w:eastAsia="Times New Roman" w:hAnsi="Times New Roman"/>
          <w:sz w:val="18"/>
          <w:szCs w:val="18"/>
          <w:color w:val="auto"/>
        </w:rPr>
        <w:t>As further set out in Section 3.1.2(b) of this Termination Agreement, as between the Parties AstraZeneca shall have the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retain the Retained Regulatory Approval and Regulatory Materials with respect to South Korea and the Parties agree that the Collaboration Agreement shall survive in full force and effect with respect to and to the extent applicable to South Korea provided that:</w:t>
      </w:r>
    </w:p>
    <w:p>
      <w:pPr>
        <w:spacing w:after="0" w:line="175" w:lineRule="exact"/>
        <w:rPr>
          <w:sz w:val="20"/>
          <w:szCs w:val="20"/>
          <w:color w:val="auto"/>
        </w:rPr>
      </w:pPr>
    </w:p>
    <w:p>
      <w:pPr>
        <w:jc w:val="both"/>
        <w:ind w:firstLine="1505"/>
        <w:spacing w:after="0" w:line="258" w:lineRule="auto"/>
        <w:tabs>
          <w:tab w:leader="none" w:pos="185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the Territory or to ROW in the surviving terms of the Collaboration Agreement shall be deemed to be references to South Korea only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with respect to any references to the Territory or ROW in those sections of the Collaboration Agreement that are stated to survive termination generally under Section 2.2 of this Termination Agreement with respect to the Terminated Territory (which shall continue to mean the Terminated Territory or ROW (other than South Korea, unless such sections also survive for South Korea, in which case, such references shall continue to mean the Territory or ROW as defined under the Collaboration Agreement));</w:t>
      </w:r>
    </w:p>
    <w:p>
      <w:pPr>
        <w:spacing w:after="0" w:line="183" w:lineRule="exact"/>
        <w:rPr>
          <w:rFonts w:ascii="Times New Roman" w:cs="Times New Roman" w:eastAsia="Times New Roman" w:hAnsi="Times New Roman"/>
          <w:sz w:val="18"/>
          <w:szCs w:val="18"/>
          <w:b w:val="1"/>
          <w:bCs w:val="1"/>
          <w:color w:val="auto"/>
        </w:rPr>
      </w:pPr>
    </w:p>
    <w:p>
      <w:pPr>
        <w:jc w:val="both"/>
        <w:ind w:right="20" w:firstLine="1505"/>
        <w:spacing w:after="0" w:line="266" w:lineRule="auto"/>
        <w:tabs>
          <w:tab w:leader="none" w:pos="185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provisions of the Collaboration Agreement which are not applicable to South Korea, including any provisions which relate solely to the U.S., shall not survive termination under this Section 2.4 (but, for clarity, shall survive to the extent survival thereof is otherwise set forth in this Termination Agreement), which for clarity, is intended to provide for survival of the Collaboration Agreement only as it relates to South Korea;</w:t>
      </w:r>
    </w:p>
    <w:p>
      <w:pPr>
        <w:spacing w:after="0" w:line="17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right="20" w:firstLine="1505"/>
        <w:spacing w:after="0" w:line="266" w:lineRule="auto"/>
        <w:tabs>
          <w:tab w:leader="none" w:pos="1898"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Section 7.1(a) or Section 7.3 of the Collaboration Agreement, AstraZeneca shall have no right to grant sublicenses to a Third Party under the licenses granted to it under Section 7.1(a) of the Collaboration Agreement without FibroGen’s prior written consent; and</w:t>
      </w:r>
    </w:p>
    <w:p>
      <w:pPr>
        <w:spacing w:after="0" w:line="17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505"/>
        <w:spacing w:after="0" w:line="258" w:lineRule="auto"/>
        <w:tabs>
          <w:tab w:leader="none" w:pos="185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necessary to reflect such survival with respect to South Korea, the Affiliates that are parties to the China Agreement will, promptly following the Termination Effective Date, enter into an amendment to the PV Agreement, or will otherwise include within any new global safety data exchange or pharmacovigilance agreement (which shall include Astellas and any future parties to which FibroGen grants a reversion sublicense pursuant to Section 4.3 of this Termination Agreement), which includes applicable provisions with respect to pharmacovigilance responsibilities in South Korea.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TRANSITION ACTIVITIES, TRANSFER OF ASSETS AND ONGOING RESPONSIBILITIES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3.1  Transition Assistance.</w:t>
      </w:r>
    </w:p>
    <w:p>
      <w:pPr>
        <w:spacing w:after="0" w:line="225"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3.1.1 Generally. </w:t>
      </w:r>
      <w:r>
        <w:rPr>
          <w:rFonts w:ascii="Times New Roman" w:cs="Times New Roman" w:eastAsia="Times New Roman" w:hAnsi="Times New Roman"/>
          <w:sz w:val="18"/>
          <w:szCs w:val="18"/>
          <w:color w:val="auto"/>
        </w:rPr>
        <w:t>During the Transition Period, AstraZeneca shall, itself or through its Affiliates, at no cost to FibroGen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consultation and transition assistance for the purpose of transferring or transitioning to FibroGen, all AstraZeneca Know-How solely related to a Product not already in FibroGen’s possession, provided that (i) AstraZeneca may retain copies of any such AstraZeneca Know-How that is necessary or reasonably useful for the exploitation of the Product in South Korea; and (ii) FibroGen’s use of, and rights in respect of, such AstraZeneca Know-How in and for South Korea shall be subject to the restrictions on the scope of FibroGen’s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113" w:lineRule="exact"/>
        <w:rPr>
          <w:sz w:val="20"/>
          <w:szCs w:val="20"/>
          <w:color w:val="auto"/>
        </w:rPr>
      </w:pPr>
    </w:p>
    <w:p>
      <w:pPr>
        <w:ind w:right="20" w:firstLine="8"/>
        <w:spacing w:after="0" w:line="261" w:lineRule="auto"/>
        <w:tabs>
          <w:tab w:leader="none" w:pos="21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in respect of South Korea, as set forth in Section 4.1 of this Termination Agreement. For any data/documents that are transmitted to FibroGen, the data shall, to the extent required under applicable laws, be encrypted using AstraZeneca’s customary standards.</w:t>
      </w:r>
    </w:p>
    <w:p>
      <w:pPr>
        <w:spacing w:after="0" w:line="158"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3.1.2 Regulatory Activities. </w:t>
      </w:r>
      <w:r>
        <w:rPr>
          <w:rFonts w:ascii="Times New Roman" w:cs="Times New Roman" w:eastAsia="Times New Roman" w:hAnsi="Times New Roman"/>
          <w:sz w:val="18"/>
          <w:szCs w:val="18"/>
          <w:color w:val="auto"/>
        </w:rPr>
        <w:t>[*], AstraZeneca shall, itself or through its Affiliates, [*] (i) comply with FibroGen’s reasonable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lawful requests for cooperation with respect to communications with the applicable Regulatory Authorities regarding the Development, manufacture, or Commercialization of Products in the Terminated Territory, and (ii) perform such other transitional services in respect of regulatory activities, the Applicable Regulatory Approvals, and pharmacovigilance activities in each case as [*]. [*], the Parties shall discuss in good faith the timing of AstraZeneca performing such activities (and the scope of such activities) and [*]. Additionally, with regard to Applicable Regulatory Approvals, AstraZeneca shall transfer or withdraw licenses and provide documents, to the extent Controlled by AstraZeneca or its Affiliates or Sublicensees, as set out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Borders>
              <w:top w:val="single" w:sz="8" w:color="auto"/>
              <w:bottom w:val="single" w:sz="8" w:color="auto"/>
              <w:right w:val="single" w:sz="8" w:color="auto"/>
            </w:tcBorders>
            <w:shd w:val="clear" w:color="auto" w:fill="000000"/>
          </w:tcPr>
          <w:p>
            <w:pPr>
              <w:spacing w:after="0"/>
              <w:rPr>
                <w:sz w:val="23"/>
                <w:szCs w:val="23"/>
                <w:color w:val="auto"/>
              </w:rPr>
            </w:pPr>
          </w:p>
        </w:tc>
        <w:tc>
          <w:tcPr>
            <w:tcW w:w="18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Country</w:t>
            </w:r>
          </w:p>
        </w:tc>
        <w:tc>
          <w:tcPr>
            <w:tcW w:w="1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Status</w:t>
            </w:r>
          </w:p>
        </w:tc>
        <w:tc>
          <w:tcPr>
            <w:tcW w:w="4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License</w:t>
            </w:r>
          </w:p>
        </w:tc>
        <w:tc>
          <w:tcPr>
            <w:tcW w:w="30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Documentation</w:t>
            </w:r>
          </w:p>
        </w:tc>
      </w:tr>
      <w:tr>
        <w:trPr>
          <w:trHeight w:val="215"/>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1860" w:type="dxa"/>
            <w:vAlign w:val="bottom"/>
            <w:gridSpan w:val="2"/>
          </w:tcPr>
          <w:p>
            <w:pPr>
              <w:spacing w:after="0"/>
              <w:rPr>
                <w:sz w:val="19"/>
                <w:szCs w:val="19"/>
                <w:color w:val="auto"/>
              </w:rPr>
            </w:pPr>
          </w:p>
        </w:tc>
        <w:tc>
          <w:tcPr>
            <w:tcW w:w="1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1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9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054850" cy="16802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05485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spacing w:after="0"/>
              <w:rPr>
                <w:sz w:val="20"/>
                <w:szCs w:val="20"/>
                <w:color w:val="auto"/>
              </w:rPr>
            </w:pPr>
          </w:p>
        </w:tc>
      </w:tr>
      <w:tr>
        <w:trPr>
          <w:trHeight w:val="27"/>
        </w:trPr>
        <w:tc>
          <w:tcPr>
            <w:tcW w:w="1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28"/>
        </w:trPr>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jc w:val="right"/>
              <w:ind w:right="3930"/>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ind w:left="760" w:hanging="365"/>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hanging="365"/>
        <w:spacing w:after="0" w:line="256" w:lineRule="auto"/>
        <w:tabs>
          <w:tab w:leader="none" w:pos="7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South Korea. </w:t>
      </w:r>
      <w:r>
        <w:rPr>
          <w:rFonts w:ascii="Times New Roman" w:cs="Times New Roman" w:eastAsia="Times New Roman" w:hAnsi="Times New Roman"/>
          <w:sz w:val="18"/>
          <w:szCs w:val="18"/>
          <w:color w:val="auto"/>
        </w:rPr>
        <w:t>As between the Parties AstraZeneca will have the sole right to retain, hold and maintain the Retained Regulatory Approval,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Materials and any Marks for the Product for South Korea and such Retained Regulatory Approval, Regulatory Materials and Marks in respect of South Korea shall not transfer to FibroGen under this Termination Agreement. As between the Parties, AstraZeneca shall have the right to make all determinations with respect to the maintenance or withdrawal of the Retained Regulatory Approval for South Korea. FibroGen shall provide such further information within FibroGen’s possession and control as reasonably requested by AstraZeneca, [*] to assist AstraZeneca in its maintenance of the Retained Regulatory Approval, provided that the foregoing shall not require FibroGen to generate any additional information or data or perform any activities or other obligations.</w:t>
      </w:r>
    </w:p>
    <w:p>
      <w:pPr>
        <w:spacing w:after="0" w:line="213"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760" w:hanging="365"/>
        <w:spacing w:after="0" w:line="266" w:lineRule="auto"/>
        <w:tabs>
          <w:tab w:leader="none" w:pos="7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shall not license, sublicense, sell, divest or otherwise grant or transfer, including by option, to any Third Party any rights (but excluding any such grant to subcontractors performing activities by or on behalf of AstraZeneca) to commercialize the Product in South Korea without FibroGen’s prior written consent.</w:t>
      </w:r>
    </w:p>
    <w:p>
      <w:pPr>
        <w:spacing w:after="0" w:line="199"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3.1.3 Transition Services Fee after the Transition Period. </w:t>
      </w:r>
      <w:r>
        <w:rPr>
          <w:rFonts w:ascii="Times New Roman" w:cs="Times New Roman" w:eastAsia="Times New Roman" w:hAnsi="Times New Roman"/>
          <w:sz w:val="18"/>
          <w:szCs w:val="18"/>
          <w:color w:val="auto"/>
        </w:rPr>
        <w:t>AstraZeneca shall complete the activities in Sections 3.1.1, 3.1.2,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3.2 of this Termination Agreement during the Transition Period, using such diligence standards as set forth in such Sections. [*]. AstraZeneca shall keep complete and accurate financial books and records documenting [*]. Such records shall be kept in compliance with Applicable Law.</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3.2  Transfer of Regulatory Activities and Assets.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113" w:lineRule="exact"/>
        <w:rPr>
          <w:sz w:val="20"/>
          <w:szCs w:val="20"/>
          <w:color w:val="auto"/>
        </w:rPr>
      </w:pPr>
    </w:p>
    <w:p>
      <w:pPr>
        <w:ind w:right="20" w:firstLine="8"/>
        <w:spacing w:after="0" w:line="261" w:lineRule="auto"/>
        <w:tabs>
          <w:tab w:leader="none" w:pos="21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0"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3.2.1 Regulatory Communications. </w:t>
      </w:r>
      <w:r>
        <w:rPr>
          <w:rFonts w:ascii="Times New Roman" w:cs="Times New Roman" w:eastAsia="Times New Roman" w:hAnsi="Times New Roman"/>
          <w:sz w:val="18"/>
          <w:szCs w:val="18"/>
          <w:color w:val="auto"/>
        </w:rPr>
        <w:t>Except as otherwise required by Applicable Law or as otherwise provided for in 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3.1.2 and 3.2.2 of this Termination Agreement, FibroGen shall, from the actual Transfer Date for each Applicable Regulatory Approval, have all rights and responsibilities with regard to regulatory communications with respect to the Development, manufacture, or Commercialization of Products in the Territory, excluding in South Korea (for which AstraZeneca shall retain such rights and responsibilities as set out in the Collaboration Agreement). For markets in which the license was withdrawn or terminated, all regulatory communications following withdraw/termination shall be directed to FibroGen if the authority contacts AstraZeneca.</w:t>
      </w:r>
    </w:p>
    <w:p>
      <w:pPr>
        <w:spacing w:after="0" w:line="18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3.2.2 Transfer of Regulatory Materials and Approvals. </w:t>
      </w:r>
      <w:r>
        <w:rPr>
          <w:rFonts w:ascii="Times New Roman" w:cs="Times New Roman" w:eastAsia="Times New Roman" w:hAnsi="Times New Roman"/>
          <w:sz w:val="18"/>
          <w:szCs w:val="18"/>
          <w:color w:val="auto"/>
        </w:rPr>
        <w:t>Pursuant to Section 13.6(d) of the Collaboration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3.1.2 of this Termination Agreement, unless FibroGen determines that a Held Regulatory Approval or any application in respect of the Regulatory Approvals Under Review are to be withdrawn in a particular country of the Terminated Territory, AstraZeneca shall transfer and assign to FibroGen all (i) Held Regulatory Approvals (which for clarity excludes the Regulatory Approvals for South Korea) and all applications in respect of the Regulatory Approvals Under Review and (ii) all Regulatory Materials that relate solely and specifically to the Terminated Territory (which for clarity excludes any Regulatory Materials that solely relate to South Korea) (to the extent not transferred and assigned pursuant to (i)) in respect of the Applicable Regulatory Approvals for the Products, in each case (i) and (ii) that are Controlled at the Termination Agreement Effective Date by AstraZeneca or its Affiliates or Sublicensees. AstraZeneca may provide such Regulatory Materials in electronic form or, if such Regulatory Materials exist only in paper form, in either such paper form or as an electronic scan thereof. The Parties shall cooperate in good faith to effect the transfer of the Held Regulatory Approvals (which are not agreed to be withdrawn) [*]. During the Transition Period (or if shorter with respect to a Held Regulatory Approval, until the Transfer Date of such Held Regulatory Approval), at FibroGen’s written request, AstraZeneca, to the extent it remains the holder of the applicable Held Regulatory Approval, will provide FibroGen or one of its Affiliates with a power of attorney or delegation of authority in a form agreed by the Parties to permit FibroGen or one of its Affiliates to lawfully perform those Regulatory Approval holder related activities, as provided in the written request from FibroGen, on behalf of AstraZeneca, or its Affiliates, in order to permit FibroGen to maintain the applicable Held Regulatory Approval and to perform all such obligations as a holder of the Held Regulatory Approval as may be delegated under Applicable Law.</w:t>
      </w:r>
    </w:p>
    <w:p>
      <w:pPr>
        <w:spacing w:after="0" w:line="183"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3.2.3 Marks. </w:t>
      </w:r>
      <w:r>
        <w:rPr>
          <w:rFonts w:ascii="Times New Roman" w:cs="Times New Roman" w:eastAsia="Times New Roman" w:hAnsi="Times New Roman"/>
          <w:sz w:val="18"/>
          <w:szCs w:val="18"/>
          <w:color w:val="auto"/>
        </w:rPr>
        <w:t>Pursuant to Section 13.6(c) of the Collaboration Agreement, AstraZeneca hereby assigns to FibroGen all of its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and interest in and to the Marks listed in Exhibit 3 (Assigned Marks) (such Marks the “</w:t>
      </w:r>
      <w:r>
        <w:rPr>
          <w:rFonts w:ascii="Times New Roman" w:cs="Times New Roman" w:eastAsia="Times New Roman" w:hAnsi="Times New Roman"/>
          <w:sz w:val="18"/>
          <w:szCs w:val="18"/>
          <w:b w:val="1"/>
          <w:bCs w:val="1"/>
          <w:color w:val="auto"/>
        </w:rPr>
        <w:t>Assigned Marks</w:t>
      </w:r>
      <w:r>
        <w:rPr>
          <w:rFonts w:ascii="Times New Roman" w:cs="Times New Roman" w:eastAsia="Times New Roman" w:hAnsi="Times New Roman"/>
          <w:sz w:val="18"/>
          <w:szCs w:val="18"/>
          <w:color w:val="auto"/>
        </w:rPr>
        <w:t>”) and all goodwill associated therewith. The Parties shall use their respective commercially reasonable efforts to execute the Trade Mark Assignment Agreements with respect to the Assigned Marks within the Transition Period, and AstraZeneca shall perform such other legal acts and execute such other documents as reasonably requested by FibroGen to evidence, perfect and record such assignments.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REVERSION RIGHTS</w:t>
      </w:r>
    </w:p>
    <w:p>
      <w:pPr>
        <w:spacing w:after="0" w:line="201"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4.1 License Grants to FibroGen. </w:t>
      </w:r>
      <w:r>
        <w:rPr>
          <w:rFonts w:ascii="Times New Roman" w:cs="Times New Roman" w:eastAsia="Times New Roman" w:hAnsi="Times New Roman"/>
          <w:sz w:val="18"/>
          <w:szCs w:val="18"/>
          <w:color w:val="auto"/>
        </w:rPr>
        <w:t>For clarity, Section 13.6(b) of the Collaboration Agreement shall survive termination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provided that such license grant to FibroGen shall not grant rights under the AstraZeneca Technology to (i) conduct clinical trials of, offer for sale, and sell Products in or for South Korea; or (ii) research, develop, make, have made, use or import Products in South Korea for the commercialization or other exploitation of Products in South Korea. Notwithstanding the foregoing, AstraZeneca represents and warrants that there are no AstraZeneca Patents, no Joint Patents and no Joint Inventions, and that the scope of the AstraZeneca Technology which FibroGen is granted a license pursuant to Section 13.6(b) of the Collaboration Agreement and this Section 4.1 is limited to AstraZeneca Know-How.</w:t>
      </w:r>
    </w:p>
    <w:p>
      <w:pPr>
        <w:spacing w:after="0" w:line="18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4.2 Sublicenses. </w:t>
      </w:r>
      <w:r>
        <w:rPr>
          <w:rFonts w:ascii="Times New Roman" w:cs="Times New Roman" w:eastAsia="Times New Roman" w:hAnsi="Times New Roman"/>
          <w:sz w:val="18"/>
          <w:szCs w:val="18"/>
          <w:color w:val="auto"/>
        </w:rPr>
        <w:t>Subject to the terms and conditions of this Termination Agreement and any surviving terms of the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FibroGen shall have the right to grant sublicenses through multiple tiers of sublicenses under the license pursuant to Section 4.1 hereof. If FibroGen grants a (sub)license to an entity that is not an Affiliate of FibroGen, such entity (and any other entity to which such first entity grants a further sublicense, directly or indirectly, through all tiers of sublicenses) shall be a “Reversion Sublicensee” for the purposes of this Termination Agreement.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113" w:lineRule="exact"/>
        <w:rPr>
          <w:sz w:val="20"/>
          <w:szCs w:val="20"/>
          <w:color w:val="auto"/>
        </w:rPr>
      </w:pPr>
    </w:p>
    <w:p>
      <w:pPr>
        <w:ind w:right="20" w:firstLine="8"/>
        <w:spacing w:after="0" w:line="261" w:lineRule="auto"/>
        <w:tabs>
          <w:tab w:leader="none" w:pos="21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PROSECUTION, MAINTENANCE AND ENFORCEMENT OF PATENTS</w:t>
      </w:r>
    </w:p>
    <w:p>
      <w:pPr>
        <w:spacing w:after="0" w:line="201" w:lineRule="exact"/>
        <w:rPr>
          <w:sz w:val="20"/>
          <w:szCs w:val="20"/>
          <w:color w:val="auto"/>
        </w:rPr>
      </w:pPr>
    </w:p>
    <w:p>
      <w:pPr>
        <w:jc w:val="both"/>
        <w:ind w:firstLine="1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Licensed Patents and Joint Patents. </w:t>
      </w:r>
      <w:r>
        <w:rPr>
          <w:rFonts w:ascii="Times New Roman" w:cs="Times New Roman" w:eastAsia="Times New Roman" w:hAnsi="Times New Roman"/>
          <w:sz w:val="18"/>
          <w:szCs w:val="18"/>
          <w:color w:val="auto"/>
        </w:rPr>
        <w:t>Subject to Section 5.2 of this Termination Agreement, the Parties acknowledge and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from and after the Termination Agreement Effective Date, AstraZeneca’s rights and obligations with respect to obtaining, prosecuting, maintaining, enforcing and defending the FibroGen Patents and Joint Patents in the Field in the Terminated Territory and costs incurred with respect thereafter hereby terminate.</w:t>
      </w:r>
    </w:p>
    <w:p>
      <w:pPr>
        <w:spacing w:after="0" w:line="176" w:lineRule="exact"/>
        <w:rPr>
          <w:sz w:val="20"/>
          <w:szCs w:val="20"/>
          <w:color w:val="auto"/>
        </w:rPr>
      </w:pPr>
    </w:p>
    <w:p>
      <w:pPr>
        <w:jc w:val="both"/>
        <w:ind w:firstLine="1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Licensed Patents and Joint Patents in South Korea. Notwithstanding Section 5.1 of this Termination Agreement, each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rights and obligations with respect to obtaining, prosecuting, maintaining, enforcing and defending the FibroGen Patents and Joint Patents in the Field in South Korea as set forth in Section 9.4, Section 9.5 and Section 9.6 of the Collaboration Agreement shall continue to apply and shall not be terminated hereunder.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TERMS; SETTLEMENT AND RELEASE; COVENANT NOT TO SUE</w:t>
      </w: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6.2  Astellas Revenues. </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6.3  Other Partnering Revenue. </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6.4  Revenue Share in the Event FibroGen Sells Business or Assets [*].</w:t>
      </w:r>
    </w:p>
    <w:p>
      <w:pPr>
        <w:spacing w:after="0" w:line="225"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6.4.1</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6.4.2</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6.4.3</w:t>
      </w:r>
      <w:r>
        <w:rPr>
          <w:sz w:val="20"/>
          <w:szCs w:val="20"/>
          <w:color w:val="auto"/>
        </w:rPr>
        <w:tab/>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700" w:hanging="446"/>
        <w:spacing w:after="0"/>
        <w:tabs>
          <w:tab w:leader="none" w:pos="27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b w:val="1"/>
          <w:bCs w:val="1"/>
          <w:color w:val="auto"/>
        </w:rPr>
      </w:pPr>
    </w:p>
    <w:p>
      <w:pPr>
        <w:ind w:left="2660" w:hanging="406"/>
        <w:spacing w:after="0"/>
        <w:tabs>
          <w:tab w:leader="none" w:pos="2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6.5  Royalty in the Event FibroGen Commercializes the Product Itself in the Terminated Territory.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 xml:space="preserve">6.7  AstraZeneca Product Payment Amount.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6.8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6.9 Payment Procedures. </w:t>
      </w:r>
      <w:r>
        <w:rPr>
          <w:rFonts w:ascii="Times New Roman" w:cs="Times New Roman" w:eastAsia="Times New Roman" w:hAnsi="Times New Roman"/>
          <w:sz w:val="18"/>
          <w:szCs w:val="18"/>
          <w:color w:val="auto"/>
        </w:rPr>
        <w:t>The provisions set out in Sections 8.9-8.15 of the Collaboration Agreement (which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doubt shall survive Termination)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calculation, payment, recording, and auditing of each Party’s obligations to pay the other Party under this Termination Agreement as they apply to AstraZeneca and, solely for such purpose in respect of the FibroGen Reimbursement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113" w:lineRule="exact"/>
        <w:rPr>
          <w:sz w:val="20"/>
          <w:szCs w:val="20"/>
          <w:color w:val="auto"/>
        </w:rPr>
      </w:pPr>
    </w:p>
    <w:p>
      <w:pPr>
        <w:ind w:right="20" w:firstLine="8"/>
        <w:spacing w:after="0" w:line="261" w:lineRule="auto"/>
        <w:tabs>
          <w:tab w:leader="none" w:pos="21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 the Astellas Revenues, the Partnering Revenues, the Astellas Business Sale Revenue, the Third Party Business Sale Revenue, any royalties due under Section 6.5 of this Termination Agreement and any amounts due under Section 6.1 of this Termination Agreement each reference in each such Section of this Termination Agreement (and any related definitions) to AstraZeneca shall be deemed to be a reference to FibroGen. Other than the AstraZeneca Product Payment Amount due under Section 6.7 hereof or the FibroGen Reimbursement Amount due under Section 6.8 hereof, [*].</w:t>
      </w:r>
    </w:p>
    <w:p>
      <w:pPr>
        <w:spacing w:after="0" w:line="176"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6.10 Settlement and Release. </w:t>
      </w:r>
      <w:r>
        <w:rPr>
          <w:rFonts w:ascii="Times New Roman" w:cs="Times New Roman" w:eastAsia="Times New Roman" w:hAnsi="Times New Roman"/>
          <w:sz w:val="18"/>
          <w:szCs w:val="18"/>
          <w:color w:val="auto"/>
        </w:rPr>
        <w:t>Except in respect of any claims under Article 7 of this Termination Agreement, each Party,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itself, its Affiliates, each and all of its and their respective past, present and future officers, directors, shareholders, interest holders, members, partners, attorneys, consultants, advisors, agents, employees, managers and representatives, and each and all of its and their respective predecessors, successors in interest, assigns, personal representatives, heirs, executors, estates, administrators, trusts and beneficiaries, and all persons acting by, through, under, or in concert with any of them, and each of them (collectively, the “</w:t>
      </w:r>
      <w:r>
        <w:rPr>
          <w:rFonts w:ascii="Times New Roman" w:cs="Times New Roman" w:eastAsia="Times New Roman" w:hAnsi="Times New Roman"/>
          <w:sz w:val="18"/>
          <w:szCs w:val="18"/>
          <w:b w:val="1"/>
          <w:bCs w:val="1"/>
          <w:color w:val="auto"/>
        </w:rPr>
        <w:t>Releasing Parties</w:t>
      </w:r>
      <w:r>
        <w:rPr>
          <w:rFonts w:ascii="Times New Roman" w:cs="Times New Roman" w:eastAsia="Times New Roman" w:hAnsi="Times New Roman"/>
          <w:sz w:val="18"/>
          <w:szCs w:val="18"/>
          <w:color w:val="auto"/>
        </w:rPr>
        <w:t>”), hereby releases the other Party, its Affiliates, its predecessors, successors, assigns, each and all of its and their respective past, present and future officers, directors, shareholders, interest holders, members, partners, attorneys, consultants, advisors, agents, employees, managers and representatives, and each and all of its and their respective predecessors, successors in interest, assigns, personal representatives, heirs, executors, estates, administrators, trusts and beneficiaries, and all persons acting by, through, under, or in concert with any of them, and each of them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from any and all past, present and future claims, demands, rights, actions or causes of action, liabilities, charges, complaints, grievances, obligations, promises, controversies, debts, costs, penalties, fees, damages, losses, obligations, judgments, suits, matters, and issues of any kind or nature whatsoever, whether known or unknown, contingent or absolute, disclosed or undisclosed, material or immaterial, matured or unmatured, and that have been, could have been, or in the future could or might be asserted by or on behalf of any Releasing Party, whether individual, class, derivative, representative, legal, equitable, or any other type or in any other capacity under federal, state or local constitutions, laws, ordinances, regulations, orders or common law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relating to or arising out of, under or in connection with the Agreements or their termination; [*]; and provided, that neither Party hereby releases the other from any Claims arising under this Termination Agreement or claims arising from events, acts or omissions in the future with respect to South Korea.</w:t>
      </w:r>
    </w:p>
    <w:p>
      <w:pPr>
        <w:spacing w:after="0" w:line="195"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6.11 Covenant Not to Sue. </w:t>
      </w:r>
      <w:r>
        <w:rPr>
          <w:rFonts w:ascii="Times New Roman" w:cs="Times New Roman" w:eastAsia="Times New Roman" w:hAnsi="Times New Roman"/>
          <w:sz w:val="18"/>
          <w:szCs w:val="18"/>
          <w:color w:val="auto"/>
        </w:rPr>
        <w:t>Except in respect to indemnification rights under Article 7 of this Termination Agreement, each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agrees not to commence, aid, prosecute, or cause to be commenced or prosecuted any action or other proceeding, based upon any Claims relating to, arising out of, under, or in connection with the matters subject to mutual release as set forth in Section 6.10 of this Termination Agreement, and each Party further covenants and agrees to hold harmless and indemnify the other Party in respect of all such Claims (including all court costs and reasonable attorneys’ fees), suffered, sustained, incurred, or required to be paid by such other Party from or in connection with any such action or proceeding.</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6.12 No Outstanding or Known Future Claims/Causes of Action; Unknown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6.12.1 </w:t>
      </w:r>
      <w:r>
        <w:rPr>
          <w:rFonts w:ascii="Times New Roman" w:cs="Times New Roman" w:eastAsia="Times New Roman" w:hAnsi="Times New Roman"/>
          <w:sz w:val="18"/>
          <w:szCs w:val="18"/>
          <w:color w:val="auto"/>
        </w:rPr>
        <w:t>Each Party affirms that neither it nor any other of its respective Releasing Parties has filed with any governmental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type of action, suit, proceeding or report against any Released Party, and such Party currently knows of no existing act or omission, with respect to a Claim subject to mutual release as set forth in Section 6.10 hereof.</w:t>
      </w:r>
    </w:p>
    <w:p>
      <w:pPr>
        <w:spacing w:after="0" w:line="171"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6.12.2 </w:t>
      </w:r>
      <w:r>
        <w:rPr>
          <w:rFonts w:ascii="Times New Roman" w:cs="Times New Roman" w:eastAsia="Times New Roman" w:hAnsi="Times New Roman"/>
          <w:sz w:val="18"/>
          <w:szCs w:val="18"/>
          <w:color w:val="auto"/>
        </w:rPr>
        <w:t>With respect to the releases set forth in Section 6.10 of this Termination Agreement, each Party, on behalf of itself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Releasing Parties, (a) expressly understands, acknowledges, and assumes the risk that, with respect to the Claims subject to mutual release as set forth in Section 6.10 hereof, claims may exist as of the Termination Agreement Effective Date but currently be unknown, that claims may be suspected but currently be undetermined, that claims may not have been asserted, or that losses resulting from any such claims may be currently unknown or overestimated or underestimated in amount or severity, and each Party has taken the possibility of unknown, suspected, unasserted, underestimated, or overestimated claims into account in determining the consideration provided by the other Party in exchange for the releases provided herein; and (b) acknowledges that it may discover facts in addition to or different from those now known or believed to be true with respect to the settled Claims subject to mutual release as set forth in Section 6.10 hereof, but that it is such Party’s intention, on behalf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113" w:lineRule="exact"/>
        <w:rPr>
          <w:sz w:val="20"/>
          <w:szCs w:val="20"/>
          <w:color w:val="auto"/>
        </w:rPr>
      </w:pPr>
    </w:p>
    <w:p>
      <w:pPr>
        <w:ind w:right="20" w:firstLine="8"/>
        <w:spacing w:after="0" w:line="261" w:lineRule="auto"/>
        <w:tabs>
          <w:tab w:leader="none" w:pos="21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itself and its respective Releasing Parties, to hereby completely, fully, finally, and forever compromise, settle, release, discharge, and extinguish any and all claims known or unknown, suspected or unsuspected, which now exist, or heretofore existed, or may hereafter exist, and without regard to the subsequent discovery or existence of additional or different facts, in each case, with respect to the Claims subject to mutual release as set forth in Section 6.10 hereof.</w:t>
      </w:r>
    </w:p>
    <w:p>
      <w:pPr>
        <w:spacing w:after="0" w:line="172"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6.12.3 </w:t>
      </w:r>
      <w:r>
        <w:rPr>
          <w:rFonts w:ascii="Times New Roman" w:cs="Times New Roman" w:eastAsia="Times New Roman" w:hAnsi="Times New Roman"/>
          <w:sz w:val="18"/>
          <w:szCs w:val="18"/>
          <w:color w:val="auto"/>
        </w:rPr>
        <w:t>Without limiting the generality of the foregoing, with respect to the releases set forth in Section 6.10 of this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Releasing Parties shall be deemed by operation of law to have relinquished to the full extent permitted by law, the provisions, rights, and benefits of any statutory provision or common law rule indicating that a general release does not extend to claims which a creditor does not know or suspect to exist in his or her favor at the time of executing the release and which, if known by him or her, must have materially affected his or her settlement with the debtor, including, to the extent it is applicable, and to the fullest extent permitted by law, the provisions, rights, and benefits of § 1542 of the California Civil Code which provides:</w:t>
      </w:r>
    </w:p>
    <w:p>
      <w:pPr>
        <w:spacing w:after="0" w:line="18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Party represents and warrants that it has read and understands §1542 of the California Civil Code and has had the opportunity to consult with and be advised by counsel regarding its meaning and effect.</w:t>
      </w:r>
    </w:p>
    <w:p>
      <w:pPr>
        <w:spacing w:after="0" w:line="158"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6.13 Compromise Agreement. </w:t>
      </w:r>
      <w:r>
        <w:rPr>
          <w:rFonts w:ascii="Times New Roman" w:cs="Times New Roman" w:eastAsia="Times New Roman" w:hAnsi="Times New Roman"/>
          <w:sz w:val="18"/>
          <w:szCs w:val="18"/>
          <w:color w:val="auto"/>
        </w:rPr>
        <w:t>This Termination Agreement is, in part, a compromise and final settlement of disputed claims.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Agreement and all negotiations, statements, and proceedings in connection therewith are not, will not be argued to be, and will not be deemed to be, a presumption, a concession, or an admission by either Party of any fault, liability, or wrongdoing, or lack thereof, as to any fact or claim alleged or asserted in or in connection with the Claims subject to mutual release as set forth in Section 6.10 of this Termination Agreement, and will not be interpreted, construed, deemed, invoked, offered, or received in evidence, or otherwise used by any Party or any other person in this or any other action, suit or proceeding, whether civil, criminal, or administrative, except in a proceeding to enforce the terms and conditions of this Termination Agreement.</w:t>
      </w:r>
    </w:p>
    <w:p>
      <w:pPr>
        <w:spacing w:after="0" w:line="1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0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 Indemnification of AstraZeneca. </w:t>
      </w:r>
      <w:r>
        <w:rPr>
          <w:rFonts w:ascii="Times New Roman" w:cs="Times New Roman" w:eastAsia="Times New Roman" w:hAnsi="Times New Roman"/>
          <w:sz w:val="18"/>
          <w:szCs w:val="18"/>
          <w:color w:val="auto"/>
        </w:rPr>
        <w:t>In addition to any other remedy available to AstraZeneca, FibroGen shall indemnify, defend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hold harmless AstraZeneca, its Affiliates, and their respective officers, directors, employees, and agents (“</w:t>
      </w:r>
      <w:r>
        <w:rPr>
          <w:rFonts w:ascii="Times New Roman" w:cs="Times New Roman" w:eastAsia="Times New Roman" w:hAnsi="Times New Roman"/>
          <w:sz w:val="18"/>
          <w:szCs w:val="18"/>
          <w:b w:val="1"/>
          <w:bCs w:val="1"/>
          <w:color w:val="auto"/>
        </w:rPr>
        <w:t>AstraZeneca Indemnitees</w:t>
      </w:r>
      <w:r>
        <w:rPr>
          <w:rFonts w:ascii="Times New Roman" w:cs="Times New Roman" w:eastAsia="Times New Roman" w:hAnsi="Times New Roman"/>
          <w:sz w:val="18"/>
          <w:szCs w:val="18"/>
          <w:color w:val="auto"/>
        </w:rPr>
        <w:t>”), from and against any and all damages or other amounts payable to a Third Party claimant, as well as any reasonable attorneys’ fees and costs of litigation incurred by such AstraZeneca Indemnitees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all to the extent resulting from claims, suits, proceedings or causes of action brought by such Third Party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against such AstraZeneca Indemnitee that arise from or are based on: (i) any breach by FibroGen of this Termination Agreement, or (ii) the negligence or willful misconduct on the part of any FibroGen Indemnitee in performing any activity contemplated by this Termination Agreement, or (iii) the Development, testing, manufacture, storage, handling, use, sale, offer for sale, distribution and importation of Products in each case, in the Terminated Territory (including South Korea in the event the Collaboration Agreement is terminated with respect to South Korea) [*], or licensees; except in each case to the extent that any such Claim, claim or suit is based on or alleges: (x) any breach by AstraZeneca of this Termination Agreement, or (y) the negligence or willful misconduct on the part of any AstraZeneca Indemnitee in performing any activity contemplated by this Termination Agreement.</w:t>
      </w:r>
    </w:p>
    <w:p>
      <w:pPr>
        <w:spacing w:after="0" w:line="18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b w:val="1"/>
          <w:bCs w:val="1"/>
          <w:color w:val="auto"/>
        </w:rPr>
        <w:t>7.2 Indemnification of FibroGen</w:t>
      </w:r>
      <w:r>
        <w:rPr>
          <w:rFonts w:ascii="Times New Roman" w:cs="Times New Roman" w:eastAsia="Times New Roman" w:hAnsi="Times New Roman"/>
          <w:sz w:val="18"/>
          <w:szCs w:val="18"/>
          <w:color w:val="auto"/>
        </w:rPr>
        <w:t>. In addition to any other remedy available to FibroGen, AstraZeneca shall, indemnify, defend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harmless FibroGen, its Affiliates, and their respective officers, directors, employees, and agents (“</w:t>
      </w:r>
      <w:r>
        <w:rPr>
          <w:rFonts w:ascii="Times New Roman" w:cs="Times New Roman" w:eastAsia="Times New Roman" w:hAnsi="Times New Roman"/>
          <w:sz w:val="18"/>
          <w:szCs w:val="18"/>
          <w:b w:val="1"/>
          <w:bCs w:val="1"/>
          <w:color w:val="auto"/>
        </w:rPr>
        <w:t>FibroGen Indemnitees</w:t>
      </w:r>
      <w:r>
        <w:rPr>
          <w:rFonts w:ascii="Times New Roman" w:cs="Times New Roman" w:eastAsia="Times New Roman" w:hAnsi="Times New Roman"/>
          <w:sz w:val="18"/>
          <w:szCs w:val="18"/>
          <w:color w:val="auto"/>
        </w:rPr>
        <w:t>”), from and against any and all Losses to the extent resulting from Claims against such FibroGen Indemnitee that arise from or are based on: (a) any breach by AstraZeneca of this Termination Agreement, (b) the negligence or willful misconduct on the part of any AstraZeneca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113" w:lineRule="exact"/>
        <w:rPr>
          <w:sz w:val="20"/>
          <w:szCs w:val="20"/>
          <w:color w:val="auto"/>
        </w:rPr>
      </w:pPr>
    </w:p>
    <w:p>
      <w:pPr>
        <w:ind w:right="20" w:firstLine="8"/>
        <w:spacing w:after="0" w:line="261" w:lineRule="auto"/>
        <w:tabs>
          <w:tab w:leader="none" w:pos="21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Indemnitee in performing any activity contemplated by this Termination Agreement, or (c) the Development, testing, manufacture, storage, handling, use, sale, offer for sale, distribution and importation of Products in each case, in or for South Korea prior to termination of the Collaboration Agreement with respect to South Korea by or on behalf of AstraZeneca, any of its Affiliates or any of its licensees (except FibroGen or its Affiliates), except in each case to the extent that any such Claim is based on or alleges: (i) any breach by FibroGen of this Termination Agreement, or (ii) the negligence or willful misconduct on the part of any FibroGen Indemnitee in performing any activity contemplated by this Termination Agreement.</w:t>
      </w:r>
    </w:p>
    <w:p>
      <w:pPr>
        <w:spacing w:after="0" w:line="179"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7.3 Indemnification Procedure. </w:t>
      </w:r>
      <w:r>
        <w:rPr>
          <w:rFonts w:ascii="Times New Roman" w:cs="Times New Roman" w:eastAsia="Times New Roman" w:hAnsi="Times New Roman"/>
          <w:sz w:val="18"/>
          <w:szCs w:val="18"/>
          <w:color w:val="auto"/>
        </w:rPr>
        <w:t>The Party claiming indemnity under this Article 7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give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Party from whom indemnity is being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promptly after learning of the Claim for which indemnity is being sought.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Article 7.</w:t>
      </w:r>
    </w:p>
    <w:p>
      <w:pPr>
        <w:spacing w:after="0" w:line="19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7.4 Limitation of Liability. </w:t>
      </w:r>
      <w:r>
        <w:rPr>
          <w:rFonts w:ascii="Times New Roman" w:cs="Times New Roman" w:eastAsia="Times New Roman" w:hAnsi="Times New Roman"/>
          <w:sz w:val="18"/>
          <w:szCs w:val="18"/>
          <w:color w:val="auto"/>
        </w:rPr>
        <w:t>NEITHER PARTY SHALL BE LIABLE TO THE OTHER FOR ANY SPECIAL, CONSEQUENTIAL,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INCIDENTAL, PUNITIVE, OR INDIRECT DAMAGES ARISING FROM OR RELATING TO ANY BREACH OF THIS TERMINATION AGREEMENT OR ANY TORT CLAIMS ARISING HEREUNDER, REGARDLESS OF ANY NOTICE OF THE POSSIBILITY OF SUCH DAMAGES. NOTWITHSTANDING THE FOREGOING, NOTHING IN THIS SECTION 7.4 OF THIS TERMINATION AGREEMENT IS INTENDED TO OR SHALL LIMIT OR RESTRICT THE INDEMNIFICATION RIGHTS OR OBLIGATIONS OF ANY PARTY UNDER SECTION 7.1 - 7.3 OF THIS TERMINATION AGREEMENT OR DAMAGES AVAILABLE FOR A PARTY’S BREACH OF ITS CONFIDENTIALITY OBLIGATIONS UNDER ARTICLE 8 OF THIS TERMINATION AGREEMENT, ARTICLE 12 OF THE COLLABORATION AGREEMENT OR 15.1 OF THE SUPPLY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1"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All information that is disclosed or provided by a Party to the other Party under this Termination Agreement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confidentiality provisions set forth in Article 12 of the Collaboration Agreement. Notwithstanding the foregoing, the content of all regulatory documentation, commercial licenses and other related documentation, data and information generated by or on behalf of AstraZeneca pursuant to the Collaboration Agreement and transferred to FibroGen or its designees under this Termination Agreement shall be deemed the Confidential Information of FibroGen and AstraZeneca shall ensure that confidential information, including trade secrets, are not made public.</w:t>
      </w:r>
    </w:p>
    <w:p>
      <w:pPr>
        <w:spacing w:after="0" w:line="179"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 Press Release. </w:t>
      </w:r>
      <w:r>
        <w:rPr>
          <w:rFonts w:ascii="Times New Roman" w:cs="Times New Roman" w:eastAsia="Times New Roman" w:hAnsi="Times New Roman"/>
          <w:sz w:val="18"/>
          <w:szCs w:val="18"/>
          <w:color w:val="auto"/>
        </w:rPr>
        <w:t>At any time after this Agreement becomes effective, either Party may issue a press release announcing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the Agreement [*].</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113" w:lineRule="exact"/>
        <w:rPr>
          <w:sz w:val="20"/>
          <w:szCs w:val="20"/>
          <w:color w:val="auto"/>
        </w:rPr>
      </w:pPr>
    </w:p>
    <w:p>
      <w:pPr>
        <w:ind w:right="20" w:firstLine="8"/>
        <w:spacing w:after="0" w:line="261" w:lineRule="auto"/>
        <w:tabs>
          <w:tab w:leader="none" w:pos="21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1"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Mutual Representations and Warranties of AstraZeneca and FibroGen. </w:t>
      </w:r>
      <w:r>
        <w:rPr>
          <w:rFonts w:ascii="Times New Roman" w:cs="Times New Roman" w:eastAsia="Times New Roman" w:hAnsi="Times New Roman"/>
          <w:sz w:val="18"/>
          <w:szCs w:val="18"/>
          <w:color w:val="auto"/>
        </w:rPr>
        <w:t>Each Party hereby makes such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contained in Section 10.1 and Section 10.3 of the Collaboration Agreement effective as of the date of execution of this Termination Agreement.</w:t>
      </w:r>
    </w:p>
    <w:p>
      <w:pPr>
        <w:spacing w:after="0" w:line="15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b w:val="1"/>
          <w:bCs w:val="1"/>
          <w:color w:val="auto"/>
        </w:rPr>
        <w:t>9.2 Additional Representations and Warranties of AstraZeneca</w:t>
      </w:r>
      <w:r>
        <w:rPr>
          <w:rFonts w:ascii="Times New Roman" w:cs="Times New Roman" w:eastAsia="Times New Roman" w:hAnsi="Times New Roman"/>
          <w:sz w:val="18"/>
          <w:szCs w:val="18"/>
          <w:color w:val="auto"/>
        </w:rPr>
        <w:t>. AstraZeneca represents and warrants to FibroGen that: (a)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AstraZeneca’s Knowledge, except pursuant to the China Agreement, as of the Termination Agreement Effective Date, neither AstraZeneca nor any of its Affiliates is, and neither AstraZeneca nor any of its Affiliates have licensed or authorized any Third Party to, directly or indirectly researching, Developing or Commercializing any HIF Compound in the Field, (b) to AstraZeneca’s Knowledge, there are no contracts between AstraZeneca and Third Party vendors or suppliers that specifically cover the supply or sale of the Products in the Territory, and (c) to AstraZeneca’s Knowledge, the list of trademarks provided by AstraZeneca [*] contained all trademarks that, as of the Termination Agreement Effective Date, are Controlled by AstraZeneca or its Affiliates for use in connection with the sale or marketing of the Product in the Field in the Territory.</w:t>
      </w:r>
    </w:p>
    <w:p>
      <w:pPr>
        <w:spacing w:after="0" w:line="183"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9.3 Disclaimer. </w:t>
      </w:r>
      <w:r>
        <w:rPr>
          <w:rFonts w:ascii="Times New Roman" w:cs="Times New Roman" w:eastAsia="Times New Roman" w:hAnsi="Times New Roman"/>
          <w:sz w:val="18"/>
          <w:szCs w:val="18"/>
          <w:color w:val="auto"/>
        </w:rPr>
        <w:t>Each Party understands that the Collaboration Compounds and Products are the subject of ongoing clinical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and that the other Party cannot assure the safety or usefulness of the Collaboration Compounds or Products. In addition, AstraZeneca makes no warranties concerning the AstraZeneca Technology.</w:t>
      </w:r>
    </w:p>
    <w:p>
      <w:pPr>
        <w:spacing w:after="0" w:line="171"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9.4 No Other Representations or Warranties. </w:t>
      </w:r>
      <w:r>
        <w:rPr>
          <w:rFonts w:ascii="Times New Roman" w:cs="Times New Roman" w:eastAsia="Times New Roman" w:hAnsi="Times New Roman"/>
          <w:sz w:val="18"/>
          <w:szCs w:val="18"/>
          <w:color w:val="auto"/>
        </w:rPr>
        <w:t>EXCEPT AS EXPRESSLY STATED IN SECTIONS 3.2.3, 4.1, 6.12.3, 9.1 OR 9.2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TERMINATION AGREEMENT, NO REPRESENTATIONS OR WARRANTIES WHATSOEVER, WHETHER EXPRESS OR IMPLIED, INCLUDING, WITHOUT LIMITATION, WARRANTIES OF MERCHANTABILITY, FITNESS FOR A PARTICULAR PURPOSE, NON-INFRINGEMENT, OR NON-MISAPPROPRIATION OF THIRD PARTY INTELLECTUAL PROPERTY RIGHTS, IS MADE OR GIVEN BY OR ON BEHALF OF A PARTY. EXCEPT AS EXPRESSLY STATED IN THIS TERMINATION AGREEMENT, ALL REPRESENTATIONS AND WARRANTIES, WHETHER ARISING BY OPERATION OF LAW OR OTHERWISE, ARE HEREBY EXPRESSLY EXCLUDED.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10.1 General. </w:t>
      </w:r>
      <w:r>
        <w:rPr>
          <w:rFonts w:ascii="Times New Roman" w:cs="Times New Roman" w:eastAsia="Times New Roman" w:hAnsi="Times New Roman"/>
          <w:sz w:val="18"/>
          <w:szCs w:val="18"/>
          <w:color w:val="auto"/>
        </w:rPr>
        <w:t>The provisions set forth in Article 15 of the Collaboration Agreement are incorporated herein by reference and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 of this Termination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in respect of those provisions otherwise set out in this Article 10, which shall supersede the equivalent provision in Article 15 of the Collaboration Agreement. References to a Section, Article or Exhibit is a reference to the applicable Section, Article or Exhibit of this Termination Agreement, unless specified otherwise.</w:t>
      </w:r>
    </w:p>
    <w:p>
      <w:pPr>
        <w:spacing w:after="0" w:line="176"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Notices. </w:t>
      </w:r>
      <w:r>
        <w:rPr>
          <w:rFonts w:ascii="Times New Roman" w:cs="Times New Roman" w:eastAsia="Times New Roman" w:hAnsi="Times New Roman"/>
          <w:sz w:val="18"/>
          <w:szCs w:val="18"/>
          <w:color w:val="auto"/>
        </w:rPr>
        <w:t>Any notice required or permitted to be given under this Termination Agreement shall be in writing, shall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 to this Termination Agreement, and shall be addressed to the appropriate Party at the address specified below or such other address as may be specified by such Party in writing in accordance with this Section 10.2, and shall be deemed to have been given for all purposes (a) when received, if hand-delivered or sent by a reputable international expedited delivery service, or (b) [*] after mailing, if mailed by first class certified or registered mail, postage prepaid, return receipt requested.</w:t>
      </w: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to FibroGen: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840" w:space="360"/>
            <w:col w:w="9040"/>
          </w:cols>
          <w:pgMar w:left="320" w:top="1440" w:right="339" w:bottom="1440" w:gutter="0" w:footer="0" w:header="0"/>
          <w:type w:val="continuous"/>
        </w:sectPr>
      </w:pPr>
    </w:p>
    <w:p>
      <w:pPr>
        <w:spacing w:after="0" w:line="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860" w:space="340"/>
            <w:col w:w="9040"/>
          </w:cols>
          <w:pgMar w:left="320" w:top="1440" w:right="339" w:bottom="1440" w:gutter="0" w:footer="0" w:header="0"/>
          <w:type w:val="continuous"/>
        </w:sectPr>
      </w:pPr>
    </w:p>
    <w:p>
      <w:pPr>
        <w:spacing w:after="0" w:line="37" w:lineRule="exact"/>
        <w:rPr>
          <w:sz w:val="20"/>
          <w:szCs w:val="20"/>
          <w:color w:val="auto"/>
        </w:rPr>
      </w:pPr>
    </w:p>
    <w:p>
      <w:pPr>
        <w:ind w:left="760"/>
        <w:spacing w:after="0"/>
        <w:tabs>
          <w:tab w:leader="none" w:pos="2540" w:val="left"/>
        </w:tabs>
        <w:rPr>
          <w:sz w:val="20"/>
          <w:szCs w:val="20"/>
          <w:color w:val="auto"/>
        </w:rPr>
      </w:pPr>
      <w:r>
        <w:rPr>
          <w:rFonts w:ascii="Times New Roman" w:cs="Times New Roman" w:eastAsia="Times New Roman" w:hAnsi="Times New Roman"/>
          <w:sz w:val="18"/>
          <w:szCs w:val="18"/>
          <w:color w:val="auto"/>
        </w:rPr>
        <w:t>For Regulatory Issues:</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AstraZeneca: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113" w:lineRule="exact"/>
        <w:rPr>
          <w:sz w:val="20"/>
          <w:szCs w:val="20"/>
          <w:color w:val="auto"/>
        </w:rPr>
      </w:pPr>
    </w:p>
    <w:p>
      <w:pPr>
        <w:ind w:right="20" w:firstLine="8"/>
        <w:spacing w:after="0" w:line="261" w:lineRule="auto"/>
        <w:tabs>
          <w:tab w:leader="none" w:pos="21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9" w:name="page100"/>
    <w:bookmarkEnd w:id="99"/>
    <w:p>
      <w:pPr>
        <w:spacing w:after="0" w:line="194" w:lineRule="exact"/>
        <w:rPr>
          <w:sz w:val="20"/>
          <w:szCs w:val="20"/>
          <w:color w:val="auto"/>
        </w:rPr>
      </w:pPr>
    </w:p>
    <w:p>
      <w:pPr>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(which shall not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constitute notice)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10.3 Entire Agreement. </w:t>
      </w:r>
      <w:r>
        <w:rPr>
          <w:rFonts w:ascii="Times New Roman" w:cs="Times New Roman" w:eastAsia="Times New Roman" w:hAnsi="Times New Roman"/>
          <w:sz w:val="18"/>
          <w:szCs w:val="18"/>
          <w:color w:val="auto"/>
        </w:rPr>
        <w:t>This Termination Agreement constitutes the entire, final and exclusive agreement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of this Termination Agreement. This Termination Agreement supersedes all prior agreements, whether written or oral, with respect to the subject matter of this Termination Agreement; provided, however, that, except as otherwise expressly provided herein, the terms of the Agreements that survive its termination remain in effect by their terms; and, provided, further, that, notwithstanding the preceding proviso, with respect to any conflict between this Termination Agreement, on the one hand, and the surviving provisions of the Agreements, on the other hand, the terms and conditions of this Termination Agreement shall control. All Exhibits referred to in this Termination Agreement are intended to be and are hereby specifically incorporated into and made a part of this Termination Agreement.</w:t>
      </w:r>
    </w:p>
    <w:p>
      <w:pPr>
        <w:spacing w:after="0" w:line="18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b w:val="1"/>
          <w:bCs w:val="1"/>
          <w:color w:val="auto"/>
        </w:rPr>
        <w:t>10.4 Counterparts</w:t>
      </w:r>
      <w:r>
        <w:rPr>
          <w:rFonts w:ascii="Times New Roman" w:cs="Times New Roman" w:eastAsia="Times New Roman" w:hAnsi="Times New Roman"/>
          <w:sz w:val="18"/>
          <w:szCs w:val="18"/>
          <w:color w:val="auto"/>
        </w:rPr>
        <w:t>. This Termination Agreement may be executed in two or more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but all of which together shall constitute one and the same instrument. This Termination Agreement may be executed by PDF format via email or other electronically transmitted signatures (including by DocuSign) and such signatures shall be deemed to bind each Party hereto as if they were original signatures.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to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113" w:lineRule="exact"/>
        <w:rPr>
          <w:sz w:val="20"/>
          <w:szCs w:val="20"/>
          <w:color w:val="auto"/>
        </w:rPr>
      </w:pPr>
    </w:p>
    <w:p>
      <w:pPr>
        <w:ind w:right="20" w:firstLine="8"/>
        <w:spacing w:after="0" w:line="261" w:lineRule="auto"/>
        <w:tabs>
          <w:tab w:leader="none" w:pos="21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Execution</w:t>
      </w:r>
    </w:p>
    <w:p>
      <w:pPr>
        <w:spacing w:after="0" w:line="221"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TERMINATION AGREEMENT IS EXECUTED </w:t>
      </w:r>
      <w:r>
        <w:rPr>
          <w:rFonts w:ascii="Times New Roman" w:cs="Times New Roman" w:eastAsia="Times New Roman" w:hAnsi="Times New Roman"/>
          <w:sz w:val="18"/>
          <w:szCs w:val="18"/>
          <w:color w:val="auto"/>
        </w:rPr>
        <w:t>by the authorized representatives of the Parties as of the Termination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ASTRAZENECA AB</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t>
            </w:r>
          </w:p>
        </w:tc>
      </w:tr>
      <w:tr>
        <w:trPr>
          <w:trHeight w:val="234"/>
        </w:trPr>
        <w:tc>
          <w:tcPr>
            <w:tcW w:w="94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w:t>
            </w:r>
          </w:p>
        </w:tc>
      </w:tr>
      <w:tr>
        <w:trPr>
          <w:trHeight w:val="238"/>
        </w:trPr>
        <w:tc>
          <w:tcPr>
            <w:tcW w:w="94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t>
            </w:r>
          </w:p>
        </w:tc>
      </w:tr>
      <w:tr>
        <w:trPr>
          <w:trHeight w:val="234"/>
        </w:trPr>
        <w:tc>
          <w:tcPr>
            <w:tcW w:w="94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w:t>
            </w:r>
          </w:p>
        </w:tc>
      </w:tr>
      <w:tr>
        <w:trPr>
          <w:trHeight w:val="238"/>
        </w:trPr>
        <w:tc>
          <w:tcPr>
            <w:tcW w:w="940" w:type="dxa"/>
            <w:vAlign w:val="bottom"/>
          </w:tcPr>
          <w:p>
            <w:pPr>
              <w:spacing w:after="0"/>
              <w:rPr>
                <w:sz w:val="20"/>
                <w:szCs w:val="20"/>
                <w:color w:val="auto"/>
              </w:rPr>
            </w:pPr>
          </w:p>
        </w:tc>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113" w:lineRule="exact"/>
        <w:rPr>
          <w:sz w:val="20"/>
          <w:szCs w:val="20"/>
          <w:color w:val="auto"/>
        </w:rPr>
      </w:pPr>
    </w:p>
    <w:p>
      <w:pPr>
        <w:ind w:right="20" w:firstLine="8"/>
        <w:spacing w:after="0" w:line="261" w:lineRule="auto"/>
        <w:tabs>
          <w:tab w:leader="none" w:pos="21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602615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16</w:t>
      </w:r>
    </w:p>
    <w:p>
      <w:pPr>
        <w:spacing w:after="0" w:line="113" w:lineRule="exact"/>
        <w:rPr>
          <w:sz w:val="20"/>
          <w:szCs w:val="20"/>
          <w:color w:val="auto"/>
        </w:rPr>
      </w:pPr>
    </w:p>
    <w:p>
      <w:pPr>
        <w:ind w:left="-8" w:firstLine="8"/>
        <w:spacing w:after="0" w:line="261" w:lineRule="auto"/>
        <w:tabs>
          <w:tab w:leader="none" w:pos="20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02" w:name="page103"/>
    <w:bookmarkEnd w:id="102"/>
    <w:p>
      <w:pPr>
        <w:spacing w:after="0" w:line="1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17</w:t>
      </w:r>
    </w:p>
    <w:p>
      <w:pPr>
        <w:spacing w:after="0" w:line="113" w:lineRule="exact"/>
        <w:rPr>
          <w:sz w:val="20"/>
          <w:szCs w:val="20"/>
          <w:color w:val="auto"/>
        </w:rPr>
      </w:pPr>
    </w:p>
    <w:p>
      <w:pPr>
        <w:ind w:left="-8" w:firstLine="8"/>
        <w:spacing w:after="0" w:line="261" w:lineRule="auto"/>
        <w:tabs>
          <w:tab w:leader="none" w:pos="20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0</w:t>
      </w:r>
    </w:p>
    <w:p>
      <w:pPr>
        <w:spacing w:after="0" w:line="113" w:lineRule="exact"/>
        <w:rPr>
          <w:sz w:val="20"/>
          <w:szCs w:val="20"/>
          <w:color w:val="auto"/>
        </w:rPr>
      </w:pPr>
    </w:p>
    <w:p>
      <w:pPr>
        <w:ind w:left="-8" w:firstLine="8"/>
        <w:spacing w:after="0" w:line="261" w:lineRule="auto"/>
        <w:tabs>
          <w:tab w:leader="none" w:pos="20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448310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04" w:name="page105"/>
    <w:bookmarkEnd w:id="104"/>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w:t>
      </w:r>
    </w:p>
    <w:p>
      <w:pPr>
        <w:spacing w:after="0" w:line="113" w:lineRule="exact"/>
        <w:rPr>
          <w:sz w:val="20"/>
          <w:szCs w:val="20"/>
          <w:color w:val="auto"/>
        </w:rPr>
      </w:pPr>
    </w:p>
    <w:p>
      <w:pPr>
        <w:ind w:firstLine="8"/>
        <w:spacing w:after="0" w:line="261" w:lineRule="auto"/>
        <w:tabs>
          <w:tab w:leader="none" w:pos="214"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0</w:t>
      </w:r>
    </w:p>
    <w:p>
      <w:pPr>
        <w:spacing w:after="0" w:line="113" w:lineRule="exact"/>
        <w:rPr>
          <w:sz w:val="20"/>
          <w:szCs w:val="20"/>
          <w:color w:val="auto"/>
        </w:rPr>
      </w:pPr>
    </w:p>
    <w:p>
      <w:pPr>
        <w:ind w:left="-8" w:firstLine="8"/>
        <w:spacing w:after="0" w:line="261" w:lineRule="auto"/>
        <w:tabs>
          <w:tab w:leader="none" w:pos="206"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448310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FibroGen,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30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This Non-Employee Director Compensation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documents the terms and conditions of the cash and equity compensation that non-employee members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FibroGen, Inc. (“</w:t>
      </w:r>
      <w:r>
        <w:rPr>
          <w:rFonts w:ascii="Times New Roman" w:cs="Times New Roman" w:eastAsia="Times New Roman" w:hAnsi="Times New Roman"/>
          <w:sz w:val="18"/>
          <w:szCs w:val="18"/>
          <w:b w:val="1"/>
          <w:bCs w:val="1"/>
          <w:i w:val="1"/>
          <w:iCs w:val="1"/>
          <w:color w:val="auto"/>
        </w:rPr>
        <w:t>FibroGen</w:t>
      </w:r>
      <w:r>
        <w:rPr>
          <w:rFonts w:ascii="Times New Roman" w:cs="Times New Roman" w:eastAsia="Times New Roman" w:hAnsi="Times New Roman"/>
          <w:sz w:val="18"/>
          <w:szCs w:val="18"/>
          <w:color w:val="auto"/>
        </w:rPr>
        <w:t>”) may earn for their service on the Board from and after the initial public offering of the common stock of FibroGen.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Eligible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members of the Board who are not concurrently employees of FibroGen are eligible for compensation under this Policy (each such member, a</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Any director may also decline compensation per policy of their affiliated entity or for any other reason prior to the start of the period of service to which the compensation relates.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62"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$50,000</w:t>
      </w:r>
    </w:p>
    <w:p>
      <w:pPr>
        <w:spacing w:after="0" w:line="20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Chair Service Fee (in lieu of non-Chair Service fee):</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$20,000</w:t>
      </w:r>
    </w:p>
    <w:p>
      <w:pPr>
        <w:spacing w:after="0" w:line="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$17,500</w:t>
      </w:r>
    </w:p>
    <w:p>
      <w:pPr>
        <w:spacing w:after="0" w:line="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Nominating and Governance Committee: $10,000</w:t>
      </w:r>
    </w:p>
    <w:p>
      <w:pPr>
        <w:spacing w:after="0" w:line="20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Committee Member (non-Chair) Service Fee:</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$10,000</w:t>
      </w:r>
    </w:p>
    <w:p>
      <w:pPr>
        <w:spacing w:after="0" w:line="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$7,500</w:t>
      </w:r>
    </w:p>
    <w:p>
      <w:pPr>
        <w:spacing w:after="0" w:line="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$5,000</w:t>
      </w:r>
    </w:p>
    <w:p>
      <w:pPr>
        <w:spacing w:after="0" w:line="20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Non-Executive Chairperson/Lead Independent Director Service Retainer</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$22,500</w:t>
      </w:r>
    </w:p>
    <w:p>
      <w:pPr>
        <w:spacing w:after="0" w:line="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Chairperson: $50,000</w:t>
      </w:r>
    </w:p>
    <w:p>
      <w:pPr>
        <w:spacing w:after="0" w:line="206"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Scientific Advisory Board Service Fee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 awards will be granted under the FibroGen, Inc. 2014 Equity Incentive Plan (or any successor thereto,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87" w:lineRule="exact"/>
        <w:rPr>
          <w:sz w:val="20"/>
          <w:szCs w:val="20"/>
          <w:color w:val="auto"/>
        </w:rPr>
      </w:pPr>
    </w:p>
    <w:p>
      <w:pPr>
        <w:jc w:val="both"/>
        <w:ind w:firstLine="8"/>
        <w:spacing w:after="0" w:line="258" w:lineRule="auto"/>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On the date of the Director’s initial election or appointment to the Board (or, if such date is not a market trading day, the first market trading day thereafter), the Director will be automatically, and without further action by the Board, granted a stock option award of 70,000 shares. Such awards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3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Grant</w:t>
      </w:r>
      <w:r>
        <w:rPr>
          <w:rFonts w:ascii="Times New Roman" w:cs="Times New Roman" w:eastAsia="Times New Roman" w:hAnsi="Times New Roman"/>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 award of award of 70,000 shares. Such options vest upon the earlier of (x) the one-year anniversary of the previous annual stockholder meeting, and (y) the following year’s annual stockholder meeting, subject to the Director’s Continuous Service.</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Prorated Annual Grants</w:t>
      </w:r>
      <w:r>
        <w:rPr>
          <w:rFonts w:ascii="Times New Roman" w:cs="Times New Roman" w:eastAsia="Times New Roman" w:hAnsi="Times New Roman"/>
          <w:sz w:val="18"/>
          <w:szCs w:val="18"/>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(a) a stock option award of 70,000 shares multiplied by the Applicable Fraction (as defined below) n (a “</w:t>
      </w:r>
      <w:r>
        <w:rPr>
          <w:rFonts w:ascii="Times New Roman" w:cs="Times New Roman" w:eastAsia="Times New Roman" w:hAnsi="Times New Roman"/>
          <w:sz w:val="18"/>
          <w:szCs w:val="18"/>
          <w:b w:val="1"/>
          <w:bCs w:val="1"/>
          <w:i w:val="1"/>
          <w:iCs w:val="1"/>
          <w:color w:val="auto"/>
        </w:rPr>
        <w:t>Prorated Annual Grant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Applicable Fraction</w:t>
      </w:r>
      <w:r>
        <w:rPr>
          <w:rFonts w:ascii="Times New Roman" w:cs="Times New Roman" w:eastAsia="Times New Roman" w:hAnsi="Times New Roman"/>
          <w:sz w:val="18"/>
          <w:szCs w:val="18"/>
          <w:color w:val="auto"/>
        </w:rPr>
        <w:t>” 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Value. The value of a stock option to be granted under the Director Compensation Policy shall be determined using the same method the Company uses to calculate stock option awards to its employees, as approved by the Compensation Committee of the Board, using the grant date fair value, rounding down to the nearest share.</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Value. The number of shares subject to RSUs granted under the Director Compensation Policy shall be determined based on the closing price on the NASDAQ of the Company’s common on the grant date, rounded down to the nearest share.</w:t>
      </w:r>
    </w:p>
    <w:p>
      <w:pPr>
        <w:spacing w:after="0" w:line="377" w:lineRule="exact"/>
        <w:rPr>
          <w:rFonts w:ascii="Times New Roman" w:cs="Times New Roman" w:eastAsia="Times New Roman" w:hAnsi="Times New Roman"/>
          <w:sz w:val="18"/>
          <w:szCs w:val="18"/>
          <w:color w:val="auto"/>
        </w:rPr>
      </w:pPr>
    </w:p>
    <w:p>
      <w:pPr>
        <w:jc w:val="both"/>
        <w:ind w:firstLine="8"/>
        <w:spacing w:after="0" w:line="261" w:lineRule="auto"/>
        <w:tabs>
          <w:tab w:leader="none" w:pos="3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reimburse Directors for ordinary, necessary and reasonable out-of-pocket travel expenses to cover in-person attendance at and participation in Board meetings, and other activities performed in the course of their service on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Philosophy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Adopted: September 17, 2014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March 4, 2015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February 23, 2016, Effective as of the 2016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June 5, 2018</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June 5, 2019</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February 10, 2020</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April 13, 2022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February 14, 2023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January 1,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April 22, 2024</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638810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808990</wp:posOffset>
            </wp:positionV>
            <wp:extent cx="1242695" cy="3683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1242695" cy="368300"/>
                    </a:xfrm>
                    <a:prstGeom prst="rect">
                      <a:avLst/>
                    </a:prstGeom>
                    <a:noFill/>
                  </pic:spPr>
                </pic:pic>
              </a:graphicData>
            </a:graphic>
          </wp:anchor>
        </w:drawing>
      </w:r>
    </w:p>
    <w:p>
      <w:pPr>
        <w:spacing w:after="0" w:line="260"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6, 2024</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Deyaa R. Adib, MD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Deyaa,</w:t>
      </w:r>
    </w:p>
    <w:p>
      <w:pPr>
        <w:spacing w:after="0" w:line="23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FibroGen, Inc. is pleased to offer you the position of SVP, Chief Medical Officer reporting to Thane Wettig, Chief Executive Officer. The effective date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your employment will be set, as mutually agreed upon in advance with FibroGen, Inc. (“</w:t>
      </w:r>
      <w:r>
        <w:rPr>
          <w:rFonts w:ascii="Times New Roman" w:cs="Times New Roman" w:eastAsia="Times New Roman" w:hAnsi="Times New Roman"/>
          <w:sz w:val="18"/>
          <w:szCs w:val="18"/>
          <w:b w:val="1"/>
          <w:bCs w:val="1"/>
          <w:color w:val="auto"/>
        </w:rPr>
        <w:t>FibroGen</w:t>
      </w:r>
      <w:r>
        <w:rPr>
          <w:rFonts w:ascii="Times New Roman" w:cs="Times New Roman" w:eastAsia="Times New Roman" w:hAnsi="Times New Roman"/>
          <w:sz w:val="18"/>
          <w:szCs w:val="18"/>
          <w:color w:val="auto"/>
        </w:rPr>
        <w:t>”) and confirmed with Human Resources.</w:t>
      </w:r>
    </w:p>
    <w:p>
      <w:pPr>
        <w:spacing w:after="0" w:line="17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Your primary work location will be remote in the US, and you are expected to travel to and work at the Company’s headquarters in California (or such other reasonably designated location) expected to be one (1) week per month for Senior Leadership Team meetings; and further to attend additional meetings, e.g. key employee events, Enterprise Leadership Network Meetings, Board of Directors Meetings, earnings and other investor calls, and for key business priorities relating to your employment.</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terms of this offer of employment are as follows:</w:t>
      </w:r>
    </w:p>
    <w:p>
      <w:pPr>
        <w:spacing w:after="0" w:line="221" w:lineRule="exact"/>
        <w:rPr>
          <w:sz w:val="20"/>
          <w:szCs w:val="20"/>
          <w:color w:val="auto"/>
        </w:rPr>
      </w:pPr>
    </w:p>
    <w:p>
      <w:pPr>
        <w:jc w:val="both"/>
        <w:ind w:left="940" w:right="299" w:hanging="324"/>
        <w:spacing w:after="0" w:line="254" w:lineRule="auto"/>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FibroGen will pay you a starting annual salary of </w:t>
      </w:r>
      <w:r>
        <w:rPr>
          <w:rFonts w:ascii="Times New Roman" w:cs="Times New Roman" w:eastAsia="Times New Roman" w:hAnsi="Times New Roman"/>
          <w:sz w:val="18"/>
          <w:szCs w:val="18"/>
          <w:b w:val="1"/>
          <w:bCs w:val="1"/>
          <w:color w:val="auto"/>
        </w:rPr>
        <w:t>$528,000.00</w:t>
      </w:r>
      <w:r>
        <w:rPr>
          <w:rFonts w:ascii="Times New Roman" w:cs="Times New Roman" w:eastAsia="Times New Roman" w:hAnsi="Times New Roman"/>
          <w:sz w:val="18"/>
          <w:szCs w:val="18"/>
          <w:color w:val="auto"/>
        </w:rPr>
        <w:t>, payable in semi-monthly installments on our regular paydays in accordance with FibroGen's standard payroll policies. Your salary will begin as of the Effective Date. The position is classified as exempt and therefore not eligible for overtime pay. The first and last payment by FibroGen to you will be adjusted, if necessary, to reflect a commencement or termination date other than the first or last working day of a pay period. During your employment at FibroGen you may not be employed by, or consult with, any other company without the express written authorization of your manager. Notwithstanding the foregoing, and (a) subject to the prior written consent of the FibroGen board of directors, and (b) provided that such service is not expected to and does not conflict with your employment responsibilities, you may serve on the board of directors of one (1) for profit company.</w:t>
      </w:r>
    </w:p>
    <w:p>
      <w:pPr>
        <w:spacing w:after="0" w:line="185" w:lineRule="exact"/>
        <w:rPr>
          <w:rFonts w:ascii="Times New Roman" w:cs="Times New Roman" w:eastAsia="Times New Roman" w:hAnsi="Times New Roman"/>
          <w:sz w:val="18"/>
          <w:szCs w:val="18"/>
          <w:color w:val="auto"/>
        </w:rPr>
      </w:pPr>
    </w:p>
    <w:p>
      <w:pPr>
        <w:jc w:val="both"/>
        <w:ind w:left="940" w:right="299" w:hanging="324"/>
        <w:spacing w:after="0" w:line="268" w:lineRule="auto"/>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xml:space="preserve">. FibroGen will pay you a sign on bonus in the amount of </w:t>
      </w:r>
      <w:r>
        <w:rPr>
          <w:rFonts w:ascii="Times New Roman" w:cs="Times New Roman" w:eastAsia="Times New Roman" w:hAnsi="Times New Roman"/>
          <w:sz w:val="18"/>
          <w:szCs w:val="18"/>
          <w:b w:val="1"/>
          <w:bCs w:val="1"/>
          <w:color w:val="auto"/>
        </w:rPr>
        <w:t>$150,000.00</w:t>
      </w:r>
      <w:r>
        <w:rPr>
          <w:rFonts w:ascii="Times New Roman" w:cs="Times New Roman" w:eastAsia="Times New Roman" w:hAnsi="Times New Roman"/>
          <w:sz w:val="18"/>
          <w:szCs w:val="18"/>
          <w:color w:val="auto"/>
        </w:rPr>
        <w:t xml:space="preserve"> (subject to applicable payroll taxes and withholdings) contingent upon your continued employment with the Company. This bonus of $75,000.00 will be payable in two installments as follows:</w:t>
      </w:r>
    </w:p>
    <w:p>
      <w:pPr>
        <w:spacing w:after="0" w:line="184" w:lineRule="exact"/>
        <w:rPr>
          <w:rFonts w:ascii="Times New Roman" w:cs="Times New Roman" w:eastAsia="Times New Roman" w:hAnsi="Times New Roman"/>
          <w:sz w:val="18"/>
          <w:szCs w:val="18"/>
          <w:color w:val="auto"/>
        </w:rPr>
      </w:pPr>
    </w:p>
    <w:p>
      <w:pPr>
        <w:ind w:left="1760" w:hanging="172"/>
        <w:spacing w:after="0"/>
        <w:tabs>
          <w:tab w:leader="none" w:pos="17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75,000.00</w:t>
      </w:r>
      <w:r>
        <w:rPr>
          <w:rFonts w:ascii="Times New Roman" w:cs="Times New Roman" w:eastAsia="Times New Roman" w:hAnsi="Times New Roman"/>
          <w:sz w:val="18"/>
          <w:szCs w:val="18"/>
          <w:color w:val="auto"/>
        </w:rPr>
        <w:t xml:space="preserve"> payable within 30 days of your hire date, and</w:t>
      </w:r>
    </w:p>
    <w:p>
      <w:pPr>
        <w:spacing w:after="0" w:line="225" w:lineRule="exact"/>
        <w:rPr>
          <w:rFonts w:ascii="Times New Roman" w:cs="Times New Roman" w:eastAsia="Times New Roman" w:hAnsi="Times New Roman"/>
          <w:sz w:val="18"/>
          <w:szCs w:val="18"/>
          <w:color w:val="auto"/>
        </w:rPr>
      </w:pPr>
    </w:p>
    <w:p>
      <w:pPr>
        <w:ind w:left="1760" w:hanging="172"/>
        <w:spacing w:after="0"/>
        <w:tabs>
          <w:tab w:leader="none" w:pos="17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75,000.00</w:t>
      </w:r>
      <w:r>
        <w:rPr>
          <w:rFonts w:ascii="Times New Roman" w:cs="Times New Roman" w:eastAsia="Times New Roman" w:hAnsi="Times New Roman"/>
          <w:sz w:val="18"/>
          <w:szCs w:val="18"/>
          <w:color w:val="auto"/>
        </w:rPr>
        <w:t xml:space="preserve"> to be paid following 90 days of your hire date.</w:t>
      </w:r>
    </w:p>
    <w:p>
      <w:pPr>
        <w:spacing w:after="0" w:line="229" w:lineRule="exact"/>
        <w:rPr>
          <w:rFonts w:ascii="Times New Roman" w:cs="Times New Roman" w:eastAsia="Times New Roman" w:hAnsi="Times New Roman"/>
          <w:sz w:val="18"/>
          <w:szCs w:val="18"/>
          <w:color w:val="auto"/>
        </w:rPr>
      </w:pPr>
    </w:p>
    <w:p>
      <w:pPr>
        <w:jc w:val="both"/>
        <w:ind w:left="940" w:right="299" w:hanging="324"/>
        <w:spacing w:after="0" w:line="261" w:lineRule="auto"/>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 and Restricted Stock Units</w:t>
      </w:r>
      <w:r>
        <w:rPr>
          <w:rFonts w:ascii="Times New Roman" w:cs="Times New Roman" w:eastAsia="Times New Roman" w:hAnsi="Times New Roman"/>
          <w:sz w:val="18"/>
          <w:szCs w:val="18"/>
          <w:color w:val="auto"/>
        </w:rPr>
        <w:t>. Pending approval by the FibroGen Compensation Committee, you will be granted the following equity incentive grant(s) pursuant to the terms and conditions of the Equity Plan effective on the date of acceptance of this letter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as may be amended or modified from time to time:</w:t>
      </w:r>
    </w:p>
    <w:p>
      <w:pPr>
        <w:spacing w:after="0" w:line="175" w:lineRule="exact"/>
        <w:rPr>
          <w:rFonts w:ascii="Times New Roman" w:cs="Times New Roman" w:eastAsia="Times New Roman" w:hAnsi="Times New Roman"/>
          <w:sz w:val="18"/>
          <w:szCs w:val="18"/>
          <w:color w:val="auto"/>
        </w:rPr>
      </w:pPr>
    </w:p>
    <w:p>
      <w:pPr>
        <w:ind w:left="1580" w:right="359" w:hanging="316"/>
        <w:spacing w:after="0" w:line="263" w:lineRule="auto"/>
        <w:tabs>
          <w:tab w:leader="none" w:pos="15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 option to purchase </w:t>
      </w:r>
      <w:r>
        <w:rPr>
          <w:rFonts w:ascii="Times New Roman" w:cs="Times New Roman" w:eastAsia="Times New Roman" w:hAnsi="Times New Roman"/>
          <w:sz w:val="18"/>
          <w:szCs w:val="18"/>
          <w:b w:val="1"/>
          <w:bCs w:val="1"/>
          <w:color w:val="auto"/>
        </w:rPr>
        <w:t>300,000</w:t>
      </w:r>
      <w:r>
        <w:rPr>
          <w:rFonts w:ascii="Times New Roman" w:cs="Times New Roman" w:eastAsia="Times New Roman" w:hAnsi="Times New Roman"/>
          <w:sz w:val="18"/>
          <w:szCs w:val="18"/>
          <w:color w:val="auto"/>
        </w:rPr>
        <w:t xml:space="preserve"> shares of FibroGen's Common Stock with an exercise price set at the fair market value on the date of grant (“</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and</w:t>
      </w:r>
    </w:p>
    <w:p>
      <w:pPr>
        <w:ind w:left="1580" w:hanging="316"/>
        <w:spacing w:after="0"/>
        <w:tabs>
          <w:tab w:leader="none" w:pos="15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grant of </w:t>
      </w:r>
      <w:r>
        <w:rPr>
          <w:rFonts w:ascii="Times New Roman" w:cs="Times New Roman" w:eastAsia="Times New Roman" w:hAnsi="Times New Roman"/>
          <w:sz w:val="18"/>
          <w:szCs w:val="18"/>
          <w:b w:val="1"/>
          <w:bCs w:val="1"/>
          <w:color w:val="auto"/>
        </w:rPr>
        <w:t>60,000</w:t>
      </w:r>
      <w:r>
        <w:rPr>
          <w:rFonts w:ascii="Times New Roman" w:cs="Times New Roman" w:eastAsia="Times New Roman" w:hAnsi="Times New Roman"/>
          <w:sz w:val="18"/>
          <w:szCs w:val="18"/>
          <w:color w:val="auto"/>
        </w:rPr>
        <w:t xml:space="preserve"> restricted stock units relating to shares of FibroGen’s Common Stock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jc w:val="both"/>
        <w:ind w:left="1580" w:right="299" w:hanging="316"/>
        <w:spacing w:after="0" w:line="258" w:lineRule="auto"/>
        <w:tabs>
          <w:tab w:leader="none" w:pos="15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Options and RSUs will vest according to the following schedule; one-fourth (1/4th) of the shares vest one year after commencement of employment; the balance of the shares vest in a series of twelve (12) successive substantially equal quarterly installments measured from the first anniversary of commencement of employment, subject to Continuous Service as of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706755</wp:posOffset>
            </wp:positionV>
            <wp:extent cx="61290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jc w:val="both"/>
        <w:ind w:left="940" w:right="319"/>
        <w:spacing w:after="0" w:line="266" w:lineRule="auto"/>
        <w:rPr>
          <w:sz w:val="20"/>
          <w:szCs w:val="20"/>
          <w:color w:val="auto"/>
        </w:rPr>
      </w:pPr>
      <w:r>
        <w:rPr>
          <w:rFonts w:ascii="Times New Roman" w:cs="Times New Roman" w:eastAsia="Times New Roman" w:hAnsi="Times New Roman"/>
          <w:sz w:val="18"/>
          <w:szCs w:val="18"/>
          <w:color w:val="auto"/>
        </w:rPr>
        <w:t>The actual number of shares subject to the grant hereunder may be adjusted, if required, for events such as stock splits, stock dividends, etc. pursuant to the Equity Plan. The Stock Options and RSUs will vest according to the schedule set forth in the Equity Plan.</w:t>
      </w:r>
    </w:p>
    <w:p>
      <w:pPr>
        <w:spacing w:after="0" w:line="172" w:lineRule="exact"/>
        <w:rPr>
          <w:sz w:val="20"/>
          <w:szCs w:val="20"/>
          <w:color w:val="auto"/>
        </w:rPr>
      </w:pPr>
    </w:p>
    <w:p>
      <w:pPr>
        <w:ind w:left="940" w:right="639" w:hanging="324"/>
        <w:spacing w:after="0" w:line="268"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Plan</w:t>
      </w:r>
      <w:r>
        <w:rPr>
          <w:rFonts w:ascii="Times New Roman" w:cs="Times New Roman" w:eastAsia="Times New Roman" w:hAnsi="Times New Roman"/>
          <w:sz w:val="18"/>
          <w:szCs w:val="18"/>
          <w:color w:val="auto"/>
        </w:rPr>
        <w:t>. You will be eligible to participate in FibroGen’s Incentive Compensation Plan (the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adopted by FibroGen for its employees on such terms as FibroGen's Board of Directors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determine in its discretion.</w:t>
      </w:r>
    </w:p>
    <w:p>
      <w:pPr>
        <w:spacing w:after="0" w:line="184" w:lineRule="exact"/>
        <w:rPr>
          <w:rFonts w:ascii="Times New Roman" w:cs="Times New Roman" w:eastAsia="Times New Roman" w:hAnsi="Times New Roman"/>
          <w:sz w:val="18"/>
          <w:szCs w:val="18"/>
          <w:color w:val="auto"/>
        </w:rPr>
      </w:pPr>
    </w:p>
    <w:p>
      <w:pPr>
        <w:jc w:val="both"/>
        <w:ind w:left="940" w:right="299" w:hanging="1"/>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target bonus for your level is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of your annual salary, subject to the terms and conditions of the Bonus Plan. Under the terms of the Bonus Plan, both corporate and individual performance is assessed annually and subject to final approval by the Company’s Board of Directors. Employees hired during the course of a year will have a pro-rated bonus provided they commence their employment on or before September 30th of a calendar year. To remain eligible, employees must maintain satisfactory performance and be in an active status on the day of payment. Payments are expected to occur no later than 15th of March in the year following the performance cycle.</w:t>
      </w:r>
    </w:p>
    <w:p>
      <w:pPr>
        <w:spacing w:after="0" w:line="186" w:lineRule="exact"/>
        <w:rPr>
          <w:rFonts w:ascii="Times New Roman" w:cs="Times New Roman" w:eastAsia="Times New Roman" w:hAnsi="Times New Roman"/>
          <w:sz w:val="18"/>
          <w:szCs w:val="18"/>
          <w:color w:val="auto"/>
        </w:rPr>
      </w:pPr>
    </w:p>
    <w:p>
      <w:pPr>
        <w:jc w:val="both"/>
        <w:ind w:left="940" w:right="299" w:hanging="324"/>
        <w:spacing w:after="0" w:line="258"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During the term of your employment, you will be eligible to participate in FibroGen’s benefits program, which include FibroGen's standard vacation benefits and other employee benefits such as medical, vision and dental health insurance. These benefits may be modified or subject to change from time to time. A copy of FibroGen's current benefits summary will be provided to you, called the Benefits Information Guide.</w:t>
      </w:r>
    </w:p>
    <w:p>
      <w:pPr>
        <w:spacing w:after="0" w:line="183" w:lineRule="exact"/>
        <w:rPr>
          <w:rFonts w:ascii="Times New Roman" w:cs="Times New Roman" w:eastAsia="Times New Roman" w:hAnsi="Times New Roman"/>
          <w:sz w:val="18"/>
          <w:szCs w:val="18"/>
          <w:color w:val="auto"/>
        </w:rPr>
      </w:pPr>
    </w:p>
    <w:p>
      <w:pPr>
        <w:jc w:val="both"/>
        <w:ind w:left="940" w:right="299" w:hanging="324"/>
        <w:spacing w:after="0" w:line="256"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Eligibility.</w:t>
      </w:r>
      <w:r>
        <w:rPr>
          <w:rFonts w:ascii="Times New Roman" w:cs="Times New Roman" w:eastAsia="Times New Roman" w:hAnsi="Times New Roman"/>
          <w:sz w:val="18"/>
          <w:szCs w:val="18"/>
          <w:color w:val="auto"/>
        </w:rPr>
        <w:t xml:space="preserve"> You will also be required to sign the Employment Eligibility Verification (Form I-9). (You will need to complete and return Section One of Form I-9 along with your signed offer letter). On your first day of employment, please prepare to share the necessary original documents that establish your identity and employment eligibility to work in the United States. Acceptable documents are listed on the reverse side of Form I-9. Such documentation must be provided to us within three (3) business days of your date of hire, or our employment relationship with you may be terminated.</w:t>
      </w:r>
    </w:p>
    <w:p>
      <w:pPr>
        <w:spacing w:after="0" w:line="187" w:lineRule="exact"/>
        <w:rPr>
          <w:rFonts w:ascii="Times New Roman" w:cs="Times New Roman" w:eastAsia="Times New Roman" w:hAnsi="Times New Roman"/>
          <w:sz w:val="18"/>
          <w:szCs w:val="18"/>
          <w:color w:val="auto"/>
        </w:rPr>
      </w:pPr>
    </w:p>
    <w:p>
      <w:pPr>
        <w:jc w:val="both"/>
        <w:ind w:left="940" w:right="299" w:hanging="324"/>
        <w:spacing w:after="0" w:line="258"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You will abide by FibroGen’s strict company policy that prohibits any new employee from using or bringing with them from any prior employer any proprietary information, trade secrets, proprietary materials, or processes of such former employers. Moreover, because FibroGen’s proprietary information is extremely important, this offer of employment is expressly subject to your execution of the enclosed Confidential Information, Secrecy, and Invention Agreement for Employees.</w:t>
      </w:r>
    </w:p>
    <w:p>
      <w:pPr>
        <w:spacing w:after="0" w:line="183" w:lineRule="exact"/>
        <w:rPr>
          <w:rFonts w:ascii="Times New Roman" w:cs="Times New Roman" w:eastAsia="Times New Roman" w:hAnsi="Times New Roman"/>
          <w:sz w:val="18"/>
          <w:szCs w:val="18"/>
          <w:color w:val="auto"/>
        </w:rPr>
      </w:pPr>
    </w:p>
    <w:p>
      <w:pPr>
        <w:jc w:val="both"/>
        <w:ind w:left="940" w:right="299" w:hanging="324"/>
        <w:spacing w:after="0" w:line="255"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xml:space="preserve"> You should be aware that your employment with FibroGen is for no specified period and constitutes "at-will" employment. As a result, both FibroGen and you are free to terminate the employment relationship at any time, for any reason or for no reason, and with or without advance notice. The changing needs of FibroGen could also result in changes to certain aspects of your employment, such as compensation, responsibilities, location, etc. These provisions expressly supersede any previous representations, oral or written. Your at-will employment cannot be modified or amended except by written agreement signed by both you and the Chief Executive Officer of FibroGen.</w:t>
      </w:r>
    </w:p>
    <w:p>
      <w:pPr>
        <w:spacing w:after="0" w:line="202"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FibroGen offers its employees an arbitration agreement to consider as an alternative forum to settle a dispute. This agreement is voluntary. Please read the agreement carefully, sign it, and return it to the Human Resources department if it is of interest to you.</w:t>
      </w:r>
    </w:p>
    <w:p>
      <w:pPr>
        <w:spacing w:after="0" w:line="175" w:lineRule="exact"/>
        <w:rPr>
          <w:rFonts w:ascii="Times New Roman" w:cs="Times New Roman" w:eastAsia="Times New Roman" w:hAnsi="Times New Roman"/>
          <w:sz w:val="18"/>
          <w:szCs w:val="18"/>
          <w:color w:val="auto"/>
        </w:rPr>
      </w:pPr>
    </w:p>
    <w:p>
      <w:pPr>
        <w:jc w:val="both"/>
        <w:ind w:left="940" w:right="299" w:hanging="324"/>
        <w:spacing w:after="0" w:line="255"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and Severance Agreement.</w:t>
      </w:r>
      <w:r>
        <w:rPr>
          <w:rFonts w:ascii="Times New Roman" w:cs="Times New Roman" w:eastAsia="Times New Roman" w:hAnsi="Times New Roman"/>
          <w:sz w:val="18"/>
          <w:szCs w:val="18"/>
          <w:color w:val="auto"/>
        </w:rPr>
        <w:t xml:space="preserve"> You will be provided with the form of Company's Change in Control and Severance Agreement approved by the Board that provides for certain severance benefits upon a termination following a Change in Control (as defined therein) and upon certain other terminations, a copy of which is attached hereto as Exhibit A. For purposes of applying the definition of Good Reason under the Change in Control and Severance Agreement, a requirement to permanently relocate to a location proximate to the Company’s headquarters in California (or proximate to another Company facility) will qualify as a Good Reason under Section 9(c)(iii) of the Change in Control and Severance Agreement.</w:t>
      </w:r>
    </w:p>
    <w:p>
      <w:pPr>
        <w:spacing w:after="0" w:line="202"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You will be provided with an Indemnity Agreement that is substantially similar to the Company’s publicly filed Indemnity Agreement, as copy of which is attached hereto as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684530</wp:posOffset>
            </wp:positionV>
            <wp:extent cx="61290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112" w:name="page113"/>
    <w:bookmarkEnd w:id="112"/>
    <w:p>
      <w:pPr>
        <w:jc w:val="both"/>
        <w:ind w:left="940" w:right="299" w:hanging="324"/>
        <w:spacing w:after="0" w:line="266" w:lineRule="auto"/>
        <w:tabs>
          <w:tab w:leader="none" w:pos="9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xml:space="preserve"> Thirty (30) days after the commencement of your employment with the Company, you may submit for reimbursement up to $2,500 in reasonable legal expenses associated with the negotiation of your offer of employment.</w:t>
      </w:r>
    </w:p>
    <w:p>
      <w:pPr>
        <w:spacing w:after="0" w:line="1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notified by FibroGen, this offer of employment is effective for five (5) business days from the date of this letter. However, if you have any questions regarding the above provisions including the arbitration provision, please do not hesitate to contact us.</w:t>
      </w:r>
    </w:p>
    <w:p>
      <w:pPr>
        <w:spacing w:after="0" w:line="1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event of conflict between the terms contained in this offer letter and any other document, the terms of this offer letter (including any amendment to this letter) shall control. FibroGen reserves the right to amend the terms contained in this offer letter from time to time.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look forward to your joining our team at FibroGen.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ACCEPTED AND AGREED TO this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2024-Feb-06</w:t>
      </w:r>
    </w:p>
    <w:p>
      <w:pPr>
        <w:spacing w:after="0" w:line="27" w:lineRule="exact"/>
        <w:rPr>
          <w:sz w:val="20"/>
          <w:szCs w:val="20"/>
          <w:color w:val="auto"/>
        </w:rPr>
      </w:pPr>
    </w:p>
    <w:p>
      <w:pPr>
        <w:ind w:left="380"/>
        <w:spacing w:after="0"/>
        <w:tabs>
          <w:tab w:leader="none" w:pos="1560" w:val="left"/>
          <w:tab w:leader="none" w:pos="2380" w:val="left"/>
          <w:tab w:leader="none" w:pos="3900" w:val="left"/>
        </w:tabs>
        <w:rPr>
          <w:sz w:val="20"/>
          <w:szCs w:val="20"/>
          <w:color w:val="auto"/>
        </w:rPr>
      </w:pPr>
      <w:r>
        <w:rPr>
          <w:rFonts w:ascii="Times New Roman" w:cs="Times New Roman" w:eastAsia="Times New Roman" w:hAnsi="Times New Roman"/>
          <w:sz w:val="18"/>
          <w:szCs w:val="18"/>
          <w:color w:val="auto"/>
        </w:rPr>
        <w:t>___________</w:t>
        <w:tab/>
        <w:t>Day of</w:t>
      </w:r>
      <w:r>
        <w:rPr>
          <w:sz w:val="20"/>
          <w:szCs w:val="20"/>
          <w:color w:val="auto"/>
        </w:rPr>
        <w:tab/>
      </w:r>
      <w:r>
        <w:rPr>
          <w:rFonts w:ascii="Times New Roman" w:cs="Times New Roman" w:eastAsia="Times New Roman" w:hAnsi="Times New Roman"/>
          <w:sz w:val="18"/>
          <w:szCs w:val="18"/>
          <w:color w:val="auto"/>
        </w:rPr>
        <w:t>_____________</w:t>
      </w:r>
      <w:r>
        <w:rPr>
          <w:sz w:val="20"/>
          <w:szCs w:val="20"/>
          <w:color w:val="auto"/>
        </w:rPr>
        <w:tab/>
      </w:r>
      <w:r>
        <w:rPr>
          <w:rFonts w:ascii="Times New Roman" w:cs="Times New Roman" w:eastAsia="Times New Roman" w:hAnsi="Times New Roman"/>
          <w:sz w:val="18"/>
          <w:szCs w:val="18"/>
          <w:color w:val="auto"/>
        </w:rPr>
        <w:t>2024</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Deyaa R. Adib</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Deyaa R. Adib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1457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Intended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3844925</wp:posOffset>
            </wp:positionV>
            <wp:extent cx="61290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113" w:name="page114"/>
    <w:bookmarkEnd w:id="113"/>
    <w:p>
      <w:pPr>
        <w:spacing w:after="0" w:line="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CHANGE IN CONTROL AND SEVERANCE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Change in Control and Severance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___________ (the “</w:t>
      </w:r>
      <w:r>
        <w:rPr>
          <w:rFonts w:ascii="Times New Roman" w:cs="Times New Roman" w:eastAsia="Times New Roman" w:hAnsi="Times New Roman"/>
          <w:sz w:val="18"/>
          <w:szCs w:val="18"/>
          <w:u w:val="single" w:color="auto"/>
          <w:color w:val="auto"/>
        </w:rPr>
        <w:t>Effective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___________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FibroGen,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right="739"/>
        <w:spacing w:after="0" w:line="250" w:lineRule="auto"/>
        <w:rPr>
          <w:sz w:val="20"/>
          <w:szCs w:val="20"/>
          <w:color w:val="auto"/>
        </w:rPr>
      </w:pPr>
      <w:r>
        <w:rPr>
          <w:rFonts w:ascii="Times New Roman" w:cs="Times New Roman" w:eastAsia="Times New Roman" w:hAnsi="Times New Roman"/>
          <w:sz w:val="18"/>
          <w:szCs w:val="18"/>
          <w:color w:val="auto"/>
        </w:rPr>
        <w:t>This Agreement is intended to provide Executive with certain benefits described herein upon the occurrence of specific events.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9" w:lineRule="exact"/>
        <w:rPr>
          <w:sz w:val="20"/>
          <w:szCs w:val="20"/>
          <w:color w:val="auto"/>
        </w:rPr>
      </w:pPr>
    </w:p>
    <w:p>
      <w:pPr>
        <w:ind w:left="300" w:right="439" w:hanging="8"/>
        <w:spacing w:after="0" w:line="250" w:lineRule="auto"/>
        <w:tabs>
          <w:tab w:leader="none" w:pos="5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the Company from time to time will consider the possibility of a Change in Control.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recognizes that such consideration can be a distraction to Executive and can cause Executive to consider alternative employment opportunities. The Board believes that it is in the best interests of the Company and its stockholders to assure that the Company will have the continued dedication and objectivity of Executive, notwithstanding the possibility, threat or occurrence of a Change in Control (as defined below).</w:t>
      </w:r>
    </w:p>
    <w:p>
      <w:pPr>
        <w:spacing w:after="0" w:line="2" w:lineRule="exact"/>
        <w:rPr>
          <w:rFonts w:ascii="Times New Roman" w:cs="Times New Roman" w:eastAsia="Times New Roman" w:hAnsi="Times New Roman"/>
          <w:sz w:val="18"/>
          <w:szCs w:val="18"/>
          <w:color w:val="auto"/>
        </w:rPr>
      </w:pPr>
    </w:p>
    <w:p>
      <w:pPr>
        <w:ind w:left="300" w:right="1159" w:hanging="8"/>
        <w:spacing w:after="0" w:line="250" w:lineRule="auto"/>
        <w:tabs>
          <w:tab w:leader="none" w:pos="54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believes it is in the best interests of the Company and its shareholders to retain Executive and provide incentives to Executive to continue in the service of the Company.</w:t>
      </w:r>
    </w:p>
    <w:p>
      <w:pPr>
        <w:ind w:left="300" w:right="579" w:hanging="8"/>
        <w:spacing w:after="0" w:line="253" w:lineRule="auto"/>
        <w:tabs>
          <w:tab w:leader="none" w:pos="54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further believes that it is imperative to provide Executive with certain benefits upon a qualifying termination of Executive’s employment (whether in connection with a Change in Control or otherwise) which benefits are intended to provide Executive with financial security and provide sufficient income and encouragement to Executive to remain with the Company, notwithstanding the possibility of a Change in Control and/or termination of Executive’s employment with the Company under certain circumstances.</w:t>
      </w:r>
    </w:p>
    <w:p>
      <w:pPr>
        <w:spacing w:after="0" w:line="187" w:lineRule="exact"/>
        <w:rPr>
          <w:sz w:val="20"/>
          <w:szCs w:val="20"/>
          <w:color w:val="auto"/>
        </w:rPr>
      </w:pPr>
    </w:p>
    <w:p>
      <w:pPr>
        <w:jc w:val="both"/>
        <w:ind w:left="300" w:right="519" w:firstLine="648"/>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promises, covenants and agreements contained herein, and in consideration of the continuing employment of Executive by the Company, the parties hereto agree as follows:</w:t>
      </w:r>
    </w:p>
    <w:p>
      <w:pPr>
        <w:spacing w:after="0" w:line="153" w:lineRule="exact"/>
        <w:rPr>
          <w:sz w:val="20"/>
          <w:szCs w:val="20"/>
          <w:color w:val="auto"/>
        </w:rPr>
      </w:pPr>
    </w:p>
    <w:p>
      <w:pPr>
        <w:jc w:val="both"/>
        <w:ind w:left="300" w:right="559" w:firstLine="640"/>
        <w:spacing w:after="0" w:line="272" w:lineRule="auto"/>
        <w:tabs>
          <w:tab w:leader="none" w:pos="142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At-Will Employment</w:t>
      </w:r>
      <w:r>
        <w:rPr>
          <w:rFonts w:ascii="Times New Roman" w:cs="Times New Roman" w:eastAsia="Times New Roman" w:hAnsi="Times New Roman"/>
          <w:sz w:val="17"/>
          <w:szCs w:val="17"/>
          <w:color w:val="auto"/>
        </w:rPr>
        <w:t>. The term of the Agreement shall begin on the Effective Date and shall end on the third anniversary of the Effective Date. Executive’s employment is at-will, which means that the Company may terminate Executive’s employment at any time, with or without advance notice, and with or without Cause.</w:t>
      </w:r>
    </w:p>
    <w:p>
      <w:pPr>
        <w:spacing w:after="0" w:line="1" w:lineRule="exact"/>
        <w:rPr>
          <w:rFonts w:ascii="Times New Roman" w:cs="Times New Roman" w:eastAsia="Times New Roman" w:hAnsi="Times New Roman"/>
          <w:sz w:val="17"/>
          <w:szCs w:val="17"/>
          <w:color w:val="auto"/>
        </w:rPr>
      </w:pPr>
    </w:p>
    <w:p>
      <w:pPr>
        <w:ind w:left="300" w:right="45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Similarly, Executive may resign Executive’s employment at any time, with or without advance notice. Executive shall not receive any compensation of any kind, including, without limitation, Stock Awards (as defined below), or other equity award vesting acceleration and severance benefits, following Executive’s termination of employment with the Company in connection with a Change in Control, except as expressly provided herein.</w:t>
      </w:r>
    </w:p>
    <w:p>
      <w:pPr>
        <w:spacing w:after="0" w:line="256" w:lineRule="exact"/>
        <w:rPr>
          <w:rFonts w:ascii="Times New Roman" w:cs="Times New Roman" w:eastAsia="Times New Roman" w:hAnsi="Times New Roman"/>
          <w:sz w:val="17"/>
          <w:szCs w:val="17"/>
          <w:color w:val="auto"/>
        </w:rPr>
      </w:pPr>
    </w:p>
    <w:p>
      <w:pPr>
        <w:ind w:left="300" w:right="399" w:firstLine="640"/>
        <w:spacing w:after="0" w:line="253" w:lineRule="auto"/>
        <w:tabs>
          <w:tab w:leader="none" w:pos="14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Wages, Bonus and Vacation, Expenses</w:t>
      </w:r>
      <w:r>
        <w:rPr>
          <w:rFonts w:ascii="Times New Roman" w:cs="Times New Roman" w:eastAsia="Times New Roman" w:hAnsi="Times New Roman"/>
          <w:sz w:val="18"/>
          <w:szCs w:val="18"/>
          <w:color w:val="auto"/>
        </w:rPr>
        <w:t>. Without regard to the reason for, or the timing of, Executive’s termination of employment: (i) the Company shall pay Executive any unpaid base salary due for periods prior to and including the date of Separation from Service (as defined below); (ii) the Company shall pay Executive all of Executive’s accrued and unused vacation through the date of Separation from Service; (iii) the Company shall pay Executive any earned (as determined and approved by the Board prior to the Separation from Service) but not yet paid incentive bonus from the prior fiscal year, which bonus shall be paid in accordance with the Company’s regular bonus payment process and in any event by no later than March 15 of such subsequent year; and (iv) following submission of proper expense reports by Executive, the Company shall reimburse Executive for all expenses reasonably and necessarily incurred by Executive in connection with the business of the Company prior to the Separation from Service. These payments shall be made promptly upon or following termination and within the period of time mandated by law (or in the case of an earned bonus, within the time period set forth in the Company’s bonus plan and in any event by no later than March 15 of the calendar year following the year in which the bonus was earned).</w:t>
      </w:r>
    </w:p>
    <w:p>
      <w:pPr>
        <w:spacing w:after="0" w:line="187" w:lineRule="exact"/>
        <w:rPr>
          <w:rFonts w:ascii="Times New Roman" w:cs="Times New Roman" w:eastAsia="Times New Roman" w:hAnsi="Times New Roman"/>
          <w:sz w:val="18"/>
          <w:szCs w:val="18"/>
          <w:color w:val="auto"/>
        </w:rPr>
      </w:pPr>
    </w:p>
    <w:p>
      <w:pPr>
        <w:ind w:left="300" w:right="399" w:firstLine="640"/>
        <w:spacing w:after="0" w:line="256" w:lineRule="auto"/>
        <w:tabs>
          <w:tab w:leader="none" w:pos="14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Executive shall be eligible for severance benefits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amounts and under the conditions set forth in subsections 3(a) and 3(b) below. For the avoidance of doubt, Executive shall not receive Severance Benefits under more than one such subsection. Notwithstanding any other provision hereof, no Severance Benefits shall be provided upon termination of employment unless such termination constitutes a “separation from service” (within the meaning of Treasury Regulation Section 1.409A-1(h), a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812165</wp:posOffset>
            </wp:positionV>
            <wp:extent cx="608584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4" w:name="page115"/>
    <w:bookmarkEnd w:id="114"/>
    <w:p>
      <w:pPr>
        <w:spacing w:after="0" w:line="45" w:lineRule="exact"/>
        <w:rPr>
          <w:sz w:val="20"/>
          <w:szCs w:val="20"/>
          <w:color w:val="auto"/>
        </w:rPr>
      </w:pPr>
    </w:p>
    <w:p>
      <w:pPr>
        <w:ind w:left="300" w:right="379" w:firstLine="1288"/>
        <w:spacing w:after="0" w:line="256" w:lineRule="auto"/>
        <w:tabs>
          <w:tab w:leader="none" w:pos="18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upon a Termination in Connection with or Following a Change in Control</w:t>
      </w:r>
      <w:r>
        <w:rPr>
          <w:rFonts w:ascii="Times New Roman" w:cs="Times New Roman" w:eastAsia="Times New Roman" w:hAnsi="Times New Roman"/>
          <w:sz w:val="18"/>
          <w:szCs w:val="18"/>
          <w:color w:val="auto"/>
        </w:rPr>
        <w:t>. If Executive’s employment is terminated by the Company without Cause (as defined below), and other than as a result of death or disability, or Executive resigns his or her employment with the Company for Good Reason (as defined below) in connection with or within twelve (12) months following the effective date of a Change in Control, and provided that Executive delivers an effective release of claims as required under Section 4 below, then Executive shall be entitled to the following Severance Benefits:</w:t>
      </w:r>
    </w:p>
    <w:p>
      <w:pPr>
        <w:spacing w:after="0" w:line="187" w:lineRule="exact"/>
        <w:rPr>
          <w:rFonts w:ascii="Times New Roman" w:cs="Times New Roman" w:eastAsia="Times New Roman" w:hAnsi="Times New Roman"/>
          <w:sz w:val="18"/>
          <w:szCs w:val="18"/>
          <w:color w:val="auto"/>
        </w:rPr>
      </w:pPr>
    </w:p>
    <w:p>
      <w:pPr>
        <w:ind w:left="2740" w:hanging="387"/>
        <w:spacing w:after="0"/>
        <w:tabs>
          <w:tab w:leader="none" w:pos="2740" w:val="left"/>
        </w:tabs>
        <w:numPr>
          <w:ilvl w:val="2"/>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Executive an amount equal to the sum of (A) eighteen</w:t>
      </w:r>
    </w:p>
    <w:p>
      <w:pPr>
        <w:spacing w:after="0" w:line="27" w:lineRule="exact"/>
        <w:rPr>
          <w:rFonts w:ascii="Times New Roman" w:cs="Times New Roman" w:eastAsia="Times New Roman" w:hAnsi="Times New Roman"/>
          <w:sz w:val="18"/>
          <w:szCs w:val="18"/>
          <w:b w:val="1"/>
          <w:bCs w:val="1"/>
          <w:color w:val="auto"/>
        </w:rPr>
      </w:pPr>
    </w:p>
    <w:p>
      <w:pPr>
        <w:ind w:left="300" w:right="459" w:hanging="8"/>
        <w:spacing w:after="0" w:line="273" w:lineRule="auto"/>
        <w:tabs>
          <w:tab w:leader="none" w:pos="64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Executive’s then current base salary and (B) one (1.0) times Executive’s then current target bonus, ignoring any decrease in base salary or target bonus that forms the basis for Good Reason, less all applicable withholdings and deductions, paid over the eighteen (18) month period immediately following the Separation from Service in accordance with the Company’s regular payroll practices, on the schedule described in Section 4 below.</w:t>
      </w:r>
    </w:p>
    <w:p>
      <w:pPr>
        <w:spacing w:after="0" w:line="253" w:lineRule="exact"/>
        <w:rPr>
          <w:rFonts w:ascii="Times New Roman" w:cs="Times New Roman" w:eastAsia="Times New Roman" w:hAnsi="Times New Roman"/>
          <w:sz w:val="17"/>
          <w:szCs w:val="17"/>
          <w:color w:val="auto"/>
        </w:rPr>
      </w:pPr>
    </w:p>
    <w:p>
      <w:pPr>
        <w:ind w:left="300" w:right="459" w:firstLine="2001"/>
        <w:spacing w:after="0" w:line="252" w:lineRule="auto"/>
        <w:tabs>
          <w:tab w:leader="none" w:pos="2741" w:val="left"/>
        </w:tabs>
        <w:numPr>
          <w:ilvl w:val="2"/>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Executive’s expenses for continuing his or her health care coverage and the coverage of his or her dependents who are covered at the time of the Executive’s Separation from Service (the “</w:t>
      </w:r>
      <w:r>
        <w:rPr>
          <w:rFonts w:ascii="Times New Roman" w:cs="Times New Roman" w:eastAsia="Times New Roman" w:hAnsi="Times New Roman"/>
          <w:sz w:val="18"/>
          <w:szCs w:val="18"/>
          <w:u w:val="single" w:color="auto"/>
          <w:color w:val="auto"/>
        </w:rPr>
        <w:t>COBRA Premiums</w:t>
      </w:r>
      <w:r>
        <w:rPr>
          <w:rFonts w:ascii="Times New Roman" w:cs="Times New Roman" w:eastAsia="Times New Roman" w:hAnsi="Times New Roman"/>
          <w:sz w:val="18"/>
          <w:szCs w:val="18"/>
          <w:color w:val="auto"/>
        </w:rPr>
        <w:t>”)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(or another state law equivalent), as applicable, for a period ending on the earlier of the twelve (12)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family members elect health care continuation coverage (the “</w:t>
      </w:r>
      <w:r>
        <w:rPr>
          <w:rFonts w:ascii="Times New Roman" w:cs="Times New Roman" w:eastAsia="Times New Roman" w:hAnsi="Times New Roman"/>
          <w:sz w:val="18"/>
          <w:szCs w:val="18"/>
          <w:u w:val="single" w:color="auto"/>
          <w:color w:val="auto"/>
        </w:rPr>
        <w:t>Health Care Benefit Payment</w:t>
      </w:r>
      <w:r>
        <w:rPr>
          <w:rFonts w:ascii="Times New Roman" w:cs="Times New Roman" w:eastAsia="Times New Roman" w:hAnsi="Times New Roman"/>
          <w:sz w:val="18"/>
          <w:szCs w:val="18"/>
          <w:color w:val="auto"/>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260" w:lineRule="exact"/>
        <w:rPr>
          <w:rFonts w:ascii="Times New Roman" w:cs="Times New Roman" w:eastAsia="Times New Roman" w:hAnsi="Times New Roman"/>
          <w:sz w:val="18"/>
          <w:szCs w:val="18"/>
          <w:b w:val="1"/>
          <w:bCs w:val="1"/>
          <w:color w:val="auto"/>
        </w:rPr>
      </w:pPr>
    </w:p>
    <w:p>
      <w:pPr>
        <w:ind w:left="300" w:right="499" w:firstLine="2001"/>
        <w:spacing w:after="0" w:line="254" w:lineRule="auto"/>
        <w:tabs>
          <w:tab w:leader="none" w:pos="2741" w:val="left"/>
        </w:tabs>
        <w:numPr>
          <w:ilvl w:val="3"/>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outstanding Stock Awards then held by Executive shall become fully vested and exercisable with respect to all of the shares subject thereto effective immediately prior to Executive’s Separation from Service under this Section 3(a). Notwithstanding the foregoing, in the event that Executive would be entitled to a greater level of severance benefits under the terms and conditions of a severance plan or policy provided by the Company or its successor to other Company employees being terminated in connection with or within twelve (12) months following a Change in Control but for the existence of this Agreement (the “Change in Control Benefits”), Executive shall be entitled to receive the greater of the severance benefits under this Section 3(a) or the Change in Control Benefits, subject to the applicable terms and conditions thereof.</w:t>
      </w:r>
    </w:p>
    <w:p>
      <w:pPr>
        <w:spacing w:after="0" w:line="191" w:lineRule="exact"/>
        <w:rPr>
          <w:rFonts w:ascii="Times New Roman" w:cs="Times New Roman" w:eastAsia="Times New Roman" w:hAnsi="Times New Roman"/>
          <w:sz w:val="18"/>
          <w:szCs w:val="18"/>
          <w:b w:val="1"/>
          <w:bCs w:val="1"/>
          <w:color w:val="auto"/>
        </w:rPr>
      </w:pPr>
    </w:p>
    <w:p>
      <w:pPr>
        <w:jc w:val="both"/>
        <w:ind w:left="300" w:right="499" w:firstLine="1288"/>
        <w:spacing w:after="0" w:line="261" w:lineRule="auto"/>
        <w:tabs>
          <w:tab w:leader="none" w:pos="18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Upon Certain Other Terminations</w:t>
      </w:r>
      <w:r>
        <w:rPr>
          <w:rFonts w:ascii="Times New Roman" w:cs="Times New Roman" w:eastAsia="Times New Roman" w:hAnsi="Times New Roman"/>
          <w:sz w:val="18"/>
          <w:szCs w:val="18"/>
          <w:color w:val="auto"/>
        </w:rPr>
        <w:t>. If Executive’s employment is terminated by the Company without Cause, and other than as a result of death or disability, under circumstances other than those set forth in in the foregoing provisions of this Section 3, and provided that Executive delivers an effective release of claims as required under Section 4 below, then Executive shall be entitled to the following severance benefits:</w:t>
      </w:r>
    </w:p>
    <w:p>
      <w:pPr>
        <w:spacing w:after="0" w:line="193" w:lineRule="exact"/>
        <w:rPr>
          <w:rFonts w:ascii="Times New Roman" w:cs="Times New Roman" w:eastAsia="Times New Roman" w:hAnsi="Times New Roman"/>
          <w:sz w:val="18"/>
          <w:szCs w:val="18"/>
          <w:color w:val="auto"/>
        </w:rPr>
      </w:pPr>
    </w:p>
    <w:p>
      <w:pPr>
        <w:ind w:left="300" w:right="659" w:firstLine="2053"/>
        <w:spacing w:after="0" w:line="261" w:lineRule="auto"/>
        <w:tabs>
          <w:tab w:leader="none" w:pos="2741" w:val="left"/>
        </w:tabs>
        <w:numPr>
          <w:ilvl w:val="2"/>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Executive an amount equal to twelve (12) months of Executive’s then current base salary, less all applicable withholdings and deductions, paid over such twelve (12) month period immediately following the Separation from Service in accordance with the Company’s regular payroll practices, on the schedule described in Section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1407160</wp:posOffset>
            </wp:positionV>
            <wp:extent cx="608584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ind w:left="300" w:right="439" w:firstLine="2001"/>
        <w:spacing w:after="0" w:line="253" w:lineRule="auto"/>
        <w:tabs>
          <w:tab w:leader="none" w:pos="2741"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Executive’s COBRA Premiums for a period ending on the earlier of the twelve (12) month anniversary of the Separation from Service or the date on which Executive becomes eligible to be covered by the health care plans of another employer; provided however that any Company obligation under this paragraph requires that Executive timely elects COBRA continuation coverage as required by applicable law. Notwithstanding the foregoing, if the Company determines, in its sole discretion, that the Company cannot pay the COBRA Premiums without potentially incurring financial costs or penalties under applicable law (including, without limitation, Section 2716 of the Public Health Service Act), the Company shall in lieu thereof pay the Health Care Benefit Payment. The Health Care Benefit Payment shall be paid in monthly installments on the same schedule that the COBRA Premiums would otherwise have been paid to the insurer. The Health Care Benefit Payment shall be equal to the amount that the Company would have otherwise paid for COBRA Premiums (which amount shall be calculated based on the premium for the first month of coverage), and shall be paid until the expiration of the period during which the COBRA Premiums would have been paid.</w:t>
      </w:r>
    </w:p>
    <w:p>
      <w:pPr>
        <w:spacing w:after="0" w:line="257" w:lineRule="exact"/>
        <w:rPr>
          <w:rFonts w:ascii="Times New Roman" w:cs="Times New Roman" w:eastAsia="Times New Roman" w:hAnsi="Times New Roman"/>
          <w:sz w:val="18"/>
          <w:szCs w:val="18"/>
          <w:b w:val="1"/>
          <w:bCs w:val="1"/>
          <w:color w:val="auto"/>
        </w:rPr>
      </w:pPr>
    </w:p>
    <w:p>
      <w:pPr>
        <w:ind w:left="300" w:right="459" w:firstLine="640"/>
        <w:spacing w:after="0" w:line="251" w:lineRule="auto"/>
        <w:tabs>
          <w:tab w:leader="none" w:pos="14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Prior to Payment of Severance Benefits</w:t>
      </w:r>
      <w:r>
        <w:rPr>
          <w:rFonts w:ascii="Times New Roman" w:cs="Times New Roman" w:eastAsia="Times New Roman" w:hAnsi="Times New Roman"/>
          <w:sz w:val="18"/>
          <w:szCs w:val="18"/>
          <w:color w:val="auto"/>
        </w:rPr>
        <w:t xml:space="preserve">. Prior to the payment of any of the Severance Benefits, Executive shall execute, and allow to become effective, a customary and standard employment release agreement in substantially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releasing the Company (and its successor) from any and all claims Executive may have against such entities related to or arising in connection with his or her employment and the terms of such employment and termination thereof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within the time frame set forth therein, but not later than sixty (60) days following Executive’s Separation from Service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Such Release shall specifically relate to all of Executive’s rights and claims in existence at the time of such execution and shall confirm Executive’s continuing obligations to the Company (including but not limited to obligations under any confidentiality and/or non- solicitation agreement with the Company). No Severance Benefits will be paid prior to the Release Effective Date. Within five (5) days following the Release Effective Date, the Company will pay Executive the Severance Benefits Executive would otherwise have received on or prior to such date but for the delay in payment related to the effectiveness of the Release, with the balance of the benefits being paid as originally scheduled. Unless a Change in Control has occurred, the Board, in its sole discretion, may modify the form of the required Release to comply with applicable law and shall determine the form of the required Release, which may be incorporated into a termination agreement or other agreement with Executive. Notwithstanding the foregoing, if the Company (or, if applicable, the successor entity thereto) determines that any of the Severance Benefits constitute “deferred compensation” under Section 409A (defined below), then, solely to the extent necessary to avoid the incurrence of the adverse personal tax consequences under Section 409A, no Severance Benefits will be paid prior to the sixtieth (60th) day following Executive’s Separation from Service. On the sixtieth (60th) day following the date of Separation from Service, the Company will pay to Executive in a lump sum the applicable Severance Benefits that Executive would otherwise have received on or prior to such date, with the balance of the Severance Benefits being paid as originally scheduled.</w:t>
      </w:r>
    </w:p>
    <w:p>
      <w:pPr>
        <w:spacing w:after="0" w:line="286" w:lineRule="exact"/>
        <w:rPr>
          <w:rFonts w:ascii="Times New Roman" w:cs="Times New Roman" w:eastAsia="Times New Roman" w:hAnsi="Times New Roman"/>
          <w:sz w:val="18"/>
          <w:szCs w:val="18"/>
          <w:color w:val="auto"/>
        </w:rPr>
      </w:pPr>
    </w:p>
    <w:p>
      <w:pPr>
        <w:ind w:left="300" w:right="679" w:firstLine="640"/>
        <w:spacing w:after="0" w:line="257" w:lineRule="auto"/>
        <w:tabs>
          <w:tab w:leader="none" w:pos="14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If any payment or benefit (including payments and benefits pursuant to this Agreement) that Executive would receive in connection with a Change in Control from the Company or otherwise (“</w:t>
      </w:r>
      <w:r>
        <w:rPr>
          <w:rFonts w:ascii="Times New Roman" w:cs="Times New Roman" w:eastAsia="Times New Roman" w:hAnsi="Times New Roman"/>
          <w:sz w:val="18"/>
          <w:szCs w:val="18"/>
          <w:u w:val="single" w:color="auto"/>
          <w:color w:val="auto"/>
        </w:rPr>
        <w:t>Transaction Payment</w:t>
      </w:r>
      <w:r>
        <w:rPr>
          <w:rFonts w:ascii="Times New Roman" w:cs="Times New Roman" w:eastAsia="Times New Roman" w:hAnsi="Times New Roman"/>
          <w:sz w:val="18"/>
          <w:szCs w:val="18"/>
          <w:color w:val="auto"/>
        </w:rPr>
        <w:t>”) would (i) constitute a “parachute payment” within the meaning of Section</w:t>
      </w:r>
    </w:p>
    <w:p>
      <w:pPr>
        <w:spacing w:after="0" w:line="1" w:lineRule="exact"/>
        <w:rPr>
          <w:rFonts w:ascii="Times New Roman" w:cs="Times New Roman" w:eastAsia="Times New Roman" w:hAnsi="Times New Roman"/>
          <w:sz w:val="18"/>
          <w:szCs w:val="18"/>
          <w:color w:val="auto"/>
        </w:rPr>
      </w:pPr>
    </w:p>
    <w:p>
      <w:pPr>
        <w:ind w:left="3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280G of the Code, and (ii) but for this sentence, be subject to the excise tax imposed by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Company shall cause to be determined, before any amounts of the Transaction Payment are paid to Executive, which of the following two alternative forms of payment would result in Executive’s receipt, on an after-tax basis, of the greater amount of the Transaction Payment notwithstanding that all or some portion of the Transaction Payment may be subject to the Excise Tax: (1) payment in full of the entire amount of the Transaction Payment (a “</w:t>
      </w:r>
      <w:r>
        <w:rPr>
          <w:rFonts w:ascii="Times New Roman" w:cs="Times New Roman" w:eastAsia="Times New Roman" w:hAnsi="Times New Roman"/>
          <w:sz w:val="18"/>
          <w:szCs w:val="18"/>
          <w:u w:val="single" w:color="auto"/>
          <w:color w:val="auto"/>
        </w:rPr>
        <w:t>Full Payment</w:t>
      </w:r>
      <w:r>
        <w:rPr>
          <w:rFonts w:ascii="Times New Roman" w:cs="Times New Roman" w:eastAsia="Times New Roman" w:hAnsi="Times New Roman"/>
          <w:sz w:val="18"/>
          <w:szCs w:val="18"/>
          <w:color w:val="auto"/>
        </w:rPr>
        <w:t>”), or (2) payment of only a part of the Transaction Payment so that Executive receives the largest payment possible without the imposition of the Excise Tax (a “</w:t>
      </w:r>
      <w:r>
        <w:rPr>
          <w:rFonts w:ascii="Times New Roman" w:cs="Times New Roman" w:eastAsia="Times New Roman" w:hAnsi="Times New Roman"/>
          <w:sz w:val="18"/>
          <w:szCs w:val="18"/>
          <w:u w:val="single" w:color="auto"/>
          <w:color w:val="auto"/>
        </w:rPr>
        <w:t>Reduced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will occur in the following order: (1) reduction of cash payments; (2) cancellation of accelerated vesting of equity awards other than stock options; (3) cancellation of accelerated vesting of stock options; and (4) reduction of other benefits paid to Executive. In the event that acceleration of vesting of equity award compensation is to be reduced, such acceleration of vesting will be cancelled in the reverse order of the date of grant of Executive’s equity awards. In no event will the Company or any stockholder be liable to Executive for any amounts not paid as a result of the operation of this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668020</wp:posOffset>
            </wp:positionV>
            <wp:extent cx="608584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6" w:name="page117"/>
    <w:bookmarkEnd w:id="116"/>
    <w:p>
      <w:pPr>
        <w:spacing w:after="0" w:line="261" w:lineRule="exact"/>
        <w:rPr>
          <w:sz w:val="20"/>
          <w:szCs w:val="20"/>
          <w:color w:val="auto"/>
        </w:rPr>
      </w:pPr>
    </w:p>
    <w:p>
      <w:pPr>
        <w:ind w:left="300" w:right="499" w:firstLine="1288"/>
        <w:spacing w:after="0" w:line="276" w:lineRule="auto"/>
        <w:tabs>
          <w:tab w:leader="none" w:pos="1863"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professional firm engaged by the Company for general tax purposes as of the day prior to the effective date of the Change in Control shall make all determinations required to be made under this Section</w:t>
      </w:r>
    </w:p>
    <w:p>
      <w:pPr>
        <w:ind w:left="300" w:right="459" w:hanging="8"/>
        <w:spacing w:after="0" w:line="253" w:lineRule="auto"/>
        <w:tabs>
          <w:tab w:leader="none" w:pos="52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88" w:lineRule="exact"/>
        <w:rPr>
          <w:rFonts w:ascii="Times New Roman" w:cs="Times New Roman" w:eastAsia="Times New Roman" w:hAnsi="Times New Roman"/>
          <w:sz w:val="18"/>
          <w:szCs w:val="18"/>
          <w:color w:val="auto"/>
        </w:rPr>
      </w:pPr>
    </w:p>
    <w:p>
      <w:pPr>
        <w:ind w:left="300" w:right="599" w:firstLine="1288"/>
        <w:spacing w:after="0" w:line="254" w:lineRule="auto"/>
        <w:tabs>
          <w:tab w:leader="none" w:pos="186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272" w:lineRule="exact"/>
        <w:rPr>
          <w:rFonts w:ascii="Times New Roman" w:cs="Times New Roman" w:eastAsia="Times New Roman" w:hAnsi="Times New Roman"/>
          <w:sz w:val="18"/>
          <w:szCs w:val="18"/>
          <w:color w:val="auto"/>
        </w:rPr>
      </w:pPr>
    </w:p>
    <w:p>
      <w:pPr>
        <w:ind w:left="1420" w:hanging="480"/>
        <w:spacing w:after="0"/>
        <w:tabs>
          <w:tab w:leader="none" w:pos="14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p>
    <w:p>
      <w:pPr>
        <w:spacing w:after="0" w:line="292" w:lineRule="exact"/>
        <w:rPr>
          <w:rFonts w:ascii="Times New Roman" w:cs="Times New Roman" w:eastAsia="Times New Roman" w:hAnsi="Times New Roman"/>
          <w:sz w:val="18"/>
          <w:szCs w:val="18"/>
          <w:color w:val="auto"/>
        </w:rPr>
      </w:pPr>
    </w:p>
    <w:p>
      <w:pPr>
        <w:ind w:left="300" w:right="439" w:firstLine="1288"/>
        <w:spacing w:after="0" w:line="255" w:lineRule="auto"/>
        <w:tabs>
          <w:tab w:leader="none" w:pos="1863"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Successors</w:t>
      </w:r>
      <w:r>
        <w:rPr>
          <w:rFonts w:ascii="Times New Roman" w:cs="Times New Roman" w:eastAsia="Times New Roman" w:hAnsi="Times New Roman"/>
          <w:sz w:val="18"/>
          <w:szCs w:val="18"/>
          <w:color w:val="auto"/>
        </w:rPr>
        <w:t>. Any successor to the Company (whether direct or indirect and whether by purchase, lease, merger, consolidation, liquidation or otherwise) to all or substantially all of the Company’s business and/or assets shall assume the Company’s, or ensure that the Company fully performs its, obligations under this Agreement and shall perform the Company’s, or ensure that the Company performs its, obligations, under this Agreement in the same manner and to the same extent as the Company would be required to perform such obligations in the absence of a succession. For all purposes under this Agreement, the term “Company” shall include any such successor.</w:t>
      </w:r>
    </w:p>
    <w:p>
      <w:pPr>
        <w:spacing w:after="0" w:line="188" w:lineRule="exact"/>
        <w:rPr>
          <w:rFonts w:ascii="Times New Roman" w:cs="Times New Roman" w:eastAsia="Times New Roman" w:hAnsi="Times New Roman"/>
          <w:sz w:val="18"/>
          <w:szCs w:val="18"/>
          <w:color w:val="auto"/>
        </w:rPr>
      </w:pPr>
    </w:p>
    <w:p>
      <w:pPr>
        <w:ind w:left="300" w:right="559" w:firstLine="1288"/>
        <w:spacing w:after="0" w:line="258" w:lineRule="auto"/>
        <w:tabs>
          <w:tab w:leader="none" w:pos="1862"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Without the written consent of the Company, Executive shall not assign or transfer any right or obligation under this Agreement to any other person or entity. Notwithstanding the foregoing,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96"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300" w:right="539" w:firstLine="1288"/>
        <w:spacing w:after="0" w:line="256" w:lineRule="auto"/>
        <w:tabs>
          <w:tab w:leader="none" w:pos="18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335" w:lineRule="exact"/>
        <w:rPr>
          <w:rFonts w:ascii="Times New Roman" w:cs="Times New Roman" w:eastAsia="Times New Roman" w:hAnsi="Times New Roman"/>
          <w:sz w:val="18"/>
          <w:szCs w:val="18"/>
          <w:color w:val="auto"/>
        </w:rPr>
      </w:pPr>
    </w:p>
    <w:p>
      <w:pPr>
        <w:ind w:left="300" w:right="659" w:firstLine="1288"/>
        <w:spacing w:after="0" w:line="266" w:lineRule="auto"/>
        <w:tabs>
          <w:tab w:leader="none" w:pos="186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by the Company with or without Cause or by Executive as a result of a voluntary resignation for any reason shall be communicated by a notice of termination to the other party hereto given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1816735</wp:posOffset>
            </wp:positionV>
            <wp:extent cx="608584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45" w:lineRule="exact"/>
        <w:rPr>
          <w:sz w:val="20"/>
          <w:szCs w:val="20"/>
          <w:color w:val="auto"/>
        </w:rPr>
      </w:pPr>
    </w:p>
    <w:p>
      <w:pPr>
        <w:ind w:left="300" w:right="459" w:firstLine="640"/>
        <w:spacing w:after="0" w:line="252" w:lineRule="auto"/>
        <w:tabs>
          <w:tab w:leader="none" w:pos="141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Company and Executive shall attempt to settle any disputes arising in connection with this Agreement through good faith consultation. In the event that Executive and the Company are not able to resolve any such disputes within fifteen (15) days after notification in writing to the other, any dispute or claim arising out of or in connection with this Agreement will be finally settled by binding arbitration in San Francisco, California in accordance with the rules of the American Arbitration Association by one arbitrator mutually agreed upon by the parties. The arbitrator will apply California law, without reference to rules of conflicts of law or rules of statutory arbitration, to the resolution of any dispute. Except as set forth in Section 10(h) below, the arbitrator shall not have authority to modify the terms of this Agreement. The Company shall pay the costs of the arbitration proceeding. Each party shall, unless otherwise determined by the arbitrator, bear its or his or her own attorneys’ fees and expenses, provided however that if Executive prevails in an arbitration proceeding, the Company shall reimburse Executive for his or her reasonable attorneys' fees and costs. Judgment on the award rendered by the arbitrator may be entered in any court having jurisdiction thereof. Notwithstanding the foregoing, the Company and Executive may apply to any court of competent jurisdiction for preliminary or interim equitable relief, or to compel arbitration in accordance with this paragraph, without breach of this arbitration provision.</w:t>
      </w:r>
    </w:p>
    <w:p>
      <w:pPr>
        <w:spacing w:after="0" w:line="197" w:lineRule="exact"/>
        <w:rPr>
          <w:rFonts w:ascii="Times New Roman" w:cs="Times New Roman" w:eastAsia="Times New Roman" w:hAnsi="Times New Roman"/>
          <w:sz w:val="18"/>
          <w:szCs w:val="18"/>
          <w:color w:val="auto"/>
        </w:rPr>
      </w:pPr>
    </w:p>
    <w:p>
      <w:pPr>
        <w:ind w:left="1400" w:hanging="460"/>
        <w:spacing w:after="0"/>
        <w:tabs>
          <w:tab w:leader="none" w:pos="14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shall have the following</w:t>
      </w:r>
    </w:p>
    <w:p>
      <w:pPr>
        <w:spacing w:after="0" w:line="27"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meanings:</w:t>
      </w:r>
    </w:p>
    <w:p>
      <w:pPr>
        <w:spacing w:after="0" w:line="220" w:lineRule="exact"/>
        <w:rPr>
          <w:rFonts w:ascii="Times New Roman" w:cs="Times New Roman" w:eastAsia="Times New Roman" w:hAnsi="Times New Roman"/>
          <w:sz w:val="18"/>
          <w:szCs w:val="18"/>
          <w:color w:val="auto"/>
        </w:rPr>
      </w:pPr>
    </w:p>
    <w:p>
      <w:pPr>
        <w:ind w:left="300" w:right="419" w:firstLine="1288"/>
        <w:spacing w:after="0" w:line="253" w:lineRule="auto"/>
        <w:tabs>
          <w:tab w:leader="none" w:pos="1865"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termination of Executive’s employment will exist if Executive is terminated by the Company for any of the following reasons: (i) Executive’s willful failure substantially to perform his or her duties and responsibilities to the Company or deliberate violation of a Company policy; (ii) Executive’s commission of any act of fraud, embezzlement, dishonesty or any other willful misconduct that has caused or is reasonably expected to result in material injury to the Company; (iii) unauthorized use or disclosure by Executive of any proprietary information or trade secrets of the Company or any other party to whom Executive owes an obligation of nondisclosure as a result of his or her relationship with the Company; or</w:t>
      </w:r>
    </w:p>
    <w:p>
      <w:pPr>
        <w:spacing w:after="0" w:line="2" w:lineRule="exact"/>
        <w:rPr>
          <w:rFonts w:ascii="Times New Roman" w:cs="Times New Roman" w:eastAsia="Times New Roman" w:hAnsi="Times New Roman"/>
          <w:sz w:val="18"/>
          <w:szCs w:val="18"/>
          <w:color w:val="auto"/>
        </w:rPr>
      </w:pPr>
    </w:p>
    <w:p>
      <w:pPr>
        <w:ind w:left="300" w:right="499" w:hanging="4"/>
        <w:spacing w:after="0" w:line="252" w:lineRule="auto"/>
        <w:tabs>
          <w:tab w:leader="none" w:pos="6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breach of any of his or her obligations under any written agreement or covenant with the Company. The determination as to whether Executive is being terminated for Cause shall be made in good faith by the Company and shall be final and binding on Executive. The foregoing definition does not in any way limit the Company’s ability to terminate Executive’s employment relationship at any time as provided in Sections 1 and 10(d) of this Agreement, and the term “Company” will be interpreted to include any subsidiary, parent or affiliate of the Company, as appropriate.</w:t>
      </w:r>
    </w:p>
    <w:p>
      <w:pPr>
        <w:spacing w:after="0" w:line="257" w:lineRule="exact"/>
        <w:rPr>
          <w:rFonts w:ascii="Times New Roman" w:cs="Times New Roman" w:eastAsia="Times New Roman" w:hAnsi="Times New Roman"/>
          <w:sz w:val="18"/>
          <w:szCs w:val="18"/>
          <w:color w:val="auto"/>
        </w:rPr>
      </w:pPr>
    </w:p>
    <w:p>
      <w:pPr>
        <w:ind w:left="300" w:right="419" w:firstLine="1288"/>
        <w:spacing w:after="0" w:line="253" w:lineRule="auto"/>
        <w:tabs>
          <w:tab w:leader="none" w:pos="1864"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first to occur of any of the following transactions that also constitutes a change in the ownership or effective control of the Company, or a change in the ownership of a substantial portion of the Company’s assets, as described in Treasury Regulation Section 1.409A-3(i)(5): (A) a merger or consolidation in which the Company is not the surviving entity, except for a transaction the principal purpose of which is to change the state in which the Company is incorporated; (B) the sale, transfer or other disposition of all or substantially all of the assets of the Company (including the capital stock of the Company’s subsidiary corporations); (C) any reverse merger in which the Company is the surviving entity but in which securities possessing more than fifty percent (50%) of the total combined voting power of the Company’s outstanding securities are transferred to a person or persons different from those who held such securities immediately prior to such merger; or (D) an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2012315</wp:posOffset>
            </wp:positionV>
            <wp:extent cx="608584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ind w:left="300" w:right="419" w:firstLine="1288"/>
        <w:spacing w:after="0" w:line="252" w:lineRule="auto"/>
        <w:tabs>
          <w:tab w:leader="none" w:pos="18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for Executive's resignation of his or her employment shall exist following the occurrence of any of the following without Executive’s written consent: (i) a material reduction in job duties or responsibilities inconsistent with the Executive’s position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reduction or change after a Change in Control will not constitute Good Reason if Executive retains reasonably comparable duties, and responsibilities with respect to the Company’s business within the successor entity following a Change of Control; (ii) a material reduction of Executive’s then current base salary or target bonus; (iii) the relocation of Executive’s principal place of employment to a place that increases Executive’s one-way commute by more than forty (40) miles as compared to Executive’s then current principal place of employment immediately prior to such relocation; (iv) any material breach by the Company of the Plan or any other written agreement between the Company and the Executive; or (v) the failure by any successor to the Company to assume the Plan and any obligations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Executive gives written notice to the Company of the event forming the basis of the termination for Good Reason within sixty (60) days after the date on which the Company gives written notice to the Executive of the Company’s affirmative decision to take an action set forth in clause (i), (ii), (iii), (iv) or (v) above, the Company fails to cure such basis for the Good Reason resignation within thirty (30) days after receipt of Executive’s written notice and Executive terminates his or her employment within thirty (30) days following the expiration of the cure period.</w:t>
      </w:r>
    </w:p>
    <w:p>
      <w:pPr>
        <w:spacing w:after="0" w:line="208" w:lineRule="exact"/>
        <w:rPr>
          <w:rFonts w:ascii="Times New Roman" w:cs="Times New Roman" w:eastAsia="Times New Roman" w:hAnsi="Times New Roman"/>
          <w:sz w:val="18"/>
          <w:szCs w:val="18"/>
          <w:color w:val="auto"/>
        </w:rPr>
      </w:pPr>
    </w:p>
    <w:p>
      <w:pPr>
        <w:ind w:left="300" w:right="519" w:firstLine="1288"/>
        <w:spacing w:after="0" w:line="261" w:lineRule="auto"/>
        <w:tabs>
          <w:tab w:leader="none" w:pos="186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collectively refers to (i) Company’s Amended and Restated 2005 Stock Plan, adopted by the Board on February 17, 2005, as amended from time to time, (ii) Company’s 2014 Equity Incentive Plan, adopted by the Board on September 9, 2014, as amended from time to time, and (iii) any preceding and succeeding plans thereto.</w:t>
      </w:r>
    </w:p>
    <w:p>
      <w:pPr>
        <w:spacing w:after="0" w:line="179" w:lineRule="exact"/>
        <w:rPr>
          <w:rFonts w:ascii="Times New Roman" w:cs="Times New Roman" w:eastAsia="Times New Roman" w:hAnsi="Times New Roman"/>
          <w:sz w:val="18"/>
          <w:szCs w:val="18"/>
          <w:color w:val="auto"/>
        </w:rPr>
      </w:pPr>
    </w:p>
    <w:p>
      <w:pPr>
        <w:ind w:left="300" w:right="479" w:firstLine="1288"/>
        <w:spacing w:after="0" w:line="254" w:lineRule="auto"/>
        <w:tabs>
          <w:tab w:leader="none" w:pos="186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Stock Award(s)</w:t>
      </w:r>
      <w:r>
        <w:rPr>
          <w:rFonts w:ascii="Times New Roman" w:cs="Times New Roman" w:eastAsia="Times New Roman" w:hAnsi="Times New Roman"/>
          <w:sz w:val="18"/>
          <w:szCs w:val="18"/>
          <w:color w:val="auto"/>
        </w:rPr>
        <w:t xml:space="preserve">” means any right to receive or purchase equity of the Company or other equity based award or compensation as granted under the Plan, including without limitation an Incentive Stock Option, a Nonstatutory Stock Option, a Stock Purchase Award, a Stock Bonus Award, a Restricted Stock Award, a Restricted Stock Unit Award, a Stock Unit Award, a Stock Appreciation Right, a Performance Stock Award or any Other Stock Award, each of the foregoing as defined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Stock Award shall not include any of the foregoing awards to the extent that the grant documentation evidencing such award explicitly provides that the terms of this Agreement shall be superseded by the provisions of such grant documentation.</w:t>
      </w:r>
    </w:p>
    <w:p>
      <w:pPr>
        <w:spacing w:after="0" w:line="259"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92" w:lineRule="exact"/>
        <w:rPr>
          <w:rFonts w:ascii="Times New Roman" w:cs="Times New Roman" w:eastAsia="Times New Roman" w:hAnsi="Times New Roman"/>
          <w:sz w:val="18"/>
          <w:szCs w:val="18"/>
          <w:color w:val="auto"/>
        </w:rPr>
      </w:pPr>
    </w:p>
    <w:p>
      <w:pPr>
        <w:ind w:left="300" w:right="419" w:firstLine="1288"/>
        <w:spacing w:after="0" w:line="256" w:lineRule="auto"/>
        <w:tabs>
          <w:tab w:leader="none" w:pos="186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Obligations</w:t>
      </w:r>
      <w:r>
        <w:rPr>
          <w:rFonts w:ascii="Times New Roman" w:cs="Times New Roman" w:eastAsia="Times New Roman" w:hAnsi="Times New Roman"/>
          <w:sz w:val="18"/>
          <w:szCs w:val="18"/>
          <w:color w:val="auto"/>
        </w:rPr>
        <w:t>. Notwithstanding anything to the contrary contained herein, payment of any of the Severance Benefits will be conditioned upon (i) Executive continuing to comply with his or her obligations under his or her Confidential Information, Secrecy and Invention Agreement during the period of time in which Executive is receiving the Severance Benefits; and (ii) if Executive is a member of the Board, Executive’s resignation from the Board, to be effective no later than the date of Separation from Service (or such other date as requested by the Board).</w:t>
      </w:r>
    </w:p>
    <w:p>
      <w:pPr>
        <w:spacing w:after="0" w:line="200" w:lineRule="exact"/>
        <w:rPr>
          <w:rFonts w:ascii="Times New Roman" w:cs="Times New Roman" w:eastAsia="Times New Roman" w:hAnsi="Times New Roman"/>
          <w:sz w:val="18"/>
          <w:szCs w:val="18"/>
          <w:color w:val="auto"/>
        </w:rPr>
      </w:pPr>
    </w:p>
    <w:p>
      <w:pPr>
        <w:ind w:left="300" w:right="479" w:firstLine="1288"/>
        <w:spacing w:after="0" w:line="261" w:lineRule="auto"/>
        <w:tabs>
          <w:tab w:leader="none" w:pos="186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Statutory Benefits</w:t>
      </w:r>
      <w:r>
        <w:rPr>
          <w:rFonts w:ascii="Times New Roman" w:cs="Times New Roman" w:eastAsia="Times New Roman" w:hAnsi="Times New Roman"/>
          <w:sz w:val="18"/>
          <w:szCs w:val="18"/>
          <w:color w:val="auto"/>
        </w:rPr>
        <w:t>. To the extent that any severance benefits are required to be paid to Executive upon termination of employment with the Company as a result of any requirement of law or any governmental entity in any applicable jurisdiction, the aggregate amount of severance benefits payable pursuant to Section 3 hereof shall not be reduced by such amount.</w:t>
      </w:r>
    </w:p>
    <w:p>
      <w:pPr>
        <w:spacing w:after="0" w:line="179" w:lineRule="exact"/>
        <w:rPr>
          <w:rFonts w:ascii="Times New Roman" w:cs="Times New Roman" w:eastAsia="Times New Roman" w:hAnsi="Times New Roman"/>
          <w:sz w:val="18"/>
          <w:szCs w:val="18"/>
          <w:color w:val="auto"/>
        </w:rPr>
      </w:pPr>
    </w:p>
    <w:p>
      <w:pPr>
        <w:ind w:left="300" w:right="539" w:firstLine="1288"/>
        <w:spacing w:after="0" w:line="266" w:lineRule="auto"/>
        <w:tabs>
          <w:tab w:leader="none" w:pos="1862"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shall not be required to mitigate the amount of any payment contemplated by this Agreement, nor shall any such payment be reduced by any earnings that Executive may receive from any other source.</w:t>
      </w:r>
    </w:p>
    <w:p>
      <w:pPr>
        <w:spacing w:after="0" w:line="175" w:lineRule="exact"/>
        <w:rPr>
          <w:rFonts w:ascii="Times New Roman" w:cs="Times New Roman" w:eastAsia="Times New Roman" w:hAnsi="Times New Roman"/>
          <w:sz w:val="18"/>
          <w:szCs w:val="18"/>
          <w:color w:val="auto"/>
        </w:rPr>
      </w:pPr>
    </w:p>
    <w:p>
      <w:pPr>
        <w:ind w:left="300" w:right="459" w:firstLine="1288"/>
        <w:spacing w:after="0" w:line="266" w:lineRule="auto"/>
        <w:tabs>
          <w:tab w:leader="none" w:pos="186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 Status</w:t>
      </w:r>
      <w:r>
        <w:rPr>
          <w:rFonts w:ascii="Times New Roman" w:cs="Times New Roman" w:eastAsia="Times New Roman" w:hAnsi="Times New Roman"/>
          <w:sz w:val="18"/>
          <w:szCs w:val="18"/>
          <w:color w:val="auto"/>
        </w:rPr>
        <w:t>. Nothing in this Agreement modifies Executive’s at-will employment status. Either Executive or the Company can terminate the employment relationship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1036320</wp:posOffset>
            </wp:positionV>
            <wp:extent cx="608584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9" w:name="page120"/>
    <w:bookmarkEnd w:id="119"/>
    <w:p>
      <w:pPr>
        <w:jc w:val="both"/>
        <w:ind w:left="300" w:right="579" w:firstLine="1288"/>
        <w:spacing w:after="0" w:line="258" w:lineRule="auto"/>
        <w:tabs>
          <w:tab w:leader="none" w:pos="18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may be waived or discharged unless the waiver or discharge is agreed to in writing and signed by the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6" w:lineRule="exact"/>
        <w:rPr>
          <w:rFonts w:ascii="Times New Roman" w:cs="Times New Roman" w:eastAsia="Times New Roman" w:hAnsi="Times New Roman"/>
          <w:sz w:val="18"/>
          <w:szCs w:val="18"/>
          <w:color w:val="auto"/>
        </w:rPr>
      </w:pPr>
    </w:p>
    <w:p>
      <w:pPr>
        <w:ind w:left="300" w:right="399" w:firstLine="1288"/>
        <w:spacing w:after="0" w:line="256" w:lineRule="auto"/>
        <w:tabs>
          <w:tab w:leader="none" w:pos="18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or contemporaneous agreements, whether written or oral, with respect to this Agreement; provided that, for clarification purposes, this Agreement shall not affect any agreements between the Company and Executive regarding intellectual property matters, non-solicitation or non-competition restrictions or confidential information of the Company. This Agreement expressly supersedes and terminates all Change in Control and Severance Agreements entered into by and between Company and Executive prior to the Effective Date.</w:t>
      </w:r>
    </w:p>
    <w:p>
      <w:pPr>
        <w:spacing w:after="0" w:line="187" w:lineRule="exact"/>
        <w:rPr>
          <w:rFonts w:ascii="Times New Roman" w:cs="Times New Roman" w:eastAsia="Times New Roman" w:hAnsi="Times New Roman"/>
          <w:sz w:val="18"/>
          <w:szCs w:val="18"/>
          <w:color w:val="auto"/>
        </w:rPr>
      </w:pPr>
    </w:p>
    <w:p>
      <w:pPr>
        <w:ind w:left="300" w:right="499" w:firstLine="1288"/>
        <w:spacing w:after="0" w:line="312" w:lineRule="auto"/>
        <w:tabs>
          <w:tab w:leader="none" w:pos="186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color w:val="auto"/>
        </w:rPr>
        <w:t>. The validity, interpretation, construction and performance of this Agreement shall be governed by the internal substantive laws, but not the conflicts of law rules, of the State of California.</w:t>
      </w:r>
    </w:p>
    <w:p>
      <w:pPr>
        <w:spacing w:after="0" w:line="153" w:lineRule="exact"/>
        <w:rPr>
          <w:rFonts w:ascii="Times New Roman" w:cs="Times New Roman" w:eastAsia="Times New Roman" w:hAnsi="Times New Roman"/>
          <w:sz w:val="17"/>
          <w:szCs w:val="17"/>
          <w:color w:val="auto"/>
        </w:rPr>
      </w:pPr>
    </w:p>
    <w:p>
      <w:pPr>
        <w:ind w:left="300" w:right="639" w:firstLine="1288"/>
        <w:spacing w:after="0" w:line="266" w:lineRule="auto"/>
        <w:tabs>
          <w:tab w:leader="none" w:pos="18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243" w:lineRule="exact"/>
        <w:rPr>
          <w:rFonts w:ascii="Times New Roman" w:cs="Times New Roman" w:eastAsia="Times New Roman" w:hAnsi="Times New Roman"/>
          <w:sz w:val="18"/>
          <w:szCs w:val="18"/>
          <w:color w:val="auto"/>
        </w:rPr>
      </w:pPr>
    </w:p>
    <w:p>
      <w:pPr>
        <w:ind w:left="300" w:right="599" w:firstLine="1288"/>
        <w:spacing w:after="0" w:line="277" w:lineRule="auto"/>
        <w:tabs>
          <w:tab w:leader="none" w:pos="186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Income and Employment Taxes</w:t>
      </w:r>
      <w:r>
        <w:rPr>
          <w:rFonts w:ascii="Times New Roman" w:cs="Times New Roman" w:eastAsia="Times New Roman" w:hAnsi="Times New Roman"/>
          <w:sz w:val="17"/>
          <w:szCs w:val="17"/>
          <w:color w:val="auto"/>
        </w:rPr>
        <w:t>. Executive is responsible for any applicable taxes of any nature (including any penalties or interest that may apply to such taxes) that the Company reasonably determines apply to any payment made hereunder. Executive’s receipt of any benefit hereunder is conditioned on his or her satisfaction of any applicable withholding or similar obligations that apply to such benefit and any cash payment owed hereunder will be reduced to satisfy any such withholding or similar obligations that may apply.</w:t>
      </w:r>
    </w:p>
    <w:p>
      <w:pPr>
        <w:spacing w:after="0" w:line="167" w:lineRule="exact"/>
        <w:rPr>
          <w:rFonts w:ascii="Times New Roman" w:cs="Times New Roman" w:eastAsia="Times New Roman" w:hAnsi="Times New Roman"/>
          <w:sz w:val="17"/>
          <w:szCs w:val="17"/>
          <w:color w:val="auto"/>
        </w:rPr>
      </w:pPr>
    </w:p>
    <w:p>
      <w:pPr>
        <w:ind w:left="300" w:right="359" w:firstLine="1288"/>
        <w:spacing w:after="0" w:line="252" w:lineRule="auto"/>
        <w:tabs>
          <w:tab w:leader="none" w:pos="18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It is intended that each installment of the payments and benefits provided for in this Agreements constitute a separate “payment” for purposes of Treasury Regulation Section 1.409A-2(b)(2)(i). For the avoidance of doubt, it is intended that payments of the amounts set forth in this Agreement satisfy, to the greatest extent possible, the exemptions from the application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(Section 409A of the Code, together, with any state law of similar effect,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provided under Treasury Regulations 1.409A-1(b)(4), 1.409A-1(b)(5) and 1.409A-1(b)(9). However, if the Company (or, if applicable, the successor entity thereto) determines that the severance payments and benefits provided under this Agreement(the “</w:t>
      </w:r>
      <w:r>
        <w:rPr>
          <w:rFonts w:ascii="Times New Roman" w:cs="Times New Roman" w:eastAsia="Times New Roman" w:hAnsi="Times New Roman"/>
          <w:sz w:val="18"/>
          <w:szCs w:val="18"/>
          <w:u w:val="single" w:color="auto"/>
          <w:color w:val="auto"/>
        </w:rPr>
        <w:t>Agreement Payments</w:t>
      </w:r>
      <w:r>
        <w:rPr>
          <w:rFonts w:ascii="Times New Roman" w:cs="Times New Roman" w:eastAsia="Times New Roman" w:hAnsi="Times New Roman"/>
          <w:sz w:val="18"/>
          <w:szCs w:val="18"/>
          <w:color w:val="auto"/>
        </w:rPr>
        <w:t>”) constitute “deferred compensation” under Section 409A and Executive is, on the date of his or her Separation from Service, a “specified employee” of the Company or any successor entity thereto, as such term is defined in Section 409A(a)(2)(B)(i) of the Code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then, solely to the extent necessary to avoid the incurrence of the adverse personal tax consequences under Section 409A, the timing of the Severance Benefits described in Section 4(b) shall be delayed as follows: on the earlier to occur of (i) the date that is six months and one day after Executive’s Separation from Service or (ii) the date of Executive’s death (such earlier date, the “</w:t>
      </w:r>
      <w:r>
        <w:rPr>
          <w:rFonts w:ascii="Times New Roman" w:cs="Times New Roman" w:eastAsia="Times New Roman" w:hAnsi="Times New Roman"/>
          <w:sz w:val="18"/>
          <w:szCs w:val="18"/>
          <w:u w:val="single" w:color="auto"/>
          <w:color w:val="auto"/>
        </w:rPr>
        <w:t>Delayed Initial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10(j). If a release revocation period spans two calendar years, then amounts will not be paid until the second of the two years to the extent necessary to avoid taxation under Section 409A.</w:t>
      </w:r>
    </w:p>
    <w:p>
      <w:pPr>
        <w:spacing w:after="0" w:line="204" w:lineRule="exact"/>
        <w:rPr>
          <w:rFonts w:ascii="Times New Roman" w:cs="Times New Roman" w:eastAsia="Times New Roman" w:hAnsi="Times New Roman"/>
          <w:sz w:val="18"/>
          <w:szCs w:val="18"/>
          <w:color w:val="auto"/>
        </w:rPr>
      </w:pPr>
    </w:p>
    <w:p>
      <w:pPr>
        <w:ind w:left="300" w:right="799" w:firstLine="1288"/>
        <w:spacing w:after="0" w:line="282" w:lineRule="auto"/>
        <w:tabs>
          <w:tab w:leader="none" w:pos="18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Fees and Expenses</w:t>
      </w:r>
      <w:r>
        <w:rPr>
          <w:rFonts w:ascii="Times New Roman" w:cs="Times New Roman" w:eastAsia="Times New Roman" w:hAnsi="Times New Roman"/>
          <w:sz w:val="18"/>
          <w:szCs w:val="18"/>
          <w:color w:val="auto"/>
        </w:rPr>
        <w:t>. The parties shall each bear their own expenses, legal fees and other fees incurred in connection with the execution of this Agreement.</w:t>
      </w:r>
    </w:p>
    <w:p>
      <w:pPr>
        <w:spacing w:after="0" w:line="175" w:lineRule="exact"/>
        <w:rPr>
          <w:rFonts w:ascii="Times New Roman" w:cs="Times New Roman" w:eastAsia="Times New Roman" w:hAnsi="Times New Roman"/>
          <w:sz w:val="18"/>
          <w:szCs w:val="18"/>
          <w:color w:val="auto"/>
        </w:rPr>
      </w:pPr>
    </w:p>
    <w:p>
      <w:pPr>
        <w:ind w:left="300" w:right="919" w:firstLine="1288"/>
        <w:spacing w:after="0" w:line="282" w:lineRule="auto"/>
        <w:tabs>
          <w:tab w:leader="none" w:pos="18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together will constitute one and the same instrument.</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957580</wp:posOffset>
            </wp:positionV>
            <wp:extent cx="608584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Agreement as of the date first set forth above.</w:t>
      </w:r>
    </w:p>
    <w:p>
      <w:pPr>
        <w:sectPr>
          <w:pgSz w:w="11900" w:h="16838" w:orient="portrait"/>
          <w:cols w:equalWidth="0" w:num="1">
            <w:col w:w="9019"/>
          </w:cols>
          <w:pgMar w:left="1440" w:top="12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[INSERT NAME]</w:t>
      </w:r>
    </w:p>
    <w:p>
      <w:pPr>
        <w:spacing w:after="0" w:line="11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FIBROGEN,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INC.</w:t>
      </w:r>
    </w:p>
    <w:p>
      <w:pPr>
        <w:spacing w:after="0" w:line="8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w:t>
      </w:r>
    </w:p>
    <w:p>
      <w:pPr>
        <w:spacing w:after="0" w:line="1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 [*]</w:t>
      </w:r>
    </w:p>
    <w:p>
      <w:pPr>
        <w:spacing w:after="0" w:line="1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 [*]</w:t>
      </w:r>
    </w:p>
    <w:p>
      <w:pPr>
        <w:spacing w:after="0" w:line="10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5696585</wp:posOffset>
            </wp:positionV>
            <wp:extent cx="631761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6317615" cy="42545"/>
                    </a:xfrm>
                    <a:prstGeom prst="rect">
                      <a:avLst/>
                    </a:prstGeom>
                    <a:noFill/>
                  </pic:spPr>
                </pic:pic>
              </a:graphicData>
            </a:graphic>
          </wp:anchor>
        </w:drawing>
      </w:r>
    </w:p>
    <w:p>
      <w:pPr>
        <w:sectPr>
          <w:pgSz w:w="11900" w:h="16838" w:orient="portrait"/>
          <w:cols w:equalWidth="0" w:num="1">
            <w:col w:w="9019"/>
          </w:cols>
          <w:pgMar w:left="1440" w:top="1224" w:right="1440" w:bottom="1440" w:gutter="0" w:footer="0" w:header="0"/>
          <w:type w:val="continuous"/>
        </w:sectPr>
      </w:pPr>
    </w:p>
    <w:bookmarkStart w:id="121" w:name="page122"/>
    <w:bookmarkEnd w:id="121"/>
    <w:p>
      <w:pPr>
        <w:ind w:left="40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RELEASE AGREEMENT</w:t>
      </w:r>
    </w:p>
    <w:p>
      <w:pPr>
        <w:spacing w:after="0" w:line="3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consideration of receiving certain benefits under my Change in Control and Severance Agreement with FibroGen,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dated _______________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 have agreed to sign this Release. I understand that I am not entitled to benefits under the Agreement unless I sign this Release.</w:t>
      </w:r>
    </w:p>
    <w:p>
      <w:pPr>
        <w:spacing w:after="0" w:line="18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 hereby confirm my obligations under my Confidential Information, Secrecy and Invention Agreement with the Company.</w:t>
      </w:r>
    </w:p>
    <w:p>
      <w:pPr>
        <w:spacing w:after="0" w:line="162" w:lineRule="exact"/>
        <w:rPr>
          <w:sz w:val="20"/>
          <w:szCs w:val="20"/>
          <w:color w:val="auto"/>
        </w:rPr>
      </w:pPr>
    </w:p>
    <w:p>
      <w:pPr>
        <w:jc w:val="both"/>
        <w:ind w:left="300" w:right="299"/>
        <w:spacing w:after="0" w:line="264" w:lineRule="auto"/>
        <w:rPr>
          <w:sz w:val="20"/>
          <w:szCs w:val="20"/>
          <w:color w:val="auto"/>
        </w:rPr>
      </w:pPr>
      <w:r>
        <w:rPr>
          <w:rFonts w:ascii="Times New Roman" w:cs="Times New Roman" w:eastAsia="Times New Roman" w:hAnsi="Times New Roman"/>
          <w:sz w:val="17"/>
          <w:szCs w:val="17"/>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17"/>
          <w:szCs w:val="17"/>
          <w:color w:val="auto"/>
        </w:rPr>
        <w:t>”) from any and all claims, liabilities and obligations, both known and unknown, that arise out of or are in any way related to events, acts, conduct, or omissions occurring prior to my signing this Release (collectively, the “</w:t>
      </w:r>
      <w:r>
        <w:rPr>
          <w:rFonts w:ascii="Times New Roman" w:cs="Times New Roman" w:eastAsia="Times New Roman" w:hAnsi="Times New Roman"/>
          <w:sz w:val="17"/>
          <w:szCs w:val="17"/>
          <w:u w:val="single" w:color="auto"/>
          <w:color w:val="auto"/>
        </w:rPr>
        <w:t>Released Claims</w:t>
      </w:r>
      <w:r>
        <w:rPr>
          <w:rFonts w:ascii="Times New Roman" w:cs="Times New Roman" w:eastAsia="Times New Roman" w:hAnsi="Times New Roman"/>
          <w:sz w:val="17"/>
          <w:szCs w:val="17"/>
          <w:color w:val="auto"/>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Stock Awards,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Times New Roman" w:cs="Times New Roman" w:eastAsia="Times New Roman" w:hAnsi="Times New Roman"/>
          <w:sz w:val="17"/>
          <w:szCs w:val="17"/>
          <w:u w:val="single" w:color="auto"/>
          <w:color w:val="auto"/>
        </w:rPr>
        <w:t>ADEA</w:t>
      </w:r>
      <w:r>
        <w:rPr>
          <w:rFonts w:ascii="Times New Roman" w:cs="Times New Roman" w:eastAsia="Times New Roman" w:hAnsi="Times New Roman"/>
          <w:sz w:val="17"/>
          <w:szCs w:val="17"/>
          <w:color w:val="auto"/>
        </w:rPr>
        <w:t>”), the federal Employee Retirement Income Security Act of 1974 (as amended), and the California Fair Employment and Housing Act (as amended)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7"/>
          <w:szCs w:val="17"/>
          <w:color w:val="auto"/>
        </w:rPr>
        <w:t>. Notwithstanding the foregoing, the following are not included in the Released Claims (the “</w:t>
      </w:r>
      <w:r>
        <w:rPr>
          <w:rFonts w:ascii="Times New Roman" w:cs="Times New Roman" w:eastAsia="Times New Roman" w:hAnsi="Times New Roman"/>
          <w:sz w:val="17"/>
          <w:szCs w:val="17"/>
          <w:u w:val="single" w:color="auto"/>
          <w:color w:val="auto"/>
        </w:rPr>
        <w:t>Excluded Claims</w:t>
      </w:r>
      <w:r>
        <w:rPr>
          <w:rFonts w:ascii="Times New Roman" w:cs="Times New Roman" w:eastAsia="Times New Roman" w:hAnsi="Times New Roman"/>
          <w:sz w:val="17"/>
          <w:szCs w:val="17"/>
          <w:color w:val="auto"/>
        </w:rPr>
        <w:t>”): (1) any rights or claims for indemnification I may have pursuant to any written indemnification agreement with the Company to which I am a party, the charter or bylaws of the Company, or under applicable law; (2) any rights related to vested securities of the Company that were granted to me during the course of my employment with the Company or any shares of capital stock or other securities of the Company that I purchased other than pursuant to Company’s Plan; or (3)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Will need to revise for other states,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1693545</wp:posOffset>
            </wp:positionV>
            <wp:extent cx="61290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319" w:right="1440" w:bottom="1440" w:gutter="0" w:footer="0" w:header="0"/>
        </w:sectPr>
      </w:pPr>
    </w:p>
    <w:bookmarkStart w:id="122" w:name="page123"/>
    <w:bookmarkEnd w:id="122"/>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w:t>
      </w:r>
    </w:p>
    <w:p>
      <w:pPr>
        <w:spacing w:after="0" w:line="1" w:lineRule="exact"/>
        <w:rPr>
          <w:sz w:val="20"/>
          <w:szCs w:val="20"/>
          <w:color w:val="auto"/>
        </w:rPr>
      </w:pPr>
    </w:p>
    <w:p>
      <w:pPr>
        <w:jc w:val="both"/>
        <w:ind w:left="300" w:right="299" w:hanging="8"/>
        <w:spacing w:after="0" w:line="250" w:lineRule="auto"/>
        <w:tabs>
          <w:tab w:leader="none" w:pos="5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Released Claims do not apply to any rights or claims that arise after the date I sign this Release; (b) I should consult with an attorney prior to signing this Release (although I may choose voluntarily not to do so); (c) I have forty-five (45) days to consider this Release (although I may choose to voluntarily sign it sooner); (d) I have seven</w:t>
      </w:r>
    </w:p>
    <w:p>
      <w:pPr>
        <w:spacing w:after="0" w:line="1" w:lineRule="exact"/>
        <w:rPr>
          <w:rFonts w:ascii="Times New Roman" w:cs="Times New Roman" w:eastAsia="Times New Roman" w:hAnsi="Times New Roman"/>
          <w:sz w:val="18"/>
          <w:szCs w:val="18"/>
          <w:color w:val="auto"/>
        </w:rPr>
      </w:pPr>
    </w:p>
    <w:p>
      <w:pPr>
        <w:jc w:val="both"/>
        <w:ind w:left="300" w:right="2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I acknowledge that I have read and understand Section 1542 of the California Civil Code which reads as follows: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general release does not extend to claims which the creditor does not know or suspect to exist in his or her favor at the time of executing the release, which if known by him or her must have materially affected his or her settlement with the debtor.” </w:t>
      </w:r>
      <w:r>
        <w:rPr>
          <w:rFonts w:ascii="Times New Roman" w:cs="Times New Roman" w:eastAsia="Times New Roman" w:hAnsi="Times New Roman"/>
          <w:sz w:val="18"/>
          <w:szCs w:val="18"/>
          <w:color w:val="auto"/>
        </w:rPr>
        <w:t>I hereby expressly waive and relinquish all rights and benefits under that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law of any jurisdiction of similar effect with respect to my release of any claims hereunder.</w:t>
      </w:r>
    </w:p>
    <w:p>
      <w:pPr>
        <w:spacing w:after="0" w:line="3" w:lineRule="exact"/>
        <w:rPr>
          <w:sz w:val="20"/>
          <w:szCs w:val="20"/>
          <w:color w:val="auto"/>
        </w:rPr>
      </w:pPr>
    </w:p>
    <w:p>
      <w:pPr>
        <w:ind w:left="300" w:right="499"/>
        <w:spacing w:after="0" w:line="250" w:lineRule="auto"/>
        <w:rPr>
          <w:sz w:val="20"/>
          <w:szCs w:val="20"/>
          <w:color w:val="auto"/>
        </w:rPr>
      </w:pPr>
      <w:r>
        <w:rPr>
          <w:rFonts w:ascii="Times New Roman" w:cs="Times New Roman" w:eastAsia="Times New Roman" w:hAnsi="Times New Roman"/>
          <w:sz w:val="18"/>
          <w:szCs w:val="18"/>
          <w:color w:val="auto"/>
        </w:rPr>
        <w:t xml:space="preserve">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 I hereby agree not to disparage the Company, or its officers, directors, executives, shareholders or agents, in any manner likely to be harmful to its or their business, business reputation, or personal reputation;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will respond accurately and fully to any question, inquiry or request for information when required by legal process.</w:t>
      </w:r>
    </w:p>
    <w:p>
      <w:pPr>
        <w:spacing w:after="0" w:line="2" w:lineRule="exact"/>
        <w:rPr>
          <w:sz w:val="20"/>
          <w:szCs w:val="20"/>
          <w:color w:val="auto"/>
        </w:rPr>
      </w:pPr>
    </w:p>
    <w:p>
      <w:pPr>
        <w:ind w:left="300" w:right="299"/>
        <w:spacing w:after="0" w:line="260" w:lineRule="auto"/>
        <w:rPr>
          <w:sz w:val="20"/>
          <w:szCs w:val="20"/>
          <w:color w:val="auto"/>
        </w:rPr>
      </w:pPr>
      <w:r>
        <w:rPr>
          <w:rFonts w:ascii="Times New Roman" w:cs="Times New Roman" w:eastAsia="Times New Roman" w:hAnsi="Times New Roman"/>
          <w:sz w:val="18"/>
          <w:szCs w:val="18"/>
          <w:color w:val="auto"/>
        </w:rPr>
        <w:t>I acknowledge that to become effective, I must sign and return this Release to the Company so that it is received not later than forty-five (45) days following the date it is provided to me, and I must not revoke it thereafter.</w:t>
      </w:r>
    </w:p>
    <w:p>
      <w:pPr>
        <w:spacing w:after="0" w:line="17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[INSERT NAME]</w:t>
      </w:r>
    </w:p>
    <w:p>
      <w:pPr>
        <w:spacing w:after="0" w:line="2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3670935</wp:posOffset>
            </wp:positionV>
            <wp:extent cx="61290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123" w:name="page124"/>
    <w:bookmarkEnd w:id="123"/>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8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THIS INDEMNITY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___________, 20  , is made by and between</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FIBROGEN,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______________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ind w:left="440" w:right="319" w:hanging="5"/>
        <w:spacing w:after="0" w:line="250" w:lineRule="auto"/>
        <w:tabs>
          <w:tab w:leader="none" w:pos="79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to attract and retain the services of highly qualified individuals as directors, officers, employees and agents.</w:t>
      </w:r>
    </w:p>
    <w:p>
      <w:pPr>
        <w:jc w:val="both"/>
        <w:ind w:left="440" w:right="299" w:hanging="5"/>
        <w:spacing w:after="0" w:line="250" w:lineRule="auto"/>
        <w:tabs>
          <w:tab w:leader="none" w:pos="76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Amended and Restated Bylaws of the Company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require that the Company indemnify its directors and officers, and empowers the Company to indemnify its employees and agents, as authorized by the General Corporation Law of the State of Delaware,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under which the Company is organized and such Bylaws expressly provide that the indemnification provided therein is not exclusive and contemplates that the Company may enter into separate agreements with its directors, officers and other persons to set forth specific indemnification provisions.</w:t>
      </w:r>
    </w:p>
    <w:p>
      <w:pPr>
        <w:spacing w:after="0" w:line="2" w:lineRule="exact"/>
        <w:rPr>
          <w:rFonts w:ascii="Times New Roman" w:cs="Times New Roman" w:eastAsia="Times New Roman" w:hAnsi="Times New Roman"/>
          <w:sz w:val="18"/>
          <w:szCs w:val="18"/>
          <w:b w:val="1"/>
          <w:bCs w:val="1"/>
          <w:color w:val="auto"/>
        </w:rPr>
      </w:pPr>
    </w:p>
    <w:p>
      <w:pPr>
        <w:jc w:val="both"/>
        <w:ind w:left="440" w:right="299" w:hanging="5"/>
        <w:spacing w:after="0" w:line="250" w:lineRule="auto"/>
        <w:tabs>
          <w:tab w:leader="none" w:pos="78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Indemnitee does not regard the protection currently provided by applicable law, the Bylaws, the Company’s other governing documents and available insurance as adequate under the present circumstances, and the Company has determined that Indemnitee and other directors, officers, employees and agents of the Company may not be willing to serve or continue to serve in such capacities without additional protection.</w:t>
      </w:r>
    </w:p>
    <w:p>
      <w:pPr>
        <w:spacing w:after="0" w:line="1" w:lineRule="exact"/>
        <w:rPr>
          <w:rFonts w:ascii="Times New Roman" w:cs="Times New Roman" w:eastAsia="Times New Roman" w:hAnsi="Times New Roman"/>
          <w:sz w:val="18"/>
          <w:szCs w:val="18"/>
          <w:b w:val="1"/>
          <w:bCs w:val="1"/>
          <w:color w:val="auto"/>
        </w:rPr>
      </w:pPr>
    </w:p>
    <w:p>
      <w:pPr>
        <w:jc w:val="both"/>
        <w:ind w:left="440" w:right="299" w:hanging="5"/>
        <w:spacing w:after="0" w:line="250" w:lineRule="auto"/>
        <w:tabs>
          <w:tab w:leader="none" w:pos="84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and has requested Indemnitee to serve or continue to serve as a director, officer, employee or agent of the Company, as the case may be, and has proffered this Agreement to Indemnitee as an additional inducement to serve in such capacity.</w:t>
      </w:r>
    </w:p>
    <w:p>
      <w:pPr>
        <w:spacing w:after="0" w:line="1" w:lineRule="exact"/>
        <w:rPr>
          <w:rFonts w:ascii="Times New Roman" w:cs="Times New Roman" w:eastAsia="Times New Roman" w:hAnsi="Times New Roman"/>
          <w:sz w:val="18"/>
          <w:szCs w:val="18"/>
          <w:b w:val="1"/>
          <w:bCs w:val="1"/>
          <w:color w:val="auto"/>
        </w:rPr>
      </w:pPr>
    </w:p>
    <w:p>
      <w:pPr>
        <w:ind w:left="440" w:right="299" w:hanging="5"/>
        <w:spacing w:after="0" w:line="260" w:lineRule="auto"/>
        <w:tabs>
          <w:tab w:leader="none" w:pos="84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Indemnitee is willing to serve, or to continue to serve, as a director, officer, employee or agent of the Company, as the case may be, if Indemnitee is furnished the indemnity provided for herein by the Company.</w:t>
      </w:r>
    </w:p>
    <w:p>
      <w:pPr>
        <w:spacing w:after="0" w:line="17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31" w:lineRule="exact"/>
        <w:rPr>
          <w:sz w:val="20"/>
          <w:szCs w:val="20"/>
          <w:color w:val="auto"/>
        </w:rPr>
      </w:pPr>
    </w:p>
    <w:p>
      <w:pPr>
        <w:ind w:left="360" w:right="359"/>
        <w:spacing w:after="0" w:line="260"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hereby agree as follows:</w:t>
      </w:r>
    </w:p>
    <w:p>
      <w:pPr>
        <w:spacing w:after="0" w:line="191" w:lineRule="exact"/>
        <w:rPr>
          <w:sz w:val="20"/>
          <w:szCs w:val="20"/>
          <w:color w:val="auto"/>
        </w:rPr>
      </w:pPr>
    </w:p>
    <w:p>
      <w:pPr>
        <w:ind w:left="1420" w:hanging="338"/>
        <w:spacing w:after="0"/>
        <w:tabs>
          <w:tab w:leader="none" w:pos="14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ind w:left="1860" w:hanging="364"/>
        <w:spacing w:after="0"/>
        <w:tabs>
          <w:tab w:leader="none" w:pos="186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purposes of this Agreement, the term “Agent” of the Company means any person</w:t>
      </w:r>
    </w:p>
    <w:p>
      <w:pPr>
        <w:spacing w:after="0" w:line="31" w:lineRule="exact"/>
        <w:rPr>
          <w:rFonts w:ascii="Times New Roman" w:cs="Times New Roman" w:eastAsia="Times New Roman" w:hAnsi="Times New Roman"/>
          <w:sz w:val="18"/>
          <w:szCs w:val="18"/>
          <w:b w:val="1"/>
          <w:bCs w:val="1"/>
          <w:color w:val="auto"/>
        </w:rPr>
      </w:pPr>
    </w:p>
    <w:p>
      <w:pPr>
        <w:jc w:val="both"/>
        <w:ind w:left="360" w:right="29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who: (i) is or was a director, officer, employee, agent or other fiduciary of the Company or a subsidiary of the Company; or (ii) is or was serving at the request or for the convenience of, or representing the interests of, the Company or a subsidiary of the Company, as a director, officer, employee, agent or other fiduciary of a foreign or domestic corporation, partnership, joint venture, trust or other enterprise, including as a deemed fiduciary thereto.</w:t>
      </w:r>
    </w:p>
    <w:p>
      <w:pPr>
        <w:spacing w:after="0" w:line="198" w:lineRule="exact"/>
        <w:rPr>
          <w:rFonts w:ascii="Times New Roman" w:cs="Times New Roman" w:eastAsia="Times New Roman" w:hAnsi="Times New Roman"/>
          <w:sz w:val="18"/>
          <w:szCs w:val="18"/>
          <w:b w:val="1"/>
          <w:bCs w:val="1"/>
          <w:color w:val="auto"/>
        </w:rPr>
      </w:pPr>
    </w:p>
    <w:p>
      <w:pPr>
        <w:ind w:left="360" w:right="299" w:firstLine="1136"/>
        <w:spacing w:after="0" w:line="286" w:lineRule="auto"/>
        <w:tabs>
          <w:tab w:leader="none" w:pos="1859"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For purposes of this Agreement, the term “Change in Control”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occurred if:</w:t>
      </w:r>
    </w:p>
    <w:p>
      <w:pPr>
        <w:spacing w:after="0" w:line="158" w:lineRule="exact"/>
        <w:rPr>
          <w:rFonts w:ascii="Times New Roman" w:cs="Times New Roman" w:eastAsia="Times New Roman" w:hAnsi="Times New Roman"/>
          <w:sz w:val="18"/>
          <w:szCs w:val="18"/>
          <w:b w:val="1"/>
          <w:bCs w:val="1"/>
          <w:color w:val="auto"/>
        </w:rPr>
      </w:pPr>
    </w:p>
    <w:p>
      <w:pPr>
        <w:ind w:left="300" w:right="339" w:firstLine="2052"/>
        <w:spacing w:after="0" w:line="255" w:lineRule="auto"/>
        <w:tabs>
          <w:tab w:leader="none" w:pos="2744" w:val="left"/>
        </w:tabs>
        <w:numPr>
          <w:ilvl w:val="2"/>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as that term is used in Section 13(d) and Section 14(d)(2) of the Securities Exchange Act of 1934, as amended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becomes, is discovered to be, or files a report on Schedule 13D or 14D-1 (or any successor schedule, form or report) disclosing that such person is a beneficial owner (as defined in Rule 13d-3 under the Exchange Act or any successor rule or regulation), directly or indirectly, of securities of the Company representing 20% or more of the total voting power of the Company's then outstanding voting securities (unless such person becomes such a beneficial owner in connection with the initial public offering of the Company);</w:t>
      </w:r>
    </w:p>
    <w:p>
      <w:pPr>
        <w:spacing w:after="0" w:line="188" w:lineRule="exact"/>
        <w:rPr>
          <w:rFonts w:ascii="Times New Roman" w:cs="Times New Roman" w:eastAsia="Times New Roman" w:hAnsi="Times New Roman"/>
          <w:sz w:val="18"/>
          <w:szCs w:val="18"/>
          <w:b w:val="1"/>
          <w:bCs w:val="1"/>
          <w:color w:val="auto"/>
        </w:rPr>
      </w:pPr>
    </w:p>
    <w:p>
      <w:pPr>
        <w:ind w:left="300" w:right="379" w:firstLine="2052"/>
        <w:spacing w:after="0" w:line="258" w:lineRule="auto"/>
        <w:tabs>
          <w:tab w:leader="none" w:pos="2744" w:val="left"/>
        </w:tabs>
        <w:numPr>
          <w:ilvl w:val="2"/>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758190</wp:posOffset>
            </wp:positionV>
            <wp:extent cx="61290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ind w:left="300" w:right="319" w:firstLine="2052"/>
        <w:spacing w:after="0" w:line="256" w:lineRule="auto"/>
        <w:tabs>
          <w:tab w:leader="none" w:pos="2744"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merged, consolidated or reorganized into or with another corporation or other legal person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or securities of the Company are exchanged for securities of an Acquiring Person, and immediately after such merger, consolidation, reorganization or exchange less than a majority of the combined voting power of the then outstanding securities of the Acquiring Person immediately after such transaction are held, directly or indirectly, in the aggregate by the holders of voting securities immediately prior to such transaction;</w:t>
      </w:r>
    </w:p>
    <w:p>
      <w:pPr>
        <w:spacing w:after="0" w:line="214" w:lineRule="exact"/>
        <w:rPr>
          <w:rFonts w:ascii="Times New Roman" w:cs="Times New Roman" w:eastAsia="Times New Roman" w:hAnsi="Times New Roman"/>
          <w:sz w:val="18"/>
          <w:szCs w:val="18"/>
          <w:b w:val="1"/>
          <w:bCs w:val="1"/>
          <w:color w:val="auto"/>
        </w:rPr>
      </w:pPr>
    </w:p>
    <w:p>
      <w:pPr>
        <w:ind w:left="300" w:right="319" w:firstLine="2052"/>
        <w:spacing w:after="0" w:line="281" w:lineRule="auto"/>
        <w:tabs>
          <w:tab w:leader="none" w:pos="2744"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in any transaction or series of related transactions, sells or otherwise transfers all or substantially all of its assets to an Acquiring Person, and less than a majority of the combined voting power of the then outstanding securities of the Acquiring Person immediately after such sale or transfer is held, directly or indirectly, in the aggregate by the holders of voting securities immediately prior to such sale or transfer;</w:t>
      </w:r>
    </w:p>
    <w:p>
      <w:pPr>
        <w:spacing w:after="0" w:line="191" w:lineRule="exact"/>
        <w:rPr>
          <w:rFonts w:ascii="Times New Roman" w:cs="Times New Roman" w:eastAsia="Times New Roman" w:hAnsi="Times New Roman"/>
          <w:sz w:val="17"/>
          <w:szCs w:val="17"/>
          <w:b w:val="1"/>
          <w:bCs w:val="1"/>
          <w:color w:val="auto"/>
        </w:rPr>
      </w:pPr>
    </w:p>
    <w:p>
      <w:pPr>
        <w:ind w:left="300" w:right="519" w:firstLine="2052"/>
        <w:spacing w:after="0" w:line="266" w:lineRule="auto"/>
        <w:tabs>
          <w:tab w:leader="none" w:pos="2744"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files a report or proxy statement with the Securities and Exchange Commission pursuant to the Exchange Act disclosing that a change in control of the Company has or may have occurred or will or may occur in the future pursuant to any then existing contract or transaction; or</w:t>
      </w:r>
    </w:p>
    <w:p>
      <w:pPr>
        <w:spacing w:after="0" w:line="202" w:lineRule="exact"/>
        <w:rPr>
          <w:rFonts w:ascii="Times New Roman" w:cs="Times New Roman" w:eastAsia="Times New Roman" w:hAnsi="Times New Roman"/>
          <w:sz w:val="18"/>
          <w:szCs w:val="18"/>
          <w:b w:val="1"/>
          <w:bCs w:val="1"/>
          <w:color w:val="auto"/>
        </w:rPr>
      </w:pPr>
    </w:p>
    <w:p>
      <w:pPr>
        <w:ind w:left="2740" w:hanging="388"/>
        <w:spacing w:after="0"/>
        <w:tabs>
          <w:tab w:leader="none" w:pos="27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transaction or series of related transactions occur that have substantially</w:t>
      </w:r>
    </w:p>
    <w:p>
      <w:pPr>
        <w:spacing w:after="0" w:line="27" w:lineRule="exact"/>
        <w:rPr>
          <w:rFonts w:ascii="Times New Roman" w:cs="Times New Roman" w:eastAsia="Times New Roman" w:hAnsi="Times New Roman"/>
          <w:sz w:val="18"/>
          <w:szCs w:val="18"/>
          <w:b w:val="1"/>
          <w:bCs w:val="1"/>
          <w:color w:val="auto"/>
        </w:rPr>
      </w:pPr>
    </w:p>
    <w:p>
      <w:pPr>
        <w:ind w:left="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 of the transactions specified in any of the preceding clauses in this paragraph (b).</w:t>
      </w:r>
    </w:p>
    <w:p>
      <w:pPr>
        <w:spacing w:after="0" w:line="220"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provisions of Section 1(b)(1) or 1(b)(4), unless otherwise determined in a specific case by majority vote of the Board of Directors of the Company, a Change of Control shall not be deemed to have occurred for purposes of this Agreement solely because (i) the Company, (ii) an entity in which the Company directly or indirectly beneficially owns 50% or more of the voting securities or (iii) any Company sponsored employee stock ownership plan, or any other employee benefit plan of the Company, either files or becomes obligated to file a report or a proxy statement under or in response to Schedule 13D, Schedule 14D-1, Form 8-K or Schedule 14A (or any successor schedule, form or report or item therein) under the Exchange Act, disclosing beneficial ownership by it of shares of stock of the Company, or because the Company reports that a Change in Control of the Company has or may have occurred or will or may occur in the future by reason of such beneficial ownership.</w:t>
      </w:r>
    </w:p>
    <w:p>
      <w:pPr>
        <w:spacing w:after="0" w:line="204" w:lineRule="exact"/>
        <w:rPr>
          <w:sz w:val="20"/>
          <w:szCs w:val="20"/>
          <w:color w:val="auto"/>
        </w:rPr>
      </w:pPr>
    </w:p>
    <w:p>
      <w:pPr>
        <w:jc w:val="both"/>
        <w:ind w:left="360" w:right="299" w:firstLine="1136"/>
        <w:spacing w:after="0" w:line="252" w:lineRule="auto"/>
        <w:tabs>
          <w:tab w:leader="none" w:pos="1859"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For purposes of this Agreement, the term “Expenses” shall be broadly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include, without limitation, all direct and indirect costs of any type or nature whatsoever (including, without limitation, all attorneys’, witness, or other professional fees and related disbursements, and other out-of-pocket costs of whatever nature, any federal, state, local or foreign taxes imposed on Indemnitee as a result of the actual or deemed receipt of any payments under this Agreement, ERISA excise taxes, and premium, security for, and other costs relating to any cost bond, supersedeas bond or appeal bond), actually and reasonably incurred by Indemnitee in connection with the investigation, defense or appeal of a proceeding or establishing or enforcing a right to indemnification under this Agreement, the Code or otherwise, but shall not include any judgments, fines or penalties actually levied against Indemnitee for such individual’s violations of law or amounts paid in settlement by or on behalf of Indemnitee. The term “Expenses” shall also include reasonable compensation for time spent by Indemnitee for which he is not compensated by the Company or any subsidiary or third party (i) for any period during which Indemnitee is not an Agent, in the employment of, or providing services for compensation to, the Company or any subsidiary; and (ii) if the rate of compensation and estimated time involved is approved by the directors of the Company who are not parties to any action with respect to which Expenses are incurred, for Indemnitee while an Agent of, employed by, or providing services for compensation to,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1959610</wp:posOffset>
            </wp:positionV>
            <wp:extent cx="61290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336" w:right="1440" w:bottom="1440" w:gutter="0" w:footer="0" w:header="0"/>
        </w:sectPr>
      </w:pPr>
    </w:p>
    <w:bookmarkStart w:id="125" w:name="page126"/>
    <w:bookmarkEnd w:id="125"/>
    <w:p>
      <w:pPr>
        <w:jc w:val="both"/>
        <w:ind w:left="360" w:right="299" w:firstLine="1136"/>
        <w:spacing w:after="0" w:line="253" w:lineRule="auto"/>
        <w:tabs>
          <w:tab w:leader="none" w:pos="185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w:t>
      </w:r>
      <w:r>
        <w:rPr>
          <w:rFonts w:ascii="Times New Roman" w:cs="Times New Roman" w:eastAsia="Times New Roman" w:hAnsi="Times New Roman"/>
          <w:sz w:val="18"/>
          <w:szCs w:val="18"/>
          <w:color w:val="auto"/>
        </w:rPr>
        <w:t>. For purposes of this Agreement, the term “proceeding” shall be broadly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shall include, without limitation,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or investigative nature, and whether formal or informal in any case, in which Indemnitee was, is or will be involved as a party, potential party, non-party witness or otherwise by reason of: (i) the fact that Indemnitee is or was a director or officer of the Company; (ii) the fact that any action taken by Indemnitee (or a failure to take action by Indemnitee) or of any action (or failure to act) on Indemnitee’s part while acting as an Agent; or (iii) the fact that Indemnitee is or was serving at the request of the Company as a director, officer, employee or agent of another corporation, partnership, joint venture, trust, employee benefit plan or other enterprise (including as a deemed fiduciary thereto), and in any such case described above, whether or not serving in any such capacity at the time any liability or Expense is incurred for which indemnification, reimbursement, or advancement of Expenses may be provided under this Agreement. If the Indemnitee believes in good faith that a given situation may lead to or culminate in the institution of a proceeding, this shall be considered a proceeding under this paragraph.</w:t>
      </w:r>
    </w:p>
    <w:p>
      <w:pPr>
        <w:spacing w:after="0" w:line="196" w:lineRule="exact"/>
        <w:rPr>
          <w:rFonts w:ascii="Times New Roman" w:cs="Times New Roman" w:eastAsia="Times New Roman" w:hAnsi="Times New Roman"/>
          <w:sz w:val="18"/>
          <w:szCs w:val="18"/>
          <w:b w:val="1"/>
          <w:bCs w:val="1"/>
          <w:color w:val="auto"/>
        </w:rPr>
      </w:pPr>
    </w:p>
    <w:p>
      <w:pPr>
        <w:jc w:val="both"/>
        <w:ind w:left="360" w:right="299" w:firstLine="1136"/>
        <w:spacing w:after="0" w:line="259" w:lineRule="auto"/>
        <w:tabs>
          <w:tab w:leader="none" w:pos="185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For purposes of this Agreement, the term “subsidiary” means any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or other entity of which more than 50% of the outstanding voting securities or equity interests are owned, directly or indirectly, by the Company and one or more of its subsidiaries, and any other corporation, limited liability company, partnership, joint venture, trust, employee benefit plan or other enterprise of which Indemnitee is or was serving as an Agent.</w:t>
      </w:r>
    </w:p>
    <w:p>
      <w:pPr>
        <w:spacing w:after="0" w:line="179" w:lineRule="exact"/>
        <w:rPr>
          <w:rFonts w:ascii="Times New Roman" w:cs="Times New Roman" w:eastAsia="Times New Roman" w:hAnsi="Times New Roman"/>
          <w:sz w:val="18"/>
          <w:szCs w:val="18"/>
          <w:b w:val="1"/>
          <w:bCs w:val="1"/>
          <w:color w:val="auto"/>
        </w:rPr>
      </w:pPr>
    </w:p>
    <w:p>
      <w:pPr>
        <w:jc w:val="both"/>
        <w:ind w:left="360" w:right="299" w:firstLine="1136"/>
        <w:spacing w:after="0" w:line="254" w:lineRule="auto"/>
        <w:tabs>
          <w:tab w:leader="none" w:pos="1859"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For purposes of this Agreement, the term “independent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law firm, or a partner (or, if applicable, member) of such a law firm, that is experienced in matters of corporation law and neither presently is, nor in the past five (5) years has been, retained to represent: (i) the Company or Indemnitee in any matter material to either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98" w:lineRule="exact"/>
        <w:rPr>
          <w:rFonts w:ascii="Times New Roman" w:cs="Times New Roman" w:eastAsia="Times New Roman" w:hAnsi="Times New Roman"/>
          <w:sz w:val="18"/>
          <w:szCs w:val="18"/>
          <w:b w:val="1"/>
          <w:bCs w:val="1"/>
          <w:color w:val="auto"/>
        </w:rPr>
      </w:pPr>
    </w:p>
    <w:p>
      <w:pPr>
        <w:ind w:left="360" w:right="199" w:firstLine="722"/>
        <w:spacing w:after="0" w:line="255" w:lineRule="auto"/>
        <w:tabs>
          <w:tab w:leader="none" w:pos="142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Serve. </w:t>
      </w:r>
      <w:r>
        <w:rPr>
          <w:rFonts w:ascii="Times New Roman" w:cs="Times New Roman" w:eastAsia="Times New Roman" w:hAnsi="Times New Roman"/>
          <w:sz w:val="18"/>
          <w:szCs w:val="18"/>
          <w:color w:val="auto"/>
        </w:rPr>
        <w:t>Indemnitee will serve, or continue to serve, as an Agent, as the case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faithfully and to the best of his or her ability, at the will of such entity (or under separate agreement, if such agreement exists), in the capacity Indemnitee currently serves such entity , so long as Indemnitee is duly appointed or elected and qualified in accordance with the applicable provisions of governance documents of such entity, or until such time as Indemnitee tenders his or her resignation in writing; provided, however, that nothing contained in this Agreement is intended as an employment agreement between Indemnitee and the Company or any of its subsidiaries or to create any right to continued employment of Indemnitee with the Company or any of its subsidiaries in any capacity.</w:t>
      </w:r>
    </w:p>
    <w:p>
      <w:pPr>
        <w:spacing w:after="0" w:line="189"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The Company acknowledges that it has entered into this Agreement and assumes the obligations imposed on it hereby, in addition to and separate from its obligations to Indemnitee under the Bylaws, to induce Indemnitee to serve, or continue to serve, as an Agent, and the Company acknowledges that Indemnitee is relying upon this Agreement in serving as an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1998980</wp:posOffset>
            </wp:positionV>
            <wp:extent cx="61290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26" w:name="page127"/>
    <w:bookmarkEnd w:id="126"/>
    <w:p>
      <w:pPr>
        <w:ind w:left="1420" w:hanging="338"/>
        <w:spacing w:after="0"/>
        <w:tabs>
          <w:tab w:leader="none" w:pos="142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40" w:right="299" w:firstLine="1524"/>
        <w:spacing w:after="0" w:line="253" w:lineRule="auto"/>
        <w:tabs>
          <w:tab w:leader="none" w:pos="1848" w:val="left"/>
        </w:tabs>
        <w:numPr>
          <w:ilvl w:val="3"/>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in Third Party Proceedings</w:t>
      </w:r>
      <w:r>
        <w:rPr>
          <w:rFonts w:ascii="Times New Roman" w:cs="Times New Roman" w:eastAsia="Times New Roman" w:hAnsi="Times New Roman"/>
          <w:sz w:val="18"/>
          <w:szCs w:val="18"/>
          <w:color w:val="auto"/>
        </w:rPr>
        <w:t>. Subject to Section 10 below,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Indemnitee to the fullest extent permitted by the Code, as the same may be amended from time to time (but, to the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other than an proceeding by or in the right of the Company to procure a judgment in its favor, for any and all Expenses, judgments, fines and amounts paid in settlement (including all interest, assessments and other charges paid or payable in connection with or in respect of such Expenses, judgments, fines and amounts paid in settlement), actually and reasonably incurred by Indemnitee in connection with the investigation, defense, settlement or appeal of such proceeding,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of the Company, the Bylaws, vote of its stockholders or disinterested directors or applicable law.</w:t>
      </w:r>
    </w:p>
    <w:p>
      <w:pPr>
        <w:spacing w:after="0" w:line="360" w:lineRule="exact"/>
        <w:rPr>
          <w:rFonts w:ascii="Times New Roman" w:cs="Times New Roman" w:eastAsia="Times New Roman" w:hAnsi="Times New Roman"/>
          <w:sz w:val="18"/>
          <w:szCs w:val="18"/>
          <w:b w:val="1"/>
          <w:bCs w:val="1"/>
          <w:color w:val="auto"/>
        </w:rPr>
      </w:pPr>
    </w:p>
    <w:p>
      <w:pPr>
        <w:jc w:val="both"/>
        <w:ind w:left="-40" w:right="299" w:firstLine="1524"/>
        <w:spacing w:after="0" w:line="253" w:lineRule="auto"/>
        <w:tabs>
          <w:tab w:leader="none" w:pos="1848" w:val="left"/>
        </w:tabs>
        <w:numPr>
          <w:ilvl w:val="3"/>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in Derivative Actions and Direct Actions by the Company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10 below, the Company shall indemnify Indemnitee to the fullest extent permitted by the Code, as the same may be amended from time to time (but, to the fullest extent permitted by applicable law, only to the extent that such amendment permits Indemnitee to broader indemnification rights than the Code permitted prior to adoption of such amendment), if Indemnitee is a party to or threatened to be made a party to or otherwise involved in any proceeding by or in the right of the Company to procure a judgment in its favor, against any and all Expenses actually and reasonably incurred by Indemnitee in connection with the investigation, defense, settlement, or appeal of such proceedings, if Indemnitee acted in good faith and in a manner Indemnitee reasonably believed to be in or not opposed to the best interests of the Company. No indemnification for Expenses shall be made under this Section 3(b) in respect of any claim, issue or matter as to which Indemnitee shall have been finally adjudged by a court competent jurisdiction to be liable to the Company, unless and only to the extent that the Chancery Court of the State of Delaware or any court in which the proceeding was brought shall determine upon application that, despite the adjudication of liability but in view of all the circumstances of the case, Indemnitee is fairly and reasonably entitled to indemnification.</w:t>
      </w:r>
    </w:p>
    <w:p>
      <w:pPr>
        <w:spacing w:after="0" w:line="200" w:lineRule="exact"/>
        <w:rPr>
          <w:rFonts w:ascii="Times New Roman" w:cs="Times New Roman" w:eastAsia="Times New Roman" w:hAnsi="Times New Roman"/>
          <w:sz w:val="18"/>
          <w:szCs w:val="18"/>
          <w:b w:val="1"/>
          <w:bCs w:val="1"/>
          <w:color w:val="auto"/>
        </w:rPr>
      </w:pPr>
    </w:p>
    <w:p>
      <w:pPr>
        <w:ind w:left="40" w:right="239" w:firstLine="718"/>
        <w:spacing w:after="0" w:line="253" w:lineRule="auto"/>
        <w:tabs>
          <w:tab w:leader="none" w:pos="986"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of Expenses of Successful Party. </w:t>
      </w:r>
      <w:r>
        <w:rPr>
          <w:rFonts w:ascii="Times New Roman" w:cs="Times New Roman" w:eastAsia="Times New Roman" w:hAnsi="Times New Roman"/>
          <w:sz w:val="18"/>
          <w:szCs w:val="18"/>
          <w:color w:val="auto"/>
        </w:rPr>
        <w:t>Notwithstanding any other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fullest extent permitted by law and to the extent that Indemnitee is a party to (or a participant in) any proceeding and has been successful on the merits or otherwise in defense of any proceeding or in defense of any claim, issue or matter therein, in whole or part, the Company shall indemnify Indemnitee against all Expenses actually and reasonably incurred in connection with the investigation, defense or appeal of such proceeding.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law. For these purposes, Indemnitee will be deemed to have been “successful on the merits” upon termination of any proceeding or of any claim, issue or matter therein, by the winning of a motion to dismiss (with or without prejudice), motion for summary judgment, settlement (with or without court approval), or upon a plea of nolo contendere or its equivalent.</w:t>
      </w:r>
    </w:p>
    <w:p>
      <w:pPr>
        <w:spacing w:after="0" w:line="189" w:lineRule="exact"/>
        <w:rPr>
          <w:rFonts w:ascii="Times New Roman" w:cs="Times New Roman" w:eastAsia="Times New Roman" w:hAnsi="Times New Roman"/>
          <w:sz w:val="18"/>
          <w:szCs w:val="18"/>
          <w:b w:val="1"/>
          <w:bCs w:val="1"/>
          <w:color w:val="auto"/>
        </w:rPr>
      </w:pPr>
    </w:p>
    <w:p>
      <w:pPr>
        <w:jc w:val="both"/>
        <w:ind w:left="-40" w:right="299" w:firstLine="785"/>
        <w:spacing w:after="0" w:line="254" w:lineRule="auto"/>
        <w:tabs>
          <w:tab w:leader="none" w:pos="96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Indemnification; Witness Indemnification</w:t>
      </w:r>
      <w:r>
        <w:rPr>
          <w:rFonts w:ascii="Times New Roman" w:cs="Times New Roman" w:eastAsia="Times New Roman" w:hAnsi="Times New Roman"/>
          <w:sz w:val="18"/>
          <w:szCs w:val="18"/>
          <w:color w:val="auto"/>
        </w:rPr>
        <w:t>. If Indemnitee is entitled under any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indemnification by the Company for some or a portion of any expenses actually and reasonably incurred by Indemnitee in the investigation, defense, settlement or appeal of a proceeding, but is precluded by applicable law or the specific terms of this Agreement to indemnification for the total amount thereof, the Company shall nevertheless indemnify Indemnitee for the portion thereof to which Indemnitee is entitled. Notwithstanding any other provision of this Agreement, to the fullest extent permitted by applicable law and to the extent that Indemnitee is, by reason of Indemnitee's acting as an Agent, a witness or otherwise asked to participate in any proceeding to which Indemnitee is not a party, Indemnitee shall be indemnified against all Expenses actually and reasonably incurred by Indemnitee or on Indemnitee's behalf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935355</wp:posOffset>
            </wp:positionV>
            <wp:extent cx="61290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27" w:name="page128"/>
    <w:bookmarkEnd w:id="127"/>
    <w:p>
      <w:pPr>
        <w:jc w:val="both"/>
        <w:ind w:left="-40" w:right="299" w:firstLine="785"/>
        <w:spacing w:after="0" w:line="252" w:lineRule="auto"/>
        <w:tabs>
          <w:tab w:leader="none" w:pos="96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Advancement of Expenses</w:t>
      </w:r>
      <w:r>
        <w:rPr>
          <w:rFonts w:ascii="Times New Roman" w:cs="Times New Roman" w:eastAsia="Times New Roman" w:hAnsi="Times New Roman"/>
          <w:sz w:val="18"/>
          <w:szCs w:val="18"/>
          <w:color w:val="auto"/>
        </w:rPr>
        <w:t>. The Company shall advance the Expenses incurred by Indemnitee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proceeding, and such advancement shall be made within twenty (20) days after the receipt by the Company of a statement or statements requesting such advances (which shall include invoices received by Indemnitee in connection with such Expenses but, in the case of invoices in connection with legal services, any references to legal work performed or to expenditures made that would cause Indemnitee to waive any privilege accorded by applicable law shall not be included with the invoice). Advances shall be unsecured, interest free and made without regard to Indemnitee’s ability to repay the expenses. Indemnitee’s right to such advancement is not subject to the satisfaction of any standard of conduct. Advances shall be made without regard to Indemnitee’s ultimate entitlement to be indemnified, held harmless or exonerated under the other provisions of this Agreement. Such advances are intended to be an obligation of the Company to Indemnitee hereunder and shall in no event be deemed to be a personal loan. Advances shall include any and all Expenses actually and reasonably incurred by Indemnitee pursuing an action to enforce Indemnitee’s right to indemnification under this Agreement, or otherwise and this right of advancement, including expenses incurred preparing and forwarding statements to the Company to support the advances claimed. Indemnitee acknowledges that the execution and delivery of this Agreement shall constitute an undertaking providing that Indemnitee shall, to the fullest extent required by law, repay the advance (without interest) if and to the extent that it is ultimately determined by a court of competent jurisdiction in a final judgment, not subject to appeal, that Indemnitee is not entitled to be indemnified by the Company. No other undertaking shall be required. The right to advances under this Section shall continue until final disposition of any proceeding, including any appeal therein. This Section 6 shall not apply to any claim made by Indemnitee for which indemnity is excluded pursuant to Section 10(b). Without limiting the generality or effect of the foregoing, within thirty days after any request by Indemnitee, the Company shall, in accordance with such request (but without duplication), (a) pay such Expenses on behalf of Indemnitee, (b) advance to Indemnitee funds in an amount sufficient to pay such Expenses, or (c) reimburse Indemnitee for such Expenses.</w:t>
      </w:r>
    </w:p>
    <w:p>
      <w:pPr>
        <w:spacing w:after="0" w:line="186" w:lineRule="exact"/>
        <w:rPr>
          <w:rFonts w:ascii="Times New Roman" w:cs="Times New Roman" w:eastAsia="Times New Roman" w:hAnsi="Times New Roman"/>
          <w:sz w:val="18"/>
          <w:szCs w:val="18"/>
          <w:b w:val="1"/>
          <w:bCs w:val="1"/>
          <w:color w:val="auto"/>
        </w:rPr>
      </w:pPr>
    </w:p>
    <w:p>
      <w:pPr>
        <w:ind w:left="980" w:hanging="235"/>
        <w:spacing w:after="0"/>
        <w:tabs>
          <w:tab w:leader="none" w:pos="9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and Other Indemnification Procedures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40" w:right="299" w:firstLine="1524"/>
        <w:spacing w:after="0" w:line="254" w:lineRule="auto"/>
        <w:tabs>
          <w:tab w:leader="none" w:pos="1848"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of Proceeding</w:t>
      </w:r>
      <w:r>
        <w:rPr>
          <w:rFonts w:ascii="Times New Roman" w:cs="Times New Roman" w:eastAsia="Times New Roman" w:hAnsi="Times New Roman"/>
          <w:sz w:val="18"/>
          <w:szCs w:val="18"/>
          <w:color w:val="auto"/>
        </w:rPr>
        <w:t>. Unless the Company is a co-defendant or has otherwise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notification in the proceeding, Indemnitee will notify the Company in writing promptly upon being served with any summons, citation, subpoena, complaint, indictment, information or other document relating to any proceeding or matter which may be subject to indemnification or advancement of Expenses covered hereunder.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failure of Indemnitee to so notify the Company shall not relieve the Company of any obligation which it may have to Indemnitee under this Agreement or otherwise and any delay in so notifying the Company shall not constitute a waiver by Indemnitee of any rights under this Agreement.</w:t>
      </w:r>
    </w:p>
    <w:p>
      <w:pPr>
        <w:spacing w:after="0" w:line="249" w:lineRule="exact"/>
        <w:rPr>
          <w:rFonts w:ascii="Times New Roman" w:cs="Times New Roman" w:eastAsia="Times New Roman" w:hAnsi="Times New Roman"/>
          <w:sz w:val="18"/>
          <w:szCs w:val="18"/>
          <w:b w:val="1"/>
          <w:bCs w:val="1"/>
          <w:color w:val="auto"/>
        </w:rPr>
      </w:pPr>
    </w:p>
    <w:p>
      <w:pPr>
        <w:jc w:val="both"/>
        <w:ind w:left="-40" w:right="299" w:firstLine="1524"/>
        <w:spacing w:after="0" w:line="257" w:lineRule="auto"/>
        <w:tabs>
          <w:tab w:leader="none" w:pos="1848"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Request for Indemnification and Indemnification Payments</w:t>
      </w:r>
      <w:r>
        <w:rPr>
          <w:rFonts w:ascii="Times New Roman" w:cs="Times New Roman" w:eastAsia="Times New Roman" w:hAnsi="Times New Roman"/>
          <w:sz w:val="18"/>
          <w:szCs w:val="18"/>
          <w:color w:val="auto"/>
        </w:rPr>
        <w:t>. Indemnitee shall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promptly in writing upon receiving notice of any demand, judgment or other requirement for payment that Indemnitee reasonably believes to be subject to indemnification under the terms of this Agreement, and shall request payment thereof by the Company. Indemnification payments requested by Indemnitee under Section 3 hereof shall be made by the Company no later than sixty (60) days after receipt of the written request of Indemnitee. Claims for advancement of Expenses shall be made under the provisions of Section 6 herein.</w:t>
      </w:r>
    </w:p>
    <w:p>
      <w:pPr>
        <w:spacing w:after="0" w:line="195" w:lineRule="exact"/>
        <w:rPr>
          <w:rFonts w:ascii="Times New Roman" w:cs="Times New Roman" w:eastAsia="Times New Roman" w:hAnsi="Times New Roman"/>
          <w:sz w:val="18"/>
          <w:szCs w:val="18"/>
          <w:b w:val="1"/>
          <w:bCs w:val="1"/>
          <w:color w:val="auto"/>
        </w:rPr>
      </w:pPr>
    </w:p>
    <w:p>
      <w:pPr>
        <w:jc w:val="both"/>
        <w:ind w:left="-40" w:right="299" w:firstLine="1524"/>
        <w:spacing w:after="0" w:line="255" w:lineRule="auto"/>
        <w:tabs>
          <w:tab w:leader="none" w:pos="1848"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for Enforcement</w:t>
      </w:r>
      <w:r>
        <w:rPr>
          <w:rFonts w:ascii="Times New Roman" w:cs="Times New Roman" w:eastAsia="Times New Roman" w:hAnsi="Times New Roman"/>
          <w:sz w:val="18"/>
          <w:szCs w:val="18"/>
          <w:color w:val="auto"/>
        </w:rPr>
        <w:t>. In the event the Company fails to make timely payments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Sections 6 or 7(b) above, Indemnitee shall have the right to apply to any court of competent jurisdiction for the purpose of enforcing Indemnitee’s right to indemnification or advancement of Expenses pursuant to this Agreement. In such an enforcement hearing or proceeding, the burden of proof shall be on the Company to prove that indemnification or advancement of Expenses to Indemnitee is not required under this Agreement or permitted by applicable law. Any determination by the Company (including its Board of Directors, a committee thereof, stockholders or independent counsel) that Indemnitee is not entitled to indemnification hereunder, shall not be a defense by the Company to the action nor create any presumption that Indemnitee is not entitled to indemnification or advancement of expenses hereunder.</w:t>
      </w:r>
    </w:p>
    <w:p>
      <w:pPr>
        <w:spacing w:after="0" w:line="198" w:lineRule="exact"/>
        <w:rPr>
          <w:rFonts w:ascii="Times New Roman" w:cs="Times New Roman" w:eastAsia="Times New Roman" w:hAnsi="Times New Roman"/>
          <w:sz w:val="18"/>
          <w:szCs w:val="18"/>
          <w:b w:val="1"/>
          <w:bCs w:val="1"/>
          <w:color w:val="auto"/>
        </w:rPr>
      </w:pPr>
    </w:p>
    <w:p>
      <w:pPr>
        <w:jc w:val="both"/>
        <w:ind w:left="-40" w:right="299" w:firstLine="1524"/>
        <w:spacing w:after="0" w:line="268" w:lineRule="auto"/>
        <w:tabs>
          <w:tab w:leader="none" w:pos="1848"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of Certain Expenses</w:t>
      </w:r>
      <w:r>
        <w:rPr>
          <w:rFonts w:ascii="Times New Roman" w:cs="Times New Roman" w:eastAsia="Times New Roman" w:hAnsi="Times New Roman"/>
          <w:sz w:val="18"/>
          <w:szCs w:val="18"/>
          <w:color w:val="auto"/>
        </w:rPr>
        <w:t>. The Company shall indemnify Indemnitee against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in connection with any hearing or proceeding under this Section 7 unless the Company prevails in such hearing or proceeding on the merits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752475</wp:posOffset>
            </wp:positionV>
            <wp:extent cx="61290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00" w:right="1440" w:bottom="1440" w:gutter="0" w:footer="0" w:header="0"/>
        </w:sectPr>
      </w:pPr>
    </w:p>
    <w:bookmarkStart w:id="128" w:name="page129"/>
    <w:bookmarkEnd w:id="128"/>
    <w:p>
      <w:pPr>
        <w:jc w:val="both"/>
        <w:ind w:left="-40" w:right="299" w:firstLine="785"/>
        <w:spacing w:after="0" w:line="253" w:lineRule="auto"/>
        <w:tabs>
          <w:tab w:leader="none" w:pos="968"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of Defense</w:t>
      </w:r>
      <w:r>
        <w:rPr>
          <w:rFonts w:ascii="Times New Roman" w:cs="Times New Roman" w:eastAsia="Times New Roman" w:hAnsi="Times New Roman"/>
          <w:sz w:val="18"/>
          <w:szCs w:val="18"/>
          <w:color w:val="auto"/>
        </w:rPr>
        <w:t>. In the event the Company shall be requested by Indemnitee to pay the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proceeding, the Company, if appropriate, shall be entitled to assume the defense of such proceeding, or to participate to the extent permissible in such proceeding, with counsel reasonably acceptable to Indemnitee. Upon assumption of the defense by the Company and the retention of such counsel by the Company, the Company shall not be liable to Indemnitee under this Agreement for any fees of counsel subsequently incurred by Indemnitee with respect to the same proceeding, provided that Indemnitee shall have the right to employ separate counsel in such proceeding at Indemnitee’s sole cost and expense. Notwithstanding the foregoing, if Indemnitee’s counsel delivers a written notice to the Company stating that such counsel has reasonably concluded that there may be a conflict of interest between the Company and Indemnitee in the conduct of any such defense or the Company shall not, in fact, have employed counsel or otherwise actively pursued the defense of such proceeding within a reasonable time, then in any such event the fees and expenses of Indemnitee’s counsel to defend such proceeding shall be subject to the indemnification and advancement of Expenses provisions of this Agreement.</w:t>
      </w:r>
    </w:p>
    <w:p>
      <w:pPr>
        <w:spacing w:after="0" w:line="257" w:lineRule="exact"/>
        <w:rPr>
          <w:rFonts w:ascii="Times New Roman" w:cs="Times New Roman" w:eastAsia="Times New Roman" w:hAnsi="Times New Roman"/>
          <w:sz w:val="18"/>
          <w:szCs w:val="18"/>
          <w:b w:val="1"/>
          <w:bCs w:val="1"/>
          <w:color w:val="auto"/>
        </w:rPr>
      </w:pPr>
    </w:p>
    <w:p>
      <w:pPr>
        <w:jc w:val="both"/>
        <w:ind w:left="-40" w:right="299" w:firstLine="785"/>
        <w:spacing w:after="0" w:line="253" w:lineRule="auto"/>
        <w:tabs>
          <w:tab w:leader="none" w:pos="968"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If, at the time of the receipt of a notice of a claim pursuant to the terms hereof,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insurance policy or policies providing liability insurance for Agents in effect or otherwise potentially available,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In the event of a Change in Control or the Company’s becoming insolvent (including being placed into receivership or entering the federal bankruptcy process and the like), the Company shall maintain in force any and all insurance policies then maintained by the Company in providing insurance (including directors’ and officers’ liability, fiduciary, employment practices or otherwise) in respect of Indemnitee, for a fixed period of six years thereafter (a “</w:t>
      </w:r>
      <w:r>
        <w:rPr>
          <w:rFonts w:ascii="Times New Roman" w:cs="Times New Roman" w:eastAsia="Times New Roman" w:hAnsi="Times New Roman"/>
          <w:sz w:val="18"/>
          <w:szCs w:val="18"/>
          <w:b w:val="1"/>
          <w:bCs w:val="1"/>
          <w:color w:val="auto"/>
        </w:rPr>
        <w:t>Tail Policy</w:t>
      </w:r>
      <w:r>
        <w:rPr>
          <w:rFonts w:ascii="Times New Roman" w:cs="Times New Roman" w:eastAsia="Times New Roman" w:hAnsi="Times New Roman"/>
          <w:sz w:val="18"/>
          <w:szCs w:val="18"/>
          <w:color w:val="auto"/>
        </w:rPr>
        <w:t>”). Such coverage shall be placed by the incumbent insurance brokers with the incumbent insurance carriers using the policies that were in place at the time of the Change in Control or insolvency, as applicable (unless the incumbent carriers will not offer such policies, in which case the Tail Policy placed by the incumbent insurance broker shall be substantially comparable in scope and amount as the expiring policies, and the insurance carriers for the Tail Policy shall have an AM Best rating that is the same or better than the AM Best ratings of the expiring policies).</w:t>
      </w:r>
    </w:p>
    <w:p>
      <w:pPr>
        <w:spacing w:after="0" w:line="196" w:lineRule="exact"/>
        <w:rPr>
          <w:rFonts w:ascii="Times New Roman" w:cs="Times New Roman" w:eastAsia="Times New Roman" w:hAnsi="Times New Roman"/>
          <w:sz w:val="18"/>
          <w:szCs w:val="18"/>
          <w:b w:val="1"/>
          <w:bCs w:val="1"/>
          <w:color w:val="auto"/>
        </w:rPr>
      </w:pPr>
    </w:p>
    <w:p>
      <w:pPr>
        <w:ind w:left="1060" w:hanging="315"/>
        <w:spacing w:after="0"/>
        <w:tabs>
          <w:tab w:leader="none" w:pos="106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b w:val="1"/>
          <w:bCs w:val="1"/>
          <w:color w:val="auto"/>
        </w:rPr>
      </w:pPr>
    </w:p>
    <w:p>
      <w:pPr>
        <w:jc w:val="both"/>
        <w:ind w:left="40" w:right="299" w:firstLine="808"/>
        <w:spacing w:after="0" w:line="263" w:lineRule="auto"/>
        <w:tabs>
          <w:tab w:leader="none" w:pos="1210"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Matters</w:t>
      </w:r>
      <w:r>
        <w:rPr>
          <w:rFonts w:ascii="Times New Roman" w:cs="Times New Roman" w:eastAsia="Times New Roman" w:hAnsi="Times New Roman"/>
          <w:sz w:val="18"/>
          <w:szCs w:val="18"/>
          <w:color w:val="auto"/>
        </w:rPr>
        <w:t>. Any provision herein to the contrary notwithstanding, the Company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pursuant to the terms of this Agreement to indemnify Indemnitee on account of any proceeding with respect to</w:t>
      </w:r>
    </w:p>
    <w:p>
      <w:pPr>
        <w:jc w:val="both"/>
        <w:ind w:left="40" w:right="299" w:hanging="8"/>
        <w:spacing w:after="0" w:line="251" w:lineRule="auto"/>
        <w:tabs>
          <w:tab w:leader="none" w:pos="2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paid to Indemnitee if it is determined by a final adjudication not subject to further appeal that such remuneration was in violation of law; or (ii) a final adjudication not subject to further appeal rendered against Indemnitee for an accounting, disgorgement or repayment of profits made from the purchase or sale by Indemnitee of securities of the Company against Indemnitee or in connection with a settlement by or on behalf of Indemnitee to the extent it is acknowledged by Indemnitee and the Company that such amount paid in settlement resulted from Indemnitee's conduct from which Indemnitee received monetary personal profit, pursuant to the provisions of Section 16(b) of the Securities Exchange Act of 1934, as amended, or other provisions of any federal, state or local statute or rules and regulations thereunder.</w:t>
      </w:r>
    </w:p>
    <w:p>
      <w:pPr>
        <w:spacing w:after="0" w:line="189" w:lineRule="exact"/>
        <w:rPr>
          <w:rFonts w:ascii="Times New Roman" w:cs="Times New Roman" w:eastAsia="Times New Roman" w:hAnsi="Times New Roman"/>
          <w:sz w:val="18"/>
          <w:szCs w:val="18"/>
          <w:color w:val="auto"/>
        </w:rPr>
      </w:pPr>
    </w:p>
    <w:p>
      <w:pPr>
        <w:jc w:val="both"/>
        <w:ind w:left="40" w:right="299" w:firstLine="808"/>
        <w:spacing w:after="0" w:line="254" w:lineRule="auto"/>
        <w:tabs>
          <w:tab w:leader="none" w:pos="1193" w:val="left"/>
        </w:tabs>
        <w:numPr>
          <w:ilvl w:val="2"/>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Initiated by Indemnitee</w:t>
      </w:r>
      <w:r>
        <w:rPr>
          <w:rFonts w:ascii="Times New Roman" w:cs="Times New Roman" w:eastAsia="Times New Roman" w:hAnsi="Times New Roman"/>
          <w:sz w:val="18"/>
          <w:szCs w:val="18"/>
          <w:color w:val="auto"/>
        </w:rPr>
        <w:t>. Any provision herein to the contrary notwithstanding,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obligated to indemnify or advance Expenses to Indemnitee with respect to proceedings or claims initiated or brought by Indemnitee against the Company or its directors, officers, employees or other agents and not by way of defense, except (i) with respect to proceedings brought to establish or enforce a right to indemnification or advancement under this Agreement or under any other agreement, provision in the Bylaws or the Amended and Restated Certificate of Incorporation of the Company (the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or applicable law, or (ii) with respect to any other proceeding initiated by Indemnitee that is either approved by the Board of Directors or Indemnitee’s participation is required by applicable law. However, indemnification or advancement of Expenses may be provided by the Company in specific cases if the Board of Directors determines it to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1278255</wp:posOffset>
            </wp:positionV>
            <wp:extent cx="61290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332" w:right="1440" w:bottom="1440" w:gutter="0" w:footer="0" w:header="0"/>
        </w:sectPr>
      </w:pPr>
    </w:p>
    <w:bookmarkStart w:id="129" w:name="page130"/>
    <w:bookmarkEnd w:id="129"/>
    <w:p>
      <w:pPr>
        <w:jc w:val="both"/>
        <w:ind w:left="40" w:right="299" w:firstLine="808"/>
        <w:spacing w:after="0" w:line="252" w:lineRule="auto"/>
        <w:tabs>
          <w:tab w:leader="none" w:pos="1146"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Settlements</w:t>
      </w:r>
      <w:r>
        <w:rPr>
          <w:rFonts w:ascii="Times New Roman" w:cs="Times New Roman" w:eastAsia="Times New Roman" w:hAnsi="Times New Roman"/>
          <w:sz w:val="18"/>
          <w:szCs w:val="18"/>
          <w:color w:val="auto"/>
        </w:rPr>
        <w:t>. Any provision herein to the contrary notwithstanding, the Company shall not be obligated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this Agreement to indemnify Indemnitee under this Agreement for any amounts paid in settlement of a proceeding effected without the Company’s written consent, which shall not be unreasonably withheld. Neither the Company nor Indemnitee shall unreasonably withhold consent to any proposed settlement; provided, however, that the Company may in any event decline to consent to (or to otherwise admit or agree to any liability for indemnification hereunder in respect of) any proposed settlement if the Company is also a party in such proceeding and determines in good faith that such settlement is not in the best interests of the Company and its stockholders. The Company shall have the right to settle any proceeding (or any part thereof) with respect to persons other than Indemnitee (including the Company) without the consent of Indemnitee (so long as doing so would not impose a penalty or limitation on the Indemnitee without Indemnitee’s written consent); provided, however, that the Company shall not, on its own behalf, settle any part of any proceeding to which Indemnitee is party with respect to other parties (including the Company) without the written consent of Indemnitee if any portion of such settlement is to be funded from insurance proceeds unless approved by (a) the written consent of Indemnitee or (b) a majority of the independent members of the Company’s Board of Directors; provided, further, that the right to constrain the Company’s use of corporate insurance as described in this section shall terminate at the time the Company concludes (per the terms of this Agreement) that (i) Indemnitee is not entitled to indemnification pursuant to this agreement, or (ii) such indemnification obligation to Indemnitee has been fully discharged by the Company.</w:t>
      </w:r>
    </w:p>
    <w:p>
      <w:pPr>
        <w:spacing w:after="0" w:line="193" w:lineRule="exact"/>
        <w:rPr>
          <w:rFonts w:ascii="Times New Roman" w:cs="Times New Roman" w:eastAsia="Times New Roman" w:hAnsi="Times New Roman"/>
          <w:sz w:val="18"/>
          <w:szCs w:val="18"/>
          <w:b w:val="1"/>
          <w:bCs w:val="1"/>
          <w:color w:val="auto"/>
        </w:rPr>
      </w:pPr>
    </w:p>
    <w:p>
      <w:pPr>
        <w:jc w:val="both"/>
        <w:ind w:left="40" w:right="299" w:firstLine="808"/>
        <w:spacing w:after="0" w:line="254" w:lineRule="auto"/>
        <w:tabs>
          <w:tab w:leader="none" w:pos="1166"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Act Liabilities</w:t>
      </w:r>
      <w:r>
        <w:rPr>
          <w:rFonts w:ascii="Times New Roman" w:cs="Times New Roman" w:eastAsia="Times New Roman" w:hAnsi="Times New Roman"/>
          <w:sz w:val="18"/>
          <w:szCs w:val="18"/>
          <w:color w:val="auto"/>
        </w:rPr>
        <w:t>. Any provision herein to the contrary notwithstanding, the Company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obligated pursuant to the terms of this Agreement to indemnify Indemnitee or otherwise act in violation of any undertaking appearing in and required by the rules and regulations promulgated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201" w:lineRule="exact"/>
        <w:rPr>
          <w:rFonts w:ascii="Times New Roman" w:cs="Times New Roman" w:eastAsia="Times New Roman" w:hAnsi="Times New Roman"/>
          <w:sz w:val="18"/>
          <w:szCs w:val="18"/>
          <w:b w:val="1"/>
          <w:bCs w:val="1"/>
          <w:color w:val="auto"/>
        </w:rPr>
      </w:pPr>
    </w:p>
    <w:p>
      <w:pPr>
        <w:jc w:val="both"/>
        <w:ind w:left="40" w:right="299" w:firstLine="808"/>
        <w:spacing w:after="0" w:line="259" w:lineRule="auto"/>
        <w:tabs>
          <w:tab w:leader="none" w:pos="1204"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Prior Payments. </w:t>
      </w:r>
      <w:r>
        <w:rPr>
          <w:rFonts w:ascii="Times New Roman" w:cs="Times New Roman" w:eastAsia="Times New Roman" w:hAnsi="Times New Roman"/>
          <w:sz w:val="18"/>
          <w:szCs w:val="18"/>
          <w:color w:val="auto"/>
        </w:rPr>
        <w:t>Any provision herein to the contrary notwithstanding, the Company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pursuant to the terms of this Agreement to indemnify or advance Expenses to Indemnitee under this Agreement for which payment has actually been made to or on behalf of Indemnitee under any insurance policy procured by the Company or other indemnity provision, expect with respect to any excess beyond the amount paid under any insurance policy or indemnity policy.</w:t>
      </w:r>
    </w:p>
    <w:p>
      <w:pPr>
        <w:spacing w:after="0" w:line="246" w:lineRule="exact"/>
        <w:rPr>
          <w:rFonts w:ascii="Times New Roman" w:cs="Times New Roman" w:eastAsia="Times New Roman" w:hAnsi="Times New Roman"/>
          <w:sz w:val="18"/>
          <w:szCs w:val="18"/>
          <w:b w:val="1"/>
          <w:bCs w:val="1"/>
          <w:color w:val="auto"/>
        </w:rPr>
      </w:pPr>
    </w:p>
    <w:p>
      <w:pPr>
        <w:jc w:val="both"/>
        <w:ind w:left="-40" w:right="299" w:firstLine="785"/>
        <w:spacing w:after="0" w:line="254" w:lineRule="auto"/>
        <w:tabs>
          <w:tab w:leader="none" w:pos="114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and Survival of Rights</w:t>
      </w:r>
      <w:r>
        <w:rPr>
          <w:rFonts w:ascii="Times New Roman" w:cs="Times New Roman" w:eastAsia="Times New Roman" w:hAnsi="Times New Roman"/>
          <w:sz w:val="18"/>
          <w:szCs w:val="18"/>
          <w:color w:val="auto"/>
        </w:rPr>
        <w:t>. The provisions for indemnification and advancement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set forth in this Agreement shall not be deemed exclusive of any other rights which Indemnitee may at any time be entitled under any provision of applicable law, the Certificate, the Bylaws or other agreements, both as to action in Indemnitee’s official capacity and Indemnitee’s action as an Agent, in any court in which a proceeding is brought, and Indemnitee’s rights hereunder shall continue after Indemnitee has ceased acting as an Agent and shall inure to the benefit of the heirs, executors, administrators and assigns of Indemnitee. The obligations and duties of the Company to Indemnitee under this Agreement shall be binding on the Company and its successors and assigns until terminated in accordance with its terms. The Company shall require any successor (whether direct or indirect, by purchase, merger, consolidation or otherwise) to all or substantially all of the business or assets of the Company, by written agreement, expressly to assume and agree to perform this Agreement as well as indemnify Indemnitee to the fullest extent permitted by law.</w:t>
      </w:r>
    </w:p>
    <w:p>
      <w:pPr>
        <w:spacing w:after="0" w:line="200" w:lineRule="exact"/>
        <w:rPr>
          <w:sz w:val="20"/>
          <w:szCs w:val="20"/>
          <w:color w:val="auto"/>
        </w:rPr>
      </w:pPr>
    </w:p>
    <w:p>
      <w:pPr>
        <w:jc w:val="both"/>
        <w:ind w:left="20" w:right="199"/>
        <w:spacing w:after="0" w:line="253" w:lineRule="auto"/>
        <w:rPr>
          <w:sz w:val="20"/>
          <w:szCs w:val="20"/>
          <w:color w:val="auto"/>
        </w:rPr>
      </w:pPr>
      <w:r>
        <w:rPr>
          <w:rFonts w:ascii="Times New Roman" w:cs="Times New Roman" w:eastAsia="Times New Roman" w:hAnsi="Times New Roman"/>
          <w:sz w:val="18"/>
          <w:szCs w:val="18"/>
          <w:color w:val="auto"/>
        </w:rPr>
        <w:t>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the Code, whether by statute or judicial decision, permits greater indemnification or advancement of Expenses than would be afforded currently under the Certificate,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by Indemnitee shall not prevent the concurrent assertion or employment of any other right or remedy by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756285</wp:posOffset>
            </wp:positionV>
            <wp:extent cx="61290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00" w:right="1440" w:bottom="1440" w:gutter="0" w:footer="0" w:header="0"/>
        </w:sectPr>
      </w:pPr>
    </w:p>
    <w:bookmarkStart w:id="130" w:name="page131"/>
    <w:bookmarkEnd w:id="130"/>
    <w:p>
      <w:pPr>
        <w:jc w:val="both"/>
        <w:ind w:left="-40" w:right="299" w:firstLine="785"/>
        <w:spacing w:after="0" w:line="262" w:lineRule="auto"/>
        <w:tabs>
          <w:tab w:leader="none" w:pos="108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Agreement shall continue until and terminate upon the later of: (a) ten (10) years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that Indemnitee shall have ceased to serve as Agent; or (b) one (1) year after the final termination of any proceeding, including any appeal then pending, in respect to which Indemnitee was granted rights of indemnification or advancement of Expenses hereunder.</w:t>
      </w:r>
    </w:p>
    <w:p>
      <w:pPr>
        <w:spacing w:after="0" w:line="180" w:lineRule="exact"/>
        <w:rPr>
          <w:sz w:val="20"/>
          <w:szCs w:val="20"/>
          <w:color w:val="auto"/>
        </w:rPr>
      </w:pPr>
    </w:p>
    <w:p>
      <w:pPr>
        <w:jc w:val="both"/>
        <w:ind w:left="20" w:right="199"/>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applicable law, no legal action shall be brought and no cause of action shall be asserted by or in the right of the Company against an Indemnitee or an Indemnitee's estate, spouse, heirs, executors or personal or legal representatives after the expiration of five (5) years from the date of accrual of such cause of action, and any claim or cause of action of the Company shall be extinguished and deemed released unless asserted by the timely filing of a legal action within such five-year period; provided, however, that if any shorter period of limitations is otherwise applicable to such cause of action, such shorter period shall govern.</w:t>
      </w:r>
    </w:p>
    <w:p>
      <w:pPr>
        <w:spacing w:after="0" w:line="251" w:lineRule="exact"/>
        <w:rPr>
          <w:sz w:val="20"/>
          <w:szCs w:val="20"/>
          <w:color w:val="auto"/>
        </w:rPr>
      </w:pPr>
    </w:p>
    <w:p>
      <w:pPr>
        <w:jc w:val="both"/>
        <w:ind w:left="-40" w:right="299" w:firstLine="785"/>
        <w:spacing w:after="0" w:line="259" w:lineRule="auto"/>
        <w:tabs>
          <w:tab w:leader="none" w:pos="108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Subrogation</w:t>
      </w:r>
      <w:r>
        <w:rPr>
          <w:rFonts w:ascii="Times New Roman" w:cs="Times New Roman" w:eastAsia="Times New Roman" w:hAnsi="Times New Roman"/>
          <w:sz w:val="18"/>
          <w:szCs w:val="18"/>
          <w:color w:val="auto"/>
        </w:rPr>
        <w:t>. In the event of payment under this Agreement, the Company shall be subrogated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of such payment to all of the rights of recovery of Indemnitee, who, at the request and expense of the Company, shall execute all papers required and shall do everything that may be reasonably necessary to secure such rights, including the execution of such documents necessary to enable the Company effectively to bring suit to enforce such rights.</w:t>
      </w:r>
    </w:p>
    <w:p>
      <w:pPr>
        <w:spacing w:after="0" w:line="246" w:lineRule="exact"/>
        <w:rPr>
          <w:rFonts w:ascii="Times New Roman" w:cs="Times New Roman" w:eastAsia="Times New Roman" w:hAnsi="Times New Roman"/>
          <w:sz w:val="18"/>
          <w:szCs w:val="18"/>
          <w:b w:val="1"/>
          <w:bCs w:val="1"/>
          <w:color w:val="auto"/>
        </w:rPr>
      </w:pPr>
    </w:p>
    <w:p>
      <w:pPr>
        <w:jc w:val="both"/>
        <w:ind w:left="-40" w:right="299" w:firstLine="785"/>
        <w:spacing w:after="0" w:line="268" w:lineRule="auto"/>
        <w:tabs>
          <w:tab w:leader="none" w:pos="112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of Agreement</w:t>
      </w:r>
      <w:r>
        <w:rPr>
          <w:rFonts w:ascii="Times New Roman" w:cs="Times New Roman" w:eastAsia="Times New Roman" w:hAnsi="Times New Roman"/>
          <w:sz w:val="18"/>
          <w:szCs w:val="18"/>
          <w:color w:val="auto"/>
        </w:rPr>
        <w:t>. It is understood that the parties hereto intend this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and enforced so as to provide indemnification and advancement of Expenses to Indemnitee to the fullest extent now or hereafter permitted by law.</w:t>
      </w:r>
    </w:p>
    <w:p>
      <w:pPr>
        <w:spacing w:after="0" w:line="251" w:lineRule="exact"/>
        <w:rPr>
          <w:rFonts w:ascii="Times New Roman" w:cs="Times New Roman" w:eastAsia="Times New Roman" w:hAnsi="Times New Roman"/>
          <w:sz w:val="18"/>
          <w:szCs w:val="18"/>
          <w:b w:val="1"/>
          <w:bCs w:val="1"/>
          <w:color w:val="auto"/>
        </w:rPr>
      </w:pPr>
    </w:p>
    <w:p>
      <w:pPr>
        <w:jc w:val="both"/>
        <w:ind w:left="-40" w:right="299" w:firstLine="785"/>
        <w:spacing w:after="0" w:line="255" w:lineRule="auto"/>
        <w:tabs>
          <w:tab w:leader="none" w:pos="1058"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Agreement shall be held to be invalid, illegal or unenforceable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whatsoever, (a) the validity, legality and enforceability of the remaining provisions of the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 of this Agreement containing any such provision held to be invalid, illegal or unenforceable, that are not themselves invalid, illegal or unenforceable) shall be construed so as to give effect to the intent manifested by the provision held invalid, illegal or unenforceable and to give effect to Section 14 hereof.</w:t>
      </w:r>
    </w:p>
    <w:p>
      <w:pPr>
        <w:spacing w:after="0" w:line="265" w:lineRule="exact"/>
        <w:rPr>
          <w:rFonts w:ascii="Times New Roman" w:cs="Times New Roman" w:eastAsia="Times New Roman" w:hAnsi="Times New Roman"/>
          <w:sz w:val="18"/>
          <w:szCs w:val="18"/>
          <w:b w:val="1"/>
          <w:bCs w:val="1"/>
          <w:color w:val="auto"/>
        </w:rPr>
      </w:pPr>
    </w:p>
    <w:p>
      <w:pPr>
        <w:jc w:val="both"/>
        <w:ind w:left="-40" w:right="299" w:firstLine="785"/>
        <w:spacing w:after="0" w:line="262" w:lineRule="auto"/>
        <w:tabs>
          <w:tab w:leader="none" w:pos="1067"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Waiver</w:t>
      </w:r>
      <w:r>
        <w:rPr>
          <w:rFonts w:ascii="Times New Roman" w:cs="Times New Roman" w:eastAsia="Times New Roman" w:hAnsi="Times New Roman"/>
          <w:sz w:val="18"/>
          <w:szCs w:val="18"/>
          <w:color w:val="auto"/>
        </w:rPr>
        <w:t>. No supplement, modification, amendment, or cancellation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binding unless executed in writing by the parties hereto. No waiver of any of the provisions of this Agreement shall be deemed or shall constitute a waiver of any other provision hereof (whether or not similar) nor shall such waiver constitute a continuing waiver.</w:t>
      </w:r>
    </w:p>
    <w:p>
      <w:pPr>
        <w:spacing w:after="0" w:line="257" w:lineRule="exact"/>
        <w:rPr>
          <w:rFonts w:ascii="Times New Roman" w:cs="Times New Roman" w:eastAsia="Times New Roman" w:hAnsi="Times New Roman"/>
          <w:sz w:val="18"/>
          <w:szCs w:val="18"/>
          <w:b w:val="1"/>
          <w:bCs w:val="1"/>
          <w:color w:val="auto"/>
        </w:rPr>
      </w:pPr>
    </w:p>
    <w:p>
      <w:pPr>
        <w:jc w:val="both"/>
        <w:ind w:left="-40" w:right="299" w:firstLine="785"/>
        <w:spacing w:after="0" w:line="254" w:lineRule="auto"/>
        <w:tabs>
          <w:tab w:leader="none" w:pos="108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Except as otherwise provided herein, any notice or demand which, by the provisions hereof,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or which may be given to or served upon the parties hereto shall be in writing and, if by electronic transmission, shall be deemed to have been validly served, given or delivered when sent, if by overnight delivery, courier or personal delivery, shall be deemed to have been validly served, given or delivered upon actual delivery and, if mailed, shall be deemed to have been validly served, given or delivered three (3) business days after deposit in the United States mail, as registered or certified mail, with proper postage prepaid and addressed to the party or parties to be notified at the addresses set forth on the signature page of this Agreement (or such other address(es) as a party may designate for itself by like notice). If to the Company, notices and demands shall be delivered to the attention of the Secretary of the Company.</w:t>
      </w:r>
    </w:p>
    <w:p>
      <w:pPr>
        <w:spacing w:after="0" w:line="255" w:lineRule="exact"/>
        <w:rPr>
          <w:rFonts w:ascii="Times New Roman" w:cs="Times New Roman" w:eastAsia="Times New Roman" w:hAnsi="Times New Roman"/>
          <w:sz w:val="18"/>
          <w:szCs w:val="18"/>
          <w:b w:val="1"/>
          <w:bCs w:val="1"/>
          <w:color w:val="auto"/>
        </w:rPr>
      </w:pPr>
    </w:p>
    <w:p>
      <w:pPr>
        <w:jc w:val="both"/>
        <w:ind w:left="-40" w:right="319" w:firstLine="785"/>
        <w:spacing w:after="0" w:line="268" w:lineRule="auto"/>
        <w:tabs>
          <w:tab w:leader="none" w:pos="106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governed exclusively by and construed according to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as applied to contracts between Delaware residents entered into and to be performed entirely within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1275715</wp:posOffset>
            </wp:positionV>
            <wp:extent cx="61290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00" w:right="1440" w:bottom="1440" w:gutter="0" w:footer="0" w:header="0"/>
        </w:sectPr>
      </w:pPr>
    </w:p>
    <w:bookmarkStart w:id="131" w:name="page132"/>
    <w:bookmarkEnd w:id="131"/>
    <w:p>
      <w:pPr>
        <w:jc w:val="both"/>
        <w:ind w:left="-40" w:right="299" w:firstLine="785"/>
        <w:spacing w:after="0" w:line="254" w:lineRule="auto"/>
        <w:tabs>
          <w:tab w:leader="none" w:pos="105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 to Jurisdiction</w:t>
      </w:r>
      <w:r>
        <w:rPr>
          <w:rFonts w:ascii="Times New Roman" w:cs="Times New Roman" w:eastAsia="Times New Roman" w:hAnsi="Times New Roman"/>
          <w:sz w:val="18"/>
          <w:szCs w:val="18"/>
          <w:color w:val="auto"/>
        </w:rPr>
        <w:t>. The Company and Indemnitee hereby irrevocably and unconditionally (a)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b w:val="1"/>
          <w:bCs w:val="1"/>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(b) consent to submit to the exclusive jurisdiction of the Delaware Court for purposes of any action or proceeding arising out of or in connection with this Agreement, (c) agree to appoint, to the extent such party is not otherwise subject to service of process in the State of Delaware, an agent in the State of Delaware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and (e) waive, and agree not to plead or to make, any claim that any such action or proceeding brought in the Delaware Court has been brought in an improper or inconvenient forum.</w:t>
      </w:r>
    </w:p>
    <w:p>
      <w:pPr>
        <w:spacing w:after="0" w:line="249" w:lineRule="exact"/>
        <w:rPr>
          <w:rFonts w:ascii="Times New Roman" w:cs="Times New Roman" w:eastAsia="Times New Roman" w:hAnsi="Times New Roman"/>
          <w:sz w:val="18"/>
          <w:szCs w:val="18"/>
          <w:b w:val="1"/>
          <w:bCs w:val="1"/>
          <w:color w:val="auto"/>
        </w:rPr>
      </w:pPr>
    </w:p>
    <w:p>
      <w:pPr>
        <w:jc w:val="both"/>
        <w:ind w:left="-40" w:right="319" w:firstLine="785"/>
        <w:spacing w:after="0" w:line="268" w:lineRule="auto"/>
        <w:tabs>
          <w:tab w:leader="none" w:pos="105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be deemed to be an original but all of which together shall constitute but one and the same Agreement. Only one such counterpart need be produced to evidence the existence of this Agreement.</w:t>
      </w:r>
    </w:p>
    <w:p>
      <w:pPr>
        <w:spacing w:after="0" w:line="238" w:lineRule="exact"/>
        <w:rPr>
          <w:rFonts w:ascii="Times New Roman" w:cs="Times New Roman" w:eastAsia="Times New Roman" w:hAnsi="Times New Roman"/>
          <w:sz w:val="18"/>
          <w:szCs w:val="18"/>
          <w:b w:val="1"/>
          <w:bCs w:val="1"/>
          <w:color w:val="auto"/>
        </w:rPr>
      </w:pPr>
    </w:p>
    <w:p>
      <w:pPr>
        <w:ind w:left="-40" w:right="299" w:firstLine="785"/>
        <w:spacing w:after="0" w:line="286" w:lineRule="auto"/>
        <w:tabs>
          <w:tab w:leader="none" w:pos="105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the sections of this Agreement are inserted for convenience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constitute part of this Agreement or to affect the construction hereof.</w:t>
      </w:r>
    </w:p>
    <w:p>
      <w:pPr>
        <w:spacing w:after="0" w:line="235" w:lineRule="exact"/>
        <w:rPr>
          <w:rFonts w:ascii="Times New Roman" w:cs="Times New Roman" w:eastAsia="Times New Roman" w:hAnsi="Times New Roman"/>
          <w:sz w:val="18"/>
          <w:szCs w:val="18"/>
          <w:b w:val="1"/>
          <w:bCs w:val="1"/>
          <w:color w:val="auto"/>
        </w:rPr>
      </w:pPr>
    </w:p>
    <w:p>
      <w:pPr>
        <w:jc w:val="both"/>
        <w:ind w:left="-40" w:right="299" w:firstLine="785"/>
        <w:spacing w:after="0" w:line="253" w:lineRule="auto"/>
        <w:tabs>
          <w:tab w:leader="none" w:pos="109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Equitable Remedies</w:t>
      </w:r>
      <w:r>
        <w:rPr>
          <w:rFonts w:ascii="Times New Roman" w:cs="Times New Roman" w:eastAsia="Times New Roman" w:hAnsi="Times New Roman"/>
          <w:sz w:val="18"/>
          <w:szCs w:val="18"/>
          <w:color w:val="auto"/>
        </w:rPr>
        <w:t>. The Company and Indemnitee agree that a monetary remedy for breach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257" w:lineRule="exact"/>
        <w:rPr>
          <w:rFonts w:ascii="Times New Roman" w:cs="Times New Roman" w:eastAsia="Times New Roman" w:hAnsi="Times New Roman"/>
          <w:sz w:val="18"/>
          <w:szCs w:val="18"/>
          <w:b w:val="1"/>
          <w:bCs w:val="1"/>
          <w:color w:val="auto"/>
        </w:rPr>
      </w:pPr>
    </w:p>
    <w:p>
      <w:pPr>
        <w:jc w:val="both"/>
        <w:ind w:left="-40" w:right="299" w:firstLine="785"/>
        <w:spacing w:after="0" w:line="255" w:lineRule="auto"/>
        <w:tabs>
          <w:tab w:leader="none" w:pos="105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To the fullest extent permissible under applicable law, if the indemnification provided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and/or transaction(s) giving cause to such proceeding; and/or (b) the relative fault of the Company (and its directors, officers, employees and agents) and Indemnitee in connection with such event(s) and/or transaction(s).</w:t>
      </w:r>
    </w:p>
    <w:p>
      <w:pPr>
        <w:spacing w:after="0" w:line="252" w:lineRule="exact"/>
        <w:rPr>
          <w:rFonts w:ascii="Times New Roman" w:cs="Times New Roman" w:eastAsia="Times New Roman" w:hAnsi="Times New Roman"/>
          <w:sz w:val="18"/>
          <w:szCs w:val="18"/>
          <w:b w:val="1"/>
          <w:bCs w:val="1"/>
          <w:color w:val="auto"/>
        </w:rPr>
      </w:pPr>
    </w:p>
    <w:p>
      <w:pPr>
        <w:jc w:val="both"/>
        <w:ind w:left="-40" w:right="299" w:firstLine="785"/>
        <w:spacing w:after="0" w:line="254" w:lineRule="auto"/>
        <w:tabs>
          <w:tab w:leader="none" w:pos="105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The Company’s obligation to indemnify, hold harmless, exonerate or advance Expenses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(a)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(b)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931545</wp:posOffset>
            </wp:positionV>
            <wp:extent cx="61290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00" w:right="1440" w:bottom="1440" w:gutter="0" w:footer="0" w:header="0"/>
        </w:sectPr>
      </w:pPr>
    </w:p>
    <w:bookmarkStart w:id="132" w:name="page133"/>
    <w:bookmarkEnd w:id="132"/>
    <w:p>
      <w:pPr>
        <w:jc w:val="both"/>
        <w:ind w:left="-40" w:right="299" w:firstLine="785"/>
        <w:spacing w:after="0" w:line="257" w:lineRule="auto"/>
        <w:tabs>
          <w:tab w:leader="none" w:pos="1139"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Subject to Section 11 hereof, this Agreement constitutes the 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parties with respect to the subject matter hereof and supersedes all prior agreements, understandings and negotiations, written and oral, between the parties with respect to the subject matter of this Agreement; provided, however, that this Agreement is a supplement to and in furtherance of the Certificate, the Bylaws, the Code and any other applicable law, and shall not be deemed a substitute therefor, and does not diminish or abrogate any rights of Indemnitee thereunder.</w:t>
      </w:r>
    </w:p>
    <w:p>
      <w:pPr>
        <w:spacing w:after="0" w:line="35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[REMAINDER OF THIS PAGE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7124065</wp:posOffset>
            </wp:positionV>
            <wp:extent cx="61290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6129020" cy="42545"/>
                    </a:xfrm>
                    <a:prstGeom prst="rect">
                      <a:avLst/>
                    </a:prstGeom>
                    <a:noFill/>
                  </pic:spPr>
                </pic:pic>
              </a:graphicData>
            </a:graphic>
          </wp:anchor>
        </w:drawing>
      </w:r>
    </w:p>
    <w:p>
      <w:pPr>
        <w:sectPr>
          <w:pgSz w:w="11900" w:h="16838" w:orient="portrait"/>
          <w:cols w:equalWidth="0" w:num="1">
            <w:col w:w="9019"/>
          </w:cols>
          <w:pgMar w:left="1440" w:top="1400" w:right="1440" w:bottom="1440" w:gutter="0" w:footer="0" w:header="0"/>
        </w:sectPr>
      </w:pPr>
    </w:p>
    <w:bookmarkStart w:id="133" w:name="page134"/>
    <w:bookmarkEnd w:id="133"/>
    <w:p>
      <w:pPr>
        <w:spacing w:after="0" w:line="190" w:lineRule="exact"/>
        <w:rPr>
          <w:sz w:val="20"/>
          <w:szCs w:val="20"/>
          <w:color w:val="auto"/>
        </w:rPr>
      </w:pPr>
    </w:p>
    <w:p>
      <w:pPr>
        <w:ind w:left="860" w:right="479"/>
        <w:spacing w:after="0" w:line="260"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7"/>
          <w:szCs w:val="17"/>
          <w:color w:val="auto"/>
        </w:rPr>
        <w:t>, the parties hereto have entered into this Agreement effective as of the date first above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7"/>
          <w:szCs w:val="17"/>
          <w:color w:val="auto"/>
        </w:rPr>
        <w:t>written.</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COMPANY FIBROGEN, INC.</w:t>
      </w:r>
    </w:p>
    <w:p>
      <w:pPr>
        <w:spacing w:after="0" w:line="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Signature of Indemnitee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Print or Type Name of Indemnitee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5525135</wp:posOffset>
            </wp:positionV>
            <wp:extent cx="616331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61633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Thane Wettig, certify that:</w:t>
      </w:r>
    </w:p>
    <w:p>
      <w:pPr>
        <w:spacing w:after="0" w:line="117" w:lineRule="exact"/>
        <w:rPr>
          <w:sz w:val="20"/>
          <w:szCs w:val="20"/>
          <w:color w:val="auto"/>
        </w:rPr>
      </w:pPr>
    </w:p>
    <w:p>
      <w:pPr>
        <w:ind w:left="180" w:hanging="172"/>
        <w:spacing w:after="0"/>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0" w:firstLine="517"/>
        <w:spacing w:after="0" w:line="282" w:lineRule="auto"/>
        <w:tabs>
          <w:tab w:leader="none" w:pos="7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60" w:firstLine="517"/>
        <w:spacing w:after="0" w:line="266" w:lineRule="auto"/>
        <w:tabs>
          <w:tab w:leader="none" w:pos="76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6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7"/>
          <w:szCs w:val="17"/>
          <w:color w:val="auto"/>
        </w:rPr>
        <w:t>/s/ Thane Wettig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Thane Wettig</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Juan Graham, certify that:</w:t>
      </w:r>
    </w:p>
    <w:p>
      <w:pPr>
        <w:spacing w:after="0" w:line="117" w:lineRule="exact"/>
        <w:rPr>
          <w:sz w:val="20"/>
          <w:szCs w:val="20"/>
          <w:color w:val="auto"/>
        </w:rPr>
      </w:pPr>
    </w:p>
    <w:p>
      <w:pPr>
        <w:ind w:left="180" w:hanging="172"/>
        <w:spacing w:after="0"/>
        <w:tabs>
          <w:tab w:leader="none" w:pos="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FibroGen,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800" w:firstLine="517"/>
        <w:spacing w:after="0" w:line="282" w:lineRule="auto"/>
        <w:tabs>
          <w:tab w:leader="none" w:pos="7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60" w:firstLine="517"/>
        <w:spacing w:after="0" w:line="266" w:lineRule="auto"/>
        <w:tabs>
          <w:tab w:leader="none" w:pos="7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517"/>
        <w:spacing w:after="0" w:line="282" w:lineRule="auto"/>
        <w:tabs>
          <w:tab w:leader="none" w:pos="7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6, 2024</w:t>
      </w:r>
      <w:r>
        <w:rPr>
          <w:sz w:val="20"/>
          <w:szCs w:val="20"/>
          <w:color w:val="auto"/>
        </w:rPr>
        <w:tab/>
      </w:r>
      <w:r>
        <w:rPr>
          <w:rFonts w:ascii="Times New Roman" w:cs="Times New Roman" w:eastAsia="Times New Roman" w:hAnsi="Times New Roman"/>
          <w:sz w:val="17"/>
          <w:szCs w:val="17"/>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Juan Graham</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Thane Wettig, Interim Chief Executive Officer of FibroGen, Inc. (the "Company”), and Juan Graham, Chief Financial Officer of the Company, each hereby certifies that, to the best of his knowledge:</w:t>
      </w:r>
    </w:p>
    <w:p>
      <w:pPr>
        <w:spacing w:after="0" w:line="176" w:lineRule="exact"/>
        <w:rPr>
          <w:sz w:val="20"/>
          <w:szCs w:val="20"/>
          <w:color w:val="auto"/>
        </w:rPr>
      </w:pPr>
    </w:p>
    <w:p>
      <w:pPr>
        <w:ind w:left="520" w:right="300" w:hanging="512"/>
        <w:spacing w:after="0" w:line="282"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6, 2024</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Thane Wettig</w:t>
            </w:r>
          </w:p>
        </w:tc>
        <w:tc>
          <w:tcPr>
            <w:tcW w:w="1120" w:type="dxa"/>
            <w:vAlign w:val="bottom"/>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Graham</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Thane Wettig</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Juan Graham</w:t>
            </w: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1."/>
      <w:numFmt w:val="decimal"/>
      <w:start w:val="1"/>
    </w:lvl>
  </w:abstractNum>
  <w:abstractNum w:abstractNumId="3">
    <w:nsid w:val="3F6AB60F"/>
    <w:multiLevelType w:val="hybridMultilevel"/>
    <w:lvl w:ilvl="0">
      <w:lvlJc w:val="left"/>
      <w:lvlText w:val="%1."/>
      <w:numFmt w:val="decimal"/>
      <w:start w:val="2"/>
    </w:lvl>
  </w:abstractNum>
  <w:abstractNum w:abstractNumId="4">
    <w:nsid w:val="61574095"/>
    <w:multiLevelType w:val="hybridMultilevel"/>
    <w:lvl w:ilvl="0">
      <w:lvlJc w:val="left"/>
      <w:lvlText w:val="%1"/>
      <w:numFmt w:val="upperLetter"/>
      <w:start w:val="61"/>
    </w:lvl>
  </w:abstractNum>
  <w:abstractNum w:abstractNumId="5">
    <w:nsid w:val="7E0C57B1"/>
    <w:multiLevelType w:val="hybridMultilevel"/>
    <w:lvl w:ilvl="0">
      <w:lvlJc w:val="left"/>
      <w:lvlText w:val="%1."/>
      <w:numFmt w:val="decimal"/>
      <w:start w:val="3"/>
    </w:lvl>
  </w:abstractNum>
  <w:abstractNum w:abstractNumId="6">
    <w:nsid w:val="77AE35EB"/>
    <w:multiLevelType w:val="hybridMultilevel"/>
    <w:lvl w:ilvl="0">
      <w:lvlJc w:val="left"/>
      <w:lvlText w:val="%1."/>
      <w:numFmt w:val="decimal"/>
      <w:start w:val="4"/>
    </w:lvl>
  </w:abstractNum>
  <w:abstractNum w:abstractNumId="7">
    <w:nsid w:val="579BE4F1"/>
    <w:multiLevelType w:val="hybridMultilevel"/>
    <w:lvl w:ilvl="0">
      <w:lvlJc w:val="left"/>
      <w:lvlText w:val="%1."/>
      <w:numFmt w:val="decimal"/>
      <w:start w:val="6"/>
    </w:lvl>
  </w:abstractNum>
  <w:abstractNum w:abstractNumId="8">
    <w:nsid w:val="310C50B3"/>
    <w:multiLevelType w:val="hybridMultilevel"/>
    <w:lvl w:ilvl="0">
      <w:lvlJc w:val="left"/>
      <w:lvlText w:val="%1."/>
      <w:numFmt w:val="decimal"/>
      <w:start w:val="7"/>
    </w:lvl>
  </w:abstractNum>
  <w:abstractNum w:abstractNumId="9">
    <w:nsid w:val="5FF87E05"/>
    <w:multiLevelType w:val="hybridMultilevel"/>
    <w:lvl w:ilvl="0">
      <w:lvlJc w:val="left"/>
      <w:lvlText w:val="%1."/>
      <w:numFmt w:val="decimal"/>
      <w:start w:val="8"/>
    </w:lvl>
  </w:abstractNum>
  <w:abstractNum w:abstractNumId="10">
    <w:nsid w:val="2F305DEF"/>
    <w:multiLevelType w:val="hybridMultilevel"/>
    <w:lvl w:ilvl="0">
      <w:lvlJc w:val="left"/>
      <w:lvlText w:val="%1."/>
      <w:numFmt w:val="decimal"/>
      <w:start w:val="9"/>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lowerRoman"/>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1)"/>
      <w:numFmt w:val="lowerLetter"/>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1)"/>
      <w:numFmt w:val="lowerLetter"/>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1)"/>
      <w:numFmt w:val="lowerLetter"/>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1."/>
      <w:numFmt w:val="decimal"/>
      <w:start w:val="1"/>
    </w:lvl>
    <w:lvl w:ilvl="1">
      <w:lvlJc w:val="left"/>
      <w:lvlText w:val="%2."/>
      <w:numFmt w:val="lowerLetter"/>
      <w:start w:val="1"/>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9">
    <w:nsid w:val="6FC75AF8"/>
    <w:multiLevelType w:val="hybridMultilevel"/>
    <w:lvl w:ilvl="0">
      <w:lvlJc w:val="left"/>
      <w:lvlText w:val="%1."/>
      <w:numFmt w:val="decimal"/>
      <w:start w:val="4"/>
    </w:lvl>
  </w:abstractNum>
  <w:abstractNum w:abstractNumId="80">
    <w:nsid w:val="6A5F7029"/>
    <w:multiLevelType w:val="hybridMultilevel"/>
    <w:lvl w:ilvl="0">
      <w:lvlJc w:val="left"/>
      <w:lvlText w:val="%1."/>
      <w:numFmt w:val="decimal"/>
      <w:start w:val="12"/>
    </w:lvl>
  </w:abstractNum>
  <w:abstractNum w:abstractNumId="81">
    <w:nsid w:val="7D5E18F8"/>
    <w:multiLevelType w:val="hybridMultilevel"/>
    <w:lvl w:ilvl="0">
      <w:lvlJc w:val="left"/>
      <w:lvlText w:val="%1."/>
      <w:numFmt w:val="upperLetter"/>
      <w:start w:val="1"/>
    </w:lvl>
  </w:abstractNum>
  <w:abstractNum w:abstractNumId="82">
    <w:nsid w:val="5F3534A4"/>
    <w:multiLevelType w:val="hybridMultilevel"/>
    <w:lvl w:ilvl="0">
      <w:lvlJc w:val="left"/>
      <w:lvlText w:val="%1."/>
      <w:numFmt w:val="decimal"/>
      <w:start w:val="1"/>
    </w:lvl>
  </w:abstractNum>
  <w:abstractNum w:abstractNumId="83">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4">
    <w:nsid w:val="7DE67713"/>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2"/>
    </w:lvl>
    <w:lvl w:ilvl="3">
      <w:lvlJc w:val="left"/>
      <w:lvlText w:val="(%4)"/>
      <w:numFmt w:val="lowerLetter"/>
      <w:start w:val="61"/>
    </w:lvl>
  </w:abstractNum>
  <w:abstractNum w:abstractNumId="85">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86">
    <w:nsid w:val="3FA62ACA"/>
    <w:multiLevelType w:val="hybridMultilevel"/>
    <w:lvl w:ilvl="0">
      <w:lvlJc w:val="left"/>
      <w:lvlText w:val="%1"/>
      <w:numFmt w:val="decimal"/>
      <w:start w:val="1"/>
    </w:lvl>
    <w:lvl w:ilvl="1">
      <w:lvlJc w:val="left"/>
      <w:lvlText w:val="(%2)"/>
      <w:numFmt w:val="lowerRoman"/>
      <w:start w:val="2"/>
    </w:lvl>
  </w:abstractNum>
  <w:abstractNum w:abstractNumId="87">
    <w:nsid w:val="14FCE74E"/>
    <w:multiLevelType w:val="hybridMultilevel"/>
    <w:lvl w:ilvl="0">
      <w:lvlJc w:val="left"/>
      <w:lvlText w:val="%1."/>
      <w:numFmt w:val="decimal"/>
      <w:start w:val="4"/>
    </w:lvl>
    <w:lvl w:ilvl="1">
      <w:lvlJc w:val="left"/>
      <w:lvlText w:val="%2"/>
      <w:numFmt w:val="lowerRoman"/>
      <w:start w:val="1"/>
    </w:lvl>
  </w:abstractNum>
  <w:abstractNum w:abstractNumId="88">
    <w:nsid w:val="6A3DD3E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9">
    <w:nsid w:val="71C91298"/>
    <w:multiLevelType w:val="hybridMultilevel"/>
    <w:lvl w:ilvl="0">
      <w:lvlJc w:val="left"/>
      <w:lvlText w:val="%1."/>
      <w:numFmt w:val="decimal"/>
      <w:start w:val="5"/>
    </w:lvl>
    <w:lvl w:ilvl="1">
      <w:lvlJc w:val="left"/>
      <w:lvlText w:val="%2."/>
      <w:numFmt w:val="decimal"/>
      <w:start w:val="5"/>
    </w:lvl>
    <w:lvl w:ilvl="2">
      <w:lvlJc w:val="left"/>
      <w:lvlText w:val="(%3)"/>
      <w:numFmt w:val="lowerLetter"/>
      <w:start w:val="2"/>
    </w:lvl>
  </w:abstractNum>
  <w:abstractNum w:abstractNumId="90">
    <w:nsid w:val="9DAF63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1">
    <w:nsid w:val="53299938"/>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92">
    <w:nsid w:val="1FBFE8E0"/>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93">
    <w:nsid w:val="5092CA79"/>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94">
    <w:nsid w:val="1D545C4D"/>
    <w:multiLevelType w:val="hybridMultilevel"/>
    <w:lvl w:ilvl="0">
      <w:lvlJc w:val="left"/>
      <w:lvlText w:val="%1"/>
      <w:numFmt w:val="decimal"/>
      <w:start w:val="1"/>
    </w:lvl>
    <w:lvl w:ilvl="1">
      <w:lvlJc w:val="left"/>
      <w:lvlText w:val="(%2)"/>
      <w:numFmt w:val="lowerLetter"/>
      <w:start w:val="3"/>
    </w:lvl>
  </w:abstractNum>
  <w:abstractNum w:abstractNumId="95">
    <w:nsid w:val="59ADEA3D"/>
    <w:multiLevelType w:val="hybridMultilevel"/>
    <w:lvl w:ilvl="0">
      <w:lvlJc w:val="left"/>
      <w:lvlText w:val="%1."/>
      <w:numFmt w:val="decimal"/>
      <w:start w:val="10"/>
    </w:lvl>
    <w:lvl w:ilvl="1">
      <w:lvlJc w:val="left"/>
      <w:lvlText w:val="(%2)"/>
      <w:numFmt w:val="lowerLetter"/>
      <w:start w:val="1"/>
    </w:lvl>
  </w:abstractNum>
  <w:abstractNum w:abstractNumId="96">
    <w:nsid w:val="288F1A34"/>
    <w:multiLevelType w:val="hybridMultilevel"/>
    <w:lvl w:ilvl="0">
      <w:lvlJc w:val="left"/>
      <w:lvlText w:val="(%1)"/>
      <w:numFmt w:val="lowerLetter"/>
      <w:start w:val="5"/>
    </w:lvl>
  </w:abstractNum>
  <w:abstractNum w:abstractNumId="97">
    <w:nsid w:val="2A155DBC"/>
    <w:multiLevelType w:val="hybridMultilevel"/>
    <w:lvl w:ilvl="0">
      <w:lvlJc w:val="left"/>
      <w:lvlText w:val="(%1)"/>
      <w:numFmt w:val="lowerLetter"/>
      <w:start w:val="1"/>
    </w:lvl>
  </w:abstractNum>
  <w:abstractNum w:abstractNumId="98">
    <w:nsid w:val="1D9F6E5F"/>
    <w:multiLevelType w:val="hybridMultilevel"/>
    <w:lvl w:ilvl="0">
      <w:lvlJc w:val="left"/>
      <w:lvlText w:val="%1."/>
      <w:numFmt w:val="upperLetter"/>
      <w:start w:val="1"/>
    </w:lvl>
  </w:abstractNum>
  <w:abstractNum w:abstractNumId="99">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51088277"/>
    <w:multiLevelType w:val="hybridMultilevel"/>
    <w:lvl w:ilvl="0">
      <w:lvlJc w:val="left"/>
      <w:lvlText w:val="(%1)"/>
      <w:numFmt w:val="lowerRoman"/>
      <w:start w:val="3"/>
    </w:lvl>
  </w:abstractNum>
  <w:abstractNum w:abstractNumId="101">
    <w:nsid w:val="1CA0C5FA"/>
    <w:multiLevelType w:val="hybridMultilevel"/>
    <w:lvl w:ilvl="0">
      <w:lvlJc w:val="left"/>
      <w:lvlText w:val="(%1)"/>
      <w:numFmt w:val="lowerLetter"/>
      <w:start w:val="3"/>
    </w:lvl>
  </w:abstractNum>
  <w:abstractNum w:abstractNumId="102">
    <w:nsid w:val="53584BCB"/>
    <w:multiLevelType w:val="hybridMultilevel"/>
    <w:lvl w:ilvl="0">
      <w:lvlJc w:val="left"/>
      <w:lvlText w:val="%1"/>
      <w:numFmt w:val="decimal"/>
      <w:start w:val="1"/>
    </w:lvl>
    <w:lvl w:ilvl="1">
      <w:lvlJc w:val="left"/>
      <w:lvlText w:val="(%2)"/>
      <w:numFmt w:val="lowerLetter"/>
      <w:start w:val="4"/>
    </w:lvl>
  </w:abstractNum>
  <w:abstractNum w:abstractNumId="103">
    <w:nsid w:val="415E286C"/>
    <w:multiLevelType w:val="hybridMultilevel"/>
    <w:lvl w:ilvl="0">
      <w:lvlJc w:val="left"/>
      <w:lvlText w:val="%1."/>
      <w:numFmt w:val="decimal"/>
      <w:start w:val="2"/>
    </w:lvl>
    <w:lvl w:ilvl="1">
      <w:lvlJc w:val="left"/>
      <w:lvlText w:val="%2"/>
      <w:numFmt w:val="lowerLetter"/>
      <w:start w:val="1"/>
    </w:lvl>
  </w:abstractNum>
  <w:abstractNum w:abstractNumId="104">
    <w:nsid w:val="7C58FD05"/>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lvl w:ilvl="3">
      <w:lvlJc w:val="left"/>
      <w:lvlText w:val="(%4)"/>
      <w:numFmt w:val="lowerLetter"/>
      <w:start w:val="1"/>
    </w:lvl>
  </w:abstractNum>
  <w:abstractNum w:abstractNumId="105">
    <w:nsid w:val="23D86AAC"/>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lowerLetter"/>
      <w:start w:val="1"/>
    </w:lvl>
  </w:abstractNum>
  <w:abstractNum w:abstractNumId="106">
    <w:nsid w:val="45E6D486"/>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07">
    <w:nsid w:val="5C10FE21"/>
    <w:multiLevelType w:val="hybridMultilevel"/>
    <w:lvl w:ilvl="0">
      <w:lvlJc w:val="left"/>
      <w:lvlText w:val="%1."/>
      <w:numFmt w:val="decimal"/>
      <w:start w:val="6"/>
    </w:lvl>
    <w:lvl w:ilvl="1">
      <w:lvlJc w:val="left"/>
      <w:lvlText w:val="(%2)"/>
      <w:numFmt w:val="lowerLetter"/>
      <w:start w:val="1"/>
    </w:lvl>
  </w:abstractNum>
  <w:abstractNum w:abstractNumId="108">
    <w:nsid w:val="E7FFA2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09">
    <w:nsid w:val="3C5991A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10">
    <w:nsid w:val="4BD8591A"/>
    <w:multiLevelType w:val="hybridMultilevel"/>
    <w:lvl w:ilvl="0">
      <w:lvlJc w:val="left"/>
      <w:lvlText w:val="%1"/>
      <w:numFmt w:val="decimal"/>
      <w:start w:val="1"/>
    </w:lvl>
    <w:lvl w:ilvl="1">
      <w:lvlJc w:val="left"/>
      <w:lvlText w:val="(%2)"/>
      <w:numFmt w:val="lowerLetter"/>
      <w:start w:val="3"/>
    </w:lvl>
  </w:abstractNum>
  <w:abstractNum w:abstractNumId="111">
    <w:nsid w:val="78DF6A55"/>
    <w:multiLevelType w:val="hybridMultilevel"/>
    <w:lvl w:ilvl="0">
      <w:lvlJc w:val="left"/>
      <w:lvlText w:val="%1."/>
      <w:numFmt w:val="decimal"/>
      <w:start w:val="11"/>
    </w:lvl>
    <w:lvl w:ilvl="1">
      <w:lvlJc w:val="left"/>
      <w:lvlText w:val="%2"/>
      <w:numFmt w:val="lowerLetter"/>
      <w:start w:val="1"/>
    </w:lvl>
  </w:abstractNum>
  <w:abstractNum w:abstractNumId="112">
    <w:nsid w:val="39B7AAA2"/>
    <w:multiLevelType w:val="hybridMultilevel"/>
    <w:lvl w:ilvl="0">
      <w:lvlJc w:val="left"/>
      <w:lvlText w:val="%1."/>
      <w:numFmt w:val="decimal"/>
      <w:start w:val="12"/>
    </w:lvl>
  </w:abstractNum>
  <w:abstractNum w:abstractNumId="113">
    <w:nsid w:val="2B0D8DBE"/>
    <w:multiLevelType w:val="hybridMultilevel"/>
    <w:lvl w:ilvl="0">
      <w:lvlJc w:val="left"/>
      <w:lvlText w:val="%1."/>
      <w:numFmt w:val="decimal"/>
      <w:start w:val="13"/>
    </w:lvl>
  </w:abstractNum>
  <w:abstractNum w:abstractNumId="114">
    <w:nsid w:val="6C80EC70"/>
    <w:multiLevelType w:val="hybridMultilevel"/>
    <w:lvl w:ilvl="0">
      <w:lvlJc w:val="left"/>
      <w:lvlText w:val="%1."/>
      <w:numFmt w:val="decimal"/>
      <w:start w:val="19"/>
    </w:lvl>
  </w:abstractNum>
  <w:abstractNum w:abstractNumId="115">
    <w:nsid w:val="379E21B5"/>
    <w:multiLevelType w:val="hybridMultilevel"/>
    <w:lvl w:ilvl="0">
      <w:lvlJc w:val="left"/>
      <w:lvlText w:val="%1."/>
      <w:numFmt w:val="decimal"/>
      <w:start w:val="25"/>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lvl w:ilvl="1">
      <w:lvlJc w:val="left"/>
      <w:lvlText w:val="(%2)"/>
      <w:numFmt w:val="lowerLetter"/>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jpe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396" Type="http://schemas.openxmlformats.org/officeDocument/2006/relationships/hyperlink" Target="https://www.sec.gov/Archives/edgar/data/921299/000119312514420380/d824859dex31.htm" TargetMode="External"/><Relationship Id="rId397" Type="http://schemas.openxmlformats.org/officeDocument/2006/relationships/hyperlink" Target="https://www.sec.gov/Archives/edgar/data/921299/000119312514380087/d720189dex34.htm" TargetMode="External"/><Relationship Id="rId398" Type="http://schemas.openxmlformats.org/officeDocument/2006/relationships/hyperlink" Target="https://www.sec.gov/Archives/edgar/data/921299/000119312514420380/d824859dex41.htm" TargetMode="External"/><Relationship Id="rId399" Type="http://schemas.openxmlformats.org/officeDocument/2006/relationships/hyperlink" Target="https://www.sec.gov/Archives/edgar/data/0000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2024-05-06T15:22:52Z</dcterms:created>
  <dcterms:modified xsi:type="dcterms:W3CDTF">2024-05-06T15:22:52Z</dcterms:modified>
</cp:coreProperties>
</file>