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2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2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For the transition period from</w:t>
            </w:r>
          </w:p>
        </w:tc>
        <w:tc>
          <w:tcPr>
            <w:tcW w:w="64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80" w:type="dxa"/>
            <w:vAlign w:val="bottom"/>
            <w:gridSpan w:val="2"/>
          </w:tcPr>
          <w:p>
            <w:pPr>
              <w:spacing w:after="0"/>
              <w:rPr>
                <w:sz w:val="17"/>
                <w:szCs w:val="17"/>
                <w:color w:val="auto"/>
              </w:rPr>
            </w:pPr>
          </w:p>
        </w:tc>
      </w:tr>
      <w:tr>
        <w:trPr>
          <w:trHeight w:val="345"/>
        </w:trPr>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8"/>
          </w:tcPr>
          <w:p>
            <w:pPr>
              <w:jc w:val="center"/>
              <w:ind w:right="337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81"/>
        </w:trPr>
        <w:tc>
          <w:tcPr>
            <w:tcW w:w="1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583"/>
        </w:trPr>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8"/>
          </w:tcPr>
          <w:p>
            <w:pPr>
              <w:jc w:val="center"/>
              <w:ind w:right="337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360" w:type="dxa"/>
            <w:vAlign w:val="bottom"/>
            <w:gridSpan w:val="9"/>
          </w:tcPr>
          <w:p>
            <w:pPr>
              <w:jc w:val="center"/>
              <w:ind w:right="309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95"/>
        </w:trPr>
        <w:tc>
          <w:tcPr>
            <w:tcW w:w="1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308"/>
        </w:trPr>
        <w:tc>
          <w:tcPr>
            <w:tcW w:w="100" w:type="dxa"/>
            <w:vAlign w:val="bottom"/>
          </w:tcPr>
          <w:p>
            <w:pPr>
              <w:spacing w:after="0"/>
              <w:rPr>
                <w:sz w:val="24"/>
                <w:szCs w:val="24"/>
                <w:color w:val="auto"/>
              </w:rPr>
            </w:pPr>
          </w:p>
        </w:tc>
        <w:tc>
          <w:tcPr>
            <w:tcW w:w="3000" w:type="dxa"/>
            <w:vAlign w:val="bottom"/>
          </w:tcPr>
          <w:p>
            <w:pPr>
              <w:jc w:val="center"/>
              <w:ind w:left="1297"/>
              <w:spacing w:after="0"/>
              <w:rPr>
                <w:sz w:val="20"/>
                <w:szCs w:val="20"/>
                <w:color w:val="auto"/>
              </w:rPr>
            </w:pPr>
            <w:r>
              <w:rPr>
                <w:rFonts w:ascii="Arial" w:cs="Arial" w:eastAsia="Arial" w:hAnsi="Arial"/>
                <w:sz w:val="18"/>
                <w:szCs w:val="18"/>
                <w:b w:val="1"/>
                <w:bCs w:val="1"/>
                <w:color w:val="auto"/>
                <w:w w:val="93"/>
              </w:rPr>
              <w:t>Delaware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40" w:type="dxa"/>
            <w:vAlign w:val="bottom"/>
            <w:gridSpan w:val="5"/>
          </w:tcPr>
          <w:p>
            <w:pPr>
              <w:jc w:val="right"/>
              <w:ind w:right="1839"/>
              <w:spacing w:after="0"/>
              <w:rPr>
                <w:sz w:val="20"/>
                <w:szCs w:val="20"/>
                <w:color w:val="auto"/>
              </w:rPr>
            </w:pPr>
            <w:r>
              <w:rPr>
                <w:rFonts w:ascii="Arial" w:cs="Arial" w:eastAsia="Arial" w:hAnsi="Arial"/>
                <w:sz w:val="18"/>
                <w:szCs w:val="18"/>
                <w:b w:val="1"/>
                <w:bCs w:val="1"/>
                <w:color w:val="auto"/>
              </w:rPr>
              <w:t>77-0357827</w:t>
            </w:r>
          </w:p>
        </w:tc>
      </w:tr>
      <w:tr>
        <w:trPr>
          <w:trHeight w:val="149"/>
        </w:trPr>
        <w:tc>
          <w:tcPr>
            <w:tcW w:w="100" w:type="dxa"/>
            <w:vAlign w:val="bottom"/>
          </w:tcPr>
          <w:p>
            <w:pPr>
              <w:spacing w:after="0"/>
              <w:rPr>
                <w:sz w:val="12"/>
                <w:szCs w:val="12"/>
                <w:color w:val="auto"/>
              </w:rPr>
            </w:pPr>
          </w:p>
        </w:tc>
        <w:tc>
          <w:tcPr>
            <w:tcW w:w="6120" w:type="dxa"/>
            <w:vAlign w:val="bottom"/>
            <w:gridSpan w:val="5"/>
          </w:tcPr>
          <w:p>
            <w:pPr>
              <w:jc w:val="center"/>
              <w:ind w:right="17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0" w:type="dxa"/>
            <w:vAlign w:val="bottom"/>
          </w:tcPr>
          <w:p>
            <w:pPr>
              <w:jc w:val="center"/>
              <w:ind w:right="14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0" w:type="dxa"/>
            <w:vAlign w:val="bottom"/>
          </w:tcPr>
          <w:p>
            <w:pPr>
              <w:spacing w:after="0"/>
              <w:rPr>
                <w:sz w:val="16"/>
                <w:szCs w:val="16"/>
                <w:color w:val="auto"/>
              </w:rPr>
            </w:pPr>
          </w:p>
        </w:tc>
        <w:tc>
          <w:tcPr>
            <w:tcW w:w="6120" w:type="dxa"/>
            <w:vAlign w:val="bottom"/>
            <w:gridSpan w:val="5"/>
          </w:tcPr>
          <w:p>
            <w:pPr>
              <w:jc w:val="center"/>
              <w:ind w:right="1740"/>
              <w:spacing w:after="0"/>
              <w:rPr>
                <w:sz w:val="20"/>
                <w:szCs w:val="20"/>
                <w:color w:val="auto"/>
              </w:rPr>
            </w:pPr>
            <w:r>
              <w:rPr>
                <w:rFonts w:ascii="Arial" w:cs="Arial" w:eastAsia="Arial" w:hAnsi="Arial"/>
                <w:sz w:val="14"/>
                <w:szCs w:val="14"/>
                <w:b w:val="1"/>
                <w:bCs w:val="1"/>
                <w:color w:val="auto"/>
                <w:w w:val="95"/>
              </w:rPr>
              <w:t>Incorporation or Organization)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jc w:val="center"/>
              <w:ind w:right="1439"/>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100" w:type="dxa"/>
            <w:vAlign w:val="bottom"/>
          </w:tcPr>
          <w:p>
            <w:pPr>
              <w:spacing w:after="0"/>
              <w:rPr>
                <w:sz w:val="24"/>
                <w:szCs w:val="24"/>
                <w:color w:val="auto"/>
              </w:rPr>
            </w:pPr>
          </w:p>
        </w:tc>
        <w:tc>
          <w:tcPr>
            <w:tcW w:w="3000" w:type="dxa"/>
            <w:vAlign w:val="bottom"/>
          </w:tcPr>
          <w:p>
            <w:pPr>
              <w:jc w:val="center"/>
              <w:ind w:left="1297"/>
              <w:spacing w:after="0"/>
              <w:rPr>
                <w:sz w:val="20"/>
                <w:szCs w:val="20"/>
                <w:color w:val="auto"/>
              </w:rPr>
            </w:pPr>
            <w:r>
              <w:rPr>
                <w:rFonts w:ascii="Arial" w:cs="Arial" w:eastAsia="Arial" w:hAnsi="Arial"/>
                <w:sz w:val="18"/>
                <w:szCs w:val="18"/>
                <w:b w:val="1"/>
                <w:bCs w:val="1"/>
                <w:color w:val="auto"/>
                <w:w w:val="90"/>
              </w:rPr>
              <w:t>409 Illinois Street</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3000" w:type="dxa"/>
            <w:vAlign w:val="bottom"/>
          </w:tcPr>
          <w:p>
            <w:pPr>
              <w:jc w:val="center"/>
              <w:ind w:left="1297"/>
              <w:spacing w:after="0"/>
              <w:rPr>
                <w:sz w:val="20"/>
                <w:szCs w:val="20"/>
                <w:color w:val="auto"/>
              </w:rPr>
            </w:pPr>
            <w:r>
              <w:rPr>
                <w:rFonts w:ascii="Arial" w:cs="Arial" w:eastAsia="Arial" w:hAnsi="Arial"/>
                <w:sz w:val="18"/>
                <w:szCs w:val="18"/>
                <w:b w:val="1"/>
                <w:bCs w:val="1"/>
                <w:color w:val="auto"/>
                <w:w w:val="89"/>
              </w:rPr>
              <w:t>San Francisco, CA</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gridSpan w:val="5"/>
          </w:tcPr>
          <w:p>
            <w:pPr>
              <w:jc w:val="right"/>
              <w:ind w:right="2059"/>
              <w:spacing w:after="0"/>
              <w:rPr>
                <w:sz w:val="20"/>
                <w:szCs w:val="20"/>
                <w:color w:val="auto"/>
              </w:rPr>
            </w:pPr>
            <w:r>
              <w:rPr>
                <w:rFonts w:ascii="Arial" w:cs="Arial" w:eastAsia="Arial" w:hAnsi="Arial"/>
                <w:sz w:val="18"/>
                <w:szCs w:val="18"/>
                <w:b w:val="1"/>
                <w:bCs w:val="1"/>
                <w:color w:val="auto"/>
              </w:rPr>
              <w:t>94158</w:t>
            </w:r>
          </w:p>
        </w:tc>
      </w:tr>
      <w:tr>
        <w:trPr>
          <w:trHeight w:val="186"/>
        </w:trPr>
        <w:tc>
          <w:tcPr>
            <w:tcW w:w="100" w:type="dxa"/>
            <w:vAlign w:val="bottom"/>
          </w:tcPr>
          <w:p>
            <w:pPr>
              <w:spacing w:after="0"/>
              <w:rPr>
                <w:sz w:val="16"/>
                <w:szCs w:val="16"/>
                <w:color w:val="auto"/>
              </w:rPr>
            </w:pPr>
          </w:p>
        </w:tc>
        <w:tc>
          <w:tcPr>
            <w:tcW w:w="6120" w:type="dxa"/>
            <w:vAlign w:val="bottom"/>
            <w:gridSpan w:val="5"/>
          </w:tcPr>
          <w:p>
            <w:pPr>
              <w:jc w:val="center"/>
              <w:ind w:right="174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0" w:type="dxa"/>
            <w:vAlign w:val="bottom"/>
          </w:tcPr>
          <w:p>
            <w:pPr>
              <w:jc w:val="center"/>
              <w:ind w:right="141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120" w:type="dxa"/>
            <w:vAlign w:val="bottom"/>
            <w:gridSpan w:val="4"/>
          </w:tcPr>
          <w:p>
            <w:pPr>
              <w:jc w:val="center"/>
              <w:ind w:left="990"/>
              <w:spacing w:after="0"/>
              <w:rPr>
                <w:sz w:val="20"/>
                <w:szCs w:val="20"/>
                <w:color w:val="auto"/>
              </w:rPr>
            </w:pPr>
            <w:r>
              <w:rPr>
                <w:rFonts w:ascii="Arial" w:cs="Arial" w:eastAsia="Arial" w:hAnsi="Arial"/>
                <w:sz w:val="18"/>
                <w:szCs w:val="18"/>
                <w:b w:val="1"/>
                <w:bCs w:val="1"/>
                <w:color w:val="auto"/>
                <w:w w:val="90"/>
              </w:rPr>
              <w:t>(415) 978-1200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86"/>
        </w:trPr>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80" w:type="dxa"/>
            <w:vAlign w:val="bottom"/>
            <w:gridSpan w:val="8"/>
          </w:tcPr>
          <w:p>
            <w:pPr>
              <w:jc w:val="center"/>
              <w:ind w:right="335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100" w:type="dxa"/>
            <w:vAlign w:val="bottom"/>
          </w:tcPr>
          <w:p>
            <w:pPr>
              <w:spacing w:after="0"/>
              <w:rPr>
                <w:sz w:val="5"/>
                <w:szCs w:val="5"/>
                <w:color w:val="auto"/>
              </w:rPr>
            </w:pPr>
          </w:p>
        </w:tc>
        <w:tc>
          <w:tcPr>
            <w:tcW w:w="3280" w:type="dxa"/>
            <w:vAlign w:val="bottom"/>
            <w:gridSpan w:val="2"/>
          </w:tcPr>
          <w:p>
            <w:pPr>
              <w:spacing w:after="0"/>
              <w:rPr>
                <w:sz w:val="5"/>
                <w:szCs w:val="5"/>
                <w:color w:val="auto"/>
              </w:rPr>
            </w:pPr>
          </w:p>
        </w:tc>
        <w:tc>
          <w:tcPr>
            <w:tcW w:w="68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0" w:type="dxa"/>
            <w:vAlign w:val="bottom"/>
          </w:tcPr>
          <w:p>
            <w:pPr>
              <w:spacing w:after="0"/>
              <w:rPr>
                <w:sz w:val="5"/>
                <w:szCs w:val="5"/>
                <w:color w:val="auto"/>
              </w:rPr>
            </w:pPr>
          </w:p>
        </w:tc>
      </w:tr>
      <w:tr>
        <w:trPr>
          <w:trHeight w:val="264"/>
        </w:trPr>
        <w:tc>
          <w:tcPr>
            <w:tcW w:w="62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81"/>
        </w:trPr>
        <w:tc>
          <w:tcPr>
            <w:tcW w:w="100" w:type="dxa"/>
            <w:vAlign w:val="bottom"/>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r>
      <w:tr>
        <w:trPr>
          <w:trHeight w:val="191"/>
        </w:trPr>
        <w:tc>
          <w:tcPr>
            <w:tcW w:w="100" w:type="dxa"/>
            <w:vAlign w:val="bottom"/>
            <w:tcBorders>
              <w:right w:val="single" w:sz="8" w:color="auto"/>
            </w:tcBorders>
          </w:tcPr>
          <w:p>
            <w:pPr>
              <w:spacing w:after="0"/>
              <w:rPr>
                <w:sz w:val="16"/>
                <w:szCs w:val="16"/>
                <w:color w:val="auto"/>
              </w:rPr>
            </w:pPr>
          </w:p>
        </w:tc>
        <w:tc>
          <w:tcPr>
            <w:tcW w:w="300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160" w:type="dxa"/>
            <w:vAlign w:val="bottom"/>
            <w:gridSpan w:val="2"/>
          </w:tcPr>
          <w:p>
            <w:pPr>
              <w:ind w:left="620"/>
              <w:spacing w:after="0" w:line="191" w:lineRule="exact"/>
              <w:rPr>
                <w:sz w:val="20"/>
                <w:szCs w:val="20"/>
                <w:color w:val="auto"/>
              </w:rPr>
            </w:pPr>
            <w:r>
              <w:rPr>
                <w:rFonts w:ascii="Arial" w:cs="Arial" w:eastAsia="Arial" w:hAnsi="Arial"/>
                <w:sz w:val="18"/>
                <w:szCs w:val="18"/>
                <w:b w:val="1"/>
                <w:bCs w:val="1"/>
                <w:color w:val="auto"/>
              </w:rPr>
              <w:t>Trading Symbol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100" w:type="dxa"/>
            <w:vAlign w:val="bottom"/>
            <w:tcBorders>
              <w:right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10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FGEN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53" w:lineRule="exact"/>
        <w:rPr>
          <w:sz w:val="24"/>
          <w:szCs w:val="24"/>
          <w:color w:val="auto"/>
        </w:rPr>
      </w:pPr>
    </w:p>
    <w:p>
      <w:pPr>
        <w:jc w:val="both"/>
        <w:ind w:right="120" w:firstLine="57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57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7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4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4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firstLine="57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80" w:right="166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July 31, 2019 was 86,915,996.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425450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7"/>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6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70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2019 and December 31, 2018 (Unaudited)</w:t>
              </w:r>
            </w:hyperlink>
          </w:p>
        </w:tc>
        <w:tc>
          <w:tcPr>
            <w:tcW w:w="30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2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2019 and 2018 (Unaudited)</w:t>
              </w:r>
            </w:hyperlink>
          </w:p>
        </w:tc>
        <w:tc>
          <w:tcPr>
            <w:tcW w:w="10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Income (Loss) for the Three and Six Months Ended June 30, 2019 and 2018</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8420" w:type="dxa"/>
            <w:vAlign w:val="bottom"/>
            <w:tcBorders>
              <w:top w:val="single" w:sz="8" w:color="0000EE"/>
            </w:tcBorders>
            <w:gridSpan w:val="17"/>
          </w:tcPr>
          <w:p>
            <w:pPr>
              <w:spacing w:after="0"/>
              <w:rPr>
                <w:sz w:val="17"/>
                <w:szCs w:val="17"/>
                <w:color w:val="auto"/>
              </w:rPr>
            </w:pPr>
          </w:p>
        </w:tc>
        <w:tc>
          <w:tcPr>
            <w:tcW w:w="5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6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and Six Months Ended June 30, 2019 and 2018</w:t>
              </w:r>
            </w:hyperlink>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896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2019 and 2018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 (Unaudited)</w:t>
              </w:r>
            </w:hyperlink>
          </w:p>
        </w:tc>
        <w:tc>
          <w:tcPr>
            <w:tcW w:w="176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2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3"/>
          </w:tcPr>
          <w:p>
            <w:pPr>
              <w:jc w:val="center"/>
              <w:ind w:right="4120"/>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08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2860" w:type="dxa"/>
            <w:vAlign w:val="bottom"/>
            <w:tcBorders>
              <w:top w:val="single" w:sz="8" w:color="0000EE"/>
            </w:tcBorders>
            <w:gridSpan w:val="5"/>
          </w:tcPr>
          <w:p>
            <w:pPr>
              <w:spacing w:after="0"/>
              <w:rPr>
                <w:sz w:val="24"/>
                <w:szCs w:val="24"/>
                <w:color w:val="auto"/>
              </w:rPr>
            </w:pPr>
          </w:p>
        </w:tc>
        <w:tc>
          <w:tcPr>
            <w:tcW w:w="41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72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Unregistered Sales of Equity Securities and Use of Proceeds</w:t>
              </w:r>
            </w:hyperlink>
          </w:p>
        </w:tc>
        <w:tc>
          <w:tcPr>
            <w:tcW w:w="570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Defaults Upon Senior Securities</w:t>
              </w:r>
            </w:hyperlink>
          </w:p>
        </w:tc>
        <w:tc>
          <w:tcPr>
            <w:tcW w:w="772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4">
              <w:r>
                <w:rPr>
                  <w:rFonts w:ascii="Arial" w:cs="Arial" w:eastAsia="Arial" w:hAnsi="Arial"/>
                  <w:sz w:val="18"/>
                  <w:szCs w:val="18"/>
                  <w:color w:val="0000EE"/>
                  <w:w w:val="91"/>
                </w:rPr>
                <w:t>Mine Safety Disclosures</w:t>
              </w:r>
            </w:hyperlink>
          </w:p>
        </w:tc>
        <w:tc>
          <w:tcPr>
            <w:tcW w:w="828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2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874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gridSpan w:val="2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gridSpan w:val="2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4420" w:type="dxa"/>
            <w:vAlign w:val="bottom"/>
            <w:gridSpan w:val="12"/>
          </w:tcPr>
          <w:p>
            <w:pPr>
              <w:jc w:val="right"/>
              <w:ind w:right="34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586,174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($4,311 and $47,210 from a related party)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 ($127,981 and $0 from a related party)</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805,791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690,015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Restricted time deposits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44,865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915,066</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880,598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Accrued and other current liabilities ($781 and $444 to a related party)</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Finance lease liabilities, current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82,812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Long-term portion of lease obligations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102,926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and outstanding at June 30, 2019 and December 31, 2018</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June 30, 2019</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2018; 86,847 and 85,432 shares issued and outstanding at</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June 30, 2019 and December 31, 2018</w:t>
            </w: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1,265,783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1,226,453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(637,158)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(715,827)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8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629,031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648,302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915,066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License revenue (includes $117,470, $14,323, $117,470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and $14,323 from a related party)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150,581</w:t>
            </w:r>
          </w:p>
        </w:tc>
        <w:tc>
          <w:tcPr>
            <w:tcW w:w="18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14,323</w:t>
            </w:r>
          </w:p>
        </w:tc>
        <w:tc>
          <w:tcPr>
            <w:tcW w:w="16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150,581</w:t>
            </w:r>
          </w:p>
        </w:tc>
        <w:tc>
          <w:tcPr>
            <w:tcW w:w="30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 (includes $17,223, $6,145,</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FF0FC"/>
          </w:tcPr>
          <w:p>
            <w:pPr>
              <w:ind w:left="420"/>
              <w:spacing w:after="0"/>
              <w:rPr>
                <w:sz w:val="20"/>
                <w:szCs w:val="20"/>
                <w:color w:val="auto"/>
              </w:rPr>
            </w:pPr>
            <w:r>
              <w:rPr>
                <w:rFonts w:ascii="Arial" w:cs="Arial" w:eastAsia="Arial" w:hAnsi="Arial"/>
                <w:sz w:val="18"/>
                <w:szCs w:val="18"/>
                <w:color w:val="auto"/>
              </w:rPr>
              <w:t>$22,082 and $11,317 from a related party)</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64,848</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191,566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215,429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151,453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operations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112,819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63,976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(1,507)</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(23,346)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70,772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116,003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70,592</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0.82</w:t>
            </w:r>
          </w:p>
        </w:tc>
        <w:tc>
          <w:tcPr>
            <w:tcW w:w="3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(0.28)</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Weighted average number of common shares used to</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220"/>
              <w:spacing w:after="0"/>
              <w:rPr>
                <w:sz w:val="20"/>
                <w:szCs w:val="20"/>
                <w:color w:val="auto"/>
              </w:rPr>
            </w:pPr>
            <w:r>
              <w:rPr>
                <w:rFonts w:ascii="Arial" w:cs="Arial" w:eastAsia="Arial" w:hAnsi="Arial"/>
                <w:sz w:val="18"/>
                <w:szCs w:val="18"/>
                <w:color w:val="auto"/>
              </w:rPr>
              <w:t>calculate net income (loss)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86,077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83,750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92,069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54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6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(64,817)</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116,478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71,800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3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900" w:type="dxa"/>
            <w:vAlign w:val="bottom"/>
          </w:tcPr>
          <w:p>
            <w:pPr>
              <w:jc w:val="center"/>
              <w:ind w:right="9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0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1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900" w:type="dxa"/>
            <w:vAlign w:val="bottom"/>
          </w:tcPr>
          <w:p>
            <w:pPr>
              <w:jc w:val="center"/>
              <w:ind w:right="9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86,129,564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1,242,460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(937)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(753,161)</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508,494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income</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116,003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717,508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17,642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86,847,072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1,265,783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(637,158)</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648,302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March 31,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2018</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83,420,625</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1,173,109</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(3,622)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(670,803)</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518,789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(23,421)</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(23,421)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762,219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5,184</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2018</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84,182,844</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1,191,524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(2,611)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(694,224)</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514,802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p>
      <w:pPr>
        <w:ind w:left="5920"/>
        <w:spacing w:after="0"/>
        <w:rPr>
          <w:sz w:val="20"/>
          <w:szCs w:val="20"/>
          <w:color w:val="auto"/>
        </w:rPr>
      </w:pPr>
      <w:r>
        <w:rPr>
          <w:rFonts w:ascii="Arial" w:cs="Arial" w:eastAsia="Arial" w:hAnsi="Arial"/>
          <w:sz w:val="14"/>
          <w:szCs w:val="14"/>
          <w:b w:val="1"/>
          <w:bCs w:val="1"/>
          <w:color w:val="auto"/>
        </w:rPr>
        <w:t>For The Six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0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30"/>
              <w:spacing w:after="0" w:line="135" w:lineRule="exact"/>
              <w:rPr>
                <w:sz w:val="20"/>
                <w:szCs w:val="20"/>
                <w:color w:val="auto"/>
              </w:rPr>
            </w:pPr>
            <w:r>
              <w:rPr>
                <w:rFonts w:ascii="Arial" w:cs="Arial" w:eastAsia="Arial" w:hAnsi="Arial"/>
                <w:sz w:val="12"/>
                <w:szCs w:val="12"/>
                <w:b w:val="1"/>
                <w:bCs w:val="1"/>
                <w:color w:val="auto"/>
              </w:rPr>
              <w:t>Additional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420"/>
              <w:spacing w:after="0" w:line="135" w:lineRule="exact"/>
              <w:rPr>
                <w:sz w:val="20"/>
                <w:szCs w:val="20"/>
                <w:color w:val="auto"/>
              </w:rPr>
            </w:pPr>
            <w:r>
              <w:rPr>
                <w:rFonts w:ascii="Arial" w:cs="Arial" w:eastAsia="Arial" w:hAnsi="Arial"/>
                <w:sz w:val="12"/>
                <w:szCs w:val="12"/>
                <w:b w:val="1"/>
                <w:bCs w:val="1"/>
                <w:color w:val="auto"/>
                <w:w w:val="94"/>
              </w:rPr>
              <w:t>Non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10"/>
              <w:spacing w:after="0"/>
              <w:rPr>
                <w:sz w:val="20"/>
                <w:szCs w:val="20"/>
                <w:color w:val="auto"/>
              </w:rPr>
            </w:pPr>
            <w:r>
              <w:rPr>
                <w:rFonts w:ascii="Arial" w:cs="Arial" w:eastAsia="Arial" w:hAnsi="Arial"/>
                <w:sz w:val="12"/>
                <w:szCs w:val="12"/>
                <w:b w:val="1"/>
                <w:bCs w:val="1"/>
                <w:color w:val="auto"/>
              </w:rPr>
              <w:t>Paid-in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Controlling</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78"/>
              </w:rPr>
              <w:t>Loss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2"/>
              </w:rPr>
              <w:t>Deficit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9"/>
              </w:rPr>
              <w:t>(Note 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2018</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85,432,102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1,226,453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(2,281)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(715,827)</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180" w:type="dxa"/>
            <w:vAlign w:val="bottom"/>
          </w:tcPr>
          <w:p>
            <w:pPr>
              <w:spacing w:after="0" w:line="139" w:lineRule="exact"/>
              <w:rPr>
                <w:sz w:val="20"/>
                <w:szCs w:val="20"/>
                <w:color w:val="auto"/>
              </w:rPr>
            </w:pPr>
            <w:r>
              <w:rPr>
                <w:rFonts w:ascii="Arial" w:cs="Arial" w:eastAsia="Arial" w:hAnsi="Arial"/>
                <w:sz w:val="14"/>
                <w:szCs w:val="14"/>
                <w:color w:val="auto"/>
              </w:rPr>
              <w:t>Impact of adoption of</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 xml:space="preserve">ASC 842 </w:t>
            </w:r>
            <w:r>
              <w:rPr>
                <w:rFonts w:ascii="Arial" w:cs="Arial" w:eastAsia="Arial" w:hAnsi="Arial"/>
                <w:sz w:val="14"/>
                <w:szCs w:val="14"/>
                <w:b w:val="1"/>
                <w:bCs w:val="1"/>
                <w:color w:val="auto"/>
              </w:rPr>
              <w:t>(Note 1)</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Impact of change in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accounting principle upon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5" w:lineRule="exact"/>
              <w:rPr>
                <w:sz w:val="20"/>
                <w:szCs w:val="20"/>
                <w:color w:val="auto"/>
              </w:rPr>
            </w:pPr>
            <w:r>
              <w:rPr>
                <w:rFonts w:ascii="Arial" w:cs="Arial" w:eastAsia="Arial" w:hAnsi="Arial"/>
                <w:sz w:val="14"/>
                <w:szCs w:val="14"/>
                <w:color w:val="auto"/>
              </w:rPr>
              <w:t>adoption of ASU 2018-02</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(Note 1)</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Net income</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70,592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70,592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1,414,970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5,258</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34,072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34,072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2019</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86,847,072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1,265,783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(462)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(637,158)</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648,302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218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b w:val="1"/>
                <w:bCs w:val="1"/>
                <w:color w:val="auto"/>
              </w:rPr>
              <w:t>2017</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82,498,128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1,160,094</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(1,795)</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(630,657)</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Impact of change in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accounting principle upon</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adoption of ASU 2016-01</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(64,817)</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(64,817)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loss on investments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adjustments</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80" w:type="dxa"/>
            <w:vAlign w:val="bottom"/>
          </w:tcPr>
          <w:p>
            <w:pPr>
              <w:spacing w:after="0" w:line="143" w:lineRule="exact"/>
              <w:rPr>
                <w:sz w:val="20"/>
                <w:szCs w:val="20"/>
                <w:color w:val="auto"/>
              </w:rPr>
            </w:pPr>
            <w:r>
              <w:rPr>
                <w:rFonts w:ascii="Arial" w:cs="Arial" w:eastAsia="Arial" w:hAnsi="Arial"/>
                <w:sz w:val="14"/>
                <w:szCs w:val="14"/>
                <w:color w:val="auto"/>
              </w:rPr>
              <w:t>Shares issued from stock</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plans, net of payroll taxes</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paid</w:t>
            </w:r>
          </w:p>
        </w:tc>
        <w:tc>
          <w:tcPr>
            <w:tcW w:w="1040" w:type="dxa"/>
            <w:vAlign w:val="bottom"/>
          </w:tcPr>
          <w:p>
            <w:pPr>
              <w:jc w:val="right"/>
              <w:spacing w:after="0"/>
              <w:rPr>
                <w:sz w:val="20"/>
                <w:szCs w:val="20"/>
                <w:color w:val="auto"/>
              </w:rPr>
            </w:pPr>
            <w:r>
              <w:rPr>
                <w:rFonts w:ascii="Arial" w:cs="Arial" w:eastAsia="Arial" w:hAnsi="Arial"/>
                <w:sz w:val="14"/>
                <w:szCs w:val="14"/>
                <w:color w:val="auto"/>
              </w:rPr>
              <w:t>1,684,716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7,321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24,109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 June 30,</w:t>
            </w:r>
          </w:p>
        </w:tc>
        <w:tc>
          <w:tcPr>
            <w:tcW w:w="10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2018</w:t>
            </w:r>
          </w:p>
        </w:tc>
        <w:tc>
          <w:tcPr>
            <w:tcW w:w="1040" w:type="dxa"/>
            <w:vAlign w:val="bottom"/>
          </w:tcPr>
          <w:p>
            <w:pPr>
              <w:jc w:val="right"/>
              <w:spacing w:after="0"/>
              <w:rPr>
                <w:sz w:val="20"/>
                <w:szCs w:val="20"/>
                <w:color w:val="auto"/>
              </w:rPr>
            </w:pPr>
            <w:r>
              <w:rPr>
                <w:rFonts w:ascii="Arial" w:cs="Arial" w:eastAsia="Arial" w:hAnsi="Arial"/>
                <w:sz w:val="14"/>
                <w:szCs w:val="14"/>
                <w:color w:val="auto"/>
              </w:rPr>
              <w:t>84,182,844</w:t>
            </w:r>
          </w:p>
        </w:tc>
        <w:tc>
          <w:tcPr>
            <w:tcW w:w="260" w:type="dxa"/>
            <w:vAlign w:val="bottom"/>
          </w:tcPr>
          <w:p>
            <w:pPr>
              <w:spacing w:after="0"/>
              <w:rPr>
                <w:sz w:val="14"/>
                <w:szCs w:val="1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842</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1,191,524</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(2,611)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(694,224)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19,271</w:t>
            </w:r>
          </w:p>
        </w:tc>
        <w:tc>
          <w:tcPr>
            <w:tcW w:w="26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514,802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080" w:type="dxa"/>
            <w:vAlign w:val="bottom"/>
            <w:gridSpan w:val="2"/>
          </w:tcPr>
          <w:p>
            <w:pPr>
              <w:jc w:val="right"/>
              <w:ind w:right="94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70,592</w:t>
            </w:r>
          </w:p>
        </w:tc>
        <w:tc>
          <w:tcPr>
            <w:tcW w:w="300" w:type="dxa"/>
            <w:vAlign w:val="bottom"/>
          </w:tcPr>
          <w:p>
            <w:pPr>
              <w:spacing w:after="0"/>
              <w:rPr>
                <w:sz w:val="18"/>
                <w:szCs w:val="18"/>
                <w:color w:val="auto"/>
              </w:rPr>
            </w:pP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(64,817)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5,523</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finance lease right-of-use assets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Net amortization of premium and discount on investments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(2,457)</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Unrealized loss (gain) on cash equivalents and short-term equity investments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(59)</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Loss (gain) on disposal of property and equipment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Realized foreign currency gain</w:t>
            </w:r>
          </w:p>
        </w:tc>
        <w:tc>
          <w:tcPr>
            <w:tcW w:w="9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57,231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(1,981)</w:t>
            </w: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(131,803)</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(200)</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(5,079)</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917</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(13,371)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(46,818)</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Pr>
          <w:p>
            <w:pPr>
              <w:ind w:left="240"/>
              <w:spacing w:after="0"/>
              <w:rPr>
                <w:sz w:val="20"/>
                <w:szCs w:val="20"/>
                <w:color w:val="auto"/>
              </w:rPr>
            </w:pPr>
            <w:r>
              <w:rPr>
                <w:rFonts w:ascii="Arial" w:cs="Arial" w:eastAsia="Arial" w:hAnsi="Arial"/>
                <w:sz w:val="16"/>
                <w:szCs w:val="16"/>
                <w:color w:val="auto"/>
              </w:rPr>
              <w:t>Lease obligations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interest for finance lease liabilities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w:t>
            </w:r>
          </w:p>
        </w:tc>
        <w:tc>
          <w:tcPr>
            <w:tcW w:w="9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(6,172)</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(66,927)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(2,206)</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Purchases of available-for-sale securities and term deposit</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(105,511)</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sales of available-for-sale securities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Proceeds from maturities of investments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(7,717)</w:t>
            </w: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Repayments of finance lease liabilities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(5,850)</w:t>
            </w:r>
          </w:p>
        </w:tc>
        <w:tc>
          <w:tcPr>
            <w:tcW w:w="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lease obligations</w:t>
            </w:r>
          </w:p>
        </w:tc>
        <w:tc>
          <w:tcPr>
            <w:tcW w:w="9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(202)</w:t>
            </w:r>
          </w:p>
        </w:tc>
        <w:tc>
          <w:tcPr>
            <w:tcW w:w="7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6320" w:type="dxa"/>
            <w:vAlign w:val="bottom"/>
            <w:gridSpan w:val="2"/>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(8,065)</w:t>
            </w: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w:t>
            </w:r>
          </w:p>
        </w:tc>
        <w:tc>
          <w:tcPr>
            <w:tcW w:w="9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13,337</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00" w:type="dxa"/>
            <w:vAlign w:val="bottom"/>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(780)</w:t>
            </w:r>
          </w:p>
        </w:tc>
        <w:tc>
          <w:tcPr>
            <w:tcW w:w="7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9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w:t>
            </w:r>
          </w:p>
        </w:tc>
        <w:tc>
          <w:tcPr>
            <w:tcW w:w="7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6"/>
                <w:szCs w:val="16"/>
                <w:color w:val="auto"/>
              </w:rPr>
              <w:t>Net decrease in cash and cash equivalents</w:t>
            </w:r>
          </w:p>
        </w:tc>
        <w:tc>
          <w:tcPr>
            <w:tcW w:w="9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(14,671)</w:t>
            </w:r>
          </w:p>
        </w:tc>
        <w:tc>
          <w:tcPr>
            <w:tcW w:w="7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(29,855)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9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89,258</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320" w:type="dxa"/>
            <w:vAlign w:val="bottom"/>
            <w:gridSpan w:val="2"/>
          </w:tcPr>
          <w:p>
            <w:pPr>
              <w:spacing w:after="0"/>
              <w:rPr>
                <w:sz w:val="20"/>
                <w:szCs w:val="20"/>
                <w:color w:val="auto"/>
              </w:rPr>
            </w:pPr>
            <w:r>
              <w:rPr>
                <w:rFonts w:ascii="Arial" w:cs="Arial" w:eastAsia="Arial" w:hAnsi="Arial"/>
                <w:sz w:val="16"/>
                <w:szCs w:val="16"/>
                <w:color w:val="auto"/>
              </w:rPr>
              <w:t>Total cash and cash equivalents at end of period</w:t>
            </w:r>
          </w:p>
        </w:tc>
        <w:tc>
          <w:tcPr>
            <w:tcW w:w="2080" w:type="dxa"/>
            <w:vAlign w:val="bottom"/>
            <w:gridSpan w:val="2"/>
          </w:tcPr>
          <w:p>
            <w:pPr>
              <w:jc w:val="right"/>
              <w:ind w:right="948"/>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74,587</w:t>
            </w:r>
          </w:p>
        </w:tc>
        <w:tc>
          <w:tcPr>
            <w:tcW w:w="300" w:type="dxa"/>
            <w:vAlign w:val="bottom"/>
          </w:tcPr>
          <w:p>
            <w:pPr>
              <w:spacing w:after="0"/>
              <w:rPr>
                <w:sz w:val="17"/>
                <w:szCs w:val="17"/>
                <w:color w:val="auto"/>
              </w:rPr>
            </w:pP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643,803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480" w:firstLine="8"/>
        <w:spacing w:after="0" w:line="400" w:lineRule="auto"/>
        <w:tabs>
          <w:tab w:leader="none" w:pos="513"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FibroGen, Inc. (“FibroGen” or the “Company”), incorporated in 1993 in Delaware and headquartered in San Francisco, California, with subsidiary offices in Beijing and Shanghai, People’s Republic of China (“China”), is a leading biopharmaceutical company discovering and developing a pipeline of first-in-class therapeutics. The Company applies its pioneering expertise in hypoxia-inducible factor (“HIF”), connective tissue growth factor (“CTGF”) biology, and clinical development to advance innovative medicines for the treatment of anemia, fibrotic disease, and cancer. Roxadustat, the Company’s most advanced product candidate, is an oral small molecule inhibitor of HIF prolyl hydroxylase (“HIF-PH”) activity, completing Phase 3 clinical development worldwide for the treatment of anemia in chronic kidney disease (“CKD”), with a New Drug Application (“NDA”) now approved by the National Medical Products Administration (“NMPA”) in China. The Company and its collaboration partners AstraZeneca AB (“AstraZeneca”) and Astellas Pharma Inc. (“Astellas”) are in the process of preparing an NDA for submission to the United States (“U.S.”) Food and Drug Administration (“FDA”) and a Marketing Authorization Application (“MAA”) for submission to the European Medicines Agency (“EMA”) this year. Astellas submitted an NDA for the treatment of anemia in CKD patients on dialysis in Japan in September 2018, which is currently under review by the Pharmaceuticals and Medical Devices Agency (“PMDA”). Roxadustat is in Phase 3 clinical development in the U.S. and Europe and in Phase 2/3 development in China for anemia associated with myelodysplastic syndromes (“MDS”). Pamrevlumab, an anti-CTGF human monoclonal antibody, is in Phase 3 clinical development for the treatment of idiopathic pulmonary fibrosis (“IPF”), and advancing towards Phase 3 for the treatment of pancreatic cancer. Pamrevlumab is also currently in a Phase 2 trial for Duchenne muscular dystrophy (“DMD”). FibroGen is also developing a biosynthetic cornea in China.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2018 (“2018 Form 10-K”).</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2018 Form 10-K, except for the following: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determines if an arrangement is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Company’s building leases previously accounted for as build-to-suit arrangements prior to the adoption of Accounting Standards Codification (“ASC”)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are accounted for as finance leases under the requirements of ASC 842.</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will reassess the incremental borrowing rate periodically for application to any new leases or lease modifications or if any company-specific or general business conditions warrant.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terms may include options to extend or terminate the lease when it is reasonably certain that the Company will exercise that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minimum lease payments is recognized on a straight-line basis over the lease terms.</w:t>
      </w:r>
    </w:p>
    <w:p>
      <w:pPr>
        <w:spacing w:after="0" w:line="21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4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Finance leases are included in finance lease ROU assets, finance lease liabilities, current and non-current on the Company’s consolidated balance sheets. Operating leases are included in other assets, accrued and other current liabilities, and other long-term liabilities on the Company’s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Inventories are stated at the lower of cost and net realizable value. The cost of inventories are determined using full absorption and standard costing, which approximates cost based on a first-in, first-out method. The Company reviews the standard costs of raw materials, work-in-process and finished goods periodically, and at least annually, to ensure that its inventories approximate current actual costs. The cost of inventories includes direct material costs, direct labor and manufacturing overhead. The Company regularly reviews the need to adjust the carrying value of excess and obsolete inventories to their estimated net realizable value, if less than cost, based primarily on its estimated forecast of product demand and product expiration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is a reconciliation of the basic and diluted net income (loss) per share calculation for the periods presented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116,003</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(23,421)</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70,592</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 average shares used to compute net income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60"/>
              <w:spacing w:after="0"/>
              <w:rPr>
                <w:sz w:val="20"/>
                <w:szCs w:val="20"/>
                <w:color w:val="auto"/>
              </w:rPr>
            </w:pPr>
            <w:r>
              <w:rPr>
                <w:rFonts w:ascii="Arial" w:cs="Arial" w:eastAsia="Arial" w:hAnsi="Arial"/>
                <w:sz w:val="18"/>
                <w:szCs w:val="18"/>
                <w:color w:val="auto"/>
              </w:rPr>
              <w:t>(loss) per share: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86,445</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86,077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Dilutive effect of potential common shares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91,728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83,750</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92,069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3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Diluted shares did not include 4.4 million and 3.4 million securities for the three and six months ended June 30, 2019, and 8.8 million and 8.7 million securities for the three and six months ended June 30, 2018, respectively, as they were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 842</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which provides entities the option to initially apply ASU 2016-02 at the adoption date and recognize a cumulative-effect adjustment to the opening balance of retained earnings in the period of adoption.</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adopted the above guidance under ASC 842 as of January 1, 2019, using the modified retrospective transition method, through a cumulative-effect adjustment at the beginning of the first quarter of 2019. The Company elected the optional transition method under the guidance, which allowed it to continue applying previous lease guidance (ASC 840) for the comparative prior year periods presentation in the year of adoption. Accordingly, the Company recognized a cumulative-effect adjustment to the opening balance of retained earnings in the period of adoption.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Company elected the package of transitional practical expedients permitted under the transition guidance under ASC 842, which among other things allows the Company to carry forward its historical lease classification, and not to reassess initial direct costs for any existing leases. Meanwhile, the Company did not elect the hindsight practical expedient because it has limited number of leases, lease terms are straightforward, and most of its lease renewals are undefined until negotiated.</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the Company has elected the short term accounting policy practical expedient and does not apply the balance sheet recognition requirements for short-term leases (excluding expenses relating to leases with a lease term of one month or less), by class of underlying asset to which the right of use relates. The Company has not elected the non-lease components practical expedient, and therefore accounts for each lease component separately from the non-lease components.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Upon adoption of ASC 842, the Company classified its existing building leases that were previously accounted for as build-to-suit arrangements as finance leases, and applied the transition guidance. Accordingly, the Company derecognized the assets and liabilities previously recognized under ASC 840 build-to-suit guidance. In addition, as a result of applying the transition guidance, the Company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impacts to the select line items from the Company’s condensed consolidated balance sheet upon adoption of the ASC 842 guidance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Balance Sheet Line Item</w:t>
            </w:r>
          </w:p>
        </w:tc>
        <w:tc>
          <w:tcPr>
            <w:tcW w:w="53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Nature of 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New Lease Guidance</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Adoption Adjustment</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5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380" w:type="dxa"/>
            <w:vAlign w:val="bottom"/>
          </w:tcPr>
          <w:p>
            <w:pPr>
              <w:spacing w:after="0"/>
              <w:rPr>
                <w:sz w:val="20"/>
                <w:szCs w:val="20"/>
                <w:color w:val="auto"/>
              </w:rPr>
            </w:pPr>
            <w:r>
              <w:rPr>
                <w:rFonts w:ascii="Arial" w:cs="Arial" w:eastAsia="Arial" w:hAnsi="Arial"/>
                <w:sz w:val="18"/>
                <w:szCs w:val="18"/>
                <w:color w:val="auto"/>
              </w:rPr>
              <w:t>Derecognition - build-to-suit lease assets - building shell, cost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(53,880)</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build-to-suit lease assets - building shell,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Change of useful life - leasehold improvements,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(38,877)</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finance lease ROU assets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380" w:type="dxa"/>
            <w:vAlign w:val="bottom"/>
          </w:tcPr>
          <w:p>
            <w:pPr>
              <w:spacing w:after="0"/>
              <w:rPr>
                <w:sz w:val="20"/>
                <w:szCs w:val="20"/>
                <w:color w:val="auto"/>
              </w:rPr>
            </w:pPr>
            <w:r>
              <w:rPr>
                <w:rFonts w:ascii="Arial" w:cs="Arial" w:eastAsia="Arial" w:hAnsi="Arial"/>
                <w:sz w:val="18"/>
                <w:szCs w:val="18"/>
                <w:color w:val="auto"/>
              </w:rPr>
              <w:t>Recognition - operating lease ROU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w:t>
            </w:r>
          </w:p>
        </w:tc>
        <w:tc>
          <w:tcPr>
            <w:tcW w:w="5380" w:type="dxa"/>
            <w:vAlign w:val="bottom"/>
          </w:tcPr>
          <w:p>
            <w:pPr>
              <w:spacing w:after="0"/>
              <w:rPr>
                <w:sz w:val="20"/>
                <w:szCs w:val="20"/>
                <w:color w:val="auto"/>
              </w:rPr>
            </w:pPr>
            <w:r>
              <w:rPr>
                <w:rFonts w:ascii="Arial" w:cs="Arial" w:eastAsia="Arial" w:hAnsi="Arial"/>
                <w:sz w:val="18"/>
                <w:szCs w:val="18"/>
                <w:color w:val="auto"/>
              </w:rPr>
              <w:t>Derecognition - deferred rent,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build-to-suit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Recognition - operating lease liabilities, 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current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finance lease liabilities, 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Long-term portion of lease obligations</w:t>
            </w:r>
          </w:p>
        </w:tc>
        <w:tc>
          <w:tcPr>
            <w:tcW w:w="5380" w:type="dxa"/>
            <w:vAlign w:val="bottom"/>
          </w:tcPr>
          <w:p>
            <w:pPr>
              <w:spacing w:after="0"/>
              <w:rPr>
                <w:sz w:val="20"/>
                <w:szCs w:val="20"/>
                <w:color w:val="auto"/>
              </w:rPr>
            </w:pPr>
            <w:r>
              <w:rPr>
                <w:rFonts w:ascii="Arial" w:cs="Arial" w:eastAsia="Arial" w:hAnsi="Arial"/>
                <w:sz w:val="18"/>
                <w:szCs w:val="18"/>
                <w:color w:val="auto"/>
              </w:rPr>
              <w:t>Derecognition - build-to-suit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(95,613)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rent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Derecognition - deferred rent,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Finance lease liabilities, non-current</w:t>
            </w:r>
          </w:p>
        </w:tc>
        <w:tc>
          <w:tcPr>
            <w:tcW w:w="5380" w:type="dxa"/>
            <w:vAlign w:val="bottom"/>
          </w:tcPr>
          <w:p>
            <w:pPr>
              <w:spacing w:after="0"/>
              <w:rPr>
                <w:sz w:val="20"/>
                <w:szCs w:val="20"/>
                <w:color w:val="auto"/>
              </w:rPr>
            </w:pPr>
            <w:r>
              <w:rPr>
                <w:rFonts w:ascii="Arial" w:cs="Arial" w:eastAsia="Arial" w:hAnsi="Arial"/>
                <w:sz w:val="18"/>
                <w:szCs w:val="18"/>
                <w:color w:val="auto"/>
              </w:rPr>
              <w:t>Recognition - finance lease liabilities, non-current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Recognition - operating lease liabilities, non-current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Cumulative decrease to accumulated deficit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adoption of this guidance did not have a material impact to the Company’s condensed consolidated statement of operations or condensed consolidated statement of cash flows for the six months ended June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2018-02</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This guidance allows for the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stranded tax effects arising from the reduction of the U.S. federal statutory income tax rate from 35% to 21%. This guidance was effective for annual reporting period beginning after December 15, 2018, including interim periods. The Company adopted this guidance on January 1, 2019 using the modified retrospective approach. The impacts, based on the aggregate portfolio approach, to the Company’s accumulated other comprehensive loss and accumulated deficit upon adoption of this guidance are as follows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Accumulated Deficit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Comprehensive Loss</w:t>
            </w:r>
          </w:p>
        </w:tc>
        <w:tc>
          <w:tcPr>
            <w:tcW w:w="18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(715,827)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Impact of change in accounting principle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upon adoption of ASU 2018-02</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Opening balance as of January 1, 2019</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adoption of this guidance had no impact to the Company’s condensed consolidated statement of operations or condensed consolidated statement of cash flows for the six months ended June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Disclosure Requirement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the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presented. This final rule was effective as of November 5, 2018. Accordingly, the Company included the condensed consolidated statements of changes in stockholders’ equity in Form 10-Q starting the first quarter of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 2018-07</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was effective for annual reporting period beginning after December 15, 2018, including interim periods. The Company adopted this guidance on January 1, 2019, and the adoption of this guidance had no impact to the Company’s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This guidance requires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The Company is currently evaluating the impact on its consolidated financial statements upon the adoption of this guidance.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This guidance amends existing fair value measurement disclosure requirements by adding, changing, or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does not anticipate a material impact to its consolidated financial statements upon adoption of this guidance.</w:t>
      </w:r>
    </w:p>
    <w:p>
      <w:pPr>
        <w:spacing w:after="0" w:line="16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Subsequently in April 2019, the FASB issued amendments to the guidance,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w:t>
      </w:r>
      <w:r>
        <w:rPr>
          <w:rFonts w:ascii="Arial" w:cs="Arial" w:eastAsia="Arial" w:hAnsi="Arial"/>
          <w:sz w:val="17"/>
          <w:szCs w:val="17"/>
          <w:color w:val="auto"/>
        </w:rPr>
        <w:t>, and in May 2019, ASU 2019-05,</w:t>
      </w:r>
      <w:r>
        <w:rPr>
          <w:rFonts w:ascii="Arial" w:cs="Arial" w:eastAsia="Arial" w:hAnsi="Arial"/>
          <w:sz w:val="17"/>
          <w:szCs w:val="17"/>
          <w:i w:val="1"/>
          <w:iCs w:val="1"/>
          <w:color w:val="auto"/>
        </w:rPr>
        <w:t xml:space="preserve"> Financial Instruments – Credit Losses (Topic 326): Targeted Transition Relief</w:t>
      </w:r>
      <w:r>
        <w:rPr>
          <w:rFonts w:ascii="Arial" w:cs="Arial" w:eastAsia="Arial" w:hAnsi="Arial"/>
          <w:sz w:val="17"/>
          <w:szCs w:val="17"/>
          <w:color w:val="auto"/>
        </w:rPr>
        <w:t>. This guidance requires that financial assets measured at amortized cost be presented at the net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The measurement of expected credit losses is based on historical experience, current conditions, and reasonable and supportable forecasts that affect the collectability. ASU 2019-04 clarifies that equity instruments without readily determinable fair values for which an entity has elected the measurement alternative should be remeasured to fair value as of the date that an observable transaction occurred. ASU 2019-05 provides an option to irrevocably elect to measure certain individual financial assets at fair value instead of amortized cost. The amendments should be applied on either a prospective transition or modified-retrospective approach depending on the subtopic. This guidance is effective for the annual reporting period beginning after December 15, 2019, including interim periods within that reporting period. The Company does not anticipate a material impact to its consolidated financial statements upon adoption of this guidance.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right="8840" w:firstLine="8"/>
        <w:spacing w:after="0" w:line="425" w:lineRule="auto"/>
        <w:tabs>
          <w:tab w:leader="none" w:pos="51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June 2005, the Company entered into a collaboration agreement with Astellas for the development and commercialization (but not manufacture)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roxadustat for the treatment of anemia in Japan (“Japan Agreement”). Under this agreement, Astellas paid license fees and other consideration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$40.1 million (such amounts were fully received as of February 2009). Under the Japan Agreement, the Company is also eligible to receive from Astellas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of approximately $132.5 million in potential milestone payments, comprised of (i) up to $22.5 million in milestone payments upon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clinical and development milestone events (such amounts were fully received as of July 2016), (ii) up to $95.0 million in milestone payments upon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specified regulatory milestone events, and (iii) up to approximately $15.0 million in milestone payments upon the achievement of specified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commercial sales milestone. The aggregate amount of such consideration received through June 30, 2019 totals $77.6 million.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Under the Europe Agreement, the Company is also eligible to receive from Astellas an aggregate of approximately $425.0 million in potential milestone payments, comprised of (i) 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such consideration received through June 30, 2019 totals $410.0 million.</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fourth quarter of 2018, the Company was engaged in the final stages of review with its partners over the proposed development of roxadustat for the treatment of chemotherapy induced anemia (“CIA”). AstraZeneca and Astellas approved the program in December 2018 and January 2019, respectively. Costs associated with the development of this indication are expected to be shared 50/50 between AstraZeneca and Astellas. For revenue recognition purposes, the Company concluded that this new indication represents a modification to the Europe agreements and will be accounted for separately, meaning the development costs associated with the new indications are distinct from the original development costs. The development service period for roxadustat for the treatment of CIA under the Europe Agreement is estimated to continue through the end of 2023 to allow for development of this indication.</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second quarter of 2019, the Company received positive topline results from analyses of pooled major adverse cardiac event (“MACE”) and MACE+ data from its Phase 3 trials evaluating roxadustat as a treatment for dialysis and non-dialysis CKD patients, enabling Astellas to prepare for an MAA submission to the EMA during their fiscal year 2019, which ends on March 31, 2020, following the Company’s NDA submission to the FDA. The Company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 of which $129.5 million was recognized as revenue during the period from performance obligations satisfied or partially satisfied as of June 30, 2019. According to the Europe Agreement, these milestone payments are not billable to Astellas until the submission of an MAA, therefore this $130.0 million was recorded as an unbilled contract asset as of June 30,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Effective July 30, 2013, the Company entered into a collaboration agreement with AstraZeneca for the development and commercialization of roxadustat for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treatment of anemia in the U.S. and all other countries in the world, other than China, not previously licensed under the Astellas Europe and Astellas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Japan Agreements (“U.S./RoW Agreement”). It also excludes China, which is covered by a separate agreement with AstraZeneca described below.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of the U.S./RoW Agreement, AstraZeneca paid upfront, non-contingent, non-refundable and time-based payments totaling $374.0 million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were fully received as of June 2016). Under the U.S./RoW Agreement, the Company is also eligible to receive from AstraZeneca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$875.0 million in potential milestone payments, comprised of (i) up to $65.0 million in milestone payments upon achievement of specified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clinical and development milestone events, $15.0 million of which was received in 2015 as a result of the finalization of its two audited pre-clinical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carcinogenicity study reports, (ii) up to $325.0 million in milestone payments upon achievement of specified regulatory milestone events, (iii)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 million in milestone payments related to activity by potential competitors and (iv) up to approximately $325.0 million in milestone payments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achievement of specified commercial sales events. The aggregate amount of such consideration received through June 30, 2019 totals $389.0 million.</w:t>
      </w:r>
    </w:p>
    <w:p>
      <w:pPr>
        <w:spacing w:after="0" w:line="22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Company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$41.6 million was recognized as revenue during the period from performance obligations satisfied or partially satisfied as of June 30, 2019. According to the U.S/RoW Agreement, this milestone payment is not billable to AstraZeneca until the Company has submitted the NDA, therefore this $50.0 million was recorded as an unbilled contract asset as of June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paid upfront, non-contingent and non-refundable payments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 The aggregate amount of such consideration received through June 30, 2019 totals $55.2 million.</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mentioned above, in the fourth quarter of 2018, the Company was engaged in the final stages of review with its partners over the proposed development of roxadustat for the treatment of CIA. AstraZeneca and Astellas approved the program in December 2018 and January 2019, respectively. Costs associated with the development of this indication are expected to be shared 50/50 between AstraZeneca and Astellas. In addition to CIA, in December 2018, anemia of chronic inflammation (“ACI”) and multiple myeloma (“MM”) have been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ACI and MM under the AstraZeneca agreements is estimated to continue through the end of 2024, to allow for development of these additional indications.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17, 2018, FibroGen (China) Medical Technology Development Co., Ltd. (“FibroGen Beijing”), received marketing authorization from the NMPA for roxadustat, a first-in-class HIF-PH inhibitor, for the treatment of anemia caused by CKD in patients on dialysis. This approval triggered a $6.0 million milestone payable to the Company by AstraZeneca. On December 29, 2018, FibroGen Beijing received First Manufacturing Approval for a Product in the Field in the Territory, which allows production for Phase IV clinical studies, patients’ early experience programs, donation programs, as well as to supply products for testing and assessments required prior to launch. This approval triggered a $6.0 million milestone payable to the Company by AstraZeneca. These milestones payments were received in the first quarter of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Performance Obligation</w:t>
            </w: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340" w:type="dxa"/>
            <w:vAlign w:val="bottom"/>
            <w:vMerge w:val="continue"/>
          </w:tcPr>
          <w:p>
            <w:pPr>
              <w:spacing w:after="0"/>
              <w:rPr>
                <w:sz w:val="13"/>
                <w:szCs w:val="13"/>
                <w:color w:val="auto"/>
              </w:rPr>
            </w:pPr>
          </w:p>
        </w:tc>
        <w:tc>
          <w:tcPr>
            <w:tcW w:w="3860" w:type="dxa"/>
            <w:vAlign w:val="bottom"/>
            <w:gridSpan w:val="3"/>
            <w:vMerge w:val="continue"/>
          </w:tcPr>
          <w:p>
            <w:pPr>
              <w:spacing w:after="0"/>
              <w:rPr>
                <w:sz w:val="13"/>
                <w:szCs w:val="13"/>
                <w:color w:val="auto"/>
              </w:rPr>
            </w:pPr>
          </w:p>
        </w:tc>
        <w:tc>
          <w:tcPr>
            <w:tcW w:w="92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14,323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3860" w:type="dxa"/>
            <w:vAlign w:val="bottom"/>
            <w:gridSpan w:val="3"/>
          </w:tcPr>
          <w:p>
            <w:pPr>
              <w:ind w:left="160"/>
              <w:spacing w:after="0"/>
              <w:rPr>
                <w:sz w:val="20"/>
                <w:szCs w:val="20"/>
                <w:color w:val="auto"/>
              </w:rPr>
            </w:pPr>
            <w:r>
              <w:rPr>
                <w:rFonts w:ascii="Arial" w:cs="Arial" w:eastAsia="Arial" w:hAnsi="Arial"/>
                <w:sz w:val="18"/>
                <w:szCs w:val="18"/>
                <w:color w:val="auto"/>
              </w:rPr>
              <w:t>Development revenue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369</w:t>
            </w:r>
          </w:p>
        </w:tc>
        <w:tc>
          <w:tcPr>
            <w:tcW w:w="10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Japan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Revenue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June 30, 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88,748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June 30, 2019 included an immaterial amount resulting from changes to estimated variable consideration in the current period relating to performance obligations satisfied or partially satisfied in previous periods. The remainder of the transaction price related to the Japan Agreement includes $0.5 million of variable consideration from estimated future co-development billing and is expected to be recognized over the remaining development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3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117,470</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Development revenue</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16,854</w:t>
            </w:r>
          </w:p>
        </w:tc>
        <w:tc>
          <w:tcPr>
            <w:tcW w:w="32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5,003</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21,467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Agreement, along with any associated deferred revenue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224,304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712,255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714,274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w:t>
      </w:r>
    </w:p>
    <w:p>
      <w:pPr>
        <w:spacing w:after="0" w:line="30" w:lineRule="exact"/>
        <w:rPr>
          <w:sz w:val="20"/>
          <w:szCs w:val="20"/>
          <w:color w:val="auto"/>
        </w:rPr>
      </w:pPr>
    </w:p>
    <w:p>
      <w:pPr>
        <w:ind w:left="300" w:right="120" w:hanging="292"/>
        <w:spacing w:after="0" w:line="312"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condensed consolidated balance sheets. As of June 30, 2019, prepaid expenses and other current assets included a net unbilled contract asset of $128.0 million related to the Europe Agreement, which represents the net of the above-mentioned unbilled contract asset of $130.0 million, and $2.0 million of deferred revenue presented above.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revenue recognized under the Europe Agreement for the three months ended June 30, 2019 included an increase in revenue of $129.2 million resulting from changes to estimated variable consideration in the current period relating to performance obligations satisfied or partially satisfied in previous periods. The remainder of the transaction price related to the Europe Agreement includes $9.4 million of variable consideration from estimated future co-development billing and is expected to be recognized over the remaining development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Performance Obligation</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500" w:type="dxa"/>
            <w:vAlign w:val="bottom"/>
            <w:gridSpan w:val="2"/>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3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China</w:t>
            </w:r>
          </w:p>
        </w:tc>
        <w:tc>
          <w:tcPr>
            <w:tcW w:w="3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23,762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23,479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price related to consideration received and accounts receivable has been allocated to each of the following performance obligations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U.S./RoW Agreement and China Agreement, along with any associated deferred revenue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7"/>
              </w:rPr>
              <w:t>Deferred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 RoW and China Agreements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June 30, 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June 30, 2019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327,275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327,275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451,402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16,342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467,744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778,677</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w:t>
      </w:r>
    </w:p>
    <w:p>
      <w:pPr>
        <w:ind w:left="380" w:right="100" w:hanging="372"/>
        <w:spacing w:after="0" w:line="280"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Contract assets and liabilities related to rights and obligations in the same contract are recorded net on the condensed consolidated balance sheets. As of June 30, 2019, long-term deferred revenue included $102.9 million related to the U.S./RoW and China Agreement, which represents the net of $152.9 million of deferred revenue presented above and the above-mentioned $50.0 million unbilled contract asset.</w:t>
      </w:r>
    </w:p>
    <w:p>
      <w:pPr>
        <w:spacing w:after="0" w:line="16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revenue recognized under the U.S./RoW Agreement for the three months ended June 30, 2019 included an increase in revenue of $41.9 million resulting from changes to estimated variable consideration in the current period relating to performance obligations satisfied or partially satisfied in previous periods. The remainder of the transaction price related to the U.S./RoW Agreement and China Agreement includes $149.4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 term portion of deferred revenue represents amounts to be recognized after one year through the end of the non-contingent performance period of the underlying performance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Deferred revenue includes amounts allocated to the China unit of accounting under the AstraZeneca arrangement as revenue recognition associated with this unit of accounting is tied to the commercial launch of the products within China. As of December 31, 2018, such deferred revenue was included in long-term deferred revenue. As of June 30, 2019, following receipt of the Chinese Good Manufacturing Practices license by FibroGen Beijing in the second quarter of 2019, approximately $0.5 million of the related deferred revenue was included in short-term deferred revenue, which represents the amount of deferred revenue associated with the China unit of accounting that is expected to be recognized as a result of the transfer of control of commercial drug product in China.</w:t>
      </w:r>
    </w:p>
    <w:p>
      <w:pPr>
        <w:spacing w:after="0" w:line="29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June 30, 2019</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350,891</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125,263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476,154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10,677</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33,804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33,804</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Term deposit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30,021</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30,021</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395,609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116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292,317</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224,953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517,270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10,484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Term deposit</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29,910</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tcPr>
          <w:p>
            <w:pPr>
              <w:spacing w:after="0"/>
              <w:rPr>
                <w:sz w:val="19"/>
                <w:szCs w:val="19"/>
                <w:color w:val="auto"/>
              </w:rPr>
            </w:pPr>
          </w:p>
        </w:tc>
      </w:tr>
      <w:tr>
        <w:trPr>
          <w:trHeight w:val="223"/>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334,863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638,439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2"/>
              </w:rPr>
              <w:t>June 30, 2019</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Borders>
              <w:top w:val="single" w:sz="8" w:color="CFF0FC"/>
            </w:tcBorders>
            <w:shd w:val="clear" w:color="auto" w:fill="CFF0FC"/>
          </w:tcPr>
          <w:p>
            <w:pPr>
              <w:spacing w:after="0"/>
              <w:rPr>
                <w:sz w:val="19"/>
                <w:szCs w:val="19"/>
                <w:color w:val="auto"/>
              </w:rPr>
            </w:pPr>
          </w:p>
        </w:tc>
      </w:tr>
      <w:tr>
        <w:trPr>
          <w:trHeight w:val="392"/>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1"/>
              </w:rPr>
              <w:t>December 31, 2018</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20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8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98,105</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of December 31, 2018, the Company had $96.2 million in lease obligations related to its building leases under build-to-suit arrangements. Upon the adoption of ASC 842 as of January 1, 2019, using the modified retrospective transition method, the Company derecognized these liabilities previously recognized under ASC 840 build-to-suit designation. Refer to Note 1 for details.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remaining balance of $1.7 million as of June 30, 2019 under lease obligations is related to an expansion option in the Company’s long-term property lease with Shorenstein Properties LLC (“Alexandria” or “landlord”). This expansion option allowed the Company to occupy part of an adjacent building within 31 months of the lease commencement date in 2008. In 2012, the Company gave notice to its landlord that it would not exercise this expansion option, which resulted in a $5.0 million payment liability to the landlord that is financed over the remaining lease term to 2023.</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7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two building leases treated as finance leases.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2006, the Company entered into a long-term property lease with Alexandria for its corporate headquarters in San Francisco, California, with an initial term of 15 years, scheduled to expire in 2023. The Company has an option to extend the lease for an additional 10 years through 2033. The lease contract provides for a fixed annual rent, with scheduled increases of two percent that occur on each anniversary of the rent commencement date. This lease requires the Company to pay all costs of ownership, operation, and maintenance of the premises, including without limitation all operating costs, insurance costs, and taxes.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2013, the Company entered into a long-term property lease with Beijing Economic-Technological Development Area (“BDA”) Management Committee for a pilot plant located in Beijing Yizhuang Biomedical Park (“BYBP”) of BDA. The building is leased for an initial lease term of eight years, scheduled to expire in 2021. Renewal options are not specified within the lease contract. The lease contract provides for fixed quarterly rent payments, with scheduled increases that occur as detailed in the lease contract. This lease requires the Company to pay all operating and maintenance costs, and a fixed amount for property management fees.</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currently has five additional real estate leases for space within a building, which are treated as operating leases. These leases have lease terms ranging from two to four years. These lease contracts provide for fixed quarterly rent payments, and require the Company to pay operating and maintenance costs, and a fixed amount for property management fees.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the Company has several immaterial lease arrangements for office equipment, scientific devices and automobile leases, with contracted lease terms ranging from two to five years, treated as finance leases or operating leases,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920" w:type="dxa"/>
            <w:vAlign w:val="bottom"/>
            <w:gridSpan w:val="2"/>
          </w:tcPr>
          <w:p>
            <w:pPr>
              <w:ind w:left="660"/>
              <w:spacing w:after="0"/>
              <w:rPr>
                <w:sz w:val="20"/>
                <w:szCs w:val="20"/>
                <w:color w:val="auto"/>
              </w:rPr>
            </w:pPr>
            <w:r>
              <w:rPr>
                <w:rFonts w:ascii="Arial" w:cs="Arial" w:eastAsia="Arial" w:hAnsi="Arial"/>
                <w:sz w:val="14"/>
                <w:szCs w:val="14"/>
                <w:b w:val="1"/>
                <w:bCs w:val="1"/>
                <w:color w:val="auto"/>
              </w:rPr>
              <w:t>Balance Sheet Line Item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 2019</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top w:val="single" w:sz="8" w:color="CFF0FC"/>
            </w:tcBorders>
            <w:shd w:val="clear" w:color="auto" w:fill="CFF0FC"/>
          </w:tcPr>
          <w:p>
            <w:pPr>
              <w:spacing w:after="0"/>
              <w:rPr>
                <w:sz w:val="19"/>
                <w:szCs w:val="19"/>
                <w:color w:val="auto"/>
              </w:rPr>
            </w:pPr>
          </w:p>
        </w:tc>
        <w:tc>
          <w:tcPr>
            <w:tcW w:w="4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Finance:</w:t>
            </w:r>
          </w:p>
        </w:tc>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66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Finance lease right-of-use assets, net</w:t>
            </w:r>
          </w:p>
        </w:tc>
        <w:tc>
          <w:tcPr>
            <w:tcW w:w="4920" w:type="dxa"/>
            <w:vAlign w:val="bottom"/>
            <w:tcBorders>
              <w:top w:val="single" w:sz="8" w:color="CFF0FC"/>
            </w:tcBorders>
            <w:gridSpan w:val="2"/>
            <w:shd w:val="clear" w:color="auto" w:fill="CFF0FC"/>
          </w:tcPr>
          <w:p>
            <w:pPr>
              <w:ind w:left="660"/>
              <w:spacing w:after="0"/>
              <w:rPr>
                <w:sz w:val="20"/>
                <w:szCs w:val="20"/>
                <w:color w:val="auto"/>
              </w:rPr>
            </w:pPr>
            <w:r>
              <w:rPr>
                <w:rFonts w:ascii="Arial" w:cs="Arial" w:eastAsia="Arial" w:hAnsi="Arial"/>
                <w:sz w:val="18"/>
                <w:szCs w:val="18"/>
                <w:color w:val="auto"/>
              </w:rPr>
              <w:t>Finance lease right-of-use assets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44,536</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w:t>
            </w:r>
          </w:p>
        </w:tc>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 cost</w:t>
            </w:r>
          </w:p>
        </w:tc>
        <w:tc>
          <w:tcPr>
            <w:tcW w:w="66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4920" w:type="dxa"/>
            <w:vAlign w:val="bottom"/>
            <w:tcBorders>
              <w:top w:val="single" w:sz="8" w:color="CFF0FC"/>
            </w:tcBorders>
            <w:gridSpan w:val="2"/>
            <w:shd w:val="clear" w:color="auto" w:fill="CFF0FC"/>
          </w:tcPr>
          <w:p>
            <w:pPr>
              <w:ind w:left="660"/>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840" w:type="dxa"/>
            <w:vAlign w:val="bottom"/>
            <w:tcBorders>
              <w:bottom w:val="single" w:sz="8" w:color="CFF0FC"/>
            </w:tcBorders>
          </w:tcPr>
          <w:p>
            <w:pPr>
              <w:jc w:val="right"/>
              <w:ind w:right="1890"/>
              <w:spacing w:after="0"/>
              <w:rPr>
                <w:sz w:val="20"/>
                <w:szCs w:val="20"/>
                <w:color w:val="auto"/>
              </w:rPr>
            </w:pPr>
            <w:r>
              <w:rPr>
                <w:rFonts w:ascii="Arial" w:cs="Arial" w:eastAsia="Arial" w:hAnsi="Arial"/>
                <w:sz w:val="18"/>
                <w:szCs w:val="18"/>
                <w:color w:val="auto"/>
              </w:rPr>
              <w:t>Total lease assets</w:t>
            </w:r>
          </w:p>
        </w:tc>
        <w:tc>
          <w:tcPr>
            <w:tcW w:w="66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45,475</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8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660" w:type="dxa"/>
            <w:vAlign w:val="bottom"/>
            <w:shd w:val="clear" w:color="auto" w:fill="CFF0FC"/>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Finance lease liabilities</w:t>
            </w:r>
          </w:p>
        </w:tc>
        <w:tc>
          <w:tcPr>
            <w:tcW w:w="4920" w:type="dxa"/>
            <w:vAlign w:val="bottom"/>
            <w:gridSpan w:val="2"/>
          </w:tcPr>
          <w:p>
            <w:pPr>
              <w:ind w:left="660"/>
              <w:spacing w:after="0"/>
              <w:rPr>
                <w:sz w:val="20"/>
                <w:szCs w:val="20"/>
                <w:color w:val="auto"/>
              </w:rPr>
            </w:pPr>
            <w:r>
              <w:rPr>
                <w:rFonts w:ascii="Arial" w:cs="Arial" w:eastAsia="Arial" w:hAnsi="Arial"/>
                <w:sz w:val="18"/>
                <w:szCs w:val="18"/>
                <w:color w:val="auto"/>
              </w:rPr>
              <w:t>Finance lease liabilities, current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492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Non-current:</w:t>
            </w:r>
          </w:p>
        </w:tc>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 liabilities</w:t>
            </w:r>
          </w:p>
        </w:tc>
        <w:tc>
          <w:tcPr>
            <w:tcW w:w="492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Finance lease liabilities, non-current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Operating lease liabilities</w:t>
            </w:r>
          </w:p>
        </w:tc>
        <w:tc>
          <w:tcPr>
            <w:tcW w:w="4920" w:type="dxa"/>
            <w:vAlign w:val="bottom"/>
            <w:tcBorders>
              <w:bottom w:val="single" w:sz="8" w:color="CFF0FC"/>
            </w:tcBorders>
            <w:gridSpan w:val="2"/>
          </w:tcPr>
          <w:p>
            <w:pPr>
              <w:ind w:left="66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jc w:val="right"/>
              <w:ind w:right="1890"/>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56,788</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920" w:type="dxa"/>
            <w:vAlign w:val="bottom"/>
            <w:gridSpan w:val="2"/>
            <w:vMerge w:val="restart"/>
          </w:tcPr>
          <w:p>
            <w:pPr>
              <w:ind w:left="12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Statement of Operations Line Item</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15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0"/>
              </w:rPr>
              <w:t>June 30, 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June 30, 2019</w:t>
            </w: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3"/>
          </w:tcPr>
          <w:p>
            <w:pPr>
              <w:ind w:left="140"/>
              <w:spacing w:after="0"/>
              <w:rPr>
                <w:sz w:val="20"/>
                <w:szCs w:val="20"/>
                <w:color w:val="auto"/>
              </w:rPr>
            </w:pPr>
            <w:r>
              <w:rPr>
                <w:rFonts w:ascii="Arial" w:cs="Arial" w:eastAsia="Arial" w:hAnsi="Arial"/>
                <w:sz w:val="18"/>
                <w:szCs w:val="18"/>
                <w:color w:val="auto"/>
              </w:rPr>
              <w:t>Amortization of right-of-use assets</w:t>
            </w:r>
          </w:p>
        </w:tc>
        <w:tc>
          <w:tcPr>
            <w:tcW w:w="4060" w:type="dxa"/>
            <w:vAlign w:val="bottom"/>
            <w:gridSpan w:val="4"/>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gridSpan w:val="4"/>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9"/>
                <w:szCs w:val="19"/>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on lease liabilities</w:t>
            </w:r>
          </w:p>
        </w:tc>
        <w:tc>
          <w:tcPr>
            <w:tcW w:w="4060" w:type="dxa"/>
            <w:vAlign w:val="bottom"/>
            <w:gridSpan w:val="4"/>
            <w:shd w:val="clear" w:color="auto" w:fill="CFF0FC"/>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0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4060" w:type="dxa"/>
            <w:vAlign w:val="bottom"/>
            <w:gridSpan w:val="4"/>
          </w:tcPr>
          <w:p>
            <w:pPr>
              <w:ind w:left="3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60" w:type="dxa"/>
            <w:vAlign w:val="bottom"/>
            <w:gridSpan w:val="4"/>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4060" w:type="dxa"/>
            <w:vAlign w:val="bottom"/>
            <w:gridSpan w:val="4"/>
            <w:shd w:val="clear" w:color="auto" w:fill="CFF0FC"/>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3800" w:type="dxa"/>
            <w:vAlign w:val="bottom"/>
            <w:gridSpan w:val="3"/>
          </w:tcPr>
          <w:p>
            <w:pPr>
              <w:ind w:left="140"/>
              <w:spacing w:after="0"/>
              <w:rPr>
                <w:sz w:val="20"/>
                <w:szCs w:val="20"/>
                <w:color w:val="auto"/>
              </w:rPr>
            </w:pPr>
            <w:r>
              <w:rPr>
                <w:rFonts w:ascii="Arial" w:cs="Arial" w:eastAsia="Arial" w:hAnsi="Arial"/>
                <w:sz w:val="18"/>
                <w:szCs w:val="18"/>
                <w:color w:val="auto"/>
              </w:rPr>
              <w:t>Total lease cost</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7"/>
            <w:vMerge w:val="restart"/>
          </w:tcPr>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June 30, 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tcBorders>
              <w:top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gridSpan w:val="5"/>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gridSpan w:val="5"/>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49,676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860" w:type="dxa"/>
            <w:vAlign w:val="bottom"/>
            <w:gridSpan w:val="7"/>
          </w:tcPr>
          <w:p>
            <w:pPr>
              <w:ind w:left="40"/>
              <w:spacing w:after="0"/>
              <w:rPr>
                <w:sz w:val="20"/>
                <w:szCs w:val="20"/>
                <w:color w:val="auto"/>
              </w:rPr>
            </w:pPr>
            <w:r>
              <w:rPr>
                <w:rFonts w:ascii="Arial" w:cs="Arial" w:eastAsia="Arial" w:hAnsi="Arial"/>
                <w:sz w:val="18"/>
                <w:szCs w:val="18"/>
                <w:color w:val="auto"/>
              </w:rPr>
              <w:t>Lease term and discount rate were as follows at June 30, 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20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5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8"/>
              </w:rPr>
              <w:t>June 30, 2019</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7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4.74%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800" w:type="dxa"/>
            <w:vAlign w:val="bottom"/>
            <w:gridSpan w:val="3"/>
          </w:tcPr>
          <w:p>
            <w:pPr>
              <w:spacing w:after="0"/>
              <w:rPr>
                <w:sz w:val="20"/>
                <w:szCs w:val="20"/>
                <w:color w:val="auto"/>
              </w:rPr>
            </w:pPr>
            <w:r>
              <w:rPr>
                <w:rFonts w:ascii="Arial" w:cs="Arial" w:eastAsia="Arial" w:hAnsi="Arial"/>
                <w:sz w:val="18"/>
                <w:szCs w:val="18"/>
                <w:color w:val="auto"/>
              </w:rPr>
              <w:t>Maturities of lease liabilities are as follows:</w:t>
            </w: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0" w:type="dxa"/>
            <w:vAlign w:val="bottom"/>
            <w:gridSpan w:val="3"/>
          </w:tcPr>
          <w:p>
            <w:pPr>
              <w:ind w:left="580"/>
              <w:spacing w:after="0"/>
              <w:rPr>
                <w:sz w:val="20"/>
                <w:szCs w:val="20"/>
                <w:color w:val="auto"/>
              </w:rPr>
            </w:pPr>
            <w:r>
              <w:rPr>
                <w:rFonts w:ascii="Arial" w:cs="Arial" w:eastAsia="Arial" w:hAnsi="Arial"/>
                <w:sz w:val="14"/>
                <w:szCs w:val="14"/>
                <w:b w:val="1"/>
                <w:bCs w:val="1"/>
                <w:color w:val="auto"/>
              </w:rPr>
              <w:t>Year Ending</w:t>
            </w: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Operating Leases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2019 (Remaining six month period)</w:t>
            </w:r>
          </w:p>
        </w:tc>
        <w:tc>
          <w:tcPr>
            <w:tcW w:w="2320" w:type="dxa"/>
            <w:vAlign w:val="bottom"/>
            <w:tcBorders>
              <w:top w:val="single" w:sz="8" w:color="auto"/>
            </w:tcBorders>
            <w:gridSpan w:val="2"/>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13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7,002</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2020</w:t>
            </w: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0"/>
              </w:rPr>
              <w:t>14,089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13,678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2022</w:t>
            </w:r>
          </w:p>
        </w:tc>
        <w:tc>
          <w:tcPr>
            <w:tcW w:w="2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0"/>
              </w:rPr>
              <w:t>13,878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90"/>
              </w:rPr>
              <w:t>12,523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20" w:type="dxa"/>
            <w:vAlign w:val="bottom"/>
            <w:gridSpan w:val="2"/>
          </w:tcPr>
          <w:p>
            <w:pPr>
              <w:ind w:left="120"/>
              <w:spacing w:after="0"/>
              <w:rPr>
                <w:sz w:val="20"/>
                <w:szCs w:val="20"/>
                <w:color w:val="auto"/>
              </w:rPr>
            </w:pPr>
            <w:r>
              <w:rPr>
                <w:rFonts w:ascii="Arial" w:cs="Arial" w:eastAsia="Arial" w:hAnsi="Arial"/>
                <w:sz w:val="18"/>
                <w:szCs w:val="18"/>
                <w:color w:val="auto"/>
              </w:rPr>
              <w:t>Total future lease payments</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0"/>
              </w:rPr>
              <w:t>61,170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Interest</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w w:val="98"/>
              </w:rPr>
              <w:t>(5,319)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580"/>
              <w:spacing w:after="0"/>
              <w:rPr>
                <w:sz w:val="20"/>
                <w:szCs w:val="20"/>
                <w:color w:val="auto"/>
              </w:rPr>
            </w:pPr>
            <w:r>
              <w:rPr>
                <w:rFonts w:ascii="Arial" w:cs="Arial" w:eastAsia="Arial" w:hAnsi="Arial"/>
                <w:sz w:val="18"/>
                <w:szCs w:val="18"/>
                <w:color w:val="auto"/>
              </w:rPr>
              <w:t>Present value of lease liabilities</w:t>
            </w:r>
          </w:p>
        </w:tc>
        <w:tc>
          <w:tcPr>
            <w:tcW w:w="23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6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55,851</w:t>
            </w:r>
          </w:p>
        </w:tc>
        <w:tc>
          <w:tcPr>
            <w:tcW w:w="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20" w:type="dxa"/>
            <w:vAlign w:val="bottom"/>
            <w:gridSpan w:val="2"/>
            <w:vMerge w:val="restart"/>
          </w:tcPr>
          <w:p>
            <w:pPr>
              <w:ind w:left="18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was previously disclosed under ASC 840 as of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all non-cancelable operating lease obligations as of December 31, 2018 were as follows (in thousands):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Year Ending</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 Leases</w:t>
            </w:r>
          </w:p>
        </w:tc>
      </w:tr>
      <w:tr>
        <w:trPr>
          <w:trHeight w:val="223"/>
        </w:trPr>
        <w:tc>
          <w:tcPr>
            <w:tcW w:w="20" w:type="dxa"/>
            <w:vAlign w:val="bottom"/>
          </w:tcPr>
          <w:p>
            <w:pPr>
              <w:spacing w:after="0"/>
              <w:rPr>
                <w:sz w:val="19"/>
                <w:szCs w:val="19"/>
                <w:color w:val="auto"/>
              </w:rPr>
            </w:pPr>
          </w:p>
        </w:tc>
        <w:tc>
          <w:tcPr>
            <w:tcW w:w="6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Future minimum lease payments, on a consolidated basis, under the Company’s facility lease financing obligations as of December 31, 2018 were as follows (in thousands):</w:t>
      </w:r>
    </w:p>
    <w:tbl>
      <w:tblPr>
        <w:tblLayout w:type="fixed"/>
        <w:tblInd w:w="0" w:type="dxa"/>
        <w:tblCellMar>
          <w:top w:w="0" w:type="dxa"/>
          <w:left w:w="0" w:type="dxa"/>
          <w:bottom w:w="0" w:type="dxa"/>
          <w:right w:w="0" w:type="dxa"/>
        </w:tblCellMar>
      </w:tblPr>
      <w:tr>
        <w:trPr>
          <w:trHeight w:val="141"/>
        </w:trPr>
        <w:tc>
          <w:tcPr>
            <w:tcW w:w="340" w:type="dxa"/>
            <w:vAlign w:val="bottom"/>
          </w:tcPr>
          <w:p>
            <w:pPr>
              <w:spacing w:after="0"/>
              <w:rPr>
                <w:sz w:val="12"/>
                <w:szCs w:val="12"/>
                <w:color w:val="auto"/>
              </w:rPr>
            </w:pPr>
          </w:p>
        </w:tc>
        <w:tc>
          <w:tcPr>
            <w:tcW w:w="526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Year Ending</w:t>
            </w: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Lease financing</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2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6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 minimum payments</w:t>
            </w: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2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40" w:type="dxa"/>
            <w:vAlign w:val="bottom"/>
            <w:vMerge w:val="continue"/>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6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June 30, 2019</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6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40,783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US treasury notes and bills</w:t>
            </w: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6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33,804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640" w:type="dxa"/>
            <w:vAlign w:val="bottom"/>
          </w:tcPr>
          <w:p>
            <w:pPr>
              <w:spacing w:after="0"/>
              <w:rPr>
                <w:sz w:val="19"/>
                <w:szCs w:val="19"/>
                <w:color w:val="auto"/>
              </w:rPr>
            </w:pPr>
          </w:p>
        </w:tc>
        <w:tc>
          <w:tcPr>
            <w:tcW w:w="1320" w:type="dxa"/>
            <w:vAlign w:val="bottom"/>
            <w:tcBorders>
              <w:bottom w:val="single" w:sz="8" w:color="auto"/>
            </w:tcBorders>
          </w:tcPr>
          <w:p>
            <w:pPr>
              <w:jc w:val="right"/>
              <w:ind w:right="11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74,587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June 30, 2019 and December 31, 2018, a total of $26.0 million and $21.9 million, respectively, of the Company’s cash and cash equivalents were held outside of the U.S. in its foreign subsidiaries to be used primarily for its China operations.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a term deposit and a certificate of deposit. The amortized cost, gross unrealized holding gains or losses, and fair value of the Company’s available-for-sale investments by major investments type are summarized in the tables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jc w:val="right"/>
              <w:ind w:right="1500"/>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475,126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476,154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Term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595,853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36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60" w:type="dxa"/>
            <w:vAlign w:val="bottom"/>
          </w:tcPr>
          <w:p>
            <w:pPr>
              <w:spacing w:after="0"/>
              <w:rPr>
                <w:sz w:val="11"/>
                <w:szCs w:val="11"/>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Holding Gains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467,296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467,336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Term deposit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587,885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June 30, 2019, all of the available-for-sale investments had contractual maturities within one year. The Company periodically reviews its available-for-sale investments and term deposit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six months ended June 30, 2019 and 2018, the Company did not recognize any other-than-temporary impairment loss.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20" w:type="dxa"/>
            <w:vAlign w:val="bottom"/>
          </w:tcPr>
          <w:p>
            <w:pPr>
              <w:spacing w:after="0"/>
              <w:rPr>
                <w:sz w:val="19"/>
                <w:szCs w:val="19"/>
                <w:color w:val="auto"/>
              </w:rPr>
            </w:pPr>
          </w:p>
        </w:tc>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started capitalizing inventory costs in June 2019 when FibroGen China began productions of roxadustat for commercial sales purposes. There was no provision to write-down excess and obsolete inventory for the three months ended June 30,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1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(52,019)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1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127,981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Prepaid assets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12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1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unbilled contract assets as of June 30, 2019 were related to two regulatory milestones totaling $130.0 million under the Europe Agreement with Astellas associated with the planned MAA submission in Europe, and a $50.0 million regulatory milestone under the U.S./RoW Agreement with AstraZeneca associated with the planned NDA submission in the U.S. See Note 2 for details.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Building shell</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53,880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Machinery</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property and equipment</w:t>
            </w:r>
          </w:p>
        </w:tc>
        <w:tc>
          <w:tcPr>
            <w:tcW w:w="1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140,786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(95,921)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(65,199)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44,865</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December 31, 2018, the Company had $53.9 million building shell cost and $13.5 million accumulated depreciation related to its building leases under build-to-suit arrangements. Upon the adoption of ASC 842 as of January 1, 2019, using the modified retrospective transition method, the Company derecognized these assets previously recognized under ASC 840 build-to-suit designation. Up to December 31, 2018, the leasehold improvements related to these building leases were depreciated over the life of the building under ASC 840. Upon the adoption of ASC 842, these leasehold improvements should have a useful life based on the lease term. As a result, at the adoption date, the Company recorded a cumulative adjustment of $38.9 million to the accumulated depreciation for these leasehold improvements so that their net balance equals the undepreciated amount had the useful life of the leasehold improvements always been equal to the lease terms. Refer to Note 1 for details.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41,104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Property taxes and other</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allocated to research and development and selling, general and administrative expense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760" w:type="dxa"/>
            <w:vAlign w:val="bottom"/>
            <w:gridSpan w:val="4"/>
          </w:tcPr>
          <w:p>
            <w:pPr>
              <w:jc w:val="right"/>
              <w:ind w:right="10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4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10,450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14,264</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9,845</w:t>
            </w:r>
          </w:p>
        </w:tc>
        <w:tc>
          <w:tcPr>
            <w:tcW w:w="12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17,642</w:t>
            </w:r>
          </w:p>
        </w:tc>
        <w:tc>
          <w:tcPr>
            <w:tcW w:w="3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13,231</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24.40</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33.20</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32.12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0.5 - 2.0</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48.1 - 62.1  %</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47.3 - 75.3  %</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48.1 - 62.1  %</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47.3 - 75.3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1.3 - 2.9  %</w:t>
            </w:r>
          </w:p>
        </w:tc>
        <w:tc>
          <w:tcPr>
            <w:tcW w:w="32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0.8 - 2.6  %</w:t>
            </w:r>
          </w:p>
        </w:tc>
        <w:tc>
          <w:tcPr>
            <w:tcW w:w="320" w:type="dxa"/>
            <w:vAlign w:val="bottom"/>
          </w:tcPr>
          <w:p>
            <w:pPr>
              <w:spacing w:after="0"/>
              <w:rPr>
                <w:sz w:val="19"/>
                <w:szCs w:val="19"/>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1.3 - 2.9  %</w:t>
            </w:r>
          </w:p>
        </w:tc>
        <w:tc>
          <w:tcPr>
            <w:tcW w:w="320" w:type="dxa"/>
            <w:vAlign w:val="bottom"/>
          </w:tcPr>
          <w:p>
            <w:pPr>
              <w:spacing w:after="0"/>
              <w:rPr>
                <w:sz w:val="19"/>
                <w:szCs w:val="19"/>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0.8 - 2.6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19.07</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19.65</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six months ended June 30, 2019 and 2018 were due to foreign taxes.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deferred tax assets as it does not currently believe that realization of those assets is more likely than not.</w:t>
      </w:r>
    </w:p>
    <w:p>
      <w:pPr>
        <w:spacing w:after="0" w:line="32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$134.7 million and $139.6 million for the three and six months ended June 30, 2019, respectively, and $20.5 million and $25.6 million for the three and six months ended June 30, 2018, respectively.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recorded expense related to collaboration agreements with Astellas of $0.8 million and $0.2 million during the three months ended June 30, 2019 and 2018, respectively, and $1.3 million and $0.7 million during the six months ended June 30, 2019 and 2018.</w:t>
      </w:r>
    </w:p>
    <w:p>
      <w:pPr>
        <w:spacing w:after="0" w:line="1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of June 30, 2019 and December 31, 2018, accounts receivable from Astellas were $4.3 million and $47.2 million, respectively, and amounts due to Astellas were $0.8 million and $0.4 million, respectively. The accounts receivable from Astellas as of December 31, 2018 included $43.8 million related to the delivery of roxadustat API to Astellas during the fourth quarter of 2018, pursuant to an amendment to the Japan Agreement that will allow Astellas to manufacture roxadustat drug product for commercialization in Japan. This amount was received during the first quarter of 2019.</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Prepaid expenses and other current assets as of June 30, 2019 included $128.0 million of net unbilled contract asset, representing a $130.0 million unbilled contract asset related to two regulatory milestones under the Europe Agreement with Astellas associated with the planned MAA submission to the EMA, net of $2.0 million of associated deferred revenue. See Note 2 for details. According to the Europe Agreement, this $130.0 million is not billable to Astellas until the submission of an MAA, therefore the net contract asset was included in the prepaid expenses and other current assets line on the Company’s condensed consolidated balance sheet as of June 30, 2019. There was no such contract asset balance as of December 31, 2018.</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2018 filed with the SEC on February 27,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were incorporated in 1993 in Delaware and are headquartered in San Francisco, California, with subsidiary offices in Beijing and Shanghai, People’s Republic of China (“China”), is a leading biopharmaceutical company discovering and developing a pipeline of first-in-class therapeutics. We apply our pioneering expertise in hypoxia-inducible factor (“HIF”), connective tissue growth factor (“CTGF”) biology, and clinical development to advance innovative medicines for the treatment of anemia, fibrotic disease, and cancer. Roxadustat, our most advanced product candidate, is an oral small molecule inhibitor of HIF prolyl hydroxylase (“HIF-PH”) activity, completing Phase 3 clinical development worldwide for the treatment of anemia in chronic kidney disease (“CKD”), with a New Drug Application (“NDA”) now approved by the National Medical Products Administration (“NMPA”) in China. We and our collaboration partners AstraZeneca AB (“AstraZeneca”) and Astellas Pharma Inc. (“Astellas”) are in the process of preparing an NDA for submission to the United States (“U.S.”) Food and Drug Administration (“FDA”) and a Marketing Authorization Application (“MAA”) for submission to the European Medicines Agency (“EMA”) this year. Astellas submitted an NDA for the treatment of anemia in CKD patients on dialysis in Japan in September 2018, which is currently under review by the Pharmaceuticals and Medical Devices Agency (“PMDA”). Roxadustat is in Phase 3 clinical development in the U.S. and Europe and in Phase 2/3 development in China for anemia associated with myelodysplastic syndromes (“MDS”). Pamrevlumab, an anti-CTGF human monoclonal antibody, is in Phase 3 clinical development for the treatment of idiopathic pulmonary fibrosis (“IPF”), and advancing towards Phase 3 for the treatment of pancreatic cancer. Pamrevlumab is also currently in a Phase 2 trial for Duchenne muscular dystrophy (“DMD”). We are also developing a biosynthetic cornea in China.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76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26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60" w:type="dxa"/>
            <w:vAlign w:val="bottom"/>
            <w:gridSpan w:val="5"/>
          </w:tcPr>
          <w:p>
            <w:pPr>
              <w:jc w:val="right"/>
              <w:ind w:right="496"/>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Revenue</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191,566</w:t>
            </w:r>
          </w:p>
        </w:tc>
        <w:tc>
          <w:tcPr>
            <w:tcW w:w="108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43,952</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215,429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75,876</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78,747</w:t>
            </w:r>
          </w:p>
        </w:tc>
        <w:tc>
          <w:tcPr>
            <w:tcW w:w="10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151,453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139,717</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116,003</w:t>
            </w:r>
          </w:p>
        </w:tc>
        <w:tc>
          <w:tcPr>
            <w:tcW w:w="108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(23,421)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70,592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(64,817)</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c>
          <w:tcPr>
            <w:tcW w:w="10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0.82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(0.78)</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80" w:type="dxa"/>
            <w:vAlign w:val="bottom"/>
          </w:tcPr>
          <w:p>
            <w:pPr>
              <w:jc w:val="right"/>
              <w:ind w:right="79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0.77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r>
      <w:tr>
        <w:trPr>
          <w:trHeight w:val="458"/>
        </w:trPr>
        <w:tc>
          <w:tcPr>
            <w:tcW w:w="4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2018</w:t>
            </w:r>
          </w:p>
        </w:tc>
      </w:tr>
      <w:tr>
        <w:trPr>
          <w:trHeight w:val="156"/>
        </w:trPr>
        <w:tc>
          <w:tcPr>
            <w:tcW w:w="4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180" w:type="dxa"/>
            <w:vAlign w:val="bottom"/>
            <w:tcBorders>
              <w:top w:val="single" w:sz="8" w:color="auto"/>
            </w:tcBorders>
            <w:gridSpan w:val="3"/>
          </w:tcPr>
          <w:p>
            <w:pPr>
              <w:jc w:val="right"/>
              <w:ind w:right="119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74,587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89,258</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597,089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587,964</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6,453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revenue for the three and six months ended June 30, 2019 increased compared to the same periods a year ago. Our revenue for the current year periods primarily consisted of the recognition of $129.5 million of two regulatory milestones totaling $130.0 million that were included in the transaction price during the second quarter of 2019 when these milestones became probable of being achieved. These milestones are associated with the planned MAA submission to the EMA under the collaboration agreement with Astellas for roxadustat as a treatment for dialysis and non-dialysis CKD patients. In addition, the revenue recognized during the current year periods included the recognition of $41.6 million of a $50.0 million regulatory milestone that was included in the transaction price during the second quarter of 2019 when this milestone became probable of being achieved. This milestone is associated with the planned NDA submission to the FDA under the collaboration agreement with AstraZeneca for roxadustat as a treatment for dialysis and non-dialysis CKD patients. As comparison, our revenue for the prior year period included the recognition of $14.9 million of a $15.0 million regulatory milestone associated with NDA submission in Japan under the collaboration agreement with Astellas for roxadustat for the treatment of anemia in Japan that was included in the transaction price during the second quarter of 2018 when this milestone became probable of being achieved. The increases were partially offset by a decrease in co-development billings related to the development of roxadustat as a result of the substantial completion of Phase 3 trials for roxadustat.</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Operating expenses for the three months ended June 30, 2019 increased compared to the same period a year ago primarily due to $9.2 million higher outside service expenses related to co-promotional activities and scientific contract expenses, $4.4 million higher stock-based compensation related to the cumulative impact of stock option grant activities, $2.6 million amortization of finance lease right-of-use (“ROU”) assets related to the adoption of lease accounting guidance under Accounting Standards Codification (“ASC”) 842 - Leases (“ASC 842”) and $1.1 million higher depreciation expenses due to the change in estimated useful life for our leasehold improvements as a result of the adoption of ASC 842. The increases were partially offset by $3.4 million lower clinical trial expenses related to lower activities for roxadustat offset by higher activities for pamrevlumab, and $2.5 million lower drug development expenses associated with drug substance manufacturing activities related to pamrevlumab.</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Operating expenses for the six months ended June 30, 2019 increased compared to the same period a year ago primarily due to $11.4 million higher outside service expenses related to co-promotional activities and scientific contract expenses, $10.0 million higher stock-based compensation related to the cumulative impact of stock option grant activities, $5.2 million amortization of finance lease ROU assets related to the adoption of lease accounting guidance under ASC 842, $2.3 million higher depreciation expenses due to the change in estimated useful life for our leasehold improvements as a result of the adoption of ASC 842 and $1.8 million higher employee-related expenses resulting from higher average compensation level. The increases were partially offset by $11.7 million lower clinical trial expenses related to lower activities for roxadustat offset by higher activities for pamrevlumab, $6.2 million lower drug development expenses associated with drug substance manufacturing activities related to pamrevlumab.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June 30, 2019, we had a net income of $116.0 million, or net income per basic share of $1.34, and net income per diluted share of $1.26, as compared to a net loss of $23.4 million for the same period a year ago, due to an increase in revenue partially offset by an increase in operating expenses. During the six months ended June 30, 2019, we had a net income of $70.6 million, or net income per basic share of $0.82, and net income per diluted share of $0.77, as compared to a net loss of $64.8 million for the same period a year ago, due to an increase in revenue partially offset by an increase in operating expenses.</w:t>
      </w:r>
    </w:p>
    <w:p>
      <w:pPr>
        <w:spacing w:after="0" w:line="18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Cash and cash equivalents, investments and accounts receivable totaled $678.1 million at June 30, 2019, a decrease of $62.8 million from December 31, 2018, primarily due to the cash used in operations, partially offset by the accounts receivable at December 31, 2018 collected during the year.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Roxadustat is our most advanced product candidate, an oral small molecule inhibitor of HIF-PH activity that acts by stimulating the body’s natural pathway of erythropoiesis, or red blood cell production. We received our first NDA approval in China for roxadustat for the treatment of anemia caused by CKD in dialysis patients in December of 2018.</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reported top line efficacy data from individual studies and safety data for the pooled non-dialysis population and the pooled dialysis population, as well as the incident dialysis subpopulation, from the roxadustat Phase 3 trials intended to support our NDA in the U.S. and MAA in the European Union (“EU”) for the treatment of anemia in CKD.</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our pre-NDA meeting with the FDA, we reached agreement on the content to be included in our NDA submission package for roxadustat for treatment of anemia in CKD, including the cardiovascular safety analyses for both CKD-dialysis and CKD-non-dialysis. The agreement for non-dialysis is an approach to account for the differential dropout between roxadustat and placebo observed in our Phase 3 studies. We are confident we have sufficient data for FDA review of our NDA in both CKD dialysis and CKD non-dialysis and we are planning to submit the NDA in October of 2019. Our partner Astellas is planning for an MAA submission to the EMA during the second half of their fiscal year 2019, which ends on March 31, 2020.</w:t>
      </w:r>
    </w:p>
    <w:p>
      <w:pPr>
        <w:spacing w:after="0" w:line="1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China, we have secured regulatory approval of our commercial active pharmaceutical ingredient (“API”) plant in Cangzhou, Hebei. We have subsequently produced commercial batches of API and shipped commercial drug product. Roxadustat is currently approved for the treatment of anemia in CKD patients on dialysis. We expect non-dialysis CKD patients to be added to the roxadustat label in the third quarter of 2019.</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Japan, Astellas submitted an NDA for roxadustat for the treatment of anemia in CKD patients on dialysis in September 2018, which is currently under review by the PMDA. We expect an approval decision on the Japan dialysis NDA in the second half of 2019. Astellas has announced it expects the second non-dialysis study in Japan to be completed in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In addition to anemia in CKD, we are continuing to enroll the 156-patient double-blind, placebo-controlled portion of our global Phase 3 clinical study of roxadustat in transfusion-dependent, lower risk MDS patients. The primary endpoint is the proportion of patients who achieve transfusion independence.</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China, we continue to enroll the open-label portion of our Phase 2/3 clinical trial to evaluate the safety and efficacy of roxadustat in non-transfusion dependent, lower risk MDS patients with anemia. After the open-label portion we expect to begin the 135-patient double-blind, placebo-controlled Phase 3 portion of the study, in which subjects will be randomized 2:1 to receive roxadustat or placebo three-times weekly for 26 weeks. The primary endpoint for this study is percentage of patients achieving a hemoglobin response.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Chemotherapy Induced Anemia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plan to initiate a Phase 2 clinical trial of roxadustat in the U.S. in chemotherapy induced anemia in the third quarter of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Pamrevlumab is our human monoclonal antibody that inhibits the activity of CTGF, a central mediator and critical common element in the progression of fibrotic and fibro-proliferative diseases. We initiated our Phase 3 clinical trial of pamrevlumab for the treatment of IPF and are screening patients in our Phase 3 clinical trial for locally advanced unresectable pancreatic cancer. We recently presented topline results from our 1-year data from our ongoing Phase 2 trial for DMD.</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the U.S., pamrevlumab has received orphan drug designation for DMD in addition to IPF and pancreatic cancer, and Fast Track designation for the treatment of both IPF patients and patients with locally advanced unresectable pancreatic cancer from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Idiopathic Pulmonary Fibrosis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recently began enrolling ZEPHYRUS, our double-blind, placebo-controlled Phase 3 trial of pamrevlumab in approximately 565 IPF patients. This study is powered to meet the FDA requirement of a highly statistically-significant result in the primary efficacy endpoint of change from baseline in forced vital capacity (“FVC”).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Locally Advanced Unresectable Pancreatic Cancer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actively screening patients for LAPIS, our double-blind placebo controlled Phase 3 trial of pamrevlumab as a neoadjuvant therapy for locally advanced unresectable pancreatic cancer. We intend to enroll approximately 260 patients, randomized 1:1 to receive either pamrevlumab, in combination with gemcitabine and nab-paclitaxel, or placebo with gemcitabine and nab-paclitaxel.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Duchenne Muscular Dystrophy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DMD, all 21 non-ambulatory patients from our fully enrolled Phase 2 open-label single-arm trial have completed over one year of treatment with pamrevlumab. While we cannot make direct comparisons between our trial and previously published data due to, among other things, differences in subject numbers, baseline characteristics, inclusion/exclusion criteria, treatment protocols, and analysis methods, we are encouraged by the data obtained so far. Pamrevlumab was well tolerated in this study.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June 2019 at the Parent Project Muscular Dystrophy meeting, we reported topline results from our one-year administrative analysis comparing our Phase 2 data to recent published natural disease history studies of DMD patients.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pulmonary function tests, the results from our study indicate a potential reduction in the 1-year decline in FVC percent predicted from baseline for our pamrevlumab-treated patients when compared to FVC data of DMD patients (whether such patients were taking steroids or not) published in 2019 by Ricotti. In the 2019 Ricotti study, the DMD patients were not taking any active drug (other than steroids). All of the patients in our Phase 2 pamrevlumab trial were taking steroids. In addition, pamrevlumab showed less decline in both percent predicted forced expiratory volume as compared to previously published study results of Meier in 2016, and in percent predicted peak expiratory flow rate, compared to what was observed in the study by Ricotti in 2019.</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data showed an increase in cardiac function, measured by mean change of left ventricular ejection fraction (“LVEF”), of 0.29% from baseline for our pamrevlumab-treated patients. Whereas, data published in 2018 by McDonald of DMD patients only on steroids showed a mean LVEF decline of 0.82% from baseline in one year. In a sub-group analysis of pamrevlumab subjects with baseline LVEF greater than 50%, the mean change was an increase in LVEF of 1.79% from baseline.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muscle function tests, the majority of the results of this Phase 2 study showed the mean change from baseline in our pamrevlumab-treated patients were more favorable than previously published data. Our results showed a positive increase in grip-strength score in both dominant and non-dominant hands at one year of treatment with pamrevlumab, while earlier results from a 2015 study by Seferian showed a decline at one year as expected. In the performance of the upper limb (“PUL”) test specifically developed for DMD patients, our pamrevlumab-treated patients had a mean change from baseline of -1.53. In the 2019 study by Ricotti of DMD patients taking either nothing or only steroids, the annual mean change in the PUL test was -4.13. Furthermore, in our study a strong correlation between change in biceps brachii T2-mapping and change in PUL score was observed, demonstrating stabilization and even possible improvement in the muscle fibrosis burden.</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Based on our administrative analysis and advice we received from expert advisors, we are planning to share these results with the FDA to discuss pivotal study design in our clinical development plan for DMD.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June 30, 2019 totals $487.6 million. Additionally, under these agreements, Astellas pays 100% of the commercialization costs in its territories. Astellas will pay us a transfer price, based on net sales, in the low 20% range for our manufacture and delivery of roxadustat.</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second quarter of 2019, we received positive topline results from analyses of pooled major adverse cardiac event (“MACE”) and MACE+ data from its Phase 3 trials evaluating roxadustat as a treatment for dialysis and non-dialysis CKD patients, enabling Astellas to prepare for an MAA submission to the EMA during their fiscal year 2019, which ends on March 31, 2020, following our planned NDA submission to the FDA anticipated in October of 2019. We evaluated the two regulatory milestone payments associated with the planned MAA submission and concluded that these milestones became probable of being achieved in the second quarter of 2019. Accordingly, the total consideration of $130.0 million associated with these milestones was included in the transaction price and allocated to performance obligations under the Europe Agreement in the second quarter of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June 30, 2019, Astellas had separate investments of $80.5 million in the equity of FibroGen,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June 30, 2019 totals $444.2 million.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mentioned above, during the second quarter of 2019, we received positive topline results from analyses of pooled MACE and MACE+ data from its Phase 3 trials for roxadustat, enabling our NDA submission to the FDA, which is anticipated in the third quarter of 2019. We evaluated the regulatory milestone payment associated with this planned NDA submission and concluded that this milestone became probable of being achieved in the second quarter of 2019. Accordingly, the consideration of $50.0 million associated with this milestone was included in the transaction price and allocated to performance obligations under the U.S./ RoW Agreement in the second quarter of 2019.</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Total cash consideration received through June 30, 2019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Cash</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2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4"/>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Potential</w:t>
            </w:r>
          </w:p>
        </w:tc>
      </w:tr>
      <w:tr>
        <w:trPr>
          <w:trHeight w:val="171"/>
        </w:trPr>
        <w:tc>
          <w:tcPr>
            <w:tcW w:w="2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June 30, 2019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17"/>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Cash Payments</w:t>
            </w:r>
          </w:p>
        </w:tc>
      </w:tr>
      <w:tr>
        <w:trPr>
          <w:trHeight w:val="156"/>
        </w:trPr>
        <w:tc>
          <w:tcPr>
            <w:tcW w:w="2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77,593</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95,000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487,593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4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30"/>
        </w:trPr>
        <w:tc>
          <w:tcPr>
            <w:tcW w:w="2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9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9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931,793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1,611,500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4"/>
          </w:tcPr>
          <w:p>
            <w:pPr>
              <w:jc w:val="right"/>
              <w:ind w:right="50"/>
              <w:spacing w:after="0"/>
              <w:rPr>
                <w:sz w:val="20"/>
                <w:szCs w:val="20"/>
                <w:color w:val="auto"/>
              </w:rPr>
            </w:pPr>
            <w:r>
              <w:rPr>
                <w:rFonts w:ascii="Arial" w:cs="Arial" w:eastAsia="Arial" w:hAnsi="Arial"/>
                <w:sz w:val="18"/>
                <w:szCs w:val="18"/>
                <w:color w:val="auto"/>
                <w:w w:val="96"/>
              </w:rPr>
              <w:t>Three Months Ended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5"/>
          </w:tcPr>
          <w:p>
            <w:pPr>
              <w:ind w:left="220"/>
              <w:spacing w:after="0"/>
              <w:rPr>
                <w:sz w:val="20"/>
                <w:szCs w:val="20"/>
                <w:color w:val="auto"/>
              </w:rPr>
            </w:pPr>
            <w:r>
              <w:rPr>
                <w:rFonts w:ascii="Arial" w:cs="Arial" w:eastAsia="Arial" w:hAnsi="Arial"/>
                <w:sz w:val="18"/>
                <w:szCs w:val="18"/>
                <w:color w:val="auto"/>
              </w:rPr>
              <w:t>Six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8"/>
              </w:rPr>
              <w:t>Change</w:t>
            </w:r>
          </w:p>
        </w:tc>
        <w:tc>
          <w:tcPr>
            <w:tcW w:w="4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8"/>
              </w:rPr>
              <w:t>Change</w:t>
            </w: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2018</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2018</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r>
      <w:tr>
        <w:trPr>
          <w:trHeight w:val="223"/>
        </w:trPr>
        <w:tc>
          <w:tcPr>
            <w:tcW w:w="3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0" w:type="dxa"/>
            <w:vAlign w:val="bottom"/>
            <w:gridSpan w:val="4"/>
          </w:tcPr>
          <w:p>
            <w:pPr>
              <w:jc w:val="center"/>
              <w:spacing w:after="0"/>
              <w:rPr>
                <w:sz w:val="20"/>
                <w:szCs w:val="20"/>
                <w:color w:val="auto"/>
              </w:rPr>
            </w:pPr>
            <w:r>
              <w:rPr>
                <w:rFonts w:ascii="Arial" w:cs="Arial" w:eastAsia="Arial" w:hAnsi="Arial"/>
                <w:sz w:val="18"/>
                <w:szCs w:val="18"/>
                <w:color w:val="auto"/>
                <w:w w:val="90"/>
              </w:rPr>
              <w:t>(dollars in thousands)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30"/>
        </w:trPr>
        <w:tc>
          <w:tcPr>
            <w:tcW w:w="300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$ 150,581</w:t>
            </w:r>
          </w:p>
        </w:tc>
        <w:tc>
          <w:tcPr>
            <w:tcW w:w="2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14,323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136,258</w:t>
            </w: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951</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$ 150,581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14,323</w:t>
            </w:r>
          </w:p>
        </w:tc>
        <w:tc>
          <w:tcPr>
            <w:tcW w:w="2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136,258</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40,985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29,629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w:t>
            </w:r>
          </w:p>
        </w:tc>
        <w:tc>
          <w:tcPr>
            <w:tcW w:w="3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64,848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61,553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$ 191,566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43,952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147,614</w:t>
            </w: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336</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$ 215,429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139,553</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Development revenue include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ranging from 36 to 89 months, based on a proportional performance method. Other revenues consist of sales of research and development material and have been included with Development and other revenue in the condensed consolidated statements of operations, as they have not been material for any of the periods presented.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not generated any revenues based on the sale of FDA or NMPA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due to the uncertain timing and amount of such payments and sales.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revenue increased $147.6 million, or 336% for the three months ended June 30, 2019, and increased $139.6 million, or 184% for the six months ended June 30, 2019,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Astellas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117,470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103,147</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117,470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14,323</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103,147</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33,111</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Pr>
          <w:p>
            <w:pPr>
              <w:ind w:left="500"/>
              <w:spacing w:after="0"/>
              <w:rPr>
                <w:sz w:val="20"/>
                <w:szCs w:val="20"/>
                <w:color w:val="auto"/>
              </w:rPr>
            </w:pPr>
            <w:r>
              <w:rPr>
                <w:rFonts w:ascii="Arial" w:cs="Arial" w:eastAsia="Arial" w:hAnsi="Arial"/>
                <w:sz w:val="18"/>
                <w:szCs w:val="18"/>
                <w:color w:val="auto"/>
              </w:rPr>
              <w:t>Total license revenue</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150,581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136,258</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951</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150,581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136,258</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License revenue increased $136.3 million, or 951%, respectively for the three and six months ended June 30, 2019 compared to the same periods a year ago.</w:t>
      </w:r>
    </w:p>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License revenue recognized under our collaboration agreements with Astellas in the three and six months ended June 2019 was related to two regulatory milestones totaling $130.0 million associated with the planned MAA submission in Europe that were included in the transaction price during the second quarter of 2019 when these milestones became probable of being achieved. Of this amount, $117.5 million was allocated to license revenue and recognized during the second quarter of 2019.</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License revenue recognized under our collaboration agreements with AstraZeneca in the three and six months ended June 2019 was related to a regulatory milestone of $50.0 million associated with the planned NDA submission in the U.S. that was included in the transaction price during the second quarter of 2019 when this milestone became probable of being achieved. Of this amount, $33.1 million was allocated to license revenue and recognized during the second quarter of 2019.</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License revenue in the three and six months ended June 2018 was related to a $15.0 million regulatory milestone associated with Astellas’ expected NDA submission in Japan that was included in the transaction price during the second quarter of 2018 when this milestone became probable of being achieved. Of this amount, $14.3 million was allocated to license revenue and recognized during the second quarter of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4"/>
          </w:tcPr>
          <w:p>
            <w:pPr>
              <w:jc w:val="right"/>
              <w:ind w:right="273"/>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Astellas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17,223</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6,145</w:t>
            </w: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11,078</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22,082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11,317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10,765</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(7,436)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3"/>
        </w:trPr>
        <w:tc>
          <w:tcPr>
            <w:tcW w:w="3320" w:type="dxa"/>
            <w:vAlign w:val="bottom"/>
          </w:tcPr>
          <w:p>
            <w:pPr>
              <w:ind w:left="500"/>
              <w:spacing w:after="0"/>
              <w:rPr>
                <w:sz w:val="20"/>
                <w:szCs w:val="20"/>
                <w:color w:val="auto"/>
              </w:rPr>
            </w:pPr>
            <w:r>
              <w:rPr>
                <w:rFonts w:ascii="Arial" w:cs="Arial" w:eastAsia="Arial" w:hAnsi="Arial"/>
                <w:sz w:val="18"/>
                <w:szCs w:val="18"/>
                <w:color w:val="auto"/>
              </w:rPr>
              <w:t>Total development revenue</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40,985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29,624</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11,361</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64,848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61,519</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3"/>
        </w:trPr>
        <w:tc>
          <w:tcPr>
            <w:tcW w:w="3320" w:type="dxa"/>
            <w:vAlign w:val="bottom"/>
          </w:tcPr>
          <w:p>
            <w:pPr>
              <w:ind w:left="500"/>
              <w:spacing w:after="0"/>
              <w:rPr>
                <w:sz w:val="20"/>
                <w:szCs w:val="20"/>
                <w:color w:val="auto"/>
              </w:rPr>
            </w:pPr>
            <w:r>
              <w:rPr>
                <w:rFonts w:ascii="Arial" w:cs="Arial" w:eastAsia="Arial" w:hAnsi="Arial"/>
                <w:sz w:val="18"/>
                <w:szCs w:val="18"/>
                <w:color w:val="auto"/>
                <w:w w:val="93"/>
              </w:rPr>
              <w:t>Total development and other revenue</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40,985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11,356</w:t>
            </w: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61,553</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Development and other revenue increased $11.4 million, or 38% for the three months ended June 30, 2019, and $3.3 million, or 5% for the six months ended June 30, 2019, compared to the same periods a year ago.</w:t>
      </w:r>
    </w:p>
    <w:p>
      <w:pPr>
        <w:spacing w:after="0" w:line="17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Development revenue recognized under our collaboration agreements with Astellas increased $11.1 million, or 180% for the three months ended June 30, 2019, and $10.8 million, or 95% for the six months ended June 30, 2019, respectively primarily due to the allocated revenue of $12.0 million related to the above-mentioned $130.0 million associated with the regulatory milestones of the planned MAA submission in Europe.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revenue recognized under our collaboration agreements with AstraZeneca remained flat for the three months ended June 30, 2019 due to the allocated revenue of $8.4 million related to the above-mentioned $50.0 million associated with the regulatory milestone of the planned NDA submission in the U.S., offset by a decrease in co-development billings related to the development of roxadustat as a result of the substantial completion of Phase 3 trials for roxadustat.</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Development revenue recognized under our collaboration agreements with AstraZeneca for the six months ended June 30, 2019 decreased $7.4 million, or 15% due to a decrease in co-development billings related to the development of roxadustat as a result of the substantial completion of Phase 3 trials for roxadustat, partially offset by the allocated revenue of $8.4 million related to the above-mentioned $50.0 million associated with the regulatory milestone of the planned NDA submission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48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40" w:type="dxa"/>
            <w:vAlign w:val="bottom"/>
            <w:gridSpan w:val="6"/>
          </w:tcPr>
          <w:p>
            <w:pPr>
              <w:jc w:val="center"/>
              <w:ind w:right="70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52,008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52,138</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520" w:type="dxa"/>
            <w:vAlign w:val="bottom"/>
          </w:tcPr>
          <w:p>
            <w:pPr>
              <w:ind w:left="320"/>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102,505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$ 109,112</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(6,607)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7"/>
              </w:rPr>
              <w:t>26,739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ind w:left="320"/>
              <w:spacing w:after="0"/>
              <w:rPr>
                <w:sz w:val="20"/>
                <w:szCs w:val="20"/>
                <w:color w:val="auto"/>
              </w:rPr>
            </w:pPr>
            <w:r>
              <w:rPr>
                <w:rFonts w:ascii="Arial" w:cs="Arial" w:eastAsia="Arial" w:hAnsi="Arial"/>
                <w:sz w:val="18"/>
                <w:szCs w:val="18"/>
                <w:color w:val="auto"/>
                <w:w w:val="89"/>
              </w:rPr>
              <w:t>78</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48,948</w:t>
            </w:r>
          </w:p>
        </w:tc>
        <w:tc>
          <w:tcPr>
            <w:tcW w:w="2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18,343</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7"/>
              </w:rPr>
              <w:t>78,747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w:t>
            </w:r>
          </w:p>
        </w:tc>
        <w:tc>
          <w:tcPr>
            <w:tcW w:w="280" w:type="dxa"/>
            <w:vAlign w:val="bottom"/>
          </w:tcPr>
          <w:p>
            <w:pPr>
              <w:spacing w:after="0"/>
              <w:rPr>
                <w:sz w:val="19"/>
                <w:szCs w:val="19"/>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w w:val="89"/>
              </w:rPr>
              <w:t>17</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151,453</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$ 139,717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11,736</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operating expenses increased $11.6 million, or 17% for the three months ended June 30, 2019, and $11.7 million, or 8% for the six months ended June 30, 2019, respectively, compared to the same periods a year ago, for the reasons discussed in the sections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three and six months ended June 30, 2019 and 2018:</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6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9"/>
              </w:rPr>
              <w:t>Phase of Development</w:t>
            </w:r>
          </w:p>
        </w:tc>
        <w:tc>
          <w:tcPr>
            <w:tcW w:w="32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460" w:type="dxa"/>
            <w:vAlign w:val="bottom"/>
            <w:vMerge w:val="continue"/>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Phase 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29,492</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33,335</w:t>
            </w:r>
          </w:p>
        </w:tc>
        <w:tc>
          <w:tcPr>
            <w:tcW w:w="6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Pamrevlumab</w:t>
            </w:r>
          </w:p>
        </w:tc>
        <w:tc>
          <w:tcPr>
            <w:tcW w:w="1660" w:type="dxa"/>
            <w:vAlign w:val="bottom"/>
            <w:gridSpan w:val="3"/>
          </w:tcPr>
          <w:p>
            <w:pPr>
              <w:ind w:left="140"/>
              <w:spacing w:after="0"/>
              <w:rPr>
                <w:sz w:val="20"/>
                <w:szCs w:val="20"/>
                <w:color w:val="auto"/>
              </w:rPr>
            </w:pPr>
            <w:r>
              <w:rPr>
                <w:rFonts w:ascii="Arial" w:cs="Arial" w:eastAsia="Arial" w:hAnsi="Arial"/>
                <w:sz w:val="18"/>
                <w:szCs w:val="18"/>
                <w:color w:val="auto"/>
              </w:rPr>
              <w:t>Phase 2/3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14,748</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13,837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16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Preclinical</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9"/>
              </w:rPr>
              <w:t>Other research and development expenses</w:t>
            </w:r>
          </w:p>
        </w:tc>
        <w:tc>
          <w:tcPr>
            <w:tcW w:w="14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w:t>
            </w: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w w:val="95"/>
              </w:rPr>
              <w:t>Total research and development expenses</w:t>
            </w:r>
          </w:p>
        </w:tc>
        <w:tc>
          <w:tcPr>
            <w:tcW w:w="1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52,008</w:t>
            </w:r>
          </w:p>
        </w:tc>
        <w:tc>
          <w:tcPr>
            <w:tcW w:w="2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52,138</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102,505</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Research and development expenses remained flat for the three months ended June 30, 2019, compared to the same period a year ago, as a result of decreases in clinical trials costs of $3.4 million, and drug development expenses of $2.5 million, offset by increases in stock-based compensation expense of $2.6 million, allocated facility related expense of $1.9 million and outside services of $1.6 million. Clinical trial costs decreased as a result of the substantial completion of Phase 3 trials for roxadustat, partially offset by the increases resulted from Phase 3 trials for pamrevlumab. Drug development expenses decreased primarily due to lower drug substance manufacturing activities related to pamrevlumab. Stock-based compensation expense increased due to the cumulative impact of stock option grant activities. Facility related expenses, as part of the allocated overhead costs, was higher due to $2.6 million amortization of finance lease ROU assets related to the adoption of ASC 842, and $1.1 million higher depreciation expenses related to the change estimated useful life for our leasehold improvements, from the building life to the shorter of the building life and remaining lease term, as a result of the adoption of ASC 842. Outside services costs increased due to higher scientific contract work related to roxadustat submission activities and higher medical affairs expenses for roxadustat in China. We expect development expenses to increase as we begin Phase 3 trials for pamrevlumab.</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decreased $6.6 million, or 6% for the six months ended June 30, 2019, compared to the same period a year ago,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decreases in clinical trials costs of $11.7 million, and drug development expenses of $6.2 million, partially offset by increases in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$5.8 million, allocated facility related expense of $4.4 million and outside services of $2.4 million. Clinical trial costs decreased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 of the substantial completion of Phase 3 trials for roxadustat, partially offset by the increases resulted from Phase 3 trials for pamrevlumab. Drug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expenses decreased primarily due to lower drug substance manufacturing activities related to pamrevlumab. 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due to the cumulative impact of stock option grant activities. Facility related expenses, as part of the allocated overhead costs, was higher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 million amortization of finance lease ROU assets related to the adoption of ASC 842, and $2.2 million higher depreciation expenses related to the 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estimated useful life for our leasehold improvements, from the building life to the shorter of the building life and remaining lease term, as a result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adoption of ASC 842. Outside services costs increased due to higher scientific contract work related to roxadustat submission activities, higher medical affairs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for roxadustat in China and higher consulting expenses related to pamrevlumab. We expect development expenses to increase as we begin Phase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trials for pamrevlumab.</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anticipate that our SG&amp;A expenses will increase in the future as we increase our headcount to support our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we anticipate an increase in payroll and related expenses as a result of our preparation for commercial operations, especially as it relates to the sales and marketing of our product candidates.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SG&amp;A expenses increased $11.7 million, or 78% for the three months ended June 30, 2019, compared to the same period a year ago, primarily due to increases in outside service expenses of $7.6 million, stock-based compensation expense of $1.9 million, employee-related costs of $1.2 million, and facility related expenses of $1.1 million. Outside service expenses increased due to the co-promotional expenses incurred of our preparation for commercial operations. Stock-based compensation expense increased due to cumulative impact of stock option grant activities. Employee-related costs increased due to higher headcount primarily in the sales and marketing functions in China. Facility related expenses, as part of the allocated overhead costs, was higher due to $2.6 million amortization of finance lease ROU assets related to the adoption of ASC 842, and $1.1 million higher depreciation expenses related to the change estimated useful life for our leasehold improvements, from the building life to the shorter of the building life and remaining lease term, as a result of the adoption of ASC 842.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SG&amp;A expenses increased $18.3 million, or 60% for the six months ended June 30, 2019, compared to the same period a year ago, primarily due to increases in outside service expenses of $8.9 million, stock-based compensation expense of $4.2 million, employee-related costs of $2.2 million, and facility related expenses of $2.2 million. Outside service expenses increased due to the co-promotional expenses incurred of our preparation for commercial operations. Stock-based compensation expense increased due to cumulative impact of stock option grant activities. Employee-related costs increased due to higher headcount primarily in the sales and marketing functions in China. Facility related expenses, as part of the allocated overhead costs, was higher due to $5.2 million amortization of finance lease ROU assets related to the adoption of ASC 842, and $2.2 million higher depreciation expenses related to the change estimated useful life for our leasehold improvements, from the building life to the shorter of the building life and remaining lease term, as a result of the adoption of ASC 842.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5"/>
          </w:tcPr>
          <w:p>
            <w:pPr>
              <w:jc w:val="right"/>
              <w:ind w:right="5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2,014</w:t>
            </w:r>
          </w:p>
        </w:tc>
        <w:tc>
          <w:tcPr>
            <w:tcW w:w="3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4,012</w:t>
            </w:r>
          </w:p>
        </w:tc>
        <w:tc>
          <w:tcPr>
            <w:tcW w:w="3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1,480</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56  %</w:t>
            </w: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3"/>
        </w:trPr>
        <w:tc>
          <w:tcPr>
            <w:tcW w:w="318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3,494</w:t>
            </w:r>
          </w:p>
        </w:tc>
        <w:tc>
          <w:tcPr>
            <w:tcW w:w="3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(3,328)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3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(947)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Before December 31, 2018, interest expense included payments made for imputed interest related to the facility lease financing obligations for our leased facilities in San Francisco and China. After adoption of ASC 842 as of January 1, 2019, the 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expense decreased $2.0 million, or 73% for the three months ended June 30, 2019, and $4.0 million, or 73% for the six months ended June 30, 2019, compared to the same periods a year ago, due to the different method of interest computation of interest expense under the old and new lease accounting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and other, net increased $1.5 million, or 56% for the three months ended June, 2019, compared to the same period a year ago, primarily due to $1.5 million higher interest earned on our cash, cash equivalents and investments associated with the higher average balances and $1.3 million higher net unrealized gain on our marketable equity investments, partially offset by $1.3 million related to a one-time realized foreign currency gain during the prior year period.</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income and other, net increased $3.6 million, or 76% for the six months ended June, 2019, compared to the same period a year ago, primarily due to $3.4 million higher interest earned on our cash, cash equivalents and investments associated with the higher average balances and $1.2 million higher net unrealized gain on our marketable equity investments, partially offset by $1.3 million related to a one-time realized foreign currency gain during the prior year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4"/>
                <w:szCs w:val="14"/>
                <w:color w:val="auto"/>
              </w:rPr>
            </w:pPr>
          </w:p>
        </w:tc>
        <w:tc>
          <w:tcPr>
            <w:tcW w:w="27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r>
      <w:tr>
        <w:trPr>
          <w:trHeight w:val="156"/>
        </w:trPr>
        <w:tc>
          <w:tcPr>
            <w:tcW w:w="3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116,208</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(23,346)</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70,772</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(64,643)</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157"/>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six months ended June 30, 2019 and 2018 were due to foreign taxes.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deferred tax assets as we do not currently believe that realization of those assets is more likely than not.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June 30, 2019, we had cash and cash equivalents of $74.6 million. Cash is invested in accordance with our investment policy, primarily with a view to liquidity and capital preservation. Investments, consisting of available-for-sale debt investments, marketable equity investments, term deposit and certificate of deposit, and stated at fair value, are also available as a source of liquidity. As of June 30, 2019, we had short-term and long-term investments of $586.2 million and $10.9 million, respectively. As of June 30, 2019, a total of $26.0 million of our cash and cash equivalents was held outside of the U.S. in our foreign subsidiaries to be used primarily for our China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anticipated cash requirements for at least the next 12 months from the date of this Quarterly Report on Form 10-Q. However, our liquidity assumptions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over time, and we could utilize our available financial resources sooner than we currently expect. In addition, we may elect to raise additional funds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time through equity, equity-linked or debt financing arrangements. Our forecast of the period of time through which our financial resources will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adequate to support our operations is a forward-looking statement and involves risks and uncertainties, and actual results could vary as a result of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factors. We have based this estimate on assumptions that may prove to be wrong, and we could utilize our available capital resources sooner than we currently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expect. Our future capital requirements and the adequacy of available funds will depend on many factors, including those set forth under Part II, Item 1A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or at all. If we raise additional funds by issuing equity or equity-linked securities, the ownership of our existing stockholders will be diluted. If we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financing by the incurrence of indebtedness, we will be subject to increased fixed payment obligations and could also be subject to restrictive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such as limitations on our ability to incur additional debt, and other operating restrictions that could adversely impact our ability to conduct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If we are unable to obtain needed additional funds, we will have to reduce our operating expenses, which would impair our growth prospects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could otherwise negatively impact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(6,172)</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(66,927)</w:t>
            </w: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(7,717)</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Net cash used in operating activities was $6.2 million for the six months ended June 30, 2019 and consisted primarily of net income of $70.6 million adjusted for non-cash items of $42.2 million, offset by a net decrease in operating assets and liabilities of $119.0 million. The significant non-cash items included stock-based compensation expense of $34.1 million, depreciation expense of $5.5 million, amortization of finance lease ROU of $5.1 million, and net amortization of premium and discount on investments of $2.5 million. The significant items in the changes in operating assets and liabilities included decreases resulting from prepaid expenses and other current assets of $131.8 million, deferred revenue of $46.8 million, accounts payable of $5.1 million and inventories of $2.0 million, partially offset by increases resulting from accounts receivable of $57.2 million and other long-term liabilities of $8.5 million. The changes in prepaid expenses and other current assets and deferred revenue were primarily driven by a $130.0 million unbilled contract asset related to regulatory milestones under the Europe Agreement with Astellas associated with the planned MAA submission in Europe and a $50.0 million contract asset related to a regulatory milestone under the U.S./RoW Agreement with AstraZeneca associated with the planned NDA submission in the U.S., which were not billable to Astellas or AstraZeneca as of June 30, 2019, net of the associated deferred revenues of $2.0 million and $50.0 million, respectively. The change in deferred revenue was also related to the recognition of revenues under our collaboration agreements with Astellas and AstraZeneca. The change in accounts payable was primarily driven by the timing of invoicing and payments. The change in inventories was due to the capitalization of inventory costs starting in June 2019 when FibroGen Beijing began productions of roxadustat for commercial sales purposes. The change in accounts receivable was primarily related to the collection of $43.9 million from Astellas for the roxadustat API delivery in December 2018 under the Japan Amendment, as well as the timing of the receipt of upfront payments and recognition of revenues under our collaboration agreements with Astellas and AstraZeneca. The change in other long-term liabilities was primarily due to the accrual of co-promotional expenses for our preparation for commercial operation that is not expected to be paid in the next year.</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Net cash used in operating activities was $66.9 million for the six months ended June 30, 2018 and consisted primarily of net loss of $64.8 million adjusted for non-cash items of $27.7 million and a net decrease in operating assets and liabilities of $29.8 million. The significant non-cash items included stock-based compensation expense of $24.1 million, depreciation expense of $3.1 million, unrealized loss on our marketable equity investments of $1.1 million, and realized foreign currency gain of $1.1 million. The significant items in the changes in operating assets and liabilities included decreases resulting from accounts receivable of $21.7 million, accrued liabilities of $13.4 million, prepaid expenses and other current assets of $13.2 million, and accounts payable of $2.3 million, partially offset by an increase resulting from deferred revenue of $20.4 million. The changes in accounts receivable and deferred revenue were primarily related to a sale of roxadustat API to Astellas during the second quarter of 2018. The sale was made pursuant to a material transfer agreement in anticipation of the execution of an amendment to the Japan Agreement. The associated consideration was recorded as deferred revenue as of June 30, 2018 as control of the product had not fully transferred to Astellas as of June 30, 2018. The changes in accrued liabilities and accounts payable were primarily driven by clinical trial activities and the timing of payments. The change in prepaid expenses and other current assets was related to a contract asset related to a regulatory milestone under the Japan Agreement with Astellas associated with NDA submission in Japan, which was not billable to Astellas as of June 30,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Net cash used in investing activities was $7.7 million for the six months ended June 30, 2019 and consisted of cash used in purchases of available-for-sale securities and term deposit of $105.5 million and purchased of property and equipment of $2.2 million, partially offset by proceeds from maturities of investments of $100.0 million.</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provided by investing activities was $29.9 million for the six months ended June 30, 2018 and consisted of proceeds from maturities of available-for-sale securities of $25.4 million and sales of available-for-sale securities of $8.2 million, partially offset by cash used in purchases of property and equipment of $3.7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was $0.8 million for the six months ended June 30, 2019 and consisted primarily of $8.1 million of cash paid for payroll taxes on restricted stock unit releases and $5.9 million of repayments of finance lease liabilities partially offset by $13.3 million of proceeds from the issuance of common stock upon exercise of stock options and purchases under our Employee Share Purchase Plan (“ESPP”).</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provided by financing activities was $7.1 million for the six months ended June 30, 2018 and consisted primarily of $17.3 million of proceeds from the issuance of common stock upon exercise of stock options and purchases under ESPP, partially offset by $10.0 million of cash paid for payroll taxes on restricted stock unit releases.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the three and six months ended June 30, 2019,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right="560"/>
        <w:spacing w:after="0" w:line="342"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six months ended June 30, 2019 compared with the disclosures in Part II, Item 7 of our Annual Report on Form 10-K for the year ended December 31, 2018, except for the following: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determine if an arrangement is a lease at inception date when it is given control of the underlying assets. We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building leases previously accounted for as build-to-suit arrangements prior to the adoption of Accounting Standards Codification (“ASC”) 842 - Leases (“ASC 842”) are accounted for as finance leases under the requirements of ASC 842.</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Lease right-of-use (“ROU”) assets and lease liabilities are recognized based on the present value of the future minimum lease payments over the lease term at commencement date. As our leases do not typically provide an implicit rate, we use incremental borrowing rate based on the information available at commencement date in determining the present value of future payments. We will reassess the incremental borrowing rate periodically for application to any new leases or lease modifications or if any company-specific or general business conditions warrant.</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Lease ROU assets include any lease payments made and initial direct costs incurred. We have lease agreements with lease and non-lease components. We generally account for each lease component separately from the non-lease components, and excludes all non-lease components from the calculation of minimum lease payments in measuring the ROU asset and lease liability.</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Lease expense for minimum lease payments is recognized on a straight-line basis over the lease terms.</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Under this guidance, an entity is required to recognize ROU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(“ASU 2018-11”), which provides entities the option to initially apply ASU 2016-02 at the adoption date and recognize a cumulative-effect adjustment to the opening balance of retained earnings in the period of adoption. We adopted the above guidance under ASC 842 as of January 1, 2019, using the modified retrospective transition method, through a cumulative-effect adjustment at the beginning of the first quarter of 2019. We elected the optional transition method under the guidance, which allowed it to continue applying previous lease guidance (ASC 840) for the comparative prior year periods presentation in the year of adoption. Accordingly, we recognized a cumulative-effect adjustment to the opening balance of retained earnings in the period of adoption. In addition, we elected the package of transitional practical expedients permitted under the transition guidance under ASC 842, which among other things allows us to carry forward its historical lease classification, and not to reassess initial direct costs for any existing leases. Meanwhile, we did not elect the hindsight practical expedient because it has limited number of leases, lease terms are straightforward, and most of its lease renewals are undefined until negotiated. In addition, we have elected the short term accounting policy practical expedient and does not apply the balance sheet recognition requirements for short-term leases (excluding expenses relating to leases with a lease term of one month or less), by class of underlying asset to which the right of use relates. We have not elected the non-lease components practical expedient, and therefore accounts for each lease component separately from the non-lease components. Upon adoption of ASC 842, we classified our existing building leases that were previously accounted for as build-to-suit arrangements as finance leases, and applied the transition guidance. Accordingly, we derecognized the assets and liabilities previously recognized under ASC 840 build-to-suit guidance. In addition, as a result of applying the transition guidance, we also recorded an adjustment to the accumulated depreciation of related leasehold improvements to reflect a change in estimated useful life from the building life to the shorter of the building life and remaining lease term. Differences between the assets and liabilities derecognized were recorded to the opening balance of retained earnings. The adoption of ASC 842 resulted in a recognition of approximately $50.3 million in right-of-use assets and approximately $62.0 million in lease liabilities, respectively, upon adoption of this guidance, for our operating leases and finance leases. The adoption of ASC 842 had no impact to our condensed statement of operations or condensed consolidated statement of cash flows for the three and six months ended June 30, 2019. Refer to Note 1 to the condensed consolidated financial statements for details.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This guidance allows for the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stranded tax effects arising from the reduction of the U.S. federal statutory income tax rate from 35% to 21%. This guidance was effective for annual reporting periods beginning after December 15, 2018, including interim periods. We adopted this guidance on January 1, 2019 using the modified retrospective approach, which resulted in a reclassification of $0.6 million, based on the aggregate portfolio approach, from accumulated other comprehensive loss to opening accumulated deficit. The adoption of this guidance had no impact to our condensed consolidated statement of operations or condensed consolidated statement of cash flows for the three and six months ended June 30, 2019. Refer to Note 1 to the condensed consolidated financial statements for details.</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xml:space="preserve"> amending certain disclosure requirements that were redundant, duplicative, overlapping, outdated or superseded. In addition, the amendments expanded the disclosure requirements on the analysis of stockholders’ equity for interim financial statements. Under the amendments, the changes in each caption of stockholders’ equity presented in the balance sheet must be provided in a note or separate statement. This analysis should present a reconciliation of the beginning balance to the ending balance of each period for which a statement of comprehensive income is presented. This final rule was effective as of November 5, 2018. Accordingly, we included the condensed consolidated statements of changes in stockholders’ equity in Form 10-Q starting the first quarter of 2019.</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This guidance expands the scope of Topic 718 to include share-based payment transactions for acquiring goods and services from nonemployees.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guidance also specifies that Topic 718 applies to all share-based payment transactions in which a grantor acquires goods or services to be used or consumed in a grantor’s own operations by issuing share-based payment awards. This guidance is effective for annual reporting period beginning after December 15, 2018, including interim periods. We adopted this guidance on January 1, 2019 and the adoption of this guidance had no impact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This guidance requires capitalizing implementation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develop or obtain internal-use software (and hosting arrangements that include an internal-use software license). This guidance should be applied either retrospectively or prospectively, and is effective for annual reporting period beginning after December 15, 2019 including interim periods, with early adoption permitted. We are currently evaluating the impact on our consolidated financial statements upon adoption of this guidance.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This guidance amends existing fair value measurement disclosure requirements by adding, changing, or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This guidance is effective for annual reporting period beginning after December 15, 2019 including interim periods, with early adoption permitted.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We do not anticipate a material impact to our consolidated financial statements upon adoption of this guidance.</w:t>
      </w:r>
    </w:p>
    <w:p>
      <w:pPr>
        <w:spacing w:after="0" w:line="16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Subsequently in April 2019, the FASB issued amendments to the guidance, ASU 2019-04, </w:t>
      </w:r>
      <w:r>
        <w:rPr>
          <w:rFonts w:ascii="Arial" w:cs="Arial" w:eastAsia="Arial" w:hAnsi="Arial"/>
          <w:sz w:val="17"/>
          <w:szCs w:val="17"/>
          <w:i w:val="1"/>
          <w:iCs w:val="1"/>
          <w:color w:val="auto"/>
        </w:rPr>
        <w:t>Codification Improvements to Topic 326,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815, Derivatives and Hedging, and Topic 825, Financial Instruments</w:t>
      </w:r>
      <w:r>
        <w:rPr>
          <w:rFonts w:ascii="Arial" w:cs="Arial" w:eastAsia="Arial" w:hAnsi="Arial"/>
          <w:sz w:val="17"/>
          <w:szCs w:val="17"/>
          <w:color w:val="auto"/>
        </w:rPr>
        <w:t>, and in May 2019, ASU 2019-05,</w:t>
      </w:r>
      <w:r>
        <w:rPr>
          <w:rFonts w:ascii="Arial" w:cs="Arial" w:eastAsia="Arial" w:hAnsi="Arial"/>
          <w:sz w:val="17"/>
          <w:szCs w:val="17"/>
          <w:i w:val="1"/>
          <w:iCs w:val="1"/>
          <w:color w:val="auto"/>
        </w:rPr>
        <w:t xml:space="preserve"> Financial Instruments – Credit Losses (Topic 326): Targeted Transition Relief</w:t>
      </w:r>
      <w:r>
        <w:rPr>
          <w:rFonts w:ascii="Arial" w:cs="Arial" w:eastAsia="Arial" w:hAnsi="Arial"/>
          <w:sz w:val="17"/>
          <w:szCs w:val="17"/>
          <w:color w:val="auto"/>
        </w:rPr>
        <w:t>. This guidance requires that financial assets measured at amortized cost be presented at the net amount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be collected. The measurement of expected credit losses is based on historical experience, current conditions, and reasonable and supportable forecasts that affect the collectability. ASU 2019-04 clarifies that equity instruments without readily determinable fair values for which an entity has elected the measurement alternative should be remeasured to fair value as of the date that an observable transaction occurred. ASU 2019-05 provides an option to irrevocably elect to measure certain individual financial assets at fair value instead of amortized cost. The amendments should be applied on either a prospective transition or modified-retrospective approach depending on the subtopic. This guidance is effective for the annual reporting period beginning after December 15, 2019, including interim periods within that reporting period. We do not anticipate a material impact to its consolidated financial statements upon adoption of this guidance.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June 30, 2019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2019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a clinical-stage biopharmaceutical company with two lead product candidates in clinical development, roxadustat in anemia in chronic kidney disease (“CKD”) and myelodysplastic syndromes (“MDS”), and pamrevlumab (FG-3019) in idiopathic pulmonary fibrosis (“IPF”), pancreatic cancer and Duchenne muscular dystrophy (“DMD”).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annual losses each year since our inception. We have not generated any revenue based on commercial drug product sales to date. We continue to incur significant research and development and other expenses related to our ongoing operations. Our net loss for the year ended December 31, 2018 was approximately $86.4 million, and our net loss for the years ended December 31, 2017, and 2016, recast from amounts previously reported due to the adoption of the new revenue standards, were approximately $120.9 million and $58.1 million, respectively. As of June 30, 2019, we had an accumulated deficit of $637.2 million. As of June 30, 2019, we had capital resources consisting of cash, cash equivalents and short-term investments of $660.8 million plus $10.9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and despite our expectation to launch commercialization efforts in China for roxadustat for the treatment of anemia caused by CKD in dialysis patients, we anticipate we will continue to incur losses for the foreseeable future, and we anticipate these losses will increase as we continue our development of and seek regulatory approval for our product candidates and in our commercialization efforts.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more than 8,000 patients for our United States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2"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our product candidates in the U.S., China and other jurisdictions, and the costs of post-marketing studies that could be required by regulatory authorities in jurisdictions where approval is obtained;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our commercialization efforts for roxadustat for the treatment of anemia caused by CKD in dialysis patients in China;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recognized in recent years have been from our collaboration partners.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including with respect to our expected commercialization for roxadustat for the treatment of anemia caused by CKD in dialysis patients in China,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substantially dependent on the success of our lead product candidate, roxadustat, and our second compound in development, pamrevlumab.*</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date, we have invested a substantial portion of our efforts and financial resources in the research and development of roxadustat and pamrevlumab. While we have received approval of our New Drug Application (“NDA”) for roxadustat in China for CKD anemia in dialysis patients, we will need to make substantial additional investments in both the development and commercialization of roxadustat worldwide and in various indications. Our near-term prospects, including maintaining our existing collaborations with Astellas and AstraZeneca, will depend heavily on successful development and commercialization of roxadustat, including obtaining regulatory approvals for the commercialization of roxadustat for anemia associated with CKD in the U.S., Europe, and Japan.</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and DMD.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DMD,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240" w:hanging="519"/>
        <w:spacing w:after="0" w:line="31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timely completion of data analyses from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timely initiation and completion of our clinical trials for pamrevlumab, including in IPF, pancreatic cancer and DMD;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ultimate approval criteria (which may include non-inferiority margins and statistical analyses methods), indications, patient populations, and ultimate benefit-risk analysis used by regulatory authorities in their approval processes;</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commercialization efforts for roxadustat in China are unsuccessful, our business, financial condition and results of operations will be materially harmed.</w:t>
      </w:r>
    </w:p>
    <w:p>
      <w:pPr>
        <w:spacing w:after="0" w:line="6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invested and continue to invest a significant portion of our efforts and financial resources in the development, approval and now commercialization of roxadustat for the treatment of anemia caused by CKD in dialysis patients in China, as well as in other indications and other geographic regions. With the marketing authorization received from the National Medical Products Administration (“NMPA”) of roxadustat for the treatment of anemia caused by CKD in dialysis patients in China, we plan to launch commercialization efforts in China in the third quarter of 2019 with our commercialization partner AstraZeneca.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success of commercialization of roxadustat in China will depend on numerous factors in China, including:</w:t>
      </w:r>
    </w:p>
    <w:p>
      <w:pPr>
        <w:spacing w:after="0" w:line="11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the marketing, sales, and distribution of the product along with our collaboration partner AstraZeneca;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negotiating a cost effective reimbursed price with the government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roxadustat by state-owned and state-controlled hospitals, physicians, patients and the healthcare community;</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pricing and placement of roxadustat on China’s Medical Insurance Catalogs. Refer to “</w:t>
      </w:r>
      <w:r>
        <w:rPr>
          <w:rFonts w:ascii="Arial" w:cs="Arial" w:eastAsia="Arial" w:hAnsi="Arial"/>
          <w:sz w:val="18"/>
          <w:szCs w:val="18"/>
          <w:i w:val="1"/>
          <w:iCs w:val="1"/>
          <w:color w:val="auto"/>
        </w:rPr>
        <w:t>Business –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in China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establishing and maintaining commercial manufacturing with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manufacturing our drug substances and drug products through our subsidiary FibroGen (China) Medical Technology Development Co., Ltd. (“FibroGen Beijing”);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 authorization for roxadustat for anemia caused by CKD in non-dialysis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arranging for and passing the inspection of our clinical sites by the NMPA;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AstraZeneca is able to recruit and retain adequate numbers of effective sales and marketing personnel for the sale of roxadustat;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we can compete successfully as a new entrant in the treatment of anemia caused by CKD in dialysis patients in China; and</w:t>
      </w:r>
    </w:p>
    <w:p>
      <w:pPr>
        <w:spacing w:after="0" w:line="128" w:lineRule="exact"/>
        <w:rPr>
          <w:rFonts w:ascii="Arial" w:cs="Arial" w:eastAsia="Arial" w:hAnsi="Arial"/>
          <w:sz w:val="17"/>
          <w:szCs w:val="17"/>
          <w:color w:val="auto"/>
        </w:rPr>
      </w:pPr>
    </w:p>
    <w:p>
      <w:pPr>
        <w:ind w:left="1040" w:right="6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Successful commercialization of roxadustat will require significant resources and time, and there is a risk that we may not successfully commercialize roxadustat. If we do not achieve one or more of these factors in a timely manner or at all, we could experience significant delays or an inability to successfully commercialize roxadustat and generate revenues, which would deprive us from additional working capital and would materially harm our business. If we do not successfully commercialize roxadustat in China, our collaboration partners and third parties may also lose confidence in our ability to execute in commercialization efforts and become less likely to collaborate with us, and our business may be harmed.</w:t>
      </w:r>
    </w:p>
    <w:p>
      <w:pPr>
        <w:spacing w:after="0" w:line="2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As a Company, we have no commercialization experience, and the time and resources to develop such experience are significant. If we fail to achieve and sustain commercial success for roxadustat in China, either directly or with AstraZeneca, our business would be harmed.</w:t>
      </w:r>
    </w:p>
    <w:p>
      <w:pPr>
        <w:spacing w:after="0" w:line="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Commercializing roxadustat in China with AstraZeneca will require us to establish commercialization systems, including but not limited to, medical affairs, sales, pharmacovigilance, supply-chain, and distribution capabilities to perform our portion of the collaborative efforts. These efforts will require resources and time. In particular, significant resources may be necessary to successfully market, sell and distribute roxadustat to patients with anemia caused by CKD in dialysis patients. If we, along with AstraZeneca, are not successful in setting our marketing, pricing and reimbursement strategy, facilitating adoption by hospitals in China, recruiting sales and marketing personnel or in building a sales and marketing infrastructure, we will have difficulty commercializing roxadustat, which would adversely affect our business and financial condition.</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As we evolve from a company primarily involved in research and development to a company potentially involved in commercialization, we may encounter difficulties in managing our growth and expanding our operations successfully.</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are successful in advancing roxadustat and our other product candidates through the development stage towards commercialization, we will need to expand our organization, including adding marketing and sales capabilities or continuing to contract with third parties to provide these capabilities for us. As our operations expand, we expect that we will also need to manage our existing and additional relationships with various collaborative partners, suppliers and other third parties. Future growth will impose significant added responsibilities on our organization, in particular on management. Our future financial performance and our ability to commercialize roxadustat and our other product candidates and to compete effectively will depend, in part, on our ability to manage any future growth effectively. To that end, we may not be able to manage our growth efforts effectively, and hire, train and integrate additional management, administrative and sales and marketing personnel, and our failure to accomplish any of these activities could prevent us from successfully growing our Company.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Although FibroGen Beijing obtained regulatory approval for roxadustat in China in December 2018, we may be unable to obtain regulatory approval for our product candidates in other countries, or such approval may be delayed or limited, due to a number of factors, many of which are beyond our control.</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Even though FibroGen Beijing obtained regulatory approval for roxadustat in China, we have not obtained regulatory approval for any of our product candidates in other countries and it is possible that roxadustat and pamrevlumab will never receive regulatory approval in other countries. Other regulatory authorities may take actions or impose requirements that delay, limit or deny approval of roxadustat or pamrevlumab for many reasons, including, among others:</w:t>
      </w:r>
    </w:p>
    <w:p>
      <w:pPr>
        <w:spacing w:after="0" w:line="79" w:lineRule="exact"/>
        <w:rPr>
          <w:sz w:val="20"/>
          <w:szCs w:val="20"/>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3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China, the NMPA required that FibroGen Beijing conduct three clinical studies as a post-approval commitment: (i) a post-approval safety study in 2,000 patients; (ii) a drug-intensive monitoring study in 1,000 patients; and (iii) a dosing optimization study in approximately 300 patients on dialysis. Furthermore, in the U.S.,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have conducted a limited number of Phase 2 clinical trials with pamrevlumab. We have conducted a randomized placebo-controlled study in 103 IPF patients with sub-studies in an additional 57 IPF patients comparing pamrevlumab to one of two standards of care, an open-label Phase 2 dose escalation study of pamrevlumab for IPF in 89 patients and a randomized double-blind placebo controlled study for liver fibrosis in subjects with hepatitis B, we are currently conducting an open-label randomized, active-control, neoadjuvant Phase 2 trial in pancreatic cancer combining pamrevlumab with nab-paclitaxel plus gemcitabine in 37 patients, and we are currently in a Phase 2 open-label trial of pamrevlumab for DMD in 21 non-ambulatory patients. We cannot be sure that the results we have received to date from these trials will be substantiated in larger, well-controlled Phase 3 clinical trials, that larger trials will demonstrate the safety and efficacy of pamrevlumab for these or other indications, that further studies will provide benefits over existing approved products or that new safety issues will not be uncovered in further trials. In addition, while we believe that the limited animal and human studies conducted to date suggest that pamrevlumab has the potential to arrest or reverse fibrosis and reduce tumor mass in some patients or diseases, we cannot be sure that these results will be indicative of the effects of pamrevlumab in larger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regulatory approval for pamrevlumab in one or both of these indications.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information to the FDA. While we have not seen similar safety concerns involving roxadustat to date, some of the safety concerns associated with the treatment of patients with anemia in CKD using erythropoiesis stimulating agents (“ESAs”) did not emerge for many years until placebo-controlled studies had been conducted in large numbers of patients. And while the data monitoring committee for our U.S. and Europe Phase 3 anemia trials has consistently determined that our trials should continue without modification to the protocol, safety issues may still be discovered upon review of unblinded major adverse cardiac event (“MACE”) or other data.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by up to 10 hours,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3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Phase 3 trials include a MACE safety endpoint, which is a composite endpoint designed to identify major safety concerns, in particular relating to cardiovascular events such as cardiovascular death, myocardial infarction and stroke. The European Medicines Agency (“EMA”) is requiring MACE+ as a safety endpoint which, in addition to the MACE components, incorporates measurements of hospitalization rates due to heart failure or unstable angina. The EMA will also review MACE results. The FDA has also informed us that the MACE endpoint will need to be evaluated separately for our Phase 3 trials in non-dialysis-dependent (“NDD”)-CKD patients and our Phase 3 trials in dialysis-dependent (“DD”)-CKD patients. The MACE endpoint is being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achieved hazard ratios, the rates of discontinuation, and the required statistical power and confidence intervals.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we cannot be sure that the potential advantages we believe roxadustat may have for treatment of patients with anemia in CKD, as compared to the use of ESAs, will be substantiated by our larger U.S. and European Phase 3 clinical trials, or that we will be able to include a discussion of such advantages in our labeling should we obtain approval. We believe that roxadustat may have certain benefits as compared to ESAs based on the data from our Phase 2 clinical trials and China Phase 3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clinical trials to date, and our understanding of the likely mechanisms of action for roxadustat. Some of these benefits, such as those associated with the apparent effects on blood pressure and cholesterol, are not fully understood and, even if roxadustat receives marketing approval in additional countries beyond China,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hemoglobin levels have not been fully elucidated. While we believe that the issues giving rise to these concerns with ESAs are likely due to factors other than the hemoglobin levels achieved, we cannot be certain that roxadustat will not be associated with similar, or more severe, safety concerns.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may face similar setbacks. In addition, the CKD patient population has many afflictions that may cause severe illness or death, which may be attributed to roxadustat in a manner that negatively impacts the safety profile of our product candidate. The results of our completed Phase 3 clinical trials for roxadustat demonstrated efficacy, as all primary efficacy endpoints were met with statistical significance. While we have reported topline cardiovascular safety results, the analysis of these data is ongoing; there may be unanticipated safety concerns or adverse events that prevent from or delay obtaining marketing approval for roxadustat, and even if we obtain marketing approval, any sales of roxadustat may suffer.</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2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66"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If we or third party manufacturers and other service providers on which we rely cannot manufacture sufficient quantities of our product candidates, or at sufficient quality, or perform other services we require, we may experience delays in development, regulatory approval, launch or commercialization.</w:t>
      </w:r>
    </w:p>
    <w:p>
      <w:pPr>
        <w:spacing w:after="0" w:line="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and manage our product candidates at sufficient yields and at commercial scale. Although we have entered into commercial supply agreements for the manufacture of some of our raw materials, we have not yet entered into commercial supply agreements with all of our third-party manufacturers. We are continuing to negotiate and expect to enter into commercial supply agreements and other supply management agreements with third-party manufacturers, but we may not be able to enter into these agreements with satisfactory terms or on a timely manner.</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Difficulties may include:</w:t>
      </w:r>
    </w:p>
    <w:p>
      <w:pPr>
        <w:spacing w:after="0" w:line="73" w:lineRule="exact"/>
        <w:rPr>
          <w:sz w:val="20"/>
          <w:szCs w:val="20"/>
          <w:color w:val="auto"/>
        </w:rPr>
      </w:pPr>
    </w:p>
    <w:p>
      <w:pPr>
        <w:ind w:left="1040" w:right="7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quality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7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The FDA and EMA will do their own benefit risk analysis and may reach a different conclusion than we or our partners have internally, and these regulatory authorities may base their approval decision on different analyses, data, and statistical methods than ours.*</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Even if we believe we have achieved certain results based on a totality of the evidence, such as superiority or non-inferiority, in certain endpoints, populations or subpopulations, or using certain statistical methods of analysis, the FDA and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Further, initial topline results reported for certain studies (such as reduction of transfusion risk or hemoglobin response in the presence of inflammation), may not be representative of the data seen in all studies or may not be sustained upon further analyses or after more wide-spread use upon commercialization.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Positive topline results from our Phase 3 clinical trials assessing the safety and efficacy of roxadustat may not be indicative of additional results or results for roxadustat in other indications.*</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There are multiple key and secondary endpoints as well as sub-group analyses in both dialysis and non-dialysis in the U.S. and multiple secondary endpoints in addition to MACE+ as well as sub-group analyses in dialysis and non-dialysis in Europe. We continue to analyze these additional endpoints from the Phase 3 clinical trials of roxadustat in anemia of CKD, as well as from the pooled analyses, some of which may have a bearing on the safety or efficacy of roxadustat. The topline results we have reported thus far may not be indicative of these additional results. In addition, results in these CKD-anemia indications may not be indicative of our clinical trials in other indications or the safety, efficacy, or approvability of roxadustat in other indications.</w:t>
      </w:r>
    </w:p>
    <w:p>
      <w:pPr>
        <w:spacing w:after="0" w:line="2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respect to roxadustat, regulatory approvals, if obtained at all, could limit the approved indicated uses for which roxadustat may be marketed. For example, ESAs have been subject to significant safety warnings, including the “Black Box” warnings on their labels. Refer to “</w:t>
      </w:r>
      <w:r>
        <w:rPr>
          <w:rFonts w:ascii="Arial" w:cs="Arial" w:eastAsia="Arial" w:hAnsi="Arial"/>
          <w:sz w:val="17"/>
          <w:szCs w:val="17"/>
          <w:i w:val="1"/>
          <w:iCs w:val="1"/>
          <w:color w:val="auto"/>
        </w:rPr>
        <w:t>Business — Roxadustat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Treatment of Anemia in Chronic Kidney Disease — Limitations of the Current Standard of Care for Anemia in CKD</w:t>
      </w:r>
      <w:r>
        <w:rPr>
          <w:rFonts w:ascii="Arial" w:cs="Arial" w:eastAsia="Arial" w:hAnsi="Arial"/>
          <w:sz w:val="17"/>
          <w:szCs w:val="17"/>
          <w:color w:val="auto"/>
        </w:rPr>
        <w:t>” in our annual report on Form 10-K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2018.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As an organization, we have not successfully commercialized any drug product. Therefore, we may not be able to efficiently execute our development and commercialization plans.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currently conducting Phase 3 clinical trials for pamrevlumab and roxadustat. The conduct of Phase 3 clinical trials and the submission of a successful NDA is a complicated process. As an organization, we have limited experience in preparing, submitting and prosecuting regulatory filings, and have not received approval for an NDA before outside of China where we received marketing authorization in December 2018 from the NMPA for the treatment of anemia caused by CKD in dialysis patients.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in March 2016, the State Drug Administration, now known as the NMPA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In China, the clinical site inspections confirmed our compliance with GCP regulations and supported our approval. However, we cannot assure you that upon inspection by a regulatory authority in other regions, such regulatory authority will determine that any of our clinical trials comply with GCP requirements or that our results will be deemed authentic or may be used in support of our regulatory submissions.</w:t>
      </w:r>
    </w:p>
    <w:p>
      <w:pPr>
        <w:spacing w:after="0" w:line="301"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roxadustat is approved and launched commercially, competing drugs are expected to include ESAs, particularly in those patient segments where ESAs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used. Currently available ESAs include epoetin alfa (EPOGEN </w:t>
      </w:r>
      <w:r>
        <w:rPr>
          <w:rFonts w:ascii="Arial" w:cs="Arial" w:eastAsia="Arial" w:hAnsi="Arial"/>
          <w:sz w:val="14"/>
          <w:szCs w:val="14"/>
          <w:color w:val="auto"/>
        </w:rPr>
        <w:t>®</w:t>
      </w:r>
      <w:r>
        <w:rPr>
          <w:rFonts w:ascii="Arial" w:cs="Arial" w:eastAsia="Arial" w:hAnsi="Arial"/>
          <w:sz w:val="17"/>
          <w:szCs w:val="17"/>
          <w:color w:val="auto"/>
        </w:rPr>
        <w:t xml:space="preserve">, marketed by Amgen Inc. in the U.S., Procrit </w:t>
      </w:r>
      <w:r>
        <w:rPr>
          <w:rFonts w:ascii="Arial" w:cs="Arial" w:eastAsia="Arial" w:hAnsi="Arial"/>
          <w:sz w:val="14"/>
          <w:szCs w:val="14"/>
          <w:color w:val="auto"/>
        </w:rPr>
        <w:t>®</w:t>
      </w:r>
      <w:r>
        <w:rPr>
          <w:rFonts w:ascii="Arial" w:cs="Arial" w:eastAsia="Arial" w:hAnsi="Arial"/>
          <w:sz w:val="17"/>
          <w:szCs w:val="17"/>
          <w:color w:val="auto"/>
        </w:rPr>
        <w:t xml:space="preserve"> and Erypo </w:t>
      </w:r>
      <w:r>
        <w:rPr>
          <w:rFonts w:ascii="Arial" w:cs="Arial" w:eastAsia="Arial" w:hAnsi="Arial"/>
          <w:sz w:val="14"/>
          <w:szCs w:val="14"/>
          <w:color w:val="auto"/>
        </w:rPr>
        <w:t>®</w:t>
      </w:r>
      <w:r>
        <w:rPr>
          <w:rFonts w:ascii="Arial" w:cs="Arial" w:eastAsia="Arial" w:hAnsi="Arial"/>
          <w:sz w:val="17"/>
          <w:szCs w:val="17"/>
          <w:color w:val="auto"/>
        </w:rPr>
        <w:t xml:space="preserve">/Eprex </w:t>
      </w:r>
      <w:r>
        <w:rPr>
          <w:rFonts w:ascii="Arial" w:cs="Arial" w:eastAsia="Arial" w:hAnsi="Arial"/>
          <w:sz w:val="14"/>
          <w:szCs w:val="14"/>
          <w:color w:val="auto"/>
        </w:rPr>
        <w:t>®</w:t>
      </w:r>
      <w:r>
        <w:rPr>
          <w:rFonts w:ascii="Arial" w:cs="Arial" w:eastAsia="Arial" w:hAnsi="Arial"/>
          <w:sz w:val="17"/>
          <w:szCs w:val="17"/>
          <w:color w:val="auto"/>
        </w:rPr>
        <w:t>, marketed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Johnson &amp; Johnson Inc., and Espo </w:t>
      </w:r>
      <w:r>
        <w:rPr>
          <w:rFonts w:ascii="Arial" w:cs="Arial" w:eastAsia="Arial" w:hAnsi="Arial"/>
          <w:sz w:val="13"/>
          <w:szCs w:val="13"/>
          <w:color w:val="auto"/>
        </w:rPr>
        <w:t>®</w:t>
      </w:r>
      <w:r>
        <w:rPr>
          <w:rFonts w:ascii="Arial" w:cs="Arial" w:eastAsia="Arial" w:hAnsi="Arial"/>
          <w:sz w:val="16"/>
          <w:szCs w:val="16"/>
          <w:color w:val="auto"/>
        </w:rPr>
        <w:t xml:space="preserve"> marketed by Kyowa Hakko Kirin in Japan and China), darbepoetin (Amgen/Kyowa Hakko Kirin’s Aranesp </w:t>
      </w:r>
      <w:r>
        <w:rPr>
          <w:rFonts w:ascii="Arial" w:cs="Arial" w:eastAsia="Arial" w:hAnsi="Arial"/>
          <w:sz w:val="13"/>
          <w:szCs w:val="13"/>
          <w:color w:val="auto"/>
        </w:rPr>
        <w:t>®</w:t>
      </w:r>
      <w:r>
        <w:rPr>
          <w:rFonts w:ascii="Arial" w:cs="Arial" w:eastAsia="Arial" w:hAnsi="Arial"/>
          <w:sz w:val="16"/>
          <w:szCs w:val="16"/>
          <w:color w:val="auto"/>
        </w:rPr>
        <w:t xml:space="preserve"> and NESP</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7"/>
          <w:szCs w:val="17"/>
          <w:color w:val="auto"/>
        </w:rPr>
        <w:t>) and Mircera</w:t>
      </w:r>
      <w:r>
        <w:rPr>
          <w:rFonts w:ascii="Arial" w:cs="Arial" w:eastAsia="Arial" w:hAnsi="Arial"/>
          <w:sz w:val="14"/>
          <w:szCs w:val="14"/>
          <w:color w:val="auto"/>
        </w:rPr>
        <w:t xml:space="preserve"> ® </w:t>
      </w:r>
      <w:r>
        <w:rPr>
          <w:rFonts w:ascii="Arial" w:cs="Arial" w:eastAsia="Arial" w:hAnsi="Arial"/>
          <w:sz w:val="17"/>
          <w:szCs w:val="17"/>
          <w:color w:val="auto"/>
        </w:rPr>
        <w:t>marketed by Hoffmann-La Roche (“Roche”) outside of the U.S. and by Vifor Pharma (“Vifor”), a Roche licensee, in the U.S. and Puerto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Rico, as well as biosimilar versions of these currently marketed ESA products. ESAs have been used in the treatment of anemia in CKD for more than 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years, serving a significant majority of DD-CKD patients. While NDD-CKD patients who are not under the care of nephrologists, including those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diabetes and hypertension, do not typically receive ESAs and are often left untreated, some patients under nephrology care may be receiving ESA therapy.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difficult to encourage healthcare providers and patients to switch to roxadustat from products with which they have become familiar.</w:t>
      </w:r>
    </w:p>
    <w:p>
      <w:pPr>
        <w:spacing w:after="0" w:line="21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in those patient segments not currently addressed by ESAs. Companies such as GlaxoSmithKline plc (“GSK”), Bayer Corporation (“Bayer”), Akebia Therapeutics, Inc. (“Akebia”), and Japan Tobacco, are currently developing HIF prolyl hydroxylase (“HIF-PH”) inhibitors for anemia in CKD indications. Akebia is currently conducting Phase 3 studies in NDD–CKD and DD-CKD, as well as additional Phase 1 and Phase 2 studies. In Japan, Mitsubishi Tanabe Pharmaceutical Corporation (“Mitsubishi Tanabe”), Akebia’s collaboration partner, submitted an NDA for treatment of anemia in CKD patients on dialysis and not on dialysis, supported by the Phase</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3 studies conducted by Mitsubishi Tanabe in Japan. GSK is conducting global Phase 3 studies in NDD-CKD and DD-CKD. In Japan, GSK has completed two Phase 3 studies in hemodialysis-dependent CKD patients and one Phase 3 study in CKD patients not on dialysis or on peritoneal dialysis. GSK and Kyowa Hakko Kirin announced in November 2018 that the two companies signed a strategic commercialization deal in Japan for daprodustat. Bayer has completed global Phase 2 studies and announced in May 2017 its HIF-PH inhibitor is now in continued development in Japan only, and its Japan Phase 3 studies in NDD-CKD and DD-CKD are expected to complete in the second half of 2019. Japan Tobacco is also conducting Phase 3 studies in NDD-CKD and DD-CKD in Japan only. Some of these product candidates may enter the market prior to roxadustat.</w:t>
      </w:r>
    </w:p>
    <w:p>
      <w:pPr>
        <w:spacing w:after="0" w:line="17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addition, there are other companies developing biologic therapies for the treatment of other anemia indications that we may also seek to pursue in the future, including anemia of MDS. For example, Acceleron Pharma Inc. and its partner Celgene Corporation (“Celgene”) announced in April 2019 that Celgene has submitted a Biologics License Application (“BLA”) for luspatercept for the treatment of adult patients with very low to intermediate risk of MDS-associated anemia who have ring sideroblasts and require red blood cell transfusions, and beta-thalassemia-associated anemia who require red blood cell transfusions. Celgene’s plan to submit a marketing approval application for luspatercept in the European Union (“EU”) in the second quarter of 2019. There may also be new therapies for renal-related diseases that could limit the market or level of reimbursement available for roxadustat if and when it is commercialized.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China, biosimilars of epoetin alfa are offered by Chinese pharmaceutical companies such as EPIAO marketed by 3SBio Inc. as well as more than 15 other local manufacturers. We may also face competition by HIF-PH inhibitors from other companies such as Akebia, Bayer, and GSK, which was authorized by the NMPA to conduct trials in China to support its ex-China regulatory filings. Furthermore, while it is too early to understand how the NMPA will implement its recently approved guidelines to allow multinational companies to use their ex-China clinical data in their NDAs in China, these guidelines could in theory allow competitors to accelerate their NDA applications in China. Akebia announced in December 2015 that it has entered into a development and commercialization partnership with Mitsubishi Tanabe for its HIF-PH inhibitor vadadustat in Japan, Taiwan, South Korea, India, and certain other countries in Asia, and announced in April 2017 an expansion of their U.S. collaboration with Otsuka to add markets, including China. 3SBio Inc. also announced in 2016 its plan to begin a Phase 1 clinical trial of a HIF-PH inhibitor for the China market, and two Chinese domestic companies, Jiangsu Hengrui Medicine Co., Ltd. and Guangdong Sunshine Health Investment Co., Ltd., have announced they also secured the NMPA approval to conduct clinical trials for their respective HIF-PH inhibitors.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first biosimilar ESAs, Pfizer’s Retacrit® (epoetin zeta), entered the U.S. market in November 2018. Market penetration of Retacrit® (epoetin zeta) and the potential addition of other biosimilar ESAs, currently under development, may alter the competitive and pricing landscape of anemia therapy in DD-CKD patients under the end stage renal disease bundle. The patents for Amgen’s epoetin alfa, EPOGEN, expired in 2004 in the EU, and the final material patents in the U.S. expired in May 2015. Several biosimilar versions of currently marketed ESAs are available for sale in the EU, China and other territories. In the U.S., a few ESA biosimilars are currently under development. Sandoz, a division of Novartis, markets Binocrit </w:t>
      </w:r>
      <w:r>
        <w:rPr>
          <w:rFonts w:ascii="Arial" w:cs="Arial" w:eastAsia="Arial" w:hAnsi="Arial"/>
          <w:sz w:val="15"/>
          <w:szCs w:val="15"/>
          <w:color w:val="auto"/>
        </w:rPr>
        <w:t>®</w:t>
      </w:r>
      <w:r>
        <w:rPr>
          <w:rFonts w:ascii="Arial" w:cs="Arial" w:eastAsia="Arial" w:hAnsi="Arial"/>
          <w:sz w:val="18"/>
          <w:szCs w:val="18"/>
          <w:color w:val="auto"/>
        </w:rPr>
        <w:t xml:space="preserve"> (epoetin alfa) in Europe and may file a biosimilar BLA in the U.S.</w:t>
      </w:r>
    </w:p>
    <w:p>
      <w:pPr>
        <w:spacing w:after="0" w:line="19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three-times a week, and anemia therapies are administered as part of the visit. Two of the largest operators of dialysis clinics in the U.S., DaVita Healthcare Partners Inc. (“DaVita”) and Fresenius Medical Care AG &amp; Co. KGaA (“Fresenius”), collectively provide dialysis care to approximately 70% of U.S. dialysis patients, and therefore have historically won long-term contracts including rebate terms with Amgen. In January 2017, DaVita entered into a new 6-year sourcing and supply agreement with Amgen that is effective through 2022. Fresenius’ contract with Amgen expired in 2015, and Fresenius is now administering Mircera</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 significant agreement with Fresenius or DaVita on favorable terms and on a timely basis.</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pamrevlumab is approved and launched commercially to treat IPF, competing drugs are expected to include Roche’s Esbriet® (pirfenidone) and Boehringer Ingelheim Pharma GmbH &amp; Co. KG’s Ofev® (nintedanib). Nintedanib is also in development for non-small cell lung cancer and ovarian cancer. Other potential competitive product candidates in development for IPF include Biogen-Idec’s BG-00011, Galapagos NV’s GLPG1690 and GLPG1205, Kadmon Holdings, Inc.’s KD025, Prometic Life Sciences Inc.’s PBI-4050, and Promedior Inc.’s PRM-151. Galapagos initiated a Phase 3 study for GLPG 1690 in December 2018.</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agents seeking approval in combination with gemcitibine and nab-paclitaxel from companies such as NewLink Genetics Corporation and Halozyme Therapeutics, Inc. Gemcitabine and/or nab-paclitaxel are the current standard of care in the first-line treatment of metastatic pancreatic cancer. 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pamrevlumab is approved and launched commercially to treat DMD, pamrevlumab may face competition for some patients from Sarepta Therapeutics, Inc. (“Sarepta”) with Exondys 51® (eteplirsen), approved in the U.S. for patients who have a confirmed mutation in the DMD gene that is amenable to exon 51 skipping, and from PTC Therapeutics’ drug ataluren approved in ambulatory patients in Europe. We may also face competition from Sarepta’s golodirsen, currently under NDA review in the U.S., and agents currently in development for DMD, including PTC Therapeutics’ ataluren, Santhera Pharmaceuticals’ idebone, Catabasis Pharmaceuticals’ edasalonexent, Capricor Therapeutics’ CAP-1002, and Sarepta’s casimersen and other gene therapies, if and when these agents are approved and launched.</w:t>
      </w:r>
    </w:p>
    <w:p>
      <w:pPr>
        <w:spacing w:after="0" w:line="1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FG-5200 is approved and launched in China to treat corneal blindness resulting from partial thickness corneal damage without active inflammation and infection,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in all indications and geographic regions, these product candidates may not gain market acceptance among physicians, third party payors, patients and others in the health care community. Market acceptance of any approved product, including in roxadustat for the treatment of anemia caused by CKD in dialysis patients in China, depends on a number of other factors, including:</w:t>
      </w:r>
    </w:p>
    <w:p>
      <w:pPr>
        <w:spacing w:after="0" w:line="79" w:lineRule="exact"/>
        <w:rPr>
          <w:sz w:val="20"/>
          <w:szCs w:val="20"/>
          <w:color w:val="auto"/>
        </w:rPr>
      </w:pPr>
    </w:p>
    <w:p>
      <w:pPr>
        <w:ind w:left="1040" w:right="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the Chinese government or third party payors, and may be affected by existing and future healthcare reform measures or prices of related products for which the government or third party reimbursement applies. Coverage and reimbursement by the government or a third party payor may depend upon a number of factors, including the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review and publication cycle for the Chinese government to update their reimbursement lists (national or provincial) is unpredictable and is outside our control.</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Conflicts with our collaboration partners could jeopardize our collaboration agreements and our ability to commercialize product candidates.</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do not have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80" w:lineRule="exact"/>
        <w:rPr>
          <w:sz w:val="20"/>
          <w:szCs w:val="20"/>
          <w:color w:val="auto"/>
        </w:rPr>
      </w:pPr>
    </w:p>
    <w:p>
      <w:pPr>
        <w:ind w:left="1040" w:right="3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merger, acquisition, or bankruptcy of a manufacturer or supplier or a catastrophic event affecting our manufacturers or suppliers.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marketing roxadustat.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consider administrative proceedings and other means for challenging third 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For example,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In addition, our partner Astellas has recently initiated </w:t>
      </w:r>
      <w:r>
        <w:rPr>
          <w:rFonts w:ascii="Arial" w:cs="Arial" w:eastAsia="Arial" w:hAnsi="Arial"/>
          <w:sz w:val="16"/>
          <w:szCs w:val="16"/>
          <w:i w:val="1"/>
          <w:iCs w:val="1"/>
          <w:color w:val="auto"/>
        </w:rPr>
        <w:t>quia timet</w:t>
      </w:r>
      <w:r>
        <w:rPr>
          <w:rFonts w:ascii="Arial" w:cs="Arial" w:eastAsia="Arial" w:hAnsi="Arial"/>
          <w:sz w:val="16"/>
          <w:szCs w:val="16"/>
          <w:color w:val="auto"/>
        </w:rPr>
        <w:t xml:space="preserve"> infringement actions against Akebia and GSK based on our specific patents in the United Kingdom in response to actions taken by Akebia and GSK against those patents, as further detailed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 Patent and Trademark Office (“USPTO”) or through comparable proceedings in other territories. For example, Akebia and others have filed oppositions against certain European patents within our HIF anemia-related technologies patent portfolio. In three of these proceedings, for FibroGen European Patent Nos. 1463823, 1633333, and 2322155, the European Patent Office has handed down decisions unfavorable to FibroGen. In a fourth of these proceedings, the European Patent Office issued a decision favorable to FibroGen, maintaining FibroGen European Patent No. 2322153 in amended form. All of these decisions are currently under appeal, and these four patents are valid and enforceable pending resolution of the appeals. The ultimate outcomes of such proceedings remain uncertain, and ultimate resolution of the appeals may take two years or longer. In addition, Akebia recently filed oppositions against FibroGen European Patent Nos. 2289531 and 2298301. As mentioned above, Akebia and GSK have also initiated actions in the United Kingdom against the United Kingdom counterparts of each of these European patents, and GSK has filed for a declaration of non-infringement of certain United Kingdom patents (corresponding to FibroGen European Patent Nos. 2322153 and 2322155) with respect to its daprodustat product. Akebia is also pursuing invalidation actions against corresponding patents in Canada and in Japan. While we believe the ultimate outcome of all proceedings will be that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Oppositions have also recently been filed against our European Patent No. 2872488, which claims a crystalline form of roxadustat.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which could limit sales and increase security and distribution costs for us and our partners, particularly in China.</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This is particularly the case in China where we will not be able to sell roxadustat in private pharmacies due to the WADA classification. While private pharmacies only represent approximately 10% of the market in China, this will negatively affect sales and therefore the profitability of roxadustat and the Company as a whole.</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in China, We have not obtained regulatory approval for any product candidate, and it is possible that neither roxadustat nor pamrevlumab, nor any future product candidates we may discover, in-license or acquire and seek to develop in the future, will obtain regulatory approval in countries other than China.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right="1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39" w:lineRule="exact"/>
        <w:rPr>
          <w:sz w:val="20"/>
          <w:szCs w:val="20"/>
          <w:color w:val="auto"/>
        </w:rPr>
      </w:pPr>
    </w:p>
    <w:p>
      <w:pPr>
        <w:ind w:left="104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hanging="519"/>
        <w:spacing w:after="0" w:line="279"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line="291"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hanging="519"/>
        <w:spacing w:after="0" w:line="273"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and foreign taxes, including withholding of payroll taxes;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6"/>
          <w:szCs w:val="16"/>
          <w:i w:val="1"/>
          <w:iCs w:val="1"/>
          <w:color w:val="auto"/>
        </w:rPr>
        <w:t>Business — Government Regulation — Regulation in China</w:t>
      </w:r>
      <w:r>
        <w:rPr>
          <w:rFonts w:ascii="Arial" w:cs="Arial" w:eastAsia="Arial" w:hAnsi="Arial"/>
          <w:sz w:val="16"/>
          <w:szCs w:val="16"/>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For example, the NMPA recently adopted the International Council for Harmonisation of Technical Requirements for Pharmaceuticals for Human Use guidelines, and accordingly imposed regulatory oversight earlier in our production process for roxadustat manufactured and sold in China. The change in regulatory starting material triggered an extension of the inspection to our contract manufacturer STA, which was successfully completed in October 2018. In addition,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plan to use our own manufacturing facilities in China to produce roxadustat API, roxadustat drug product, and FG-5200 corneal implants. As an organization, we have limited experience in the construction, licensure, and operation of a manufacturing plant, and accordingly we cannot assure you we will be able to meet regulatory requirements to operate our plant and to sell our products.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In December 2018, we received the Manufacturing License for Drug Substance and Drug Product for roxadustat and GMP certification for our Beijing facility that allows us to manufacture limited commercial quantities of roxadustat capsules. We are currently planning on manufacturing commercial-scale API at our Cangzhou facility, and expect to receive a license to produce roxadustat API at that site in the second half of 2019. However, as an organization, we have limited experience licensing and operating commercial manufacturing facilities.</w:t>
      </w:r>
    </w:p>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would require separate approval for the manufacture of FG-5200. In addition, we may convert the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FG-5200, either of which would be expected to delay or preclude our ability to develop FG-5200 in China and may materially adversely affect our business and operations and prospects in China.</w:t>
      </w:r>
    </w:p>
    <w:p>
      <w:pPr>
        <w:spacing w:after="0" w:line="21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8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In addition to manufacturing, we are responsible for pharmacovigilance, medical affairs, and management of the third party distribution logistics for roxadustat in China. We have no experience in these areas as a company, and accordingly we cannot assure you we will be able to meet regulatory requirements or operate in these capacities successfully.</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responsible for commercial manufacturing, pharmacovigilance, medical affairs, and management of the third party distribution logistics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decision to launch roxadustat in China prior to approval in the U.S. or Europe is largely unprecedented and could be subject to significant risk, delay and expense.*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Even though our subsidiary FibroGen Beijing has received marketing authorization for roxadustat for anemia caused by CKD in dialysis patients, we have not yet received approval in non-dialysis patients, and are awaiting the results from the Chinese authorities’ completed inspection of our Phase 3 non-dialysis clinical trial sites.</w:t>
      </w:r>
    </w:p>
    <w:p>
      <w:pPr>
        <w:spacing w:after="0" w:line="73"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We are currently expecting non-dialysis patients to be added to our approved dialysis label for roxadustat in China in the third quarter of 2019, and are planning on launching in the third quarter of 2019, however, it is possible that unforeseen delays in the China regulatory process could have a material adverse effect on our development and commercialization of roxadustat in China.</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are required to conduct a 2,000 subject post-approval safety study to demonstrate the long-term safety of roxadustat and conduct intensive drug monitoring in an additional 1,000 patients, as well as provide period reporting to the authorities on GMP and quality compliance at our manufacturing facilities. If safety issues arise in this study, or generally after commercialization, our commercialization plans and profitability in China could be negatively impacted.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collaboration partner in China, AstraZeneca, may experience difficulties in successfully generating sales of roxadustat in China.*</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and AstraZeneca have a profit sharing arrangement with respect to roxadustat in China and any difficulties we may experience in generating sales will affect our bottom line. Difficulties may be related to our ability to obtain reasonable pricing, reimbursement, hospital listing, and tendering, or other difficulties related to distribution, marketing, and sales efforts in China. Sales of roxadustat in China may be limited due to the complex nature of the healthcare system, low average personal income, pricing controls, still developing infrastructure and potentially rapid competition from other products. The government has committed to updating the National Reimbursement Drug List (“NRDL”) in 2019. Previous updates to the NRDL occurred in 2017 and 2009. In addition, there were also NRDL price negotiations in 2018 for oncology drugs. Admission to the NRDL depends on a number of factors, including on-market experience, scale of patient adoption, physician endorsement, cost effectiveness and budget impact. Given that roxadustat was approved at the end of 2018, we may or may not qualify for the NRDL update in 2019. In particular, if we are unable to obtain reimbursement for roxadustat through the 2019 update to the NRDL, we may have to wait a substantial period of time before the reimbursement drug list is updated again. Without government reimbursement, many patients will not be able to afford roxadustat, since private commercial health insurance is rare, and our business and operations could be adversely affected. Therefore reimbursement and obtaining hospital listing is critical to roxadustat’s near-term commercial success in China.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 of anemia in CKD in China is highly competitive.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have now received approval for roxadustat for the treatment of anemia caused by CKD in dialysis patients in China, and even if roxadustat receives approval for anemia caused by CKD in non-dialysis patients, it faces intense competition in the market for treatment of anemia in CKD. Roxadustat would compete with ESAs, which are offered by established multinational pharmaceutical companies such as Kyowa Hakko Kirin China Pharmaceutical Co., Ltd.,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Chinese government is implementing a new “Two Invoices” regulation which could affect the way we structure our distributorship relationships in China for roxadustat.</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Chinese government is implementing new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We are planning on modifying the distribution responsibilities under the China Agreement between AstraZeneca and FibroGen such that FibroGen would engage distributors and a third party logistics provider, and both companies will work together to manage the distribution network. FibroGen China Anemia Holdings, Ltd (“FibroGen China”) has never managed distribution of pharmaceutical products, and this new distribution structure may impose higher costs or limit or delay our ability to sell products to our principal customers, and may limit the near term sales of our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 Regulation in China</w:t>
      </w:r>
      <w:r>
        <w:rPr>
          <w:rFonts w:ascii="Arial" w:cs="Arial" w:eastAsia="Arial" w:hAnsi="Arial"/>
          <w:sz w:val="18"/>
          <w:szCs w:val="18"/>
          <w:color w:val="auto"/>
        </w:rPr>
        <w:t>.” We believe that the inclusion of a drug in the Medical Insurance Catalogs can substantially improve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 drug in China.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produced in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2019, approximately $5.1 million of our cash and cash equivalents is held in China.</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the impacts of the Tax Act, the SEC provided guidance that allows us to record provisional amounts for those impacts, with the requirement that the accounting be completed in a period not to exceed one year from the date of enactment. As of December 31, 2018, we completed our analysis of the accounting for the tax effects of the Tax Act and no material adjustments were recognized as of December 31, 2018. The primary impact of the Tax Act relates to the re-measurement of deferred tax assets and liabilities resulting from the change in the corporate tax rate (“Corporate Tax Rate Change”), which was recorded as of December 2017. Developing interpretations of the provisions of the Tax Act, changes to U.S. Treasury regulations, administrative interpretations, or court decisions interpreting the Tax Act in the future periods may require further adjustments to our analysis.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laws and regulations governing corruption, which will require us to develop, maintain, and implement costly compliance programs.</w:t>
      </w:r>
    </w:p>
    <w:p>
      <w:pPr>
        <w:spacing w:after="0" w:line="14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 relating to the United Kingdom’s referendum vote in favor of leaving the EU could adversely affect us.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June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have broad discretion in the use of the remaining net proceeds from our underwritten public offerings of common stock completed on April 11, 2017 (the “April 2017 Offering”) and August 24, 2017 (the “August 2017 Offering”) and may not use them effectively.</w:t>
      </w:r>
    </w:p>
    <w:p>
      <w:pPr>
        <w:spacing w:after="0" w:line="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through Phase 3 trials,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remaining net proceeds from the April 2017 Offering and the August 2017 Offering, and could spend the remaining net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July 31, 2019, our executive officers, directors and principal stockholders, together with their respective affiliates, owned approximately 39.03%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April 30, 2019.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right="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December 22, 2017, the U.S. enacted the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203"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a result of the impact of the Tax Act, the SEC provided guidance that allows us to record provisional amounts for those affected items, with the requirement that the accounting be completed in a period not to exceed one year from the date of enactment. As of December 31, 2018, we completed our analysis of the accounting for the tax effects of the Tax Act and no material adjustments were recognized at year end. The primary impact of the Tax Act relates to the re-measurement of deferred tax assets and liabilities resulting from the Corporate Tax Rate Change, which was recorded as of December 31, 2017. Developing interpretations of the provisions of the Tax Act, changes to U.S. Treasury regulations, administrative interpretations or court decisions interpreting the Tax Act in the future periods may require further adjustments to our analysis.</w:t>
      </w:r>
    </w:p>
    <w:p>
      <w:pPr>
        <w:spacing w:after="0" w:line="2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18"/>
          </w:tcPr>
          <w:p>
            <w:pPr>
              <w:ind w:left="92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000" w:type="dxa"/>
            <w:vAlign w:val="bottom"/>
            <w:tcBorders>
              <w:bottom w:val="single" w:sz="8" w:color="0000EE"/>
            </w:tcBorders>
            <w:gridSpan w:val="1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Amended and Restated Certificate of Incorporation of FibroGen, Inc.</w:t>
              </w:r>
            </w:hyperlink>
          </w:p>
        </w:tc>
        <w:tc>
          <w:tcPr>
            <w:tcW w:w="360" w:type="dxa"/>
            <w:vAlign w:val="bottom"/>
            <w:gridSpan w:val="7"/>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Amended and Restated Bylaws of FibroGen, Inc.</w:t>
              </w:r>
            </w:hyperlink>
          </w:p>
        </w:tc>
        <w:tc>
          <w:tcPr>
            <w:tcW w:w="1800" w:type="dxa"/>
            <w:vAlign w:val="bottom"/>
            <w:gridSpan w:val="12"/>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360" w:type="dxa"/>
            <w:vAlign w:val="bottom"/>
            <w:gridSpan w:val="22"/>
          </w:tcPr>
          <w:p>
            <w:pPr>
              <w:spacing w:after="0"/>
              <w:rPr>
                <w:rFonts w:ascii="Arial" w:cs="Arial" w:eastAsia="Arial" w:hAnsi="Arial"/>
                <w:sz w:val="18"/>
                <w:szCs w:val="18"/>
                <w:color w:val="0000EE"/>
              </w:rPr>
            </w:pPr>
            <w:hyperlink r:id="rId104">
              <w:r>
                <w:rPr>
                  <w:rFonts w:ascii="Arial" w:cs="Arial" w:eastAsia="Arial" w:hAnsi="Arial"/>
                  <w:sz w:val="18"/>
                  <w:szCs w:val="18"/>
                  <w:color w:val="0000EE"/>
                </w:rPr>
                <w:t>Form of Common Stock Certificate.</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160" w:type="dxa"/>
            <w:vAlign w:val="bottom"/>
            <w:tcBorders>
              <w:bottom w:val="single" w:sz="8" w:color="0000EE"/>
            </w:tcBorders>
            <w:gridSpan w:val="16"/>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Investor Rights Agreement by and among FibroGen, Inc. and certain of</w:t>
              </w:r>
            </w:hyperlink>
          </w:p>
        </w:tc>
        <w:tc>
          <w:tcPr>
            <w:tcW w:w="200" w:type="dxa"/>
            <w:vAlign w:val="bottom"/>
            <w:gridSpan w:val="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its stockholders, dated as of December 1995.</w:t>
              </w:r>
            </w:hyperlink>
          </w:p>
        </w:tc>
        <w:tc>
          <w:tcPr>
            <w:tcW w:w="2120" w:type="dxa"/>
            <w:vAlign w:val="bottom"/>
            <w:gridSpan w:val="16"/>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160" w:type="dxa"/>
            <w:vAlign w:val="bottom"/>
            <w:tcBorders>
              <w:bottom w:val="single" w:sz="8" w:color="0000EE"/>
            </w:tcBorders>
            <w:gridSpan w:val="16"/>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Investor Rights Agreement by and among FibroGen, Inc. and certain of</w:t>
              </w:r>
            </w:hyperlink>
          </w:p>
        </w:tc>
        <w:tc>
          <w:tcPr>
            <w:tcW w:w="200" w:type="dxa"/>
            <w:vAlign w:val="bottom"/>
            <w:gridSpan w:val="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its warrant holders, dated as of February 8, 2000.</w:t>
              </w:r>
            </w:hyperlink>
          </w:p>
        </w:tc>
        <w:tc>
          <w:tcPr>
            <w:tcW w:w="1820" w:type="dxa"/>
            <w:vAlign w:val="bottom"/>
            <w:gridSpan w:val="13"/>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5180" w:type="dxa"/>
            <w:vAlign w:val="bottom"/>
            <w:tcBorders>
              <w:bottom w:val="single" w:sz="8" w:color="0000EE"/>
            </w:tcBorders>
            <w:gridSpan w:val="17"/>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Warrant to Purchase 11,076 Shares of Common Stock issued to Bristow</w:t>
              </w:r>
            </w:hyperlink>
          </w:p>
        </w:tc>
        <w:tc>
          <w:tcPr>
            <w:tcW w:w="18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Investments, L.P, dated as of February 8, 2000.</w:t>
              </w:r>
            </w:hyperlink>
          </w:p>
        </w:tc>
        <w:tc>
          <w:tcPr>
            <w:tcW w:w="1960" w:type="dxa"/>
            <w:vAlign w:val="bottom"/>
            <w:gridSpan w:val="15"/>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5360" w:type="dxa"/>
            <w:vAlign w:val="bottom"/>
            <w:gridSpan w:val="22"/>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Common Stock Purchase Agreement by and between FibroGen, Inc. and</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AstraZeneca AB, dated as of October 20, 2014.</w:t>
              </w:r>
            </w:hyperlink>
          </w:p>
        </w:tc>
        <w:tc>
          <w:tcPr>
            <w:tcW w:w="12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4620" w:type="dxa"/>
            <w:vAlign w:val="bottom"/>
            <w:tcBorders>
              <w:bottom w:val="single" w:sz="8" w:color="0000EE"/>
            </w:tcBorders>
            <w:gridSpan w:val="1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Shareholders’ Agreement by and among FibroGen International</w:t>
              </w:r>
            </w:hyperlink>
          </w:p>
        </w:tc>
        <w:tc>
          <w:tcPr>
            <w:tcW w:w="740" w:type="dxa"/>
            <w:vAlign w:val="bottom"/>
            <w:gridSpan w:val="11"/>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22"/>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(Cayman) Limited and certain of its shareholders, dated as of September</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9">
              <w:r>
                <w:rPr>
                  <w:rFonts w:ascii="Arial" w:cs="Arial" w:eastAsia="Arial" w:hAnsi="Arial"/>
                  <w:sz w:val="18"/>
                  <w:szCs w:val="18"/>
                  <w:color w:val="0000EE"/>
                  <w:w w:val="86"/>
                </w:rPr>
                <w:t>8, 2017.</w:t>
              </w:r>
            </w:hyperlink>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5360" w:type="dxa"/>
            <w:vAlign w:val="bottom"/>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FibroGen, Inc. Non-Employee Director Compensation Policy, as</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87">
              <w:r>
                <w:rPr>
                  <w:rFonts w:ascii="Arial" w:cs="Arial" w:eastAsia="Arial" w:hAnsi="Arial"/>
                  <w:sz w:val="18"/>
                  <w:szCs w:val="18"/>
                  <w:color w:val="0000EE"/>
                  <w:w w:val="84"/>
                </w:rPr>
                <w:t>amended.</w:t>
              </w:r>
            </w:hyperlink>
          </w:p>
        </w:tc>
        <w:tc>
          <w:tcPr>
            <w:tcW w:w="3960" w:type="dxa"/>
            <w:vAlign w:val="bottom"/>
            <w:tcBorders>
              <w:top w:val="single" w:sz="8" w:color="0000EE"/>
            </w:tcBorders>
            <w:gridSpan w:val="10"/>
          </w:tcPr>
          <w:p>
            <w:pPr>
              <w:spacing w:after="0"/>
              <w:rPr>
                <w:sz w:val="17"/>
                <w:szCs w:val="17"/>
                <w:color w:val="auto"/>
              </w:rPr>
            </w:pPr>
          </w:p>
        </w:tc>
        <w:tc>
          <w:tcPr>
            <w:tcW w:w="700" w:type="dxa"/>
            <w:vAlign w:val="bottom"/>
            <w:gridSpan w:val="10"/>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360" w:type="dxa"/>
            <w:vAlign w:val="bottom"/>
            <w:gridSpan w:val="22"/>
          </w:tcPr>
          <w:p>
            <w:pPr>
              <w:spacing w:after="0"/>
              <w:rPr>
                <w:rFonts w:ascii="Arial" w:cs="Arial" w:eastAsia="Arial" w:hAnsi="Arial"/>
                <w:sz w:val="18"/>
                <w:szCs w:val="18"/>
                <w:color w:val="0000EE"/>
                <w:w w:val="93"/>
              </w:rPr>
            </w:pPr>
            <w:hyperlink w:anchor="page90">
              <w:r>
                <w:rPr>
                  <w:rFonts w:ascii="Arial" w:cs="Arial" w:eastAsia="Arial" w:hAnsi="Arial"/>
                  <w:sz w:val="18"/>
                  <w:szCs w:val="18"/>
                  <w:color w:val="0000EE"/>
                  <w:w w:val="93"/>
                </w:rPr>
                <w:t>Certification of Chief Executive Officer, as required by Rule 13a-14(a) or</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Rule 15d-14(a).</w:t>
              </w:r>
            </w:hyperlink>
          </w:p>
        </w:tc>
        <w:tc>
          <w:tcPr>
            <w:tcW w:w="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26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91">
              <w:r>
                <w:rPr>
                  <w:rFonts w:ascii="Arial" w:cs="Arial" w:eastAsia="Arial" w:hAnsi="Arial"/>
                  <w:sz w:val="18"/>
                  <w:szCs w:val="18"/>
                  <w:color w:val="0000EE"/>
                  <w:w w:val="92"/>
                </w:rPr>
                <w:t>Certification of Chief Financial Officer, as required by Rule 13a-14(a) or</w:t>
              </w:r>
            </w:hyperlink>
          </w:p>
        </w:tc>
        <w:tc>
          <w:tcPr>
            <w:tcW w:w="10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22"/>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Rule 15d-14(a).</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7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360" w:type="dxa"/>
            <w:vAlign w:val="bottom"/>
            <w:gridSpan w:val="2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Certification of Principal Executive Officer and Principal Financial</w:t>
              </w:r>
            </w:hyperlink>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Officer, as required by Rule 13a-14(b) or Rule 15d-14(b) and Section</w:t>
              </w:r>
            </w:hyperlink>
          </w:p>
        </w:tc>
        <w:tc>
          <w:tcPr>
            <w:tcW w:w="36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22"/>
          </w:tcPr>
          <w:p>
            <w:pPr>
              <w:spacing w:after="0" w:line="196" w:lineRule="exact"/>
              <w:rPr>
                <w:rFonts w:ascii="Arial" w:cs="Arial" w:eastAsia="Arial" w:hAnsi="Arial"/>
                <w:sz w:val="18"/>
                <w:szCs w:val="18"/>
                <w:color w:val="0000EE"/>
                <w:w w:val="99"/>
              </w:rPr>
            </w:pPr>
            <w:hyperlink w:anchor="page92">
              <w:r>
                <w:rPr>
                  <w:rFonts w:ascii="Arial" w:cs="Arial" w:eastAsia="Arial" w:hAnsi="Arial"/>
                  <w:sz w:val="18"/>
                  <w:szCs w:val="18"/>
                  <w:color w:val="0000EE"/>
                  <w:w w:val="99"/>
                </w:rPr>
                <w:t>1350 of Chapter 63 of Title 18 of the United States Code (18 U.S.C.</w:t>
              </w:r>
            </w:hyperlink>
          </w:p>
        </w:tc>
      </w:tr>
      <w:tr>
        <w:trPr>
          <w:trHeight w:val="196"/>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§1350)(1)).</w:t>
              </w:r>
            </w:hyperlink>
          </w:p>
        </w:tc>
        <w:tc>
          <w:tcPr>
            <w:tcW w:w="3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auto"/>
              </w:rPr>
              <w:t>Inline XBRL Instance Document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5360" w:type="dxa"/>
            <w:vAlign w:val="bottom"/>
            <w:gridSpan w:val="22"/>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r>
    </w:tbl>
    <w:p>
      <w:pPr>
        <w:spacing w:after="0" w:line="134" w:lineRule="exact"/>
        <w:rPr>
          <w:sz w:val="20"/>
          <w:szCs w:val="20"/>
          <w:color w:val="auto"/>
        </w:rPr>
      </w:pPr>
    </w:p>
    <w:p>
      <w:pPr>
        <w:ind w:left="1260" w:right="140" w:hanging="1171"/>
        <w:spacing w:after="0" w:line="342" w:lineRule="auto"/>
        <w:tabs>
          <w:tab w:leader="none" w:pos="12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58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58"/>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11/21/2014</w:t>
            </w:r>
          </w:p>
        </w:tc>
      </w:tr>
      <w:tr>
        <w:trPr>
          <w:trHeight w:val="365"/>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81"/>
        </w:trPr>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97"/>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1"/>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13"/>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620" w:space="100"/>
            <w:col w:w="4620"/>
          </w:cols>
          <w:pgMar w:left="240" w:top="125" w:right="3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FibroGen, Inc.</w:t>
            </w:r>
          </w:p>
        </w:tc>
      </w:tr>
      <w:tr>
        <w:trPr>
          <w:trHeight w:val="20"/>
        </w:trPr>
        <w:tc>
          <w:tcPr>
            <w:tcW w:w="3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480"/>
        </w:trPr>
        <w:tc>
          <w:tcPr>
            <w:tcW w:w="3640" w:type="dxa"/>
            <w:vAlign w:val="bottom"/>
          </w:tcPr>
          <w:p>
            <w:pPr>
              <w:spacing w:after="0"/>
              <w:rPr>
                <w:sz w:val="20"/>
                <w:szCs w:val="20"/>
                <w:color w:val="auto"/>
              </w:rPr>
            </w:pPr>
            <w:r>
              <w:rPr>
                <w:rFonts w:ascii="Arial" w:cs="Arial" w:eastAsia="Arial" w:hAnsi="Arial"/>
                <w:sz w:val="18"/>
                <w:szCs w:val="18"/>
                <w:color w:val="auto"/>
              </w:rPr>
              <w:t>Dated: August 8, 2019</w:t>
            </w:r>
          </w:p>
        </w:tc>
        <w:tc>
          <w:tcPr>
            <w:tcW w:w="23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Thomas B. Neff</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8, 2019</w:t>
            </w:r>
          </w:p>
        </w:tc>
        <w:tc>
          <w:tcPr>
            <w:tcW w:w="232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640" w:type="dxa"/>
            <w:vAlign w:val="bottom"/>
          </w:tcPr>
          <w:p>
            <w:pPr>
              <w:spacing w:after="0"/>
              <w:rPr>
                <w:sz w:val="24"/>
                <w:szCs w:val="24"/>
                <w:color w:val="auto"/>
              </w:rPr>
            </w:pPr>
          </w:p>
        </w:tc>
        <w:tc>
          <w:tcPr>
            <w:tcW w:w="232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documents the terms and conditions of the cash and equity compensation that 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FibroGen, Inc. (“</w:t>
      </w:r>
      <w:r>
        <w:rPr>
          <w:rFonts w:ascii="Arial" w:cs="Arial" w:eastAsia="Arial" w:hAnsi="Arial"/>
          <w:sz w:val="18"/>
          <w:szCs w:val="18"/>
          <w:b w:val="1"/>
          <w:bCs w:val="1"/>
          <w:i w:val="1"/>
          <w:iCs w:val="1"/>
          <w:color w:val="auto"/>
        </w:rPr>
        <w:t>FibroGen</w:t>
      </w:r>
      <w:r>
        <w:rPr>
          <w:rFonts w:ascii="Arial" w:cs="Arial" w:eastAsia="Arial" w:hAnsi="Arial"/>
          <w:sz w:val="18"/>
          <w:szCs w:val="18"/>
          <w:color w:val="auto"/>
        </w:rPr>
        <w:t>”) may earn for their service on the Board from and after the initial public offering of the common stock of FibroGen.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Only members of the Board who are not concurrently employees of FibroGen are eligible for compensation under this Policy (each such member, a</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Any director may also decline compensation per policy of their affiliated entity or for any other reason prior to the start of the period of service to which the compensation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70" w:lineRule="exact"/>
        <w:rPr>
          <w:sz w:val="20"/>
          <w:szCs w:val="20"/>
          <w:color w:val="auto"/>
        </w:rPr>
      </w:pPr>
    </w:p>
    <w:p>
      <w:pPr>
        <w:ind w:left="880" w:right="8240" w:hanging="872"/>
        <w:spacing w:after="0" w:line="342" w:lineRule="auto"/>
        <w:tabs>
          <w:tab w:leader="none" w:pos="86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Annual Board Service Retainer</w:t>
      </w:r>
      <w:r>
        <w:rPr>
          <w:rFonts w:ascii="Arial" w:cs="Arial" w:eastAsia="Arial" w:hAnsi="Arial"/>
          <w:sz w:val="16"/>
          <w:szCs w:val="16"/>
          <w:color w:val="auto"/>
        </w:rPr>
        <w:t>: All Directors: $ 50,000</w:t>
      </w:r>
    </w:p>
    <w:p>
      <w:pPr>
        <w:spacing w:after="0" w:line="123" w:lineRule="exact"/>
        <w:rPr>
          <w:rFonts w:ascii="Arial" w:cs="Arial" w:eastAsia="Arial" w:hAnsi="Arial"/>
          <w:sz w:val="16"/>
          <w:szCs w:val="16"/>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Chairman of the Compensation Committee: $ 17,500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 $10,000</w:t>
      </w:r>
    </w:p>
    <w:p>
      <w:pPr>
        <w:spacing w:after="0" w:line="210" w:lineRule="exact"/>
        <w:rPr>
          <w:rFonts w:ascii="Arial" w:cs="Arial" w:eastAsia="Arial" w:hAnsi="Arial"/>
          <w:sz w:val="18"/>
          <w:szCs w:val="18"/>
          <w:color w:val="auto"/>
        </w:rPr>
      </w:pPr>
    </w:p>
    <w:p>
      <w:pPr>
        <w:ind w:left="800" w:hanging="792"/>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60" w:hanging="775"/>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Compensation Committee: $7,500</w:t>
      </w:r>
    </w:p>
    <w:p>
      <w:pPr>
        <w:spacing w:after="0" w:line="9" w:lineRule="exact"/>
        <w:rPr>
          <w:rFonts w:ascii="Arial" w:cs="Arial" w:eastAsia="Arial" w:hAnsi="Arial"/>
          <w:sz w:val="18"/>
          <w:szCs w:val="18"/>
          <w:color w:val="auto"/>
        </w:rPr>
      </w:pPr>
    </w:p>
    <w:p>
      <w:pPr>
        <w:ind w:left="1660" w:hanging="775"/>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Nominating and Governance Committee: $5,000</w:t>
      </w:r>
    </w:p>
    <w:p>
      <w:pPr>
        <w:spacing w:after="0" w:line="210" w:lineRule="exact"/>
        <w:rPr>
          <w:rFonts w:ascii="Arial" w:cs="Arial" w:eastAsia="Arial" w:hAnsi="Arial"/>
          <w:sz w:val="18"/>
          <w:szCs w:val="18"/>
          <w:color w:val="auto"/>
        </w:rPr>
      </w:pPr>
    </w:p>
    <w:p>
      <w:pPr>
        <w:ind w:left="880" w:right="7320" w:hanging="872"/>
        <w:spacing w:after="0" w:line="277" w:lineRule="auto"/>
        <w:tabs>
          <w:tab w:leader="none" w:pos="86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Annual Lead Independent Director Retainer</w:t>
      </w:r>
      <w:r>
        <w:rPr>
          <w:rFonts w:ascii="Arial" w:cs="Arial" w:eastAsia="Arial" w:hAnsi="Arial"/>
          <w:sz w:val="18"/>
          <w:szCs w:val="18"/>
          <w:color w:val="auto"/>
        </w:rPr>
        <w:t>: Lead Director: $22,500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Equity awards will be granted under the FibroGen, Inc. 2014 Equity Incentive Plan (or any successor thereto,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65" w:lineRule="exact"/>
        <w:rPr>
          <w:sz w:val="20"/>
          <w:szCs w:val="20"/>
          <w:color w:val="auto"/>
        </w:rPr>
      </w:pPr>
    </w:p>
    <w:p>
      <w:pPr>
        <w:jc w:val="both"/>
        <w:ind w:left="440" w:hanging="432"/>
        <w:spacing w:after="0" w:line="25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On the date of the Director’s initial election or appointment to the Board (or, if such date is not a market trading day, the first market trading day thereafter), the Director will be automatically, and without further action by the Board, granted stock options covering 10,400 shares of FibroGen’s common stock. Such options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both"/>
        <w:ind w:left="440" w:hanging="432"/>
        <w:spacing w:after="0" w:line="257"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options covering 7,800 shares of FibroGen’s common stock, and (b) RSUs covering 4,700 shares of FibroGen common stock. Such options and RSUs will vest upon the earlier of (x) June 6 of the following year and (y) the following year’s annual stockholder meeting, subject to the Director’s Continuous Service.</w:t>
      </w:r>
    </w:p>
    <w:p>
      <w:pPr>
        <w:spacing w:after="0" w:line="188" w:lineRule="exact"/>
        <w:rPr>
          <w:rFonts w:ascii="Arial" w:cs="Arial" w:eastAsia="Arial" w:hAnsi="Arial"/>
          <w:sz w:val="18"/>
          <w:szCs w:val="18"/>
          <w:color w:val="auto"/>
        </w:rPr>
      </w:pPr>
    </w:p>
    <w:p>
      <w:pPr>
        <w:jc w:val="both"/>
        <w:ind w:left="440" w:hanging="432"/>
        <w:spacing w:after="0" w:line="288"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Prorated Annual Grants</w:t>
      </w:r>
      <w:r>
        <w:rPr>
          <w:rFonts w:ascii="Arial" w:cs="Arial" w:eastAsia="Arial" w:hAnsi="Arial"/>
          <w:sz w:val="16"/>
          <w:szCs w:val="16"/>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stock options covering the number of shares of FibroGen’s common stock equal to the product of each of</w:t>
      </w:r>
    </w:p>
    <w:p>
      <w:pPr>
        <w:jc w:val="both"/>
        <w:ind w:left="440"/>
        <w:spacing w:after="0" w:line="254" w:lineRule="auto"/>
        <w:rPr>
          <w:rFonts w:ascii="Arial" w:cs="Arial" w:eastAsia="Arial" w:hAnsi="Arial"/>
          <w:sz w:val="16"/>
          <w:szCs w:val="16"/>
          <w:color w:val="auto"/>
        </w:rPr>
      </w:pPr>
      <w:r>
        <w:rPr>
          <w:rFonts w:ascii="Arial" w:cs="Arial" w:eastAsia="Arial" w:hAnsi="Arial"/>
          <w:sz w:val="18"/>
          <w:szCs w:val="18"/>
          <w:color w:val="auto"/>
        </w:rPr>
        <w:t>(x) 6,000 shares and (y) 3,700 RSUs, by (z) the Applicable Fraction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The Applicable Fraction 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p>
    <w:p>
      <w:pPr>
        <w:spacing w:after="0" w:line="189" w:lineRule="exact"/>
        <w:rPr>
          <w:rFonts w:ascii="Arial" w:cs="Arial" w:eastAsia="Arial" w:hAnsi="Arial"/>
          <w:sz w:val="16"/>
          <w:szCs w:val="16"/>
          <w:color w:val="auto"/>
        </w:rPr>
      </w:pPr>
    </w:p>
    <w:p>
      <w:pPr>
        <w:jc w:val="both"/>
        <w:ind w:left="440" w:hanging="432"/>
        <w:spacing w:after="0" w:line="259"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reimburse Directors for ordinary, necessary and reasonable out-of-pocket travel expenses to cover in-person attendance at and participation in Board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Adopted: September 17, 2014</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March 4, 2015</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Amended: February 23, 2016, Effective as of the 2016 Annual Meeting of Stockholders</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June 5, 2018</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June 5, 2019</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8,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Thomas B. Neff</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60" w:firstLine="526"/>
        <w:spacing w:after="0" w:line="342" w:lineRule="auto"/>
        <w:tabs>
          <w:tab w:leader="none" w:pos="763"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0" w:firstLine="526"/>
        <w:spacing w:after="0" w:line="264" w:lineRule="auto"/>
        <w:tabs>
          <w:tab w:leader="none" w:pos="77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00" w:firstLine="526"/>
        <w:spacing w:after="0" w:line="277" w:lineRule="auto"/>
        <w:tabs>
          <w:tab w:leader="none" w:pos="77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8,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Senior Vice President, Finance and 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81" w:lineRule="exact"/>
        <w:rPr>
          <w:sz w:val="20"/>
          <w:szCs w:val="20"/>
          <w:color w:val="auto"/>
        </w:rPr>
      </w:pPr>
    </w:p>
    <w:p>
      <w:pPr>
        <w:ind w:left="520" w:right="16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2019, to which this Certification is attached as Exhibit 32.1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8,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3"/>
    </w:lvl>
  </w:abstractNum>
  <w:abstractNum w:abstractNumId="7">
    <w:nsid w:val="2901D82"/>
    <w:multiLevelType w:val="hybridMultilevel"/>
    <w:lvl w:ilvl="0">
      <w:lvlJc w:val="left"/>
      <w:lvlText w:val="%1."/>
      <w:numFmt w:val="decimal"/>
      <w:start w:val="4"/>
    </w:lvl>
  </w:abstractNum>
  <w:abstractNum w:abstractNumId="8">
    <w:nsid w:val="3A95F874"/>
    <w:multiLevelType w:val="hybridMultilevel"/>
    <w:lvl w:ilvl="0">
      <w:lvlJc w:val="left"/>
      <w:lvlText w:val="%1."/>
      <w:numFmt w:val="decimal"/>
      <w:start w:val="6"/>
    </w:lvl>
  </w:abstractNum>
  <w:abstractNum w:abstractNumId="9">
    <w:nsid w:val="8138641"/>
    <w:multiLevelType w:val="hybridMultilevel"/>
    <w:lvl w:ilvl="0">
      <w:lvlJc w:val="left"/>
      <w:lvlText w:val="%1."/>
      <w:numFmt w:val="decimal"/>
      <w:start w:val="7"/>
    </w:lvl>
  </w:abstractNum>
  <w:abstractNum w:abstractNumId="10">
    <w:nsid w:val="1E7FF521"/>
    <w:multiLevelType w:val="hybridMultilevel"/>
    <w:lvl w:ilvl="0">
      <w:lvlJc w:val="left"/>
      <w:lvlText w:val="%1."/>
      <w:numFmt w:val="decimal"/>
      <w:start w:val="8"/>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lvl w:ilvl="1">
      <w:lvlJc w:val="left"/>
      <w:lvlText w:val="%2"/>
      <w:numFmt w:val="decimal"/>
      <w:start w:val="104"/>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2"/>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02" Type="http://schemas.openxmlformats.org/officeDocument/2006/relationships/hyperlink" Target="http://www.sec.gov/Archives/edgar/data/921299/000119312514420380/d824859dex31.htm" TargetMode="External"/><Relationship Id="rId103" Type="http://schemas.openxmlformats.org/officeDocument/2006/relationships/hyperlink" Target="http://www.sec.gov/Archives/edgar/data/921299/000119312514380087/d720189dex34.htm" TargetMode="External"/><Relationship Id="rId104" Type="http://schemas.openxmlformats.org/officeDocument/2006/relationships/hyperlink" Target="http://www.sec.gov/Archives/edgar/data/921299/000119312514420380/d824859dex41.htm" TargetMode="External"/><Relationship Id="rId105" Type="http://schemas.openxmlformats.org/officeDocument/2006/relationships/hyperlink" Target="http://www.sec.gov/Archives/edgar/data/921299/000119312514359619/d720189dex42.htm" TargetMode="External"/><Relationship Id="rId106" Type="http://schemas.openxmlformats.org/officeDocument/2006/relationships/hyperlink" Target="http://www.sec.gov/Archives/edgar/data/921299/000119312514359619/d720189dex47.htm" TargetMode="External"/><Relationship Id="rId107" Type="http://schemas.openxmlformats.org/officeDocument/2006/relationships/hyperlink" Target="http://www.sec.gov/Archives/edgar/data/921299/000119312514359619/d720189dex412.htm" TargetMode="External"/><Relationship Id="rId108" Type="http://schemas.openxmlformats.org/officeDocument/2006/relationships/hyperlink" Target="http://www.sec.gov/Archives/edgar/data/921299/000119312514381669/d720189dex417.htm" TargetMode="External"/><Relationship Id="rId109" Type="http://schemas.openxmlformats.org/officeDocument/2006/relationships/hyperlink" Target="http://www.sec.gov/Archives/edgar/data/921299/000156459017022738/fgen-ex46_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2019-12-28T07:59:47Z</dcterms:created>
  <dcterms:modified xsi:type="dcterms:W3CDTF">2019-12-28T07:59:47Z</dcterms:modified>
</cp:coreProperties>
</file>