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343535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360045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86360</wp:posOffset>
            </wp:positionV>
            <wp:extent cx="14497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106045</wp:posOffset>
            </wp:positionV>
            <wp:extent cx="14497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TRANSITION REPORT PURSUANT TO SECTION 13 OR 15(d) OF THE SECURITIES EXCHANGE ACT OF 1934</w:t>
      </w:r>
    </w:p>
    <w:p>
      <w:pPr>
        <w:spacing w:after="0" w:line="12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3873500</wp:posOffset>
            </wp:positionH>
            <wp:positionV relativeFrom="paragraph">
              <wp:posOffset>-8890</wp:posOffset>
            </wp:positionV>
            <wp:extent cx="9982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8220" cy="8255"/>
                    </a:xfrm>
                    <a:prstGeom prst="rect">
                      <a:avLst/>
                    </a:prstGeom>
                    <a:noFill/>
                  </pic:spPr>
                </pic:pic>
              </a:graphicData>
            </a:graphic>
          </wp:anchor>
        </w:drawing>
      </w:r>
    </w:p>
    <w:p>
      <w:pPr>
        <w:spacing w:after="0" w:line="9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109220</wp:posOffset>
            </wp:positionV>
            <wp:extent cx="1449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FIBROGEN, INC.</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34" w:lineRule="exact"/>
        <w:rPr>
          <w:sz w:val="24"/>
          <w:szCs w:val="24"/>
          <w:color w:val="auto"/>
        </w:rPr>
      </w:pPr>
    </w:p>
    <w:tbl>
      <w:tblPr>
        <w:tblLayout w:type="fixed"/>
        <w:tblInd w:w="1580" w:type="dxa"/>
        <w:tblCellMar>
          <w:top w:w="0" w:type="dxa"/>
          <w:left w:w="0" w:type="dxa"/>
          <w:bottom w:w="0" w:type="dxa"/>
          <w:right w:w="0" w:type="dxa"/>
        </w:tblCellMar>
      </w:tblPr>
      <w:tr>
        <w:trPr>
          <w:trHeight w:val="209"/>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100" w:type="dxa"/>
            <w:vAlign w:val="bottom"/>
          </w:tcPr>
          <w:p>
            <w:pPr>
              <w:jc w:val="right"/>
              <w:ind w:right="41"/>
              <w:spacing w:after="0"/>
              <w:rPr>
                <w:sz w:val="20"/>
                <w:szCs w:val="20"/>
                <w:color w:val="auto"/>
              </w:rPr>
            </w:pPr>
            <w:r>
              <w:rPr>
                <w:rFonts w:ascii="Arial" w:cs="Arial" w:eastAsia="Arial" w:hAnsi="Arial"/>
                <w:sz w:val="18"/>
                <w:szCs w:val="18"/>
                <w:b w:val="1"/>
                <w:bCs w:val="1"/>
                <w:color w:val="auto"/>
              </w:rPr>
              <w:t>77-0357827</w:t>
            </w:r>
          </w:p>
        </w:tc>
      </w:tr>
      <w:tr>
        <w:trPr>
          <w:trHeight w:val="147"/>
        </w:trPr>
        <w:tc>
          <w:tcPr>
            <w:tcW w:w="25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5100" w:type="dxa"/>
            <w:vAlign w:val="bottom"/>
          </w:tcPr>
          <w:p>
            <w:pPr>
              <w:jc w:val="center"/>
              <w:ind w:left="3921"/>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00" w:type="dxa"/>
            <w:vAlign w:val="bottom"/>
          </w:tcPr>
          <w:p>
            <w:pPr>
              <w:jc w:val="center"/>
              <w:ind w:left="3921"/>
              <w:spacing w:after="0"/>
              <w:rPr>
                <w:sz w:val="20"/>
                <w:szCs w:val="20"/>
                <w:color w:val="auto"/>
              </w:rPr>
            </w:pPr>
            <w:r>
              <w:rPr>
                <w:rFonts w:ascii="Arial" w:cs="Arial" w:eastAsia="Arial" w:hAnsi="Arial"/>
                <w:sz w:val="14"/>
                <w:szCs w:val="14"/>
                <w:b w:val="1"/>
                <w:bCs w:val="1"/>
                <w:color w:val="auto"/>
                <w:w w:val="92"/>
              </w:rPr>
              <w:t>Identification No.)</w:t>
            </w:r>
          </w:p>
        </w:tc>
      </w:tr>
      <w:tr>
        <w:trPr>
          <w:trHeight w:val="300"/>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409 Illinois Street</w:t>
            </w:r>
          </w:p>
        </w:tc>
        <w:tc>
          <w:tcPr>
            <w:tcW w:w="5100" w:type="dxa"/>
            <w:vAlign w:val="bottom"/>
          </w:tcPr>
          <w:p>
            <w:pPr>
              <w:spacing w:after="0"/>
              <w:rPr>
                <w:sz w:val="24"/>
                <w:szCs w:val="24"/>
                <w:color w:val="auto"/>
              </w:rPr>
            </w:pPr>
          </w:p>
        </w:tc>
      </w:tr>
      <w:tr>
        <w:trPr>
          <w:trHeight w:val="209"/>
        </w:trPr>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9"/>
              </w:rPr>
              <w:t>San Francisco, CA</w:t>
            </w:r>
          </w:p>
        </w:tc>
        <w:tc>
          <w:tcPr>
            <w:tcW w:w="5100" w:type="dxa"/>
            <w:vAlign w:val="bottom"/>
          </w:tcPr>
          <w:p>
            <w:pPr>
              <w:jc w:val="right"/>
              <w:ind w:right="241"/>
              <w:spacing w:after="0"/>
              <w:rPr>
                <w:sz w:val="20"/>
                <w:szCs w:val="20"/>
                <w:color w:val="auto"/>
              </w:rPr>
            </w:pPr>
            <w:r>
              <w:rPr>
                <w:rFonts w:ascii="Arial" w:cs="Arial" w:eastAsia="Arial" w:hAnsi="Arial"/>
                <w:sz w:val="18"/>
                <w:szCs w:val="18"/>
                <w:b w:val="1"/>
                <w:bCs w:val="1"/>
                <w:color w:val="auto"/>
              </w:rPr>
              <w:t>94158</w:t>
            </w:r>
          </w:p>
        </w:tc>
      </w:tr>
      <w:tr>
        <w:trPr>
          <w:trHeight w:val="185"/>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00" w:type="dxa"/>
            <w:vAlign w:val="bottom"/>
          </w:tcPr>
          <w:p>
            <w:pPr>
              <w:jc w:val="center"/>
              <w:ind w:left="3921"/>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2500" w:type="dxa"/>
            <w:vAlign w:val="bottom"/>
          </w:tcPr>
          <w:p>
            <w:pPr>
              <w:spacing w:after="0"/>
              <w:rPr>
                <w:sz w:val="24"/>
                <w:szCs w:val="24"/>
                <w:color w:val="auto"/>
              </w:rPr>
            </w:pPr>
          </w:p>
        </w:tc>
        <w:tc>
          <w:tcPr>
            <w:tcW w:w="5100" w:type="dxa"/>
            <w:vAlign w:val="bottom"/>
          </w:tcPr>
          <w:p>
            <w:pPr>
              <w:jc w:val="right"/>
              <w:ind w:right="2821"/>
              <w:spacing w:after="0"/>
              <w:rPr>
                <w:sz w:val="20"/>
                <w:szCs w:val="20"/>
                <w:color w:val="auto"/>
              </w:rPr>
            </w:pPr>
            <w:r>
              <w:rPr>
                <w:rFonts w:ascii="Arial" w:cs="Arial" w:eastAsia="Arial" w:hAnsi="Arial"/>
                <w:sz w:val="18"/>
                <w:szCs w:val="18"/>
                <w:b w:val="1"/>
                <w:bCs w:val="1"/>
                <w:color w:val="auto"/>
              </w:rPr>
              <w:t>(415) 978-1200</w:t>
            </w:r>
          </w:p>
        </w:tc>
      </w:tr>
      <w:tr>
        <w:trPr>
          <w:trHeight w:val="185"/>
        </w:trPr>
        <w:tc>
          <w:tcPr>
            <w:tcW w:w="2500" w:type="dxa"/>
            <w:vAlign w:val="bottom"/>
          </w:tcPr>
          <w:p>
            <w:pPr>
              <w:spacing w:after="0"/>
              <w:rPr>
                <w:sz w:val="16"/>
                <w:szCs w:val="16"/>
                <w:color w:val="auto"/>
              </w:rPr>
            </w:pPr>
          </w:p>
        </w:tc>
        <w:tc>
          <w:tcPr>
            <w:tcW w:w="5100" w:type="dxa"/>
            <w:vAlign w:val="bottom"/>
          </w:tcPr>
          <w:p>
            <w:pPr>
              <w:jc w:val="center"/>
              <w:ind w:right="1741"/>
              <w:spacing w:after="0"/>
              <w:rPr>
                <w:sz w:val="20"/>
                <w:szCs w:val="20"/>
                <w:color w:val="auto"/>
              </w:rPr>
            </w:pPr>
            <w:r>
              <w:rPr>
                <w:rFonts w:ascii="Arial" w:cs="Arial" w:eastAsia="Arial" w:hAnsi="Arial"/>
                <w:sz w:val="14"/>
                <w:szCs w:val="14"/>
                <w:b w:val="1"/>
                <w:bCs w:val="1"/>
                <w:color w:val="auto"/>
                <w:w w:val="90"/>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74930</wp:posOffset>
            </wp:positionV>
            <wp:extent cx="1449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204" w:lineRule="exact"/>
        <w:rPr>
          <w:sz w:val="24"/>
          <w:szCs w:val="24"/>
          <w:color w:val="auto"/>
        </w:rPr>
      </w:pPr>
    </w:p>
    <w:p>
      <w:pPr>
        <w:ind w:firstLine="51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60" w:firstLine="518"/>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940" w:type="dxa"/>
        <w:tblCellMar>
          <w:top w:w="0" w:type="dxa"/>
          <w:left w:w="0" w:type="dxa"/>
          <w:bottom w:w="0" w:type="dxa"/>
          <w:right w:w="0" w:type="dxa"/>
        </w:tblCellMar>
      </w:tblPr>
      <w:tr>
        <w:trPr>
          <w:trHeight w:val="214"/>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274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446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740" w:type="dxa"/>
            <w:vAlign w:val="bottom"/>
          </w:tcPr>
          <w:p>
            <w:pPr>
              <w:ind w:left="52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20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740" w:type="dxa"/>
            <w:vAlign w:val="bottom"/>
          </w:tcPr>
          <w:p>
            <w:pPr>
              <w:ind w:left="52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280" w:firstLine="518"/>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3" w:lineRule="exact"/>
        <w:rPr>
          <w:sz w:val="24"/>
          <w:szCs w:val="24"/>
          <w:color w:val="auto"/>
        </w:rPr>
      </w:pPr>
    </w:p>
    <w:p>
      <w:pPr>
        <w:ind w:left="520" w:right="1920"/>
        <w:spacing w:after="0" w:line="289"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October 31, 2017 was 82,008,777.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128905</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675640</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19" w:right="25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960" w:type="dxa"/>
            <w:vAlign w:val="bottom"/>
            <w:gridSpan w:val="6"/>
            <w:vMerge w:val="restart"/>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20" w:type="dxa"/>
            <w:vAlign w:val="bottom"/>
            <w:tcBorders>
              <w:bottom w:val="single" w:sz="8" w:color="0000EE"/>
            </w:tcBorders>
            <w:gridSpan w:val="7"/>
            <w:vMerge w:val="continue"/>
          </w:tcPr>
          <w:p>
            <w:pPr>
              <w:spacing w:after="0"/>
              <w:rPr>
                <w:sz w:val="14"/>
                <w:szCs w:val="14"/>
                <w:color w:val="auto"/>
              </w:rPr>
            </w:pPr>
          </w:p>
        </w:tc>
        <w:tc>
          <w:tcPr>
            <w:tcW w:w="3960" w:type="dxa"/>
            <w:vAlign w:val="bottom"/>
            <w:gridSpan w:val="6"/>
            <w:vMerge w:val="continue"/>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42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Financial Statements (Unaudited)</w:t>
              </w:r>
            </w:hyperlink>
          </w:p>
        </w:tc>
        <w:tc>
          <w:tcPr>
            <w:tcW w:w="5820" w:type="dxa"/>
            <w:vAlign w:val="bottom"/>
            <w:gridSpan w:val="11"/>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7420" w:type="dxa"/>
            <w:vAlign w:val="bottom"/>
            <w:tcBorders>
              <w:bottom w:val="single" w:sz="8" w:color="0000EE"/>
            </w:tcBorders>
            <w:gridSpan w:val="19"/>
          </w:tcPr>
          <w:p>
            <w:pPr>
              <w:spacing w:after="0" w:line="194"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as of September 30, 2017 and December 31, 2016 (Unaudited)</w:t>
              </w:r>
            </w:hyperlink>
          </w:p>
        </w:tc>
        <w:tc>
          <w:tcPr>
            <w:tcW w:w="2620" w:type="dxa"/>
            <w:vAlign w:val="bottom"/>
            <w:gridSpan w:val="4"/>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9460" w:type="dxa"/>
            <w:vAlign w:val="bottom"/>
            <w:tcBorders>
              <w:bottom w:val="single" w:sz="8" w:color="0000EE"/>
            </w:tcBorders>
            <w:gridSpan w:val="22"/>
          </w:tcPr>
          <w:p>
            <w:pPr>
              <w:spacing w:after="0" w:line="194"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2017 and 2016 (Unaudited)</w:t>
              </w:r>
            </w:hyperlink>
          </w:p>
        </w:tc>
        <w:tc>
          <w:tcPr>
            <w:tcW w:w="580" w:type="dxa"/>
            <w:vAlign w:val="bottom"/>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40" w:type="dxa"/>
            <w:vAlign w:val="bottom"/>
            <w:gridSpan w:val="23"/>
          </w:tcPr>
          <w:p>
            <w:pPr>
              <w:spacing w:after="0" w:line="194"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Condensed Consolidated Statements of Comprehensive Loss for the Three and Nine Months Ended September 30, 2017 and 2016</w:t>
              </w:r>
            </w:hyperlink>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904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780" w:type="dxa"/>
            <w:vAlign w:val="bottom"/>
            <w:gridSpan w:val="2"/>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8760" w:type="dxa"/>
            <w:vAlign w:val="bottom"/>
            <w:tcBorders>
              <w:bottom w:val="single" w:sz="8" w:color="0000EE"/>
            </w:tcBorders>
            <w:gridSpan w:val="20"/>
          </w:tcPr>
          <w:p>
            <w:pPr>
              <w:spacing w:after="0" w:line="194"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 for the Nine Months Ended September 30, 2017 and 2016 (Unaudited)</w:t>
              </w:r>
            </w:hyperlink>
          </w:p>
        </w:tc>
        <w:tc>
          <w:tcPr>
            <w:tcW w:w="1280" w:type="dxa"/>
            <w:vAlign w:val="bottom"/>
            <w:gridSpan w:val="3"/>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4"/>
        </w:trPr>
        <w:tc>
          <w:tcPr>
            <w:tcW w:w="920" w:type="dxa"/>
            <w:vAlign w:val="bottom"/>
          </w:tcPr>
          <w:p>
            <w:pPr>
              <w:spacing w:after="0"/>
              <w:rPr>
                <w:sz w:val="16"/>
                <w:szCs w:val="16"/>
                <w:color w:val="auto"/>
              </w:rPr>
            </w:pPr>
          </w:p>
        </w:tc>
        <w:tc>
          <w:tcPr>
            <w:tcW w:w="10040" w:type="dxa"/>
            <w:vAlign w:val="bottom"/>
            <w:gridSpan w:val="23"/>
          </w:tcPr>
          <w:p>
            <w:pPr>
              <w:spacing w:after="0" w:line="194"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2.</w:t>
            </w:r>
          </w:p>
        </w:tc>
        <w:tc>
          <w:tcPr>
            <w:tcW w:w="6400" w:type="dxa"/>
            <w:vAlign w:val="bottom"/>
            <w:tcBorders>
              <w:bottom w:val="single" w:sz="8" w:color="0000EE"/>
            </w:tcBorders>
            <w:gridSpan w:val="18"/>
          </w:tcPr>
          <w:p>
            <w:pPr>
              <w:spacing w:after="0" w:line="194"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640" w:type="dxa"/>
            <w:vAlign w:val="bottom"/>
            <w:gridSpan w:val="5"/>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3.</w:t>
            </w:r>
          </w:p>
        </w:tc>
        <w:tc>
          <w:tcPr>
            <w:tcW w:w="4320" w:type="dxa"/>
            <w:vAlign w:val="bottom"/>
            <w:tcBorders>
              <w:bottom w:val="single" w:sz="8" w:color="0000EE"/>
            </w:tcBorders>
            <w:gridSpan w:val="14"/>
          </w:tcPr>
          <w:p>
            <w:pPr>
              <w:spacing w:after="0" w:line="194"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Quantitative and Qualitative Disclosures About Market Risk</w:t>
              </w:r>
            </w:hyperlink>
          </w:p>
        </w:tc>
        <w:tc>
          <w:tcPr>
            <w:tcW w:w="5720" w:type="dxa"/>
            <w:vAlign w:val="bottom"/>
            <w:gridSpan w:val="9"/>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4.</w:t>
            </w:r>
          </w:p>
        </w:tc>
        <w:tc>
          <w:tcPr>
            <w:tcW w:w="10040" w:type="dxa"/>
            <w:vAlign w:val="bottom"/>
            <w:gridSpan w:val="23"/>
          </w:tcPr>
          <w:p>
            <w:pPr>
              <w:spacing w:after="0" w:line="194"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14"/>
        </w:trPr>
        <w:tc>
          <w:tcPr>
            <w:tcW w:w="9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2"/>
          </w:tcPr>
          <w:p>
            <w:pPr>
              <w:jc w:val="center"/>
              <w:ind w:right="412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II—OTHER INFORMATION</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310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2820" w:type="dxa"/>
            <w:vAlign w:val="bottom"/>
            <w:tcBorders>
              <w:top w:val="single" w:sz="8" w:color="0000EE"/>
            </w:tcBorders>
            <w:gridSpan w:val="5"/>
          </w:tcPr>
          <w:p>
            <w:pPr>
              <w:spacing w:after="0"/>
              <w:rPr>
                <w:sz w:val="24"/>
                <w:szCs w:val="24"/>
                <w:color w:val="auto"/>
              </w:rPr>
            </w:pPr>
          </w:p>
        </w:tc>
        <w:tc>
          <w:tcPr>
            <w:tcW w:w="4120" w:type="dxa"/>
            <w:vAlign w:val="bottom"/>
            <w:gridSpan w:val="7"/>
          </w:tcPr>
          <w:p>
            <w:pPr>
              <w:spacing w:after="0"/>
              <w:rPr>
                <w:sz w:val="24"/>
                <w:szCs w:val="2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7"/>
          </w:tcPr>
          <w:p>
            <w:pPr>
              <w:spacing w:after="0" w:line="194"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8720" w:type="dxa"/>
            <w:vAlign w:val="bottom"/>
            <w:gridSpan w:val="16"/>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740" w:type="dxa"/>
            <w:vAlign w:val="bottom"/>
            <w:gridSpan w:val="1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2.</w:t>
            </w:r>
          </w:p>
        </w:tc>
        <w:tc>
          <w:tcPr>
            <w:tcW w:w="10040" w:type="dxa"/>
            <w:vAlign w:val="bottom"/>
            <w:gridSpan w:val="23"/>
          </w:tcPr>
          <w:p>
            <w:pPr>
              <w:spacing w:after="0" w:line="194" w:lineRule="exact"/>
              <w:rPr>
                <w:rFonts w:ascii="Arial" w:cs="Arial" w:eastAsia="Arial" w:hAnsi="Arial"/>
                <w:sz w:val="18"/>
                <w:szCs w:val="18"/>
                <w:color w:val="0000EE"/>
              </w:rPr>
            </w:pPr>
            <w:hyperlink w:anchor="page72">
              <w:r>
                <w:rPr>
                  <w:rFonts w:ascii="Arial" w:cs="Arial" w:eastAsia="Arial" w:hAnsi="Arial"/>
                  <w:sz w:val="18"/>
                  <w:szCs w:val="18"/>
                  <w:color w:val="0000EE"/>
                </w:rPr>
                <w:t>Unregistered Sales of Equity Securities and Use of Proceeds</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w:anchor="page72">
              <w:r>
                <w:rPr>
                  <w:rFonts w:ascii="Arial" w:cs="Arial" w:eastAsia="Arial" w:hAnsi="Arial"/>
                  <w:sz w:val="18"/>
                  <w:szCs w:val="18"/>
                  <w:color w:val="0000EE"/>
                </w:rPr>
                <w:t>Defaults Upon Senior Securities</w:t>
              </w:r>
            </w:hyperlink>
          </w:p>
        </w:tc>
        <w:tc>
          <w:tcPr>
            <w:tcW w:w="5740" w:type="dxa"/>
            <w:vAlign w:val="bottom"/>
            <w:gridSpan w:val="10"/>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8"/>
          </w:tcPr>
          <w:p>
            <w:pPr>
              <w:spacing w:after="0" w:line="194"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Mine Safety Disclosures</w:t>
              </w:r>
            </w:hyperlink>
          </w:p>
        </w:tc>
        <w:tc>
          <w:tcPr>
            <w:tcW w:w="540" w:type="dxa"/>
            <w:vAlign w:val="bottom"/>
            <w:tcBorders>
              <w:top w:val="single" w:sz="8" w:color="0000EE"/>
            </w:tcBorders>
          </w:tcPr>
          <w:p>
            <w:pPr>
              <w:spacing w:after="0"/>
              <w:rPr>
                <w:sz w:val="16"/>
                <w:szCs w:val="16"/>
                <w:color w:val="auto"/>
              </w:rPr>
            </w:pPr>
          </w:p>
        </w:tc>
        <w:tc>
          <w:tcPr>
            <w:tcW w:w="7740" w:type="dxa"/>
            <w:vAlign w:val="bottom"/>
            <w:gridSpan w:val="14"/>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5.</w:t>
            </w:r>
          </w:p>
        </w:tc>
        <w:tc>
          <w:tcPr>
            <w:tcW w:w="10040" w:type="dxa"/>
            <w:vAlign w:val="bottom"/>
            <w:gridSpan w:val="23"/>
          </w:tcPr>
          <w:p>
            <w:pPr>
              <w:spacing w:after="0" w:line="194"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4"/>
        </w:trPr>
        <w:tc>
          <w:tcPr>
            <w:tcW w:w="920" w:type="dxa"/>
            <w:vAlign w:val="bottom"/>
          </w:tcPr>
          <w:p>
            <w:pPr>
              <w:spacing w:after="0" w:line="194"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6"/>
          </w:tcPr>
          <w:p>
            <w:pPr>
              <w:spacing w:after="0" w:line="194" w:lineRule="exact"/>
              <w:rPr>
                <w:rFonts w:ascii="Arial" w:cs="Arial" w:eastAsia="Arial" w:hAnsi="Arial"/>
                <w:sz w:val="18"/>
                <w:szCs w:val="18"/>
                <w:color w:val="0000EE"/>
              </w:rPr>
            </w:pPr>
            <w:hyperlink w:anchor="page73">
              <w:r>
                <w:rPr>
                  <w:rFonts w:ascii="Arial" w:cs="Arial" w:eastAsia="Arial" w:hAnsi="Arial"/>
                  <w:sz w:val="18"/>
                  <w:szCs w:val="18"/>
                  <w:color w:val="0000EE"/>
                </w:rPr>
                <w:t>Exhibits</w:t>
              </w:r>
            </w:hyperlink>
          </w:p>
        </w:tc>
        <w:tc>
          <w:tcPr>
            <w:tcW w:w="8740" w:type="dxa"/>
            <w:vAlign w:val="bottom"/>
            <w:gridSpan w:val="17"/>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80" w:type="dxa"/>
            <w:vAlign w:val="bottom"/>
            <w:gridSpan w:val="2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20" w:type="dxa"/>
            <w:vAlign w:val="bottom"/>
          </w:tcPr>
          <w:p>
            <w:pPr>
              <w:spacing w:after="0"/>
              <w:rPr>
                <w:sz w:val="16"/>
                <w:szCs w:val="16"/>
                <w:color w:val="auto"/>
              </w:rPr>
            </w:pPr>
          </w:p>
        </w:tc>
        <w:tc>
          <w:tcPr>
            <w:tcW w:w="760" w:type="dxa"/>
            <w:vAlign w:val="bottom"/>
            <w:tcBorders>
              <w:bottom w:val="single" w:sz="8" w:color="0000EE"/>
            </w:tcBorders>
            <w:gridSpan w:val="3"/>
          </w:tcPr>
          <w:p>
            <w:pPr>
              <w:spacing w:after="0" w:line="194" w:lineRule="exact"/>
              <w:rPr>
                <w:rFonts w:ascii="Arial" w:cs="Arial" w:eastAsia="Arial" w:hAnsi="Arial"/>
                <w:sz w:val="18"/>
                <w:szCs w:val="18"/>
                <w:color w:val="0000EE"/>
                <w:w w:val="85"/>
              </w:rPr>
            </w:pPr>
            <w:hyperlink w:anchor="page74">
              <w:r>
                <w:rPr>
                  <w:rFonts w:ascii="Arial" w:cs="Arial" w:eastAsia="Arial" w:hAnsi="Arial"/>
                  <w:sz w:val="18"/>
                  <w:szCs w:val="18"/>
                  <w:color w:val="0000EE"/>
                  <w:w w:val="85"/>
                </w:rPr>
                <w:t>Signatures</w:t>
              </w:r>
            </w:hyperlink>
          </w:p>
        </w:tc>
        <w:tc>
          <w:tcPr>
            <w:tcW w:w="9280" w:type="dxa"/>
            <w:vAlign w:val="bottom"/>
            <w:gridSpan w:val="20"/>
          </w:tcPr>
          <w:p>
            <w:pPr>
              <w:spacing w:after="0"/>
              <w:rPr>
                <w:sz w:val="16"/>
                <w:szCs w:val="16"/>
                <w:color w:val="auto"/>
              </w:rPr>
            </w:pPr>
          </w:p>
        </w:tc>
        <w:tc>
          <w:tcPr>
            <w:tcW w:w="480" w:type="dxa"/>
            <w:vAlign w:val="bottom"/>
            <w:gridSpan w:val="2"/>
          </w:tcPr>
          <w:p>
            <w:pPr>
              <w:jc w:val="right"/>
              <w:ind w:right="20"/>
              <w:spacing w:after="0" w:line="194"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659"/>
        </w:trPr>
        <w:tc>
          <w:tcPr>
            <w:tcW w:w="920" w:type="dxa"/>
            <w:vAlign w:val="bottom"/>
          </w:tcPr>
          <w:p>
            <w:pPr>
              <w:spacing w:after="0"/>
              <w:rPr>
                <w:sz w:val="24"/>
                <w:szCs w:val="24"/>
                <w:color w:val="auto"/>
              </w:rPr>
            </w:pPr>
          </w:p>
        </w:tc>
        <w:tc>
          <w:tcPr>
            <w:tcW w:w="5120" w:type="dxa"/>
            <w:vAlign w:val="bottom"/>
            <w:gridSpan w:val="15"/>
          </w:tcPr>
          <w:p>
            <w:pPr>
              <w:ind w:left="4740"/>
              <w:spacing w:after="0"/>
              <w:rPr>
                <w:sz w:val="20"/>
                <w:szCs w:val="20"/>
                <w:color w:val="auto"/>
              </w:rPr>
            </w:pPr>
            <w:r>
              <w:rPr>
                <w:rFonts w:ascii="Arial" w:cs="Arial" w:eastAsia="Arial" w:hAnsi="Arial"/>
                <w:sz w:val="18"/>
                <w:szCs w:val="18"/>
                <w:color w:val="auto"/>
              </w:rPr>
              <w:t>2</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4"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FIBROGEN, INC.</w:t>
      </w:r>
    </w:p>
    <w:p>
      <w:pPr>
        <w:spacing w:after="0" w:line="11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I—FINANCIAL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September 30, 2017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72"/>
              <w:spacing w:after="0" w:line="153" w:lineRule="exact"/>
              <w:rPr>
                <w:sz w:val="20"/>
                <w:szCs w:val="20"/>
                <w:color w:val="auto"/>
              </w:rPr>
            </w:pPr>
            <w:r>
              <w:rPr>
                <w:rFonts w:ascii="Arial" w:cs="Arial" w:eastAsia="Arial" w:hAnsi="Arial"/>
                <w:sz w:val="14"/>
                <w:szCs w:val="14"/>
                <w:b w:val="1"/>
                <w:bCs w:val="1"/>
                <w:color w:val="auto"/>
              </w:rPr>
              <w:t>(Note 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651,373</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78,599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($4,580 and $4,102 from a related party)</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741,456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Long-term investments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126,643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894,892</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1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Accrued liabilities ($479 and $1,615 to related parties)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68,498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65,125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Long-term portion of lease financing obligations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97,370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Deferred rent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304,123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7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w w:val="97"/>
              </w:rPr>
              <w:t>Preferred stock, $0.01 par value; 125,000 shares authorized at September 30, 2017 and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December 31, 2016; no shares issued and outstanding at September 30, 2017 and</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ind w:left="360"/>
              <w:spacing w:after="0"/>
              <w:rPr>
                <w:sz w:val="20"/>
                <w:szCs w:val="20"/>
                <w:color w:val="auto"/>
              </w:rPr>
            </w:pPr>
            <w:r>
              <w:rPr>
                <w:rFonts w:ascii="Arial" w:cs="Arial" w:eastAsia="Arial" w:hAnsi="Arial"/>
                <w:sz w:val="18"/>
                <w:szCs w:val="18"/>
                <w:color w:val="auto"/>
              </w:rPr>
              <w:t>December 31, 2016</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$0.01 par value; 225,000 shares authorized at September 30, 2017</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and December 31, 2016; 81,814 and 63,665 shares issued and outstanding at</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September 30, 2017 and December 31, 2016</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1,146,112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loss</w:t>
            </w: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(1,609)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(573,823)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(469,742)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571,498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155,838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7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14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7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7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894,892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5"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tcPr>
          <w:p>
            <w:pPr>
              <w:spacing w:after="0"/>
              <w:rPr>
                <w:sz w:val="14"/>
                <w:szCs w:val="14"/>
                <w:color w:val="auto"/>
              </w:rPr>
            </w:pPr>
          </w:p>
        </w:tc>
        <w:tc>
          <w:tcPr>
            <w:tcW w:w="25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53"/>
              <w:spacing w:after="0" w:line="153"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3"/>
              <w:spacing w:after="0" w:line="153"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Arial" w:cs="Arial" w:eastAsia="Arial" w:hAnsi="Arial"/>
                <w:sz w:val="18"/>
                <w:szCs w:val="18"/>
                <w:color w:val="auto"/>
              </w:rPr>
              <w:t>License and milestone revenue (includes $4,125, $4,371,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$11,652 and $20,727 from a related party)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19,997</w:t>
            </w:r>
          </w:p>
        </w:tc>
        <w:tc>
          <w:tcPr>
            <w:tcW w:w="30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20,867</w:t>
            </w:r>
          </w:p>
        </w:tc>
        <w:tc>
          <w:tcPr>
            <w:tcW w:w="240" w:type="dxa"/>
            <w:vAlign w:val="bottom"/>
          </w:tcPr>
          <w:p>
            <w:pPr>
              <w:spacing w:after="0"/>
              <w:rPr>
                <w:sz w:val="19"/>
                <w:szCs w:val="19"/>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60,930</w:t>
            </w:r>
          </w:p>
        </w:tc>
        <w:tc>
          <w:tcPr>
            <w:tcW w:w="160" w:type="dxa"/>
            <w:vAlign w:val="bottom"/>
          </w:tcPr>
          <w:p>
            <w:pPr>
              <w:spacing w:after="0"/>
              <w:rPr>
                <w:sz w:val="19"/>
                <w:szCs w:val="19"/>
                <w:color w:val="auto"/>
              </w:rPr>
            </w:pPr>
          </w:p>
        </w:tc>
        <w:tc>
          <w:tcPr>
            <w:tcW w:w="40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services and other revenue (includes $445,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$436, $1,230 and $1,114 from a related party)</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7,275</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9,235</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50,336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144,049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63,289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52,204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(98,797)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(2,760)</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(7,901)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(7,975)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(1,663)</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(37,680)</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(23,996)</w:t>
            </w: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(103,915)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(27,938)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(104,081)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(0.50)</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(0.38)</w:t>
            </w: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(1.49)</w:t>
            </w:r>
          </w:p>
        </w:tc>
        <w:tc>
          <w:tcPr>
            <w:tcW w:w="400" w:type="dxa"/>
            <w:vAlign w:val="bottom"/>
            <w:gridSpan w:val="2"/>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1"/>
              </w:rPr>
              <w:t>Weighted average number of common shares used to calculate net loss per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540" w:type="dxa"/>
            <w:vAlign w:val="bottom"/>
            <w:gridSpan w:val="2"/>
          </w:tcPr>
          <w:p>
            <w:pPr>
              <w:spacing w:after="0"/>
              <w:rPr>
                <w:sz w:val="20"/>
                <w:szCs w:val="20"/>
                <w:color w:val="auto"/>
              </w:rPr>
            </w:pPr>
            <w:r>
              <w:rPr>
                <w:rFonts w:ascii="Arial" w:cs="Arial" w:eastAsia="Arial" w:hAnsi="Arial"/>
                <w:sz w:val="18"/>
                <w:szCs w:val="18"/>
                <w:color w:val="auto"/>
              </w:rPr>
              <w:t>share - basic and diluted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75,891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69,899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6"/>
              </w:rPr>
              <w:t>Three Months Ended September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54"/>
        </w:trPr>
        <w:tc>
          <w:tcPr>
            <w:tcW w:w="53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15"/>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3"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15"/>
              <w:spacing w:after="0" w:line="153"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3"/>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(104,081)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(27,678)</w:t>
            </w:r>
          </w:p>
        </w:tc>
        <w:tc>
          <w:tcPr>
            <w:tcW w:w="100" w:type="dxa"/>
            <w:vAlign w:val="bottom"/>
            <w:shd w:val="clear" w:color="auto" w:fill="CFF0FC"/>
          </w:tcPr>
          <w:p>
            <w:pPr>
              <w:spacing w:after="0"/>
              <w:rPr>
                <w:sz w:val="19"/>
                <w:szCs w:val="19"/>
                <w:color w:val="auto"/>
              </w:rPr>
            </w:pPr>
          </w:p>
        </w:tc>
      </w:tr>
      <w:tr>
        <w:trPr>
          <w:trHeight w:val="227"/>
        </w:trPr>
        <w:tc>
          <w:tcPr>
            <w:tcW w:w="53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(446)</w:t>
            </w:r>
          </w:p>
        </w:tc>
      </w:tr>
      <w:tr>
        <w:trPr>
          <w:trHeight w:val="227"/>
        </w:trPr>
        <w:tc>
          <w:tcPr>
            <w:tcW w:w="538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53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FF0FC"/>
          </w:tcPr>
          <w:p>
            <w:pPr>
              <w:spacing w:after="0"/>
              <w:rPr>
                <w:sz w:val="19"/>
                <w:szCs w:val="19"/>
                <w:color w:val="auto"/>
              </w:rPr>
            </w:pPr>
          </w:p>
        </w:tc>
      </w:tr>
      <w:tr>
        <w:trPr>
          <w:trHeight w:val="227"/>
        </w:trPr>
        <w:tc>
          <w:tcPr>
            <w:tcW w:w="538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loss</w:t>
            </w:r>
          </w:p>
        </w:tc>
        <w:tc>
          <w:tcPr>
            <w:tcW w:w="2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r>
      <w:tr>
        <w:trPr>
          <w:trHeight w:val="206"/>
        </w:trPr>
        <w:tc>
          <w:tcPr>
            <w:tcW w:w="538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change in unrealized gain on available-for-sale</w:t>
            </w: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28"/>
        </w:trPr>
        <w:tc>
          <w:tcPr>
            <w:tcW w:w="53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FF0FC"/>
          </w:tcPr>
          <w:p>
            <w:pPr>
              <w:spacing w:after="0"/>
              <w:rPr>
                <w:sz w:val="19"/>
                <w:szCs w:val="19"/>
                <w:color w:val="auto"/>
              </w:rPr>
            </w:pPr>
          </w:p>
        </w:tc>
      </w:tr>
      <w:tr>
        <w:trPr>
          <w:trHeight w:val="22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 net of taxes</w:t>
            </w: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FF0FC"/>
            </w:tcBorders>
          </w:tcPr>
          <w:p>
            <w:pPr>
              <w:spacing w:after="0"/>
              <w:rPr>
                <w:sz w:val="19"/>
                <w:szCs w:val="19"/>
                <w:color w:val="auto"/>
              </w:rPr>
            </w:pPr>
          </w:p>
        </w:tc>
      </w:tr>
      <w:tr>
        <w:trPr>
          <w:trHeight w:val="220"/>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(37,959)</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(104,730)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Borders>
              <w:bottom w:val="single" w:sz="8" w:color="auto"/>
            </w:tcBorders>
            <w:gridSpan w:val="4"/>
          </w:tcPr>
          <w:p>
            <w:pPr>
              <w:jc w:val="right"/>
              <w:ind w:right="226"/>
              <w:spacing w:after="0"/>
              <w:rPr>
                <w:sz w:val="20"/>
                <w:szCs w:val="20"/>
                <w:color w:val="auto"/>
              </w:rPr>
            </w:pPr>
            <w:r>
              <w:rPr>
                <w:rFonts w:ascii="Arial" w:cs="Arial" w:eastAsia="Arial" w:hAnsi="Arial"/>
                <w:sz w:val="14"/>
                <w:szCs w:val="14"/>
                <w:b w:val="1"/>
                <w:bCs w:val="1"/>
                <w:color w:val="auto"/>
              </w:rPr>
              <w:t>Nine Months Ended September 30,</w:t>
            </w: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2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right"/>
              <w:ind w:right="66"/>
              <w:spacing w:after="0" w:line="153"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8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0" w:type="dxa"/>
            <w:vAlign w:val="bottom"/>
            <w:gridSpan w:val="2"/>
          </w:tcPr>
          <w:p>
            <w:pPr>
              <w:jc w:val="right"/>
              <w:ind w:right="100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(104,081)</w:t>
            </w: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(27,678)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4,582</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1,503</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Unrealized loss (gain) on short-term investments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Gain on disposal of property and equipment</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27,608</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 benefit on unrealized gain on available-for-sale securities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(143)</w:t>
            </w:r>
          </w:p>
        </w:tc>
        <w:tc>
          <w:tcPr>
            <w:tcW w:w="1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Changes in operating assets and liabilities: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1,820</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(1,657)</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payable</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(4,482)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Accrued liabilities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(114)</w:t>
            </w: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revenue</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4,121</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420" w:type="dxa"/>
            <w:vAlign w:val="bottom"/>
          </w:tcPr>
          <w:p>
            <w:pPr>
              <w:ind w:left="240"/>
              <w:spacing w:after="0"/>
              <w:rPr>
                <w:sz w:val="20"/>
                <w:szCs w:val="20"/>
                <w:color w:val="auto"/>
              </w:rPr>
            </w:pPr>
            <w:r>
              <w:rPr>
                <w:rFonts w:ascii="Arial" w:cs="Arial" w:eastAsia="Arial" w:hAnsi="Arial"/>
                <w:sz w:val="16"/>
                <w:szCs w:val="16"/>
                <w:color w:val="auto"/>
              </w:rPr>
              <w:t>Lease financing liability</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474</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liabilities</w:t>
            </w:r>
          </w:p>
        </w:tc>
        <w:tc>
          <w:tcPr>
            <w:tcW w:w="84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32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(65,327)</w:t>
            </w:r>
          </w:p>
        </w:tc>
        <w:tc>
          <w:tcPr>
            <w:tcW w:w="1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25,653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(4,992)</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sale of property and equipment</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Purchases of available-for-sale securities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(102)</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sales of available-for-sale securities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21,109</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84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33,849</w:t>
            </w:r>
          </w:p>
        </w:tc>
        <w:tc>
          <w:tcPr>
            <w:tcW w:w="32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investing activities</w:t>
            </w:r>
          </w:p>
        </w:tc>
        <w:tc>
          <w:tcPr>
            <w:tcW w:w="840" w:type="dxa"/>
            <w:vAlign w:val="bottom"/>
            <w:tcBorders>
              <w:bottom w:val="single" w:sz="8" w:color="CFF0FC"/>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49,869</w:t>
            </w:r>
          </w:p>
        </w:tc>
        <w:tc>
          <w:tcPr>
            <w:tcW w:w="320" w:type="dxa"/>
            <w:vAlign w:val="bottom"/>
            <w:tcBorders>
              <w:bottom w:val="single" w:sz="8" w:color="CFF0FC"/>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lease liability</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(302)</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follow-on offering, net of underwriting discounts and commission costs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471,205</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(5,970)</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1"/>
        </w:trPr>
        <w:tc>
          <w:tcPr>
            <w:tcW w:w="644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28,556</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Payments of deferred offering costs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(430)</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2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84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493,059</w:t>
            </w:r>
          </w:p>
        </w:tc>
        <w:tc>
          <w:tcPr>
            <w:tcW w:w="320" w:type="dxa"/>
            <w:vAlign w:val="bottom"/>
            <w:tcBorders>
              <w:bottom w:val="single" w:sz="8" w:color="CFF0FC"/>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8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w:t>
            </w:r>
          </w:p>
        </w:tc>
        <w:tc>
          <w:tcPr>
            <w:tcW w:w="12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4"/>
        </w:trPr>
        <w:tc>
          <w:tcPr>
            <w:tcW w:w="6440" w:type="dxa"/>
            <w:vAlign w:val="bottom"/>
            <w:gridSpan w:val="2"/>
          </w:tcPr>
          <w:p>
            <w:pPr>
              <w:spacing w:after="0"/>
              <w:rPr>
                <w:sz w:val="20"/>
                <w:szCs w:val="20"/>
                <w:color w:val="auto"/>
              </w:rPr>
            </w:pPr>
            <w:r>
              <w:rPr>
                <w:rFonts w:ascii="Arial" w:cs="Arial" w:eastAsia="Arial" w:hAnsi="Arial"/>
                <w:sz w:val="16"/>
                <w:szCs w:val="16"/>
                <w:color w:val="auto"/>
              </w:rPr>
              <w:t>Net increase in cash and cash equivalents</w:t>
            </w:r>
          </w:p>
        </w:tc>
        <w:tc>
          <w:tcPr>
            <w:tcW w:w="8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477,591</w:t>
            </w:r>
          </w:p>
        </w:tc>
        <w:tc>
          <w:tcPr>
            <w:tcW w:w="3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44,959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840" w:type="dxa"/>
            <w:vAlign w:val="bottom"/>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173,782</w:t>
            </w:r>
          </w:p>
        </w:tc>
        <w:tc>
          <w:tcPr>
            <w:tcW w:w="320" w:type="dxa"/>
            <w:vAlign w:val="bottom"/>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153,324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40" w:type="dxa"/>
            <w:vAlign w:val="bottom"/>
            <w:gridSpan w:val="2"/>
          </w:tcPr>
          <w:p>
            <w:pPr>
              <w:spacing w:after="0"/>
              <w:rPr>
                <w:sz w:val="20"/>
                <w:szCs w:val="20"/>
                <w:color w:val="auto"/>
              </w:rPr>
            </w:pPr>
            <w:r>
              <w:rPr>
                <w:rFonts w:ascii="Arial" w:cs="Arial" w:eastAsia="Arial" w:hAnsi="Arial"/>
                <w:sz w:val="16"/>
                <w:szCs w:val="16"/>
                <w:color w:val="auto"/>
              </w:rPr>
              <w:t>Total cash and cash equivalents at end of period</w:t>
            </w:r>
          </w:p>
        </w:tc>
        <w:tc>
          <w:tcPr>
            <w:tcW w:w="2000" w:type="dxa"/>
            <w:vAlign w:val="bottom"/>
            <w:gridSpan w:val="2"/>
          </w:tcPr>
          <w:p>
            <w:pPr>
              <w:jc w:val="right"/>
              <w:ind w:right="100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651,373</w:t>
            </w:r>
          </w:p>
        </w:tc>
        <w:tc>
          <w:tcPr>
            <w:tcW w:w="320" w:type="dxa"/>
            <w:vAlign w:val="bottom"/>
          </w:tcPr>
          <w:p>
            <w:pPr>
              <w:spacing w:after="0"/>
              <w:rPr>
                <w:sz w:val="17"/>
                <w:szCs w:val="17"/>
                <w:color w:val="auto"/>
              </w:rPr>
            </w:pPr>
          </w:p>
        </w:tc>
        <w:tc>
          <w:tcPr>
            <w:tcW w:w="1200" w:type="dxa"/>
            <w:vAlign w:val="bottom"/>
          </w:tcPr>
          <w:p>
            <w:pPr>
              <w:jc w:val="right"/>
              <w:ind w:right="104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198,283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FIBROGEN, INC.</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p>
      <w:pPr>
        <w:ind w:right="8560" w:firstLine="7"/>
        <w:spacing w:after="0" w:line="395" w:lineRule="auto"/>
        <w:tabs>
          <w:tab w:leader="none" w:pos="50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Pamrevlumab, or FG-3019, is the Company’s monoclonal antibody in Phase 2 clinical development for the treatment of idiopathic pulmonary fibrosis (“IPF”), pancreatic cancer, Duchenne muscular dystrophy (“DMD”) and liver fibrosis. The Company has taken a global approach with respect to the development and future commercialization of its product candidates, and this includes development and commercialization in the People’s Republic of China (“China”). The Company is capitalizing on its extensive experience in fibrosis and hypoxia inducible factor (“HIF”) biology and clinical development to advance a pipeline of innovative medicines for the treatment of anemia, fibrotic disease cancer, corneal blindness and other serious unmet medical needs.</w:t>
      </w:r>
    </w:p>
    <w:p>
      <w:pPr>
        <w:spacing w:after="0" w:line="18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April 11, 2017, the Company closed the follow-on offering of its common stock. In this offering, the Company sold 5,228,750 shares of its common stock at a public offering price of $22.95 per share. Net proceeds from this offering were $115.1 million, after deducting underwriting discounts and commissions of $4.9 million. In addition, the offering expenses were approximately $0.6 million in total. On August 24, 2017, the Company completed another follow-on offering of its common stock. In this offering, the Company sold a total of 9,200,000 shares of its common stock at a public offering price of $40.75 per share. Net proceeds from this offering were $356.2 million, after deducting underwriting discounts and commissions of $18.7 million. In addition, the offering expenses were approximately $0.4 million in total.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in one segment — the discovery, development and commercialization of novel therapeutics to treat serious unmet medical needs.</w:t>
      </w:r>
    </w:p>
    <w:p>
      <w:pPr>
        <w:spacing w:after="0" w:line="18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unaudited condensed consolidated financial statements and related disclosures have been prepared in accordance with accounting principles generally accepted in the United States of America (“U.S. GAAP”) applicable to interim financial reporting and with the instructions to Form 10-Q and Rule 10-01 of Regulation S-X of the United States (“U.S.”) Securities and Exchange Commission (“SEC”) and, therefore, do not include all information and footnote disclosures normally included in the annual consolidated financial statements. The December 31, 2016 condensed consolidated balance sheet data contained within this Form 10-Q was derived from audited consolidated financial statements included in the Company’s Annual Report on Form 10-K filed with the SEC for the year ended December 31, 2016 (“2016 Form 10-K”), but does not include all disclosures required by U.S. GAAP.</w:t>
      </w:r>
    </w:p>
    <w:p>
      <w:pPr>
        <w:spacing w:after="0" w:line="18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financial information included herein should be read in conjunction with the consolidated financial statements and related notes in the 2016 Form 10-K. The accounting policies used by the Company in its presentation of interim financial results are consistent with those presented in Note 2 to the consolidated financial statements included in the 2016 Form 10-K.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 In our opinion, the accompanying unaudited condensed consolidated financial statements include all normal recurring adjustments necessary for a fair statement of our financial position, results of operations and cash flows for the interim periods presented.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17"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In March 2016, the Financial Accounting Standards Board (“FASB”) issued Accounting Standards Update (“ASU”)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(Topic 718)</w:t>
      </w:r>
      <w:r>
        <w:rPr>
          <w:rFonts w:ascii="Arial" w:cs="Arial" w:eastAsia="Arial" w:hAnsi="Arial"/>
          <w:sz w:val="16"/>
          <w:szCs w:val="16"/>
          <w:color w:val="auto"/>
        </w:rPr>
        <w:t>. This guidance identifies areas for simplification involving several aspects of accounting for share-based payment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was effective for the annual reporting period beginning after December 15, 2016, including interim periods within that reporting period. The Company adopted this guidance as of January 1, 2017 and has elected to continue with its existing policy to estimate forfeitures expected to occur when calculating stock compensation expense. Upon adoption, the Company recorded a retrospective increase of $19.5 million in deferred tax assets for previously unrecognized excess tax benefits that existed as of December 31, 2016, and a corresponding increase of $19.5 million in the valuation allowance against these deferred tax assets, as substantially all of the Company’s U.S. and foreign deferred tax assets, net of deferred tax liabilities, are subject to a full valuation allowance</w:t>
      </w:r>
      <w:r>
        <w:rPr>
          <w:rFonts w:ascii="Arial" w:cs="Arial" w:eastAsia="Arial" w:hAnsi="Arial"/>
          <w:sz w:val="16"/>
          <w:szCs w:val="16"/>
          <w:color w:val="1F497D"/>
        </w:rPr>
        <w:t>.</w:t>
      </w:r>
      <w:r>
        <w:rPr>
          <w:rFonts w:ascii="Arial" w:cs="Arial" w:eastAsia="Arial" w:hAnsi="Arial"/>
          <w:sz w:val="16"/>
          <w:szCs w:val="16"/>
          <w:color w:val="auto"/>
        </w:rPr>
        <w:t xml:space="preserve"> As such, the net impact from these retrospective adjustments was zero to the Company’s accumulated deficit. The adoption of this guidance had no impact to the Company’s consolidated financial statements for the three and nine months ended September 30, 2017.</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This guidance provides guidance about which changes to the terms or conditions of a stock-based payment award require an entity to apply modification accounting in Topic 718. This guidance is effective for annual reporting period beginning after December 15, 2017, including interim periods, with early adoption permitted. The Company is currently evaluating the impact on its consolidated financial statements upon the adoption of this guidance.</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The Company is currently evaluating the impact on its consolidated financial statements upon the adoption of this guidance.</w:t>
      </w:r>
    </w:p>
    <w:p>
      <w:pPr>
        <w:spacing w:after="0" w:line="19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supersedes the revenue recognition requirements in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Principal versus Agent Considerations </w:t>
      </w:r>
      <w:r>
        <w:rPr>
          <w:rFonts w:ascii="Arial" w:cs="Arial" w:eastAsia="Arial" w:hAnsi="Arial"/>
          <w:sz w:val="17"/>
          <w:szCs w:val="17"/>
          <w:color w:val="auto"/>
        </w:rPr>
        <w:t>(“ASU 2016-08”); ASU No. 2016-10,</w:t>
      </w:r>
      <w:r>
        <w:rPr>
          <w:rFonts w:ascii="Arial" w:cs="Arial" w:eastAsia="Arial" w:hAnsi="Arial"/>
          <w:sz w:val="17"/>
          <w:szCs w:val="17"/>
          <w:i w:val="1"/>
          <w:iCs w:val="1"/>
          <w:color w:val="auto"/>
        </w:rPr>
        <w:t xml:space="preserve"> Revenue from Contracts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 xml:space="preserve">Customers (Topic 606): Identifying Performance Obligations and Licensing </w:t>
      </w:r>
      <w:r>
        <w:rPr>
          <w:rFonts w:ascii="Arial" w:cs="Arial" w:eastAsia="Arial" w:hAnsi="Arial"/>
          <w:sz w:val="16"/>
          <w:szCs w:val="16"/>
          <w:color w:val="auto"/>
        </w:rPr>
        <w:t>(“ASU 2016-10”); ASU No.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The Company must adopt ASU 2016-08, ASU 2016-10, ASU 2016-12 and ASU 2016-20 with ASU 2014-09 (collectively, the “new revenue standards”). The amendments may be applied retrospectively to each prior period (full retrospective) or retrospectively with the cumulative effect recognized as of the date of initial application (modified retrospective). The Company has commenced its implementation activities related to the adoption of ASU 2014-09 and is in the process of applying the five-step model of the new standard to its various revenue related arrangements. The Company has completed step 1 (Identify the contract(s) with a customer) and concluded that its collaboration agreements with Astellas Pharma Inc. and AstraZeneca AB are the only material contracts which will be impacted by the adoption of the new revenue standards. The Company is in the process of completing step 2 (Identify the performance obligations in the contract) and has not yet reached a conclusion on whether the distinct criteria evaluated under ASC 605-25 for each performance obligation would result in a similar conclusion under the new revenue standards. With respect to milestones that were previously recognized under ASC 605-28, the milestone method is not applicable under the new revenue standards, and they are considered part of the overall arrangement consideration which will result in a deferral of revenue under the new revenue standards as part of the adoption. The Company will adopt the new revenue standards in the first quarter of 2018 and apply the full retrospective method to restate each prior reporting period presented in the consolidated financial statements.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As the Company completes its evaluation of this new standard, new information may arise that could change the Company's current understanding of the impact to revenues recognized and its views on the expected impact to the periods prior to adoption.</w:t>
      </w:r>
    </w:p>
    <w:p>
      <w:pPr>
        <w:spacing w:after="0" w:line="273" w:lineRule="exact"/>
        <w:rPr>
          <w:sz w:val="20"/>
          <w:szCs w:val="20"/>
          <w:color w:val="auto"/>
        </w:rPr>
      </w:pPr>
    </w:p>
    <w:p>
      <w:pPr>
        <w:ind w:right="8860" w:firstLine="7"/>
        <w:spacing w:after="0" w:line="420" w:lineRule="auto"/>
        <w:tabs>
          <w:tab w:leader="none" w:pos="50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During the second quarter of 2016, the Company recognized $10.0 million of revenue as a result of the initiation by Astellas of the first Phase 3 clinical study in Japan of roxadustat for treatment of anemia associated with chronic kidney disease in patients on dialysis. The amount was received in early July 2016. The Company evaluated the criteria under ASC 605-28 and concluded that the aforementioned milestone was substantive.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were fully received in various amounts through June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the U.S./RoW Agreement, the Company and AstraZeneca will share equally in the development costs of roxadustat not already paid for by Astellas, up to a total of $233.0 million (i.e. the Company’s share of development costs is $116.5 million, which was reached during the fourth quarter of 2015).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8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In September 2016, AstraZeneca approved the protocol related to the development of roxadustat for the treatment of anemia in patients with myelodysplastic syndromes (“MDS”), for which the Company has received approval from the China Food and Drug Administration for its clinical trial application for a Phase 2/3 trial and acceptance of its investigational new drug application from the U.S. Food and Drug Administration for a Phase 3 trial. As a result, for revenue recognition purposes, during the third quarter of 2016, the Company extended the estimated joint development service period for the AstraZeneca agreements from the end of 2018 to the end of 2020, to allow for development of MDS.</w:t>
      </w:r>
    </w:p>
    <w:p>
      <w:pPr>
        <w:spacing w:after="0" w:line="17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October 2017, the China Food and Drug Administration accepted the Company’s recently submitted New Drug Application (“NDA”) for registration of roxadustat for anemia in dialysis-dependent CKD and non-dialysis-dependent CKD (NDD-CKD) patients. This NDA submission triggers a $15.0 million milestone payment to the Company by AstraZeneca, which is expected to be received and fully recognized under the Company’s current revenue recognition policy as license and milestone revenue in the fourth quarter of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17"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table below summarizes the accounting treatment for the various deliverables pursuant to each of the Astellas and AstraZeneca agreements. License amounts identified below are included in the “License and milestone revenue” line item in the condensed consolidated statements of operations. All other elements identified below are included in the “Collaboration services and other revenue” line item in the condensed consolidated statements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Deliverable</w:t>
            </w:r>
          </w:p>
        </w:tc>
        <w:tc>
          <w:tcPr>
            <w:tcW w:w="200" w:type="dxa"/>
            <w:vAlign w:val="bottom"/>
          </w:tcPr>
          <w:p>
            <w:pPr>
              <w:spacing w:after="0"/>
              <w:rPr>
                <w:sz w:val="14"/>
                <w:szCs w:val="14"/>
                <w:color w:val="auto"/>
              </w:rPr>
            </w:pPr>
          </w:p>
        </w:tc>
        <w:tc>
          <w:tcPr>
            <w:tcW w:w="29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4"/>
                <w:szCs w:val="14"/>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3900" w:type="dxa"/>
            <w:vAlign w:val="bottom"/>
            <w:gridSpan w:val="3"/>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35"/>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20" w:type="dxa"/>
            <w:vAlign w:val="bottom"/>
            <w:gridSpan w:val="2"/>
          </w:tcPr>
          <w:p>
            <w:pPr>
              <w:ind w:left="120"/>
              <w:spacing w:after="0"/>
              <w:rPr>
                <w:sz w:val="20"/>
                <w:szCs w:val="20"/>
                <w:color w:val="auto"/>
              </w:rPr>
            </w:pPr>
            <w:r>
              <w:rPr>
                <w:rFonts w:ascii="Arial" w:cs="Arial" w:eastAsia="Arial" w:hAnsi="Arial"/>
                <w:sz w:val="18"/>
                <w:szCs w:val="18"/>
                <w:color w:val="auto"/>
              </w:rPr>
              <w:t>Milestones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20" w:type="dxa"/>
            <w:vAlign w:val="bottom"/>
            <w:tcBorders>
              <w:top w:val="single" w:sz="8" w:color="CFF0FC"/>
            </w:tcBorders>
            <w:shd w:val="clear" w:color="auto" w:fill="CFF0FC"/>
          </w:tcPr>
          <w:p>
            <w:pPr>
              <w:spacing w:after="0"/>
              <w:rPr>
                <w:sz w:val="19"/>
                <w:szCs w:val="19"/>
                <w:color w:val="auto"/>
              </w:rPr>
            </w:pPr>
          </w:p>
        </w:tc>
        <w:tc>
          <w:tcPr>
            <w:tcW w:w="3900" w:type="dxa"/>
            <w:vAlign w:val="bottom"/>
            <w:tcBorders>
              <w:top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Total license and milestone revenue</w:t>
            </w: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3900" w:type="dxa"/>
            <w:vAlign w:val="bottom"/>
            <w:gridSpan w:val="3"/>
          </w:tcPr>
          <w:p>
            <w:pPr>
              <w:ind w:left="180"/>
              <w:spacing w:after="0"/>
              <w:rPr>
                <w:sz w:val="20"/>
                <w:szCs w:val="20"/>
                <w:color w:val="auto"/>
              </w:rPr>
            </w:pPr>
            <w:r>
              <w:rPr>
                <w:rFonts w:ascii="Arial" w:cs="Arial" w:eastAsia="Arial" w:hAnsi="Arial"/>
                <w:sz w:val="18"/>
                <w:szCs w:val="18"/>
                <w:color w:val="auto"/>
              </w:rPr>
              <w:t>Collaboration services revenue*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58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9"/>
                <w:szCs w:val="19"/>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520" w:right="140" w:hanging="513"/>
        <w:spacing w:after="0" w:line="259"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-424180</wp:posOffset>
            </wp:positionV>
            <wp:extent cx="966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164"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Japan Agreement, along with any associated deferred revenue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Cumulative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September 30, 2017</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46,646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46,646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89"/>
              </w:rPr>
              <w:t>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Committee services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48,855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9"/>
              </w:rPr>
              <w:t>24</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48,879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4"/>
          </w:tcPr>
          <w:p>
            <w:pPr>
              <w:jc w:val="right"/>
              <w:ind w:right="295"/>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5"/>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5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320" w:type="dxa"/>
            <w:vAlign w:val="bottom"/>
            <w:tcBorders>
              <w:top w:val="single" w:sz="8" w:color="CFF0FC"/>
            </w:tcBorders>
            <w:shd w:val="clear" w:color="auto" w:fill="CFF0FC"/>
          </w:tcPr>
          <w:p>
            <w:pPr>
              <w:spacing w:after="0"/>
              <w:rPr>
                <w:sz w:val="19"/>
                <w:szCs w:val="19"/>
                <w:color w:val="auto"/>
              </w:rPr>
            </w:pPr>
          </w:p>
        </w:tc>
        <w:tc>
          <w:tcPr>
            <w:tcW w:w="3700" w:type="dxa"/>
            <w:vAlign w:val="bottom"/>
            <w:tcBorders>
              <w:top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10,716</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Collaboration services revenue*</w:t>
            </w:r>
          </w:p>
        </w:tc>
        <w:tc>
          <w:tcPr>
            <w:tcW w:w="40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423</w:t>
            </w:r>
          </w:p>
        </w:tc>
        <w:tc>
          <w:tcPr>
            <w:tcW w:w="32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292</w:t>
            </w:r>
          </w:p>
        </w:tc>
        <w:tc>
          <w:tcPr>
            <w:tcW w:w="5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1,184</w:t>
            </w:r>
          </w:p>
        </w:tc>
        <w:tc>
          <w:tcPr>
            <w:tcW w:w="280" w:type="dxa"/>
            <w:vAlign w:val="bottom"/>
          </w:tcPr>
          <w:p>
            <w:pPr>
              <w:spacing w:after="0"/>
              <w:rPr>
                <w:sz w:val="19"/>
                <w:szCs w:val="19"/>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60" w:right="80" w:hanging="500"/>
        <w:spacing w:after="0" w:line="255"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-557530</wp:posOffset>
            </wp:positionV>
            <wp:extent cx="966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6470" cy="8255"/>
                    </a:xfrm>
                    <a:prstGeom prst="rect">
                      <a:avLst/>
                    </a:prstGeom>
                    <a:noFill/>
                  </pic:spPr>
                </pic:pic>
              </a:graphicData>
            </a:graphic>
          </wp:anchor>
        </w:drawing>
      </w:r>
    </w:p>
    <w:p>
      <w:pPr>
        <w:spacing w:after="0" w:line="168"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Europe Agreement, along with any associated deferred revenue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Cumulative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5"/>
              <w:spacing w:after="0" w:line="147"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September 30, 2017</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September 30, 2017</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6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422,988</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422,988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10,132</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33,892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Committee services</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w w:val="98"/>
              </w:rPr>
              <w:t>Total license and collaboration services revenue</w:t>
            </w:r>
          </w:p>
        </w:tc>
        <w:tc>
          <w:tcPr>
            <w:tcW w:w="680" w:type="dxa"/>
            <w:vAlign w:val="bottom"/>
          </w:tcPr>
          <w:p>
            <w:pPr>
              <w:spacing w:after="0"/>
              <w:rPr>
                <w:sz w:val="19"/>
                <w:szCs w:val="19"/>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467,739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468,133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80" w:type="dxa"/>
            <w:vAlign w:val="bottom"/>
            <w:vMerge w:val="restart"/>
          </w:tcPr>
          <w:p>
            <w:pPr>
              <w:jc w:val="right"/>
              <w:ind w:right="11"/>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11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4"/>
        </w:trPr>
        <w:tc>
          <w:tcPr>
            <w:tcW w:w="1320" w:type="dxa"/>
            <w:vAlign w:val="bottom"/>
            <w:vMerge w:val="continue"/>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320" w:type="dxa"/>
            <w:vAlign w:val="bottom"/>
            <w:tcBorders>
              <w:top w:val="single" w:sz="8" w:color="auto"/>
            </w:tcBorders>
            <w:shd w:val="clear" w:color="auto" w:fill="CFF0FC"/>
          </w:tcPr>
          <w:p>
            <w:pPr>
              <w:spacing w:after="0" w:line="206" w:lineRule="exact"/>
              <w:rPr>
                <w:sz w:val="20"/>
                <w:szCs w:val="20"/>
                <w:color w:val="auto"/>
              </w:rPr>
            </w:pPr>
            <w:r>
              <w:rPr>
                <w:rFonts w:ascii="Arial" w:cs="Arial" w:eastAsia="Arial" w:hAnsi="Arial"/>
                <w:sz w:val="18"/>
                <w:szCs w:val="18"/>
                <w:color w:val="auto"/>
              </w:rPr>
              <w:t>U.S. / RoW</w:t>
            </w:r>
          </w:p>
        </w:tc>
        <w:tc>
          <w:tcPr>
            <w:tcW w:w="180" w:type="dxa"/>
            <w:vAlign w:val="bottom"/>
            <w:tcBorders>
              <w:top w:val="single" w:sz="8" w:color="CFF0FC"/>
            </w:tcBorders>
            <w:shd w:val="clear" w:color="auto" w:fill="CFF0FC"/>
          </w:tcPr>
          <w:p>
            <w:pPr>
              <w:spacing w:after="0"/>
              <w:rPr>
                <w:sz w:val="17"/>
                <w:szCs w:val="17"/>
                <w:color w:val="auto"/>
              </w:rPr>
            </w:pPr>
          </w:p>
        </w:tc>
        <w:tc>
          <w:tcPr>
            <w:tcW w:w="35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3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80" w:type="dxa"/>
            <w:vAlign w:val="bottom"/>
            <w:shd w:val="clear" w:color="auto" w:fill="CFF0FC"/>
          </w:tcPr>
          <w:p>
            <w:pPr>
              <w:spacing w:after="0"/>
              <w:rPr>
                <w:sz w:val="19"/>
                <w:szCs w:val="19"/>
                <w:color w:val="auto"/>
              </w:rPr>
            </w:pPr>
          </w:p>
        </w:tc>
        <w:tc>
          <w:tcPr>
            <w:tcW w:w="35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License</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16,496</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20" w:type="dxa"/>
            <w:vAlign w:val="bottom"/>
          </w:tcPr>
          <w:p>
            <w:pPr>
              <w:ind w:left="12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320" w:type="dxa"/>
            <w:vAlign w:val="bottom"/>
            <w:tcBorders>
              <w:top w:val="single" w:sz="8" w:color="CFF0FC"/>
            </w:tcBorders>
            <w:shd w:val="clear" w:color="auto" w:fill="CFF0FC"/>
          </w:tcPr>
          <w:p>
            <w:pPr>
              <w:spacing w:after="0"/>
              <w:rPr>
                <w:sz w:val="19"/>
                <w:szCs w:val="19"/>
                <w:color w:val="auto"/>
              </w:rPr>
            </w:pPr>
          </w:p>
        </w:tc>
        <w:tc>
          <w:tcPr>
            <w:tcW w:w="3700" w:type="dxa"/>
            <w:vAlign w:val="bottom"/>
            <w:tcBorders>
              <w:top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15,872</w:t>
            </w: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16,496</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49,278</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tcPr>
          <w:p>
            <w:pPr>
              <w:spacing w:after="0"/>
              <w:rPr>
                <w:sz w:val="19"/>
                <w:szCs w:val="19"/>
                <w:color w:val="auto"/>
              </w:rPr>
            </w:pPr>
          </w:p>
        </w:tc>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Collaboration services revenue*</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6,830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20,997</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320" w:type="dxa"/>
            <w:vAlign w:val="bottom"/>
            <w:shd w:val="clear" w:color="auto" w:fill="CFF0FC"/>
          </w:tcPr>
          <w:p>
            <w:pPr>
              <w:spacing w:after="0"/>
              <w:rPr>
                <w:sz w:val="19"/>
                <w:szCs w:val="19"/>
                <w:color w:val="auto"/>
              </w:rPr>
            </w:pPr>
          </w:p>
        </w:tc>
        <w:tc>
          <w:tcPr>
            <w:tcW w:w="37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China single unit of accounting**</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520" w:right="20" w:hanging="513"/>
        <w:spacing w:after="0" w:line="253"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-691515</wp:posOffset>
            </wp:positionV>
            <wp:extent cx="1212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64" w:lineRule="exact"/>
        <w:rPr>
          <w:sz w:val="20"/>
          <w:szCs w:val="20"/>
          <w:color w:val="auto"/>
        </w:rPr>
      </w:pPr>
    </w:p>
    <w:p>
      <w:pPr>
        <w:ind w:left="520" w:right="280" w:hanging="513"/>
        <w:spacing w:after="0" w:line="259"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84"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U.S./RoW Agreement, along with any associated deferred revenue as follows (in thousands):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Cumulative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38"/>
              <w:spacing w:after="0" w:line="147"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7"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6"/>
              <w:spacing w:after="0" w:line="147"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September 30, 2017</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September 30, 2017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451,974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451,974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111,693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25,723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137,416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China-single unit of accounting</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92,643</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564,103</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118,400</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682,503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Other revenues consist of royalty payments received, which are recorded on a monthly basis as they are reported to the Company, and collagen feasibility sales.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were immaterial for all periods presented.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17"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520" w:hanging="513"/>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assets that are measured on a recurring basis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3"/>
          </w:tcPr>
          <w:p>
            <w:pPr>
              <w:jc w:val="right"/>
              <w:ind w:right="597"/>
              <w:spacing w:after="0"/>
              <w:rPr>
                <w:sz w:val="20"/>
                <w:szCs w:val="20"/>
                <w:color w:val="auto"/>
              </w:rPr>
            </w:pPr>
            <w:r>
              <w:rPr>
                <w:rFonts w:ascii="Arial" w:cs="Arial" w:eastAsia="Arial" w:hAnsi="Arial"/>
                <w:sz w:val="14"/>
                <w:szCs w:val="14"/>
                <w:b w:val="1"/>
                <w:bCs w:val="1"/>
                <w:color w:val="auto"/>
              </w:rPr>
              <w:t>September 30, 2017</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75,872</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18,251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18,251</w:t>
            </w:r>
          </w:p>
        </w:tc>
        <w:tc>
          <w:tcPr>
            <w:tcW w:w="100" w:type="dxa"/>
            <w:vAlign w:val="bottom"/>
          </w:tcPr>
          <w:p>
            <w:pPr>
              <w:spacing w:after="0"/>
              <w:rPr>
                <w:sz w:val="19"/>
                <w:szCs w:val="19"/>
                <w:color w:val="auto"/>
              </w:rPr>
            </w:pPr>
          </w:p>
        </w:tc>
      </w:tr>
      <w:tr>
        <w:trPr>
          <w:trHeight w:val="22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546,498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546,498</w:t>
            </w:r>
          </w:p>
        </w:tc>
        <w:tc>
          <w:tcPr>
            <w:tcW w:w="100" w:type="dxa"/>
            <w:vAlign w:val="bottom"/>
          </w:tcPr>
          <w:p>
            <w:pPr>
              <w:spacing w:after="0"/>
              <w:rPr>
                <w:sz w:val="19"/>
                <w:szCs w:val="19"/>
                <w:color w:val="auto"/>
              </w:rPr>
            </w:pPr>
          </w:p>
        </w:tc>
      </w:tr>
      <w:tr>
        <w:trPr>
          <w:trHeight w:val="22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19"/>
                <w:szCs w:val="19"/>
                <w:color w:val="auto"/>
              </w:rPr>
            </w:pPr>
          </w:p>
        </w:tc>
      </w:tr>
      <w:tr>
        <w:trPr>
          <w:trHeight w:val="220"/>
        </w:trPr>
        <w:tc>
          <w:tcPr>
            <w:tcW w:w="44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564,956</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76,908</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641,864</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7"/>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jc w:val="right"/>
              <w:ind w:right="617"/>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77"/>
              <w:spacing w:after="0" w:line="153" w:lineRule="exact"/>
              <w:rPr>
                <w:sz w:val="20"/>
                <w:szCs w:val="20"/>
                <w:color w:val="auto"/>
              </w:rPr>
            </w:pPr>
            <w:r>
              <w:rPr>
                <w:rFonts w:ascii="Arial" w:cs="Arial" w:eastAsia="Arial" w:hAnsi="Arial"/>
                <w:sz w:val="14"/>
                <w:szCs w:val="14"/>
                <w:b w:val="1"/>
                <w:bCs w:val="1"/>
                <w:color w:val="auto"/>
              </w:rPr>
              <w:t>Level 3</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jc w:val="right"/>
              <w:ind w:right="534"/>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2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Bond and mutual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tcPr>
          <w:p>
            <w:pPr>
              <w:spacing w:after="0"/>
              <w:rPr>
                <w:sz w:val="19"/>
                <w:szCs w:val="19"/>
                <w:color w:val="auto"/>
              </w:rPr>
            </w:pPr>
          </w:p>
        </w:tc>
      </w:tr>
      <w:tr>
        <w:trPr>
          <w:trHeight w:val="22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FF0FC"/>
          </w:tcPr>
          <w:p>
            <w:pPr>
              <w:spacing w:after="0"/>
              <w:rPr>
                <w:sz w:val="19"/>
                <w:szCs w:val="19"/>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Money market funds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94,543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94,543</w:t>
            </w:r>
          </w:p>
        </w:tc>
        <w:tc>
          <w:tcPr>
            <w:tcW w:w="100" w:type="dxa"/>
            <w:vAlign w:val="bottom"/>
          </w:tcPr>
          <w:p>
            <w:pPr>
              <w:spacing w:after="0"/>
              <w:rPr>
                <w:sz w:val="19"/>
                <w:szCs w:val="19"/>
                <w:color w:val="auto"/>
              </w:rPr>
            </w:pPr>
          </w:p>
        </w:tc>
      </w:tr>
      <w:tr>
        <w:trPr>
          <w:trHeight w:val="22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3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FF0FC"/>
          </w:tcPr>
          <w:p>
            <w:pPr>
              <w:spacing w:after="0"/>
              <w:rPr>
                <w:sz w:val="19"/>
                <w:szCs w:val="19"/>
                <w:color w:val="auto"/>
              </w:rPr>
            </w:pPr>
          </w:p>
        </w:tc>
      </w:tr>
      <w:tr>
        <w:trPr>
          <w:trHeight w:val="220"/>
        </w:trPr>
        <w:tc>
          <w:tcPr>
            <w:tcW w:w="4420" w:type="dxa"/>
            <w:vAlign w:val="bottom"/>
          </w:tcPr>
          <w:p>
            <w:pPr>
              <w:ind w:left="2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117,230</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127,720</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244,950</w:t>
            </w:r>
          </w:p>
        </w:tc>
        <w:tc>
          <w:tcPr>
            <w:tcW w:w="10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Our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financial liabilities that are carried at historical cost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1"/>
              </w:rPr>
              <w:t>September 30, 2017</w:t>
            </w: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4"/>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3"/>
                <w:szCs w:val="13"/>
                <w:color w:val="auto"/>
              </w:rPr>
            </w:pPr>
          </w:p>
        </w:tc>
        <w:tc>
          <w:tcPr>
            <w:tcW w:w="1020" w:type="dxa"/>
            <w:vAlign w:val="bottom"/>
          </w:tcPr>
          <w:p>
            <w:pPr>
              <w:jc w:val="right"/>
              <w:ind w:right="460"/>
              <w:spacing w:after="0" w:line="153" w:lineRule="exact"/>
              <w:rPr>
                <w:sz w:val="20"/>
                <w:szCs w:val="20"/>
                <w:color w:val="auto"/>
              </w:rPr>
            </w:pPr>
            <w:r>
              <w:rPr>
                <w:rFonts w:ascii="Arial" w:cs="Arial" w:eastAsia="Arial" w:hAnsi="Arial"/>
                <w:sz w:val="14"/>
                <w:szCs w:val="14"/>
                <w:b w:val="1"/>
                <w:bCs w:val="1"/>
                <w:color w:val="auto"/>
                <w:w w:val="96"/>
              </w:rPr>
              <w:t>Level 3</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4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98,028</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98,028</w:t>
            </w:r>
          </w:p>
        </w:tc>
        <w:tc>
          <w:tcPr>
            <w:tcW w:w="100" w:type="dxa"/>
            <w:vAlign w:val="bottom"/>
            <w:tcBorders>
              <w:top w:val="single" w:sz="8" w:color="CFF0FC"/>
            </w:tcBorders>
            <w:shd w:val="clear" w:color="auto" w:fill="CFF0FC"/>
          </w:tcPr>
          <w:p>
            <w:pPr>
              <w:spacing w:after="0"/>
              <w:rPr>
                <w:sz w:val="19"/>
                <w:szCs w:val="19"/>
                <w:color w:val="auto"/>
              </w:rPr>
            </w:pPr>
          </w:p>
        </w:tc>
      </w:tr>
      <w:tr>
        <w:trPr>
          <w:trHeight w:val="387"/>
        </w:trPr>
        <w:tc>
          <w:tcPr>
            <w:tcW w:w="4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3"/>
              </w:rPr>
              <w:t>December 31, 2016</w:t>
            </w:r>
          </w:p>
        </w:tc>
        <w:tc>
          <w:tcPr>
            <w:tcW w:w="10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Level 2</w:t>
            </w:r>
          </w:p>
        </w:tc>
        <w:tc>
          <w:tcPr>
            <w:tcW w:w="500" w:type="dxa"/>
            <w:vAlign w:val="bottom"/>
          </w:tcPr>
          <w:p>
            <w:pPr>
              <w:spacing w:after="0"/>
              <w:rPr>
                <w:sz w:val="13"/>
                <w:szCs w:val="13"/>
                <w:color w:val="auto"/>
              </w:rPr>
            </w:pPr>
          </w:p>
        </w:tc>
        <w:tc>
          <w:tcPr>
            <w:tcW w:w="1020" w:type="dxa"/>
            <w:vAlign w:val="bottom"/>
          </w:tcPr>
          <w:p>
            <w:pPr>
              <w:jc w:val="right"/>
              <w:ind w:right="460"/>
              <w:spacing w:after="0" w:line="153" w:lineRule="exact"/>
              <w:rPr>
                <w:sz w:val="20"/>
                <w:szCs w:val="20"/>
                <w:color w:val="auto"/>
              </w:rPr>
            </w:pPr>
            <w:r>
              <w:rPr>
                <w:rFonts w:ascii="Arial" w:cs="Arial" w:eastAsia="Arial" w:hAnsi="Arial"/>
                <w:sz w:val="14"/>
                <w:szCs w:val="14"/>
                <w:b w:val="1"/>
                <w:bCs w:val="1"/>
                <w:color w:val="auto"/>
                <w:w w:val="96"/>
              </w:rPr>
              <w:t>Level 3</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40"/>
              <w:spacing w:after="0" w:line="153"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ind w:left="100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6"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The fair values of our financial liabilities were derived by using an income approach, which required Level 3 inputs such as discounted estimated future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5940" w:type="dxa"/>
            <w:vAlign w:val="bottom"/>
            <w:gridSpan w:val="2"/>
          </w:tcPr>
          <w:p>
            <w:pPr>
              <w:ind w:left="200"/>
              <w:spacing w:after="0"/>
              <w:rPr>
                <w:sz w:val="20"/>
                <w:szCs w:val="20"/>
                <w:color w:val="auto"/>
              </w:rPr>
            </w:pPr>
            <w:r>
              <w:rPr>
                <w:rFonts w:ascii="Arial" w:cs="Arial" w:eastAsia="Arial" w:hAnsi="Arial"/>
                <w:sz w:val="18"/>
                <w:szCs w:val="18"/>
                <w:b w:val="1"/>
                <w:bCs w:val="1"/>
                <w:color w:val="auto"/>
              </w:rPr>
              <w:t>Balance Sheet Components</w:t>
            </w: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0"/>
        </w:trPr>
        <w:tc>
          <w:tcPr>
            <w:tcW w:w="6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0"/>
        </w:trPr>
        <w:tc>
          <w:tcPr>
            <w:tcW w:w="626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2"/>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jc w:val="right"/>
              <w:ind w:right="255"/>
              <w:spacing w:after="0"/>
              <w:rPr>
                <w:sz w:val="20"/>
                <w:szCs w:val="20"/>
                <w:color w:val="auto"/>
              </w:rPr>
            </w:pPr>
            <w:r>
              <w:rPr>
                <w:rFonts w:ascii="Arial" w:cs="Arial" w:eastAsia="Arial" w:hAnsi="Arial"/>
                <w:sz w:val="14"/>
                <w:szCs w:val="14"/>
                <w:b w:val="1"/>
                <w:bCs w:val="1"/>
                <w:color w:val="auto"/>
                <w:w w:val="97"/>
              </w:rPr>
              <w:t>September 30, 2017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2016</w:t>
            </w: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104,875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79,239</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546,498</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94,543</w:t>
            </w:r>
          </w:p>
        </w:tc>
        <w:tc>
          <w:tcPr>
            <w:tcW w:w="80" w:type="dxa"/>
            <w:vAlign w:val="bottom"/>
            <w:tcBorders>
              <w:bottom w:val="single" w:sz="8" w:color="CFF0FC"/>
            </w:tcBorders>
          </w:tcPr>
          <w:p>
            <w:pPr>
              <w:spacing w:after="0"/>
              <w:rPr>
                <w:sz w:val="19"/>
                <w:szCs w:val="19"/>
                <w:color w:val="auto"/>
              </w:rPr>
            </w:pPr>
          </w:p>
        </w:tc>
      </w:tr>
      <w:tr>
        <w:trPr>
          <w:trHeight w:val="220"/>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1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2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651,373</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color w:val="auto"/>
        </w:rPr>
        <w:t>At September 30, 2017 and December 31, 2016, a total of $19.1 million and $24.3 million, respectively, of our cash and cash equivalents were held outside of the U.S. in our foreign subsidiaries to be used primarily for our China operations.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3"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46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160" w:type="dxa"/>
            <w:vAlign w:val="bottom"/>
          </w:tcPr>
          <w:p>
            <w:pPr>
              <w:spacing w:after="0"/>
              <w:rPr>
                <w:sz w:val="11"/>
                <w:szCs w:val="11"/>
                <w:color w:val="auto"/>
              </w:rPr>
            </w:pPr>
          </w:p>
        </w:tc>
        <w:tc>
          <w:tcPr>
            <w:tcW w:w="1640" w:type="dxa"/>
            <w:vAlign w:val="bottom"/>
            <w:gridSpan w:val="2"/>
          </w:tcPr>
          <w:p>
            <w:pPr>
              <w:jc w:val="center"/>
              <w:ind w:right="460"/>
              <w:spacing w:after="0" w:line="131"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Holding Gains</w:t>
            </w: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75,826</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17,182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1,212</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95,366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2"/>
          </w:tcPr>
          <w:p>
            <w:pPr>
              <w:jc w:val="center"/>
              <w:ind w:right="460"/>
              <w:spacing w:after="0" w:line="131" w:lineRule="exact"/>
              <w:rPr>
                <w:sz w:val="20"/>
                <w:szCs w:val="20"/>
                <w:color w:val="auto"/>
              </w:rPr>
            </w:pPr>
            <w:r>
              <w:rPr>
                <w:rFonts w:ascii="Arial" w:cs="Arial" w:eastAsia="Arial" w:hAnsi="Arial"/>
                <w:sz w:val="14"/>
                <w:szCs w:val="14"/>
                <w:b w:val="1"/>
                <w:bCs w:val="1"/>
                <w:color w:val="auto"/>
                <w:w w:val="90"/>
              </w:rPr>
              <w:t>Gross Unrealized</w:t>
            </w:r>
          </w:p>
        </w:tc>
        <w:tc>
          <w:tcPr>
            <w:tcW w:w="160" w:type="dxa"/>
            <w:vAlign w:val="bottom"/>
          </w:tcPr>
          <w:p>
            <w:pPr>
              <w:spacing w:after="0"/>
              <w:rPr>
                <w:sz w:val="11"/>
                <w:szCs w:val="11"/>
                <w:color w:val="auto"/>
              </w:rPr>
            </w:pPr>
          </w:p>
        </w:tc>
        <w:tc>
          <w:tcPr>
            <w:tcW w:w="1640" w:type="dxa"/>
            <w:vAlign w:val="bottom"/>
            <w:gridSpan w:val="2"/>
          </w:tcPr>
          <w:p>
            <w:pPr>
              <w:jc w:val="center"/>
              <w:ind w:right="460"/>
              <w:spacing w:after="0" w:line="131"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Holding Gains</w:t>
            </w:r>
          </w:p>
        </w:tc>
        <w:tc>
          <w:tcPr>
            <w:tcW w:w="16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Holding Losses</w:t>
            </w:r>
          </w:p>
        </w:tc>
        <w:tc>
          <w:tcPr>
            <w:tcW w:w="26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126,550</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22,305</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At September 30, 2017, all of the available-for-sale investments had contractual maturities within two years. The Company periodically reviews its available-for-sale investments for other-than-temporary impairment. The Company considers factors such as the duration, severity and the reason for the decline in value, the potential recovery period and our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During the three and nine months ended September 30, 2017 and 2016, the Company did not recognize any other-than-temporary impairment loss.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92"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right"/>
              <w:ind w:right="194"/>
              <w:spacing w:after="0"/>
              <w:rPr>
                <w:sz w:val="20"/>
                <w:szCs w:val="20"/>
                <w:color w:val="auto"/>
              </w:rPr>
            </w:pPr>
            <w:r>
              <w:rPr>
                <w:rFonts w:ascii="Arial" w:cs="Arial" w:eastAsia="Arial" w:hAnsi="Arial"/>
                <w:sz w:val="14"/>
                <w:szCs w:val="14"/>
                <w:b w:val="1"/>
                <w:bCs w:val="1"/>
                <w:color w:val="auto"/>
                <w:w w:val="94"/>
              </w:rPr>
              <w:t>September 30, 2017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2016</w:t>
            </w:r>
          </w:p>
        </w:tc>
      </w:tr>
      <w:tr>
        <w:trPr>
          <w:trHeight w:val="220"/>
        </w:trPr>
        <w:tc>
          <w:tcPr>
            <w:tcW w:w="2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26,989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80" w:type="dxa"/>
            <w:vAlign w:val="bottom"/>
            <w:tcBorders>
              <w:top w:val="single" w:sz="8" w:color="CFF0FC"/>
            </w:tcBorders>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14,654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80" w:type="dxa"/>
            <w:vAlign w:val="bottom"/>
            <w:shd w:val="clear" w:color="auto" w:fill="CFF0FC"/>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80" w:type="dxa"/>
            <w:vAlign w:val="bottom"/>
            <w:tcBorders>
              <w:bottom w:val="single" w:sz="8" w:color="CFF0FC"/>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54,117</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520" w:hanging="513"/>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allocated to research and development and general and administrative expense as follows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8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r>
      <w:tr>
        <w:trPr>
          <w:trHeight w:val="154"/>
        </w:trPr>
        <w:tc>
          <w:tcPr>
            <w:tcW w:w="442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8"/>
              <w:spacing w:after="0" w:line="153"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
              <w:spacing w:after="0" w:line="153"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8"/>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5"/>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center"/>
              <w:ind w:left="11"/>
              <w:spacing w:after="0"/>
              <w:rPr>
                <w:sz w:val="20"/>
                <w:szCs w:val="20"/>
                <w:color w:val="auto"/>
              </w:rPr>
            </w:pPr>
            <w:r>
              <w:rPr>
                <w:rFonts w:ascii="Arial" w:cs="Arial" w:eastAsia="Arial" w:hAnsi="Arial"/>
                <w:sz w:val="18"/>
                <w:szCs w:val="18"/>
                <w:color w:val="auto"/>
                <w:w w:val="88"/>
              </w:rPr>
              <w:t>5,538</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16,060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14,629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88"/>
              </w:rPr>
              <w:t>4,090</w:t>
            </w:r>
          </w:p>
        </w:tc>
        <w:tc>
          <w:tcPr>
            <w:tcW w:w="32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0"/>
        </w:trPr>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center"/>
              <w:ind w:left="11"/>
              <w:spacing w:after="0"/>
              <w:rPr>
                <w:sz w:val="20"/>
                <w:szCs w:val="20"/>
                <w:color w:val="auto"/>
              </w:rPr>
            </w:pPr>
            <w:r>
              <w:rPr>
                <w:rFonts w:ascii="Arial" w:cs="Arial" w:eastAsia="Arial" w:hAnsi="Arial"/>
                <w:sz w:val="18"/>
                <w:szCs w:val="18"/>
                <w:color w:val="auto"/>
                <w:w w:val="88"/>
              </w:rPr>
              <w:t>9,628</w:t>
            </w:r>
          </w:p>
        </w:tc>
        <w:tc>
          <w:tcPr>
            <w:tcW w:w="3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8,512</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27,608</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4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jc w:val="center"/>
              <w:ind w:left="31"/>
              <w:spacing w:after="0"/>
              <w:rPr>
                <w:sz w:val="20"/>
                <w:szCs w:val="20"/>
                <w:color w:val="auto"/>
              </w:rPr>
            </w:pPr>
            <w:r>
              <w:rPr>
                <w:rFonts w:ascii="Arial" w:cs="Arial" w:eastAsia="Arial" w:hAnsi="Arial"/>
                <w:sz w:val="18"/>
                <w:szCs w:val="18"/>
                <w:color w:val="auto"/>
                <w:w w:val="89"/>
              </w:rPr>
              <w:t>14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assumptions used to estimate the fair value of stock options granted and purchases under the Company’s 2014 Employee Share Purchase Plan (“ESPP”)</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using the Black-Scholes option valuation model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9"/>
              </w:rPr>
              <w:t>Three Months Ended September 30,</w:t>
            </w: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4"/>
              <w:spacing w:after="0" w:line="153"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4"/>
              <w:spacing w:after="0" w:line="153"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3"/>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w:t>
            </w:r>
          </w:p>
        </w:tc>
        <w:tc>
          <w:tcPr>
            <w:tcW w:w="4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26.47</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16.63</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0.5 - 2.0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0.5 - 2.0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52.8 - 76.0  %</w:t>
            </w:r>
          </w:p>
        </w:tc>
        <w:tc>
          <w:tcPr>
            <w:tcW w:w="3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63.7 - 80.7  %</w:t>
            </w: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52.8 - 77.2  %</w:t>
            </w:r>
          </w:p>
        </w:tc>
        <w:tc>
          <w:tcPr>
            <w:tcW w:w="3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61.9 - 80.7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tcPr>
          <w:p>
            <w:pPr>
              <w:spacing w:after="0"/>
              <w:rPr>
                <w:sz w:val="19"/>
                <w:szCs w:val="19"/>
                <w:color w:val="auto"/>
              </w:rPr>
            </w:pPr>
          </w:p>
        </w:tc>
        <w:tc>
          <w:tcPr>
            <w:tcW w:w="1500" w:type="dxa"/>
            <w:vAlign w:val="bottom"/>
            <w:gridSpan w:val="2"/>
          </w:tcPr>
          <w:p>
            <w:pPr>
              <w:jc w:val="right"/>
              <w:ind w:right="51"/>
              <w:spacing w:after="0"/>
              <w:rPr>
                <w:sz w:val="20"/>
                <w:szCs w:val="20"/>
                <w:color w:val="auto"/>
              </w:rPr>
            </w:pPr>
            <w:r>
              <w:rPr>
                <w:rFonts w:ascii="Arial" w:cs="Arial" w:eastAsia="Arial" w:hAnsi="Arial"/>
                <w:sz w:val="18"/>
                <w:szCs w:val="18"/>
                <w:color w:val="auto"/>
              </w:rPr>
              <w:t>0.6 - 1.3  %</w:t>
            </w:r>
          </w:p>
        </w:tc>
        <w:tc>
          <w:tcPr>
            <w:tcW w:w="320" w:type="dxa"/>
            <w:vAlign w:val="bottom"/>
          </w:tcPr>
          <w:p>
            <w:pPr>
              <w:spacing w:after="0"/>
              <w:rPr>
                <w:sz w:val="19"/>
                <w:szCs w:val="19"/>
                <w:color w:val="auto"/>
              </w:rPr>
            </w:pPr>
          </w:p>
        </w:tc>
        <w:tc>
          <w:tcPr>
            <w:tcW w:w="1460" w:type="dxa"/>
            <w:vAlign w:val="bottom"/>
            <w:gridSpan w:val="2"/>
          </w:tcPr>
          <w:p>
            <w:pPr>
              <w:jc w:val="right"/>
              <w:ind w:right="51"/>
              <w:spacing w:after="0"/>
              <w:rPr>
                <w:sz w:val="20"/>
                <w:szCs w:val="20"/>
                <w:color w:val="auto"/>
              </w:rPr>
            </w:pPr>
            <w:r>
              <w:rPr>
                <w:rFonts w:ascii="Arial" w:cs="Arial" w:eastAsia="Arial" w:hAnsi="Arial"/>
                <w:sz w:val="18"/>
                <w:szCs w:val="18"/>
                <w:color w:val="auto"/>
              </w:rPr>
              <w:t>0.4 - 0.9  %</w:t>
            </w:r>
          </w:p>
        </w:tc>
        <w:tc>
          <w:tcPr>
            <w:tcW w:w="300" w:type="dxa"/>
            <w:vAlign w:val="bottom"/>
          </w:tcPr>
          <w:p>
            <w:pPr>
              <w:spacing w:after="0"/>
              <w:rPr>
                <w:sz w:val="19"/>
                <w:szCs w:val="19"/>
                <w:color w:val="auto"/>
              </w:rPr>
            </w:pPr>
          </w:p>
        </w:tc>
        <w:tc>
          <w:tcPr>
            <w:tcW w:w="1480" w:type="dxa"/>
            <w:vAlign w:val="bottom"/>
            <w:gridSpan w:val="2"/>
          </w:tcPr>
          <w:p>
            <w:pPr>
              <w:jc w:val="right"/>
              <w:ind w:right="51"/>
              <w:spacing w:after="0"/>
              <w:rPr>
                <w:sz w:val="20"/>
                <w:szCs w:val="20"/>
                <w:color w:val="auto"/>
              </w:rPr>
            </w:pPr>
            <w:r>
              <w:rPr>
                <w:rFonts w:ascii="Arial" w:cs="Arial" w:eastAsia="Arial" w:hAnsi="Arial"/>
                <w:sz w:val="18"/>
                <w:szCs w:val="18"/>
                <w:color w:val="auto"/>
              </w:rPr>
              <w:t>0.5 - 1.3  %</w:t>
            </w:r>
          </w:p>
        </w:tc>
        <w:tc>
          <w:tcPr>
            <w:tcW w:w="3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0.2 - 0.9  %</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9.04</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9.15</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20" w:hanging="513"/>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nine months ended September 30, 2017 were due to foreign taxes.</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provision for income taxes for the three months ended September 30, 2016 was due to the discrete tax effect arising from an unrealized loss in other comprehensive income (loss) related to available-for-sale securities, and foreign taxes. The benefit from income taxes for the nine months ended September 30, 2016 was due to the discrete tax effect arising from cumulative unrealized gains in other comprehensive income (loss) related to available-for-sale securities, partially offset by foreign taxes.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and expected continuing net loss, the Company has established and continues to maintain a full valuation allowance against its deferred tax assets as it does not currently believe that realization of those assets is more likely than not.</w:t>
      </w:r>
    </w:p>
    <w:p>
      <w:pPr>
        <w:spacing w:after="0" w:line="327" w:lineRule="exact"/>
        <w:rPr>
          <w:sz w:val="20"/>
          <w:szCs w:val="20"/>
          <w:color w:val="auto"/>
        </w:rPr>
      </w:pPr>
    </w:p>
    <w:p>
      <w:pPr>
        <w:ind w:left="520" w:hanging="513"/>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1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$4.6 million and $4.8 million during the three months ended September 30, 2017 and 2016, respectively, and $12.9 million and $21.8 million during the nine months ended September 30, 2017 and 2016, respectively.</w:t>
      </w:r>
    </w:p>
    <w:p>
      <w:pPr>
        <w:spacing w:after="0" w:line="184" w:lineRule="exact"/>
        <w:rPr>
          <w:sz w:val="20"/>
          <w:szCs w:val="20"/>
          <w:color w:val="auto"/>
        </w:rPr>
      </w:pPr>
    </w:p>
    <w:p>
      <w:pPr>
        <w:ind w:right="560"/>
        <w:spacing w:after="0" w:line="334" w:lineRule="auto"/>
        <w:rPr>
          <w:sz w:val="20"/>
          <w:szCs w:val="20"/>
          <w:color w:val="auto"/>
        </w:rPr>
      </w:pPr>
      <w:r>
        <w:rPr>
          <w:rFonts w:ascii="Arial" w:cs="Arial" w:eastAsia="Arial" w:hAnsi="Arial"/>
          <w:sz w:val="16"/>
          <w:szCs w:val="16"/>
          <w:color w:val="auto"/>
        </w:rPr>
        <w:t>The Company recorded expense related to collaboration agreements with Astellas of $0.2 million and $1.8 million during the three months ended September 30, 2017 and 2016, respectively, and $0.8 million and $4.8 million during the nine months ended September 30, 2017 and 2016, respectively.</w:t>
      </w:r>
    </w:p>
    <w:p>
      <w:pPr>
        <w:spacing w:after="0" w:line="129"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color w:val="auto"/>
        </w:rPr>
        <w:t>As of September 30, 2017 and December 31, 2016, accounts receivable from Astellas were $4.6 million and $4.1 million, respectively, and amounts due to Astellas were $0.5 million and $1.6 million, respectively.</w:t>
      </w:r>
    </w:p>
    <w:p>
      <w:pPr>
        <w:spacing w:after="0" w:line="175"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Julian N. Stern, a director of the Company from November 1996 through June 2017, is currently serving as corporate secretary of the Company and is of counsel to the law firm of Goodwin Procter LLP, which he joined in 2008. He has received, and continues to receive, no compensation from Goodwin Procter LLP since joining as counsel. The Company retains Goodwin Procter LLP as legal counsel for various matters, primarily consisting of intellectual property matters. There was no payment to Goodwin Procter LLP during the three and nine months ended September 30, 2017. The Company’s payments to Goodwin Procter LLP during the three and nine months ended September 30, 2016 were immaterial. As of September 30, 2017 and December 31, 2016, the balance of the accrued liability for Goodwin Proctor LLP was zero.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520" w:hanging="513"/>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October 2017, the China Food and Drug Administration accepted the Company’s recently submitted NDA for registration of roxadustat for anemia in dialysis-dependent CKD and NDD-CKD patients. This NDA submission triggers a $15.0 million milestone payment to the Company by AstraZeneca, which is expected to be received and fully recognized under the Company’s current revenue recognition policy as license and milestone revenue in the fourth quarter of 2017.</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2016 filed with the SEC on March 1, 2017.</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were incorporated in 1993 in Delaware and are a science-based biopharmaceutical company discovering and developing first-in-class therapeutics. Roxadustat (FG-4592), our most advanced product candidate, is an oral small molecule inhibitor of HIF prolyl hydroxylase (“HIF-PH”) activity in Phase 3 clinical development for the treatment of anemia in chronic kidney disease (“CKD”). Pamrevlumab (FG-3019), a fully-human monoclonal antibody that inhibits the activity of connective tissue growth factor (“CTGF”) is in Phase 2 clinical development for the treatment of idiopathic pulmonary fibrosis (“IPF”), pancreatic cancer, and Duchenne muscular dystrophy (“DMD”). We have taken a global approach to the development and future commercialization of our product candidates, and this includes development and commercialization in the People’s Republic of China (“China”). We are capitalizing on our extensive experience in fibrosis and hypoxia inducible factor (“HIF”) biology and clinical development to advance a pipeline of innovative medicines for the treatment of anemia, fibrotic disease cancer, corneal blindness and other serious unmet medical needs.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r>
      <w:tr>
        <w:trPr>
          <w:trHeight w:val="154"/>
        </w:trPr>
        <w:tc>
          <w:tcPr>
            <w:tcW w:w="382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8"/>
              <w:spacing w:after="0" w:line="153"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758"/>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635"/>
              <w:spacing w:after="0" w:line="153"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3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940" w:type="dxa"/>
            <w:vAlign w:val="bottom"/>
            <w:gridSpan w:val="6"/>
          </w:tcPr>
          <w:p>
            <w:pPr>
              <w:jc w:val="right"/>
              <w:ind w:right="658"/>
              <w:spacing w:after="0" w:line="153" w:lineRule="exact"/>
              <w:rPr>
                <w:sz w:val="20"/>
                <w:szCs w:val="20"/>
                <w:color w:val="auto"/>
              </w:rPr>
            </w:pPr>
            <w:r>
              <w:rPr>
                <w:rFonts w:ascii="Arial" w:cs="Arial" w:eastAsia="Arial" w:hAnsi="Arial"/>
                <w:sz w:val="14"/>
                <w:szCs w:val="14"/>
                <w:b w:val="1"/>
                <w:bCs w:val="1"/>
                <w:color w:val="auto"/>
              </w:rPr>
              <w:t>(in thousands, except for per share data)</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27,272</w:t>
            </w:r>
          </w:p>
        </w:tc>
        <w:tc>
          <w:tcPr>
            <w:tcW w:w="1180" w:type="dxa"/>
            <w:vAlign w:val="bottom"/>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30,102</w:t>
            </w: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8"/>
              <w:spacing w:after="0"/>
              <w:rPr>
                <w:sz w:val="20"/>
                <w:szCs w:val="20"/>
                <w:color w:val="auto"/>
              </w:rPr>
            </w:pPr>
            <w:r>
              <w:rPr>
                <w:rFonts w:ascii="Arial" w:cs="Arial" w:eastAsia="Arial" w:hAnsi="Arial"/>
                <w:sz w:val="18"/>
                <w:szCs w:val="18"/>
                <w:color w:val="auto"/>
              </w:rPr>
              <w:t>83,160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147,665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63,289</w:t>
            </w:r>
          </w:p>
        </w:tc>
        <w:tc>
          <w:tcPr>
            <w:tcW w:w="118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52,204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181,957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170,039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(37,737)</w:t>
            </w:r>
          </w:p>
        </w:tc>
        <w:tc>
          <w:tcPr>
            <w:tcW w:w="1180" w:type="dxa"/>
            <w:vAlign w:val="bottom"/>
          </w:tcPr>
          <w:p>
            <w:pPr>
              <w:jc w:val="right"/>
              <w:ind w:right="87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(24,154)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(104,081)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(27,678)</w:t>
            </w:r>
          </w:p>
        </w:tc>
        <w:tc>
          <w:tcPr>
            <w:tcW w:w="20" w:type="dxa"/>
            <w:vAlign w:val="bottom"/>
          </w:tcPr>
          <w:p>
            <w:pPr>
              <w:spacing w:after="0"/>
              <w:rPr>
                <w:sz w:val="19"/>
                <w:szCs w:val="19"/>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040" w:type="dxa"/>
            <w:vAlign w:val="bottom"/>
            <w:shd w:val="clear" w:color="auto" w:fill="CFF0FC"/>
          </w:tcPr>
          <w:p>
            <w:pPr>
              <w:jc w:val="right"/>
              <w:ind w:right="88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180" w:type="dxa"/>
            <w:vAlign w:val="bottom"/>
            <w:shd w:val="clear" w:color="auto" w:fill="CFF0FC"/>
          </w:tcPr>
          <w:p>
            <w:pPr>
              <w:jc w:val="right"/>
              <w:ind w:right="87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9"/>
                <w:szCs w:val="19"/>
                <w:color w:val="auto"/>
              </w:rPr>
            </w:pPr>
          </w:p>
        </w:tc>
      </w:tr>
      <w:tr>
        <w:trPr>
          <w:trHeight w:val="454"/>
        </w:trPr>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ind w:right="298"/>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24"/>
                <w:szCs w:val="24"/>
                <w:color w:val="auto"/>
              </w:rPr>
            </w:pPr>
          </w:p>
        </w:tc>
        <w:tc>
          <w:tcPr>
            <w:tcW w:w="1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December 31, 2016</w:t>
            </w:r>
          </w:p>
        </w:tc>
        <w:tc>
          <w:tcPr>
            <w:tcW w:w="20" w:type="dxa"/>
            <w:vAlign w:val="bottom"/>
          </w:tcPr>
          <w:p>
            <w:pPr>
              <w:spacing w:after="0"/>
              <w:rPr>
                <w:sz w:val="24"/>
                <w:szCs w:val="24"/>
                <w:color w:val="auto"/>
              </w:rPr>
            </w:pPr>
          </w:p>
        </w:tc>
      </w:tr>
      <w:tr>
        <w:trPr>
          <w:trHeight w:val="154"/>
        </w:trPr>
        <w:tc>
          <w:tcPr>
            <w:tcW w:w="3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60" w:type="dxa"/>
            <w:vAlign w:val="bottom"/>
            <w:tcBorders>
              <w:top w:val="single" w:sz="8" w:color="auto"/>
            </w:tcBorders>
            <w:gridSpan w:val="3"/>
          </w:tcPr>
          <w:p>
            <w:pPr>
              <w:jc w:val="right"/>
              <w:ind w:right="1295"/>
              <w:spacing w:after="0" w:line="153"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8"/>
              <w:spacing w:after="0"/>
              <w:rPr>
                <w:sz w:val="20"/>
                <w:szCs w:val="20"/>
                <w:color w:val="auto"/>
              </w:rPr>
            </w:pPr>
            <w:r>
              <w:rPr>
                <w:rFonts w:ascii="Arial" w:cs="Arial" w:eastAsia="Arial" w:hAnsi="Arial"/>
                <w:sz w:val="18"/>
                <w:szCs w:val="18"/>
                <w:color w:val="auto"/>
              </w:rPr>
              <w:t>651,373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173,782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0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95,366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7"/>
        </w:trPr>
        <w:tc>
          <w:tcPr>
            <w:tcW w:w="3820" w:type="dxa"/>
            <w:vAlign w:val="bottom"/>
          </w:tcPr>
          <w:p>
            <w:pPr>
              <w:spacing w:after="0"/>
              <w:rPr>
                <w:sz w:val="20"/>
                <w:szCs w:val="20"/>
                <w:color w:val="auto"/>
              </w:rPr>
            </w:pPr>
            <w:r>
              <w:rPr>
                <w:rFonts w:ascii="Arial" w:cs="Arial" w:eastAsia="Arial" w:hAnsi="Arial"/>
                <w:sz w:val="18"/>
                <w:szCs w:val="18"/>
                <w:color w:val="auto"/>
              </w:rPr>
              <w:t>Accounts receivable</w:t>
            </w:r>
          </w:p>
        </w:tc>
        <w:tc>
          <w:tcPr>
            <w:tcW w:w="1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58"/>
              <w:spacing w:after="0"/>
              <w:rPr>
                <w:sz w:val="20"/>
                <w:szCs w:val="20"/>
                <w:color w:val="auto"/>
              </w:rPr>
            </w:pPr>
            <w:r>
              <w:rPr>
                <w:rFonts w:ascii="Arial" w:cs="Arial" w:eastAsia="Arial" w:hAnsi="Arial"/>
                <w:sz w:val="18"/>
                <w:szCs w:val="18"/>
                <w:color w:val="auto"/>
              </w:rPr>
              <w:t>8,628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3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jc w:val="right"/>
              <w:ind w:right="876"/>
              <w:spacing w:after="0"/>
              <w:rPr>
                <w:sz w:val="20"/>
                <w:szCs w:val="20"/>
                <w:color w:val="auto"/>
              </w:rPr>
            </w:pPr>
            <w:r>
              <w:rPr>
                <w:rFonts w:ascii="Arial" w:cs="Arial" w:eastAsia="Arial" w:hAnsi="Arial"/>
                <w:sz w:val="18"/>
                <w:szCs w:val="18"/>
                <w:color w:val="auto"/>
                <w:w w:val="99"/>
              </w:rPr>
              <w:t>17</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revenue for the three and nine months ended September 30, 2017 decreased compared to the same periods a year ago primarily due to the impact of extension of the estimated joint development service period for the AstraZeneca agreements, for revenue recognition purposes, from the end of 2018 to the end of 2020. We made this extension in the third quarter of 2016 due to the approval of the development budget for roxadustat for the treatment of anemia in patients with myelodysplastic syndromes (“MDS”). Our revenue for the nine months ended September 30, 2017 decreased also due to that fact that, during the second quarter of 2016, we received an upfront payment of $62.0 million under our collaboration agreements with AstraZeneca and a $10.0 million development milestone revenue recorded under our collaboration agreements with Astellas, with no corresponding milestones in the current year periods.</w:t>
      </w:r>
    </w:p>
    <w:p>
      <w:pPr>
        <w:spacing w:after="0" w:line="16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Operating expenses for the three and nine months ended September 30, 2017 increased compared to the same period a year ago primarily due to higher drug development expenses associated with drug substance manufacturing activities related to pamrevlumab, higher clinical activities related to MDS, higher employee-related expenses, and higher stock-based compensation. The increases were partially offset by lower research and development outside services expense related to other HIF-PH inhibitors. Operating expenses for the nine months ended September 30, 2017 were also impacted by a $3.0 million reduction in assessed property tax resulted from the final assessment we obtained during the first quarter of 2017.</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and nine months ended September 30, 2017, we had a net loss of $37.7 million and $104.1 million, respectively, or net loss per basic and diluted share of $0.50 and $1.49, respectively, as compared to a net loss of $24.2 million and $27.7 million for the same periods a year ago, due to a decrease in revenue and an increase in operating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investments and accounts receivable totaled $755.4 million at September 30, 2017, an increase of $420.8 million from</w:t>
      </w:r>
    </w:p>
    <w:p>
      <w:pPr>
        <w:spacing w:after="0" w:line="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December 31, 2016, primarily due to the net proceeds from the follow-on offerings of $115.1 million closed in April 2017 and $356.2 million closed in August 2017, partially offset by cash used in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Roxadustat, the most advanced HIF-PH inhibitor in clinical development, acts by stimulating the body’s natural pathway of erythropoiesis, or red blood cell production. We, along with our collaboration partners, Astellas Pharma Inc. (“Astellas”) and AstraZeneca AB (“AstraZeneca”), continue to advance roxadustat through a global Phase 3 program to support regulatory approvals in the United States, Europe, Japan, and China in both dialysis-dependent CKD patients and CKD patients who are not dialysis-dependent. We are currently targeting a New Drug Application (“NDA”) filing for roxadustat in the U.S. in 2018, subject to accrual of sufficient major adverse cardiac events (“MACE”) for pooled analyses.</w:t>
      </w:r>
    </w:p>
    <w:p>
      <w:pPr>
        <w:spacing w:after="0" w:line="17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January 2017, we reported topline results from our two China Phase 3 studies of roxadustat in CKD anemia. In October 2017, the China Food and Drug Administration (“CFDA”) accepted for review our new drug application for the registration of roxadustat to treat anemia in dialysis-dependent and non-dialysis-dependent CKD patients.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In the double-blind, placebo-controlled non-dialysis Phase 3 trial in China, 151 anemia patients were randomized 2:1 to receive roxadustat (n=101) or placebo (n=50) for 8 weeks. As reported in January 2017, roxadustat met its primary efficacy endpoint of correcting anemia, by achieving a statistically significant increase in hemoglobin levels compared to placebo over eight weeks. After week 8, placebo patients were converted to roxadustat treatment and patients originally in the roxadustat arm continued treatment through week 26. Anemia correction and hemoglobin maintenance were observed up to week 27.</w:t>
      </w:r>
    </w:p>
    <w:p>
      <w:pPr>
        <w:spacing w:after="0" w:line="15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FGCL-4592-808: Mean Change in Hemoglobin Over Time in Phase 3 China Non-Dialysis CKD Patients (26 Weeks) Including Placebo Crossover to Roxadustat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49530</wp:posOffset>
            </wp:positionV>
            <wp:extent cx="4764405" cy="173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4405" cy="173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the 26-week portion of this China Phase 3 non-dialysis study, 97.6 % of patients who received up to 26 weeks of roxadustat achieved anemia correction with Hb ≥10.0g/dL. For patients who crossed over from placebo to roxadustat, there was an increase in mean hemoglobin levels over 18 weeks of roxadustat treatment, with mean hemoglobin increasing from 8.6 g/dL (averaged over weeks 7 to 9) to 10.8 g/dL (averaged over weeks 23 to 27); a statistically significant increase (p &lt;0.0001). Hemoglobin levels declined after week 27 when patients were no longer receiving roxadustat, as illustrated by the figure above.</w:t>
      </w:r>
    </w:p>
    <w:p>
      <w:pPr>
        <w:spacing w:after="0" w:line="1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the 26-week portion of this non-dialysis study, roxadustat was shown to increase hemoglobin regardless of baseline inflammation status: both in patients with inflammation (CRP &gt;4.9 mg/L) and patients without inflammation (CRP ≤4.9 mg/L). In addition, in the 8-week portion of this non-dialysis study, roxadustat led to significant reduction in serum hepcidin levels (-56.1 ng/mL for roxadustat patients vs -15.1 ng/mL for placebo, p=0.00000005). Anemia treatment with roxadustat was effective without the use of IV iron and there was no iron parameter (ferritin or TSAT) requirement for patients at study entry.</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durability of roxadustat’s effect on hemoglobin levels was further supported by data from the subset of patients (n=23) who participated in the 52-week safety extension of this non-dialysis China Phase 3 study. Approximately 95% of the non-dialysis patients who completed the 52-week safety extension period maintained Hb ≥10.0g/dL at the end of treatment.</w:t>
      </w:r>
    </w:p>
    <w:p>
      <w:pPr>
        <w:spacing w:after="0" w:line="184"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color w:val="auto"/>
        </w:rPr>
        <w:t>In our Phase 3 dialysis study in China, 304 patients previously on epoetin alfa were randomized to and treated with roxadustat (n=204) or epoetin alfa (n=100) for 26 weeks. 112 roxadustat patients continued treatment in a safety extension study for a total of 52 weeks. Approximately 96% of the dialysis patients who completed the 52-week safety extension period maintained Hb ≥10.0 g/dL at the end of treatment.</w:t>
      </w:r>
    </w:p>
    <w:p>
      <w:pPr>
        <w:spacing w:after="0" w:line="1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Roxadustat was generally well tolerated and there were no safety signals observed in the China Phase 3 clinical trials, including through the 52-week safety extension periods. There were no study drug-related deaths. The AEs and SAEs reported in the Phase 3 studies were generally representative of the underlying patient population and associated co-morbidities. Treatment of anemia with roxadustat in these Phase 3 clinical trials did not lead to an increase in blood pressure.</w:t>
      </w:r>
    </w:p>
    <w:p>
      <w:pPr>
        <w:spacing w:after="0" w:line="18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Japan, Astellas completed the first of six roxadustat Phase 3 trials in Japan, evaluating roxadustat for the treatment of anemia in CKD patients on peritoneal dialysis (PD), with or without previous treatment with erythropoiesis-stimulating agents (ESAs). The study enrolled a total of 56 PD patients, of whom 43 patients had previously received ESAs (ESA-conversion patients), and 13 patients who had not previously received ESAs (ESA-naïve patients). Roxadustat was well tolerated and shown to correct hemoglobin levels in ESA-naïve patients and maintain hemoglobin (Hb) levels within the target range in both ESA-conversion patients and ESA-naïve patients.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Hb maintenance rate, as measured by the proportion of subjects with average Hb levels within the target Hb range of 10.0 to 12.0 g/dL for weeks 18 to 24, was 92% in ESA-naïve patients who were corrected from baseline hemoglobin levels and 74% in ESA-conversion patients. The preliminary safety analysis for this trial is consistent with the safety profile of roxadustat in previous clinical trials.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 (MDS)</w:t>
      </w:r>
    </w:p>
    <w:p>
      <w:pPr>
        <w:spacing w:after="0" w:line="113"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We plan to initiate a Phase 3 clinical trial to evaluate the safety and efficacy of roxadustat for treatment of anemia in MDS patients in the United States in the fourth quarter of 2017. We also plan on initiating a Phase 2/3 MDS clinical trial in China in the fourth quarter of 2017 or the first quarter of 2018.</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Pamrevlumab is our fully human monoclonal antibody that inhibits the activity of CTGF, a central mediator and critical common element of the progression of fibrosis and associated serious diseases. We are currently conducting Phase 2 trials in pancreatic cancer and DMD and recently concluded our Phase 2 double-blind trial in IPF.</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2017, we reported positive topline results from our randomized, double-blind, placebo-controlled Phase 2 clinical trial designed to evaluate the safety and efficacy of pamrevlumab in patients with mild-to-moderate IPF. We also reported topline results from two sub-studies that were added to evaluate the safety of combining pamrevlumab with recently approved IPF therapies.</w:t>
      </w:r>
    </w:p>
    <w:p>
      <w:pPr>
        <w:spacing w:after="0" w:line="18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Pamrevlumab met the primary efficacy endpoint of change of forced vital capacity (“FVC”) percent predicted, a measure of a patient’s lung volume as a percentage of what would be expected for such patient’s age, race, sex and height. The average decline (least squares mean) in FVC percent predicted from baseline to week 48 was 2.85 in the pamrevlumab arm (n=50) as compared to an average decline of 7.17 in the placebo arm (n=51), a statistically significant difference of 4.33 (p=0.0331, using a linear slope analysis in the Intent to Treat (“ITT”) population).</w:t>
      </w:r>
    </w:p>
    <w:p>
      <w:pPr>
        <w:spacing w:after="0" w:line="175"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Pamrevlumab-treated patients had an average decrease (least squares mean) in FVC of 129 ml at week 48 compared to an average decrease of 308 ml in patients receiving placebo, a statistically significant difference of 178 ml (p=0.0249, using a linear slope analysis in the ITT population). In addition, the pamrevlumab-treated arm had a lower proportion of patients (10%) who experienced a decline in FVC percent predicted of greater than or equal to 10% or death than did the placebo arm (31.4%) at week 48 (p=0.0103). The percentage of pamrevlumab patients who experienced decline in lung function of FVC percent predicted of 10% or more and discontinued therapy was less than 15% of that in the placebo arm.</w:t>
      </w:r>
    </w:p>
    <w:p>
      <w:pPr>
        <w:spacing w:after="0" w:line="162" w:lineRule="exact"/>
        <w:rPr>
          <w:sz w:val="20"/>
          <w:szCs w:val="20"/>
          <w:color w:val="auto"/>
        </w:rPr>
      </w:pPr>
    </w:p>
    <w:p>
      <w:pPr>
        <w:ind w:right="480"/>
        <w:spacing w:after="0" w:line="300" w:lineRule="auto"/>
        <w:rPr>
          <w:sz w:val="20"/>
          <w:szCs w:val="20"/>
          <w:color w:val="auto"/>
        </w:rPr>
      </w:pPr>
      <w:r>
        <w:rPr>
          <w:rFonts w:ascii="Arial" w:cs="Arial" w:eastAsia="Arial" w:hAnsi="Arial"/>
          <w:sz w:val="17"/>
          <w:szCs w:val="17"/>
          <w:color w:val="auto"/>
        </w:rPr>
        <w:t>Pamrevlumab was well tolerated in the placebo-controlled study. The treatment emergent adverse events were comparable between the pamrevlumab and placebo arms and the adverse events in the pamrevlumab arm were consistent with the known safety profile of pamrevlumab.</w:t>
      </w:r>
    </w:p>
    <w:p>
      <w:pPr>
        <w:spacing w:after="0" w:line="1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double-blind, active-controlled combination sub-studies were designed to assess the safety of combining pamrevlumab with standard of care medication in IPF patients. Study subjects were on stable doses of pirfenidone or nintedanib for at least three months and were randomized 2:1 to receive 30 mg/kg of pamrevlumab or placebo every three weeks for 24 weeks. Thirty-six patients were enrolled in the pirfenidone sub-study and 21 patients were enrolled in the nintedanib sub-study. Pamrevlumab appeared to be well tolerated when given in combination with either pirfenidone or nintedanib.</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pancreatic cancer, we continue to follow patients in our ongoing open-label, randomized (2:1) Phase 2 trial designed to determine if pamrevlumab in combination with gemcitabine and nab-paclitaxel, can convert stage 3 inoperable cancer to resectable, or operable, cancer. We expect to define a registrational strategy in the first half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enroll patients in our Phase 2 open-label trial of pamrevlumab in up to 22 non-ambulatory DMD patients.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17"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June 2005, we entered into a collaboration agreement with Astellas for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share responsibility with Astellas for clinical development activities required for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8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we recognized $10.0 million of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September 30, 2017 totals $472.6 million.</w:t>
      </w:r>
    </w:p>
    <w:p>
      <w:pPr>
        <w:spacing w:after="0" w:line="191" w:lineRule="exact"/>
        <w:rPr>
          <w:sz w:val="20"/>
          <w:szCs w:val="20"/>
          <w:color w:val="auto"/>
        </w:rPr>
      </w:pPr>
    </w:p>
    <w:p>
      <w:pPr>
        <w:ind w:right="340"/>
        <w:spacing w:after="0" w:line="270"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September 30, 2017, Astellas had separate investments of $80.5 million in the equity of FibroGen, Inc.</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1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joint initial development costs), all development and commercialization costs for roxadustat for the treatment of anemia in CKD in the U.S., Europe, Japan and all other markets outside of China have been paid by Astellas and AstraZeneca since reaching the cap.</w:t>
      </w:r>
    </w:p>
    <w:p>
      <w:pPr>
        <w:spacing w:after="0" w:line="1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as a time based development milestone. The aggregate amount of such consideration received through September 30, 2017 totals $417.2 million.</w:t>
      </w:r>
    </w:p>
    <w:p>
      <w:pPr>
        <w:spacing w:after="0" w:line="178"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September 2016, AstraZeneca approved the protocol related to the development of roxadustat for the treatment of anemia in patients with MDS, for which we have received approval from the China Food and Drug Administration (“CFDA”) for our clinical trial application in China for a Phase 2/3 trial and acceptance of our investigational new drug application (“IND”) from the FDA for a Phase 3 trial in the U.S. As a result, for revenue recognition purposes, during the third quarter of 2016, we extended the estimated joint development service period for the AstraZeneca agreements from the end of 2018 to the end of 2020, to allow for development of MDS.</w:t>
      </w:r>
    </w:p>
    <w:p>
      <w:pPr>
        <w:spacing w:after="0" w:line="19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October 2017, the China Food and Drug Administration accepted our recently submitted NDA for registration of roxadustat for anemia in dialysis-dependent CKD and NDD-CKD patients. This NDA submission triggers a $15.0 million milestone payment to FibroGen by AstraZeneca, which is expected to be received and fully recognized under our revenue recognition policy as license and milestone revenue in the fourth quarter of 2017.</w:t>
      </w:r>
    </w:p>
    <w:p>
      <w:pPr>
        <w:spacing w:after="0" w:line="16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17"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color w:val="auto"/>
        </w:rPr>
        <w:t>Total cash consideration received through September 30, 2017 and potential cash consideration, other than development cost reimbursement, transfer price payments, royalties and profit share, pursuant to our existing collaboration agreements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Cash</w:t>
            </w:r>
          </w:p>
        </w:tc>
        <w:tc>
          <w:tcPr>
            <w:tcW w:w="360" w:type="dxa"/>
            <w:vAlign w:val="bottom"/>
          </w:tcPr>
          <w:p>
            <w:pPr>
              <w:spacing w:after="0"/>
              <w:rPr>
                <w:sz w:val="14"/>
                <w:szCs w:val="14"/>
                <w:color w:val="auto"/>
              </w:rPr>
            </w:pPr>
          </w:p>
        </w:tc>
        <w:tc>
          <w:tcPr>
            <w:tcW w:w="1800" w:type="dxa"/>
            <w:vAlign w:val="bottom"/>
            <w:vMerge w:val="restart"/>
          </w:tcPr>
          <w:p>
            <w:pPr>
              <w:jc w:val="center"/>
              <w:ind w:right="278"/>
              <w:spacing w:after="0"/>
              <w:rPr>
                <w:sz w:val="20"/>
                <w:szCs w:val="20"/>
                <w:color w:val="auto"/>
              </w:rPr>
            </w:pPr>
            <w:r>
              <w:rPr>
                <w:rFonts w:ascii="Arial" w:cs="Arial" w:eastAsia="Arial" w:hAnsi="Arial"/>
                <w:sz w:val="14"/>
                <w:szCs w:val="14"/>
                <w:b w:val="1"/>
                <w:bCs w:val="1"/>
                <w:color w:val="auto"/>
                <w:w w:val="93"/>
              </w:rPr>
              <w:t>Additional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1"/>
              </w:rPr>
              <w:t>Received</w:t>
            </w:r>
          </w:p>
        </w:tc>
        <w:tc>
          <w:tcPr>
            <w:tcW w:w="36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1"/>
              </w:rPr>
              <w:t>Through</w:t>
            </w:r>
          </w:p>
        </w:tc>
        <w:tc>
          <w:tcPr>
            <w:tcW w:w="360" w:type="dxa"/>
            <w:vAlign w:val="bottom"/>
          </w:tcPr>
          <w:p>
            <w:pPr>
              <w:spacing w:after="0"/>
              <w:rPr>
                <w:sz w:val="12"/>
                <w:szCs w:val="12"/>
                <w:color w:val="auto"/>
              </w:rPr>
            </w:pPr>
          </w:p>
        </w:tc>
        <w:tc>
          <w:tcPr>
            <w:tcW w:w="1800" w:type="dxa"/>
            <w:vAlign w:val="bottom"/>
          </w:tcPr>
          <w:p>
            <w:pPr>
              <w:jc w:val="center"/>
              <w:ind w:right="298"/>
              <w:spacing w:after="0" w:line="147" w:lineRule="exact"/>
              <w:rPr>
                <w:sz w:val="20"/>
                <w:szCs w:val="20"/>
                <w:color w:val="auto"/>
              </w:rPr>
            </w:pPr>
            <w:r>
              <w:rPr>
                <w:rFonts w:ascii="Arial" w:cs="Arial" w:eastAsia="Arial" w:hAnsi="Arial"/>
                <w:sz w:val="14"/>
                <w:szCs w:val="14"/>
                <w:b w:val="1"/>
                <w:bCs w:val="1"/>
                <w:color w:val="auto"/>
                <w:w w:val="91"/>
              </w:rPr>
              <w:t>Potential</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4"/>
              </w:rPr>
              <w:t>Potential</w:t>
            </w:r>
          </w:p>
        </w:tc>
        <w:tc>
          <w:tcPr>
            <w:tcW w:w="0" w:type="dxa"/>
            <w:vAlign w:val="bottom"/>
          </w:tcPr>
          <w:p>
            <w:pPr>
              <w:spacing w:after="0"/>
              <w:rPr>
                <w:sz w:val="1"/>
                <w:szCs w:val="1"/>
                <w:color w:val="auto"/>
              </w:rPr>
            </w:pPr>
          </w:p>
        </w:tc>
      </w:tr>
      <w:tr>
        <w:trPr>
          <w:trHeight w:val="170"/>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1"/>
              </w:rPr>
              <w:t>September 30, 2017</w:t>
            </w:r>
          </w:p>
        </w:tc>
        <w:tc>
          <w:tcPr>
            <w:tcW w:w="360" w:type="dxa"/>
            <w:vAlign w:val="bottom"/>
          </w:tcPr>
          <w:p>
            <w:pPr>
              <w:spacing w:after="0"/>
              <w:rPr>
                <w:sz w:val="14"/>
                <w:szCs w:val="14"/>
                <w:color w:val="auto"/>
              </w:rPr>
            </w:pPr>
          </w:p>
        </w:tc>
        <w:tc>
          <w:tcPr>
            <w:tcW w:w="1800" w:type="dxa"/>
            <w:vAlign w:val="bottom"/>
          </w:tcPr>
          <w:p>
            <w:pPr>
              <w:jc w:val="center"/>
              <w:ind w:right="298"/>
              <w:spacing w:after="0"/>
              <w:rPr>
                <w:sz w:val="20"/>
                <w:szCs w:val="20"/>
                <w:color w:val="auto"/>
              </w:rPr>
            </w:pPr>
            <w:r>
              <w:rPr>
                <w:rFonts w:ascii="Arial" w:cs="Arial" w:eastAsia="Arial" w:hAnsi="Arial"/>
                <w:sz w:val="14"/>
                <w:szCs w:val="14"/>
                <w:b w:val="1"/>
                <w:bCs w:val="1"/>
                <w:color w:val="auto"/>
                <w:w w:val="90"/>
              </w:rPr>
              <w:t>Cash Payments</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Cash Payments</w:t>
            </w: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jc w:val="center"/>
              <w:ind w:right="258"/>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62,593</w:t>
            </w:r>
          </w:p>
        </w:tc>
        <w:tc>
          <w:tcPr>
            <w:tcW w:w="32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110,000</w:t>
            </w:r>
          </w:p>
        </w:tc>
        <w:tc>
          <w:tcPr>
            <w:tcW w:w="68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472,593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389,000</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28,200</w:t>
            </w:r>
          </w:p>
        </w:tc>
        <w:tc>
          <w:tcPr>
            <w:tcW w:w="3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417,200</w:t>
            </w:r>
          </w:p>
        </w:tc>
        <w:tc>
          <w:tcPr>
            <w:tcW w:w="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889,793</w:t>
            </w:r>
          </w:p>
        </w:tc>
        <w:tc>
          <w:tcPr>
            <w:tcW w:w="3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1"/>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580"/>
        <w:spacing w:after="0" w:line="270"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98"/>
              <w:spacing w:after="0" w:line="153"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98"/>
              <w:spacing w:after="0" w:line="153"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8"/>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15"/>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20" w:type="dxa"/>
            <w:vAlign w:val="bottom"/>
          </w:tcPr>
          <w:p>
            <w:pPr>
              <w:ind w:left="260"/>
              <w:spacing w:after="0"/>
              <w:rPr>
                <w:sz w:val="20"/>
                <w:szCs w:val="20"/>
                <w:color w:val="auto"/>
              </w:rPr>
            </w:pPr>
            <w:r>
              <w:rPr>
                <w:rFonts w:ascii="Arial" w:cs="Arial" w:eastAsia="Arial" w:hAnsi="Arial"/>
                <w:sz w:val="18"/>
                <w:szCs w:val="18"/>
                <w:color w:val="auto"/>
              </w:rPr>
              <w:t>License and milestone revenue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19,997</w:t>
            </w:r>
          </w:p>
        </w:tc>
        <w:tc>
          <w:tcPr>
            <w:tcW w:w="2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20,867</w:t>
            </w:r>
          </w:p>
        </w:tc>
        <w:tc>
          <w:tcPr>
            <w:tcW w:w="260" w:type="dxa"/>
            <w:vAlign w:val="bottom"/>
          </w:tcPr>
          <w:p>
            <w:pPr>
              <w:spacing w:after="0"/>
              <w:rPr>
                <w:sz w:val="19"/>
                <w:szCs w:val="19"/>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2"/>
              <w:spacing w:after="0"/>
              <w:rPr>
                <w:sz w:val="20"/>
                <w:szCs w:val="20"/>
                <w:color w:val="auto"/>
              </w:rPr>
            </w:pPr>
            <w:r>
              <w:rPr>
                <w:rFonts w:ascii="Arial" w:cs="Arial" w:eastAsia="Arial" w:hAnsi="Arial"/>
                <w:sz w:val="18"/>
                <w:szCs w:val="18"/>
                <w:color w:val="auto"/>
              </w:rPr>
              <w:t>(870)</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 %</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ind w:left="100"/>
              <w:spacing w:after="0"/>
              <w:rPr>
                <w:sz w:val="20"/>
                <w:szCs w:val="20"/>
                <w:color w:val="auto"/>
              </w:rPr>
            </w:pPr>
            <w:r>
              <w:rPr>
                <w:rFonts w:ascii="Arial" w:cs="Arial" w:eastAsia="Arial" w:hAnsi="Arial"/>
                <w:sz w:val="18"/>
                <w:szCs w:val="18"/>
                <w:color w:val="auto"/>
                <w:w w:val="90"/>
              </w:rPr>
              <w:t>60,930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113,802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02"/>
              <w:spacing w:after="0"/>
              <w:rPr>
                <w:sz w:val="20"/>
                <w:szCs w:val="20"/>
                <w:color w:val="auto"/>
              </w:rPr>
            </w:pPr>
            <w:r>
              <w:rPr>
                <w:rFonts w:ascii="Arial" w:cs="Arial" w:eastAsia="Arial" w:hAnsi="Arial"/>
                <w:sz w:val="18"/>
                <w:szCs w:val="18"/>
                <w:color w:val="auto"/>
                <w:w w:val="98"/>
              </w:rPr>
              <w:t>(52,872)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7"/>
        </w:trPr>
        <w:tc>
          <w:tcPr>
            <w:tcW w:w="3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Collaboration services and other revenue</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9,235</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2"/>
              <w:spacing w:after="0"/>
              <w:rPr>
                <w:sz w:val="20"/>
                <w:szCs w:val="20"/>
                <w:color w:val="auto"/>
              </w:rPr>
            </w:pPr>
            <w:r>
              <w:rPr>
                <w:rFonts w:ascii="Arial" w:cs="Arial" w:eastAsia="Arial" w:hAnsi="Arial"/>
                <w:sz w:val="18"/>
                <w:szCs w:val="18"/>
                <w:color w:val="auto"/>
              </w:rPr>
              <w:t>(1,960)</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22,230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2"/>
              <w:spacing w:after="0"/>
              <w:rPr>
                <w:sz w:val="20"/>
                <w:szCs w:val="20"/>
                <w:color w:val="auto"/>
              </w:rPr>
            </w:pPr>
            <w:r>
              <w:rPr>
                <w:rFonts w:ascii="Arial" w:cs="Arial" w:eastAsia="Arial" w:hAnsi="Arial"/>
                <w:sz w:val="18"/>
                <w:szCs w:val="18"/>
                <w:color w:val="auto"/>
                <w:w w:val="98"/>
              </w:rPr>
              <w:t>(11,633)</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0"/>
        </w:trPr>
        <w:tc>
          <w:tcPr>
            <w:tcW w:w="332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27,272</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30,102</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0"/>
              </w:rPr>
              <w:t>83,160</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147,665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(64,505</w:t>
            </w:r>
          </w:p>
        </w:tc>
        <w:tc>
          <w:tcPr>
            <w:tcW w:w="340" w:type="dxa"/>
            <w:vAlign w:val="bottom"/>
          </w:tcPr>
          <w:p>
            <w:pPr>
              <w:jc w:val="right"/>
              <w:ind w:right="202"/>
              <w:spacing w:after="0"/>
              <w:rPr>
                <w:sz w:val="20"/>
                <w:szCs w:val="20"/>
                <w:color w:val="auto"/>
              </w:rPr>
            </w:pPr>
            <w:r>
              <w:rPr>
                <w:rFonts w:ascii="Arial" w:cs="Arial" w:eastAsia="Arial" w:hAnsi="Arial"/>
                <w:sz w:val="16"/>
                <w:szCs w:val="16"/>
                <w:color w:val="auto"/>
                <w:w w:val="74"/>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73% and 69% of total revenue for the three months ended September 30, 2017 and 2016, respectively, and 73% and 77% of total revenue for the nine months ended September 30, 2017 and 2016, respectively.</w:t>
      </w:r>
    </w:p>
    <w:p>
      <w:pPr>
        <w:spacing w:after="0" w:line="19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Collaboration services include co-development services, manufacturing of clinical supplies, committee services and information sharing. Collaboration services revenues are recognized over the non-contingent performance period, ranging from 36 to 89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years presented. Collaboration services and other revenues represented 27% and 31% of total revenue for the three months ended September 30, 2017 and 2016, respectively, and 27% and 23% of total revenue for the nine months ended September 30, 2017 and 2016,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51"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Total revenue decreased $2.8 million, or 9% for the three months ended September 30, 2017, and decreased $64.5 million, or 44% for the nine months ended September 30, 2017, compared to the same periods a year ago for the reasons discussed in the sections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and Milestone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415"/>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80"/>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8"/>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80"/>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5"/>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75"/>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5"/>
          </w:tcPr>
          <w:p>
            <w:pPr>
              <w:ind w:left="20"/>
              <w:spacing w:after="0" w:line="153"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License and milestone revenue:</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4,125</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4,371</w:t>
            </w: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(246)</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100"/>
              <w:spacing w:after="0"/>
              <w:rPr>
                <w:sz w:val="20"/>
                <w:szCs w:val="20"/>
                <w:color w:val="auto"/>
              </w:rPr>
            </w:pPr>
            <w:r>
              <w:rPr>
                <w:rFonts w:ascii="Arial" w:cs="Arial" w:eastAsia="Arial" w:hAnsi="Arial"/>
                <w:sz w:val="18"/>
                <w:szCs w:val="18"/>
                <w:color w:val="auto"/>
                <w:w w:val="87"/>
              </w:rPr>
              <w:t>11,652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20,727</w:t>
            </w:r>
          </w:p>
        </w:tc>
        <w:tc>
          <w:tcPr>
            <w:tcW w:w="260" w:type="dxa"/>
            <w:vAlign w:val="bottom"/>
          </w:tcPr>
          <w:p>
            <w:pPr>
              <w:spacing w:after="0"/>
              <w:rPr>
                <w:sz w:val="19"/>
                <w:szCs w:val="19"/>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2"/>
              <w:spacing w:after="0"/>
              <w:rPr>
                <w:sz w:val="20"/>
                <w:szCs w:val="20"/>
                <w:color w:val="auto"/>
              </w:rPr>
            </w:pPr>
            <w:r>
              <w:rPr>
                <w:rFonts w:ascii="Arial" w:cs="Arial" w:eastAsia="Arial" w:hAnsi="Arial"/>
                <w:sz w:val="18"/>
                <w:szCs w:val="18"/>
                <w:color w:val="auto"/>
              </w:rPr>
              <w:t>(9,075)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(624)</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7"/>
              </w:rPr>
              <w:t>49,278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93,075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w w:val="98"/>
              </w:rPr>
              <w:t>(43,797)</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0"/>
        </w:trPr>
        <w:tc>
          <w:tcPr>
            <w:tcW w:w="3380" w:type="dxa"/>
            <w:vAlign w:val="bottom"/>
          </w:tcPr>
          <w:p>
            <w:pPr>
              <w:ind w:left="500"/>
              <w:spacing w:after="0"/>
              <w:rPr>
                <w:sz w:val="20"/>
                <w:szCs w:val="20"/>
                <w:color w:val="auto"/>
              </w:rPr>
            </w:pPr>
            <w:r>
              <w:rPr>
                <w:rFonts w:ascii="Arial" w:cs="Arial" w:eastAsia="Arial" w:hAnsi="Arial"/>
                <w:sz w:val="18"/>
                <w:szCs w:val="18"/>
                <w:color w:val="auto"/>
                <w:w w:val="99"/>
              </w:rPr>
              <w:t>Total license and milestone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19,997</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20,867</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6"/>
              </w:rPr>
              <w:t>(870)</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7"/>
              </w:rPr>
              <w:t>60,930</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113,802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(52,872</w:t>
            </w:r>
          </w:p>
        </w:tc>
        <w:tc>
          <w:tcPr>
            <w:tcW w:w="300" w:type="dxa"/>
            <w:vAlign w:val="bottom"/>
          </w:tcPr>
          <w:p>
            <w:pPr>
              <w:jc w:val="right"/>
              <w:ind w:right="162"/>
              <w:spacing w:after="0"/>
              <w:rPr>
                <w:sz w:val="20"/>
                <w:szCs w:val="20"/>
                <w:color w:val="auto"/>
              </w:rPr>
            </w:pPr>
            <w:r>
              <w:rPr>
                <w:rFonts w:ascii="Arial" w:cs="Arial" w:eastAsia="Arial" w:hAnsi="Arial"/>
                <w:sz w:val="16"/>
                <w:szCs w:val="16"/>
                <w:color w:val="auto"/>
                <w:w w:val="74"/>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License and milestone revenue decreased $0.9 million, or 4% for the three months ended September 30, 2017, and decreased $52.9 million, or 46% for the nine months ended September 30, 2017, compared to the same periods a year ago due to decreases in the license and milestone revenue recognized under both of our collaboration agreements with AstraZeneca and with Astellas.</w:t>
      </w:r>
    </w:p>
    <w:p>
      <w:pPr>
        <w:spacing w:after="0" w:line="184"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License and milestone revenue recognized under our collaboration agreements with AstraZeneca decreased due to the impact of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 License and milestone revenue for the nine months ended September 30, 2017 was also impacted by an upfront payment of $62.0 million received during the second quarter of 2016, with no corresponding milestones in the current year periods.</w:t>
      </w:r>
    </w:p>
    <w:p>
      <w:pPr>
        <w:spacing w:after="0" w:line="205" w:lineRule="exact"/>
        <w:rPr>
          <w:sz w:val="20"/>
          <w:szCs w:val="20"/>
          <w:color w:val="auto"/>
        </w:rPr>
      </w:pPr>
    </w:p>
    <w:p>
      <w:pPr>
        <w:ind w:right="640"/>
        <w:spacing w:after="0" w:line="300" w:lineRule="auto"/>
        <w:rPr>
          <w:sz w:val="20"/>
          <w:szCs w:val="20"/>
          <w:color w:val="auto"/>
        </w:rPr>
      </w:pPr>
      <w:r>
        <w:rPr>
          <w:rFonts w:ascii="Arial" w:cs="Arial" w:eastAsia="Arial" w:hAnsi="Arial"/>
          <w:sz w:val="17"/>
          <w:szCs w:val="17"/>
          <w:color w:val="auto"/>
        </w:rPr>
        <w:t>License and milestone revenue recognized under our collaboration agreements with Astellas decreased primarily due to a $10.0 million of development milestone revenue recorded during the second quarter of 2016, with no corresponding milestones in the current year periods.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Collaboration Services and Other 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4"/>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55"/>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96"/>
              <w:spacing w:after="0" w:line="153"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4"/>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96"/>
              <w:spacing w:after="0" w:line="153"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14"/>
              <w:spacing w:after="0" w:line="153"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Collaboration services 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1,230</w:t>
            </w:r>
          </w:p>
        </w:tc>
        <w:tc>
          <w:tcPr>
            <w:tcW w:w="2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(1,954)</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 %</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32,723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(11,726)</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440" w:type="dxa"/>
            <w:vAlign w:val="bottom"/>
          </w:tcPr>
          <w:p>
            <w:pPr>
              <w:ind w:left="500"/>
              <w:spacing w:after="0"/>
              <w:rPr>
                <w:sz w:val="20"/>
                <w:szCs w:val="20"/>
                <w:color w:val="auto"/>
              </w:rPr>
            </w:pPr>
            <w:r>
              <w:rPr>
                <w:rFonts w:ascii="Arial" w:cs="Arial" w:eastAsia="Arial" w:hAnsi="Arial"/>
                <w:sz w:val="18"/>
                <w:szCs w:val="18"/>
                <w:color w:val="auto"/>
              </w:rPr>
              <w:t>Total collaboration services revenue</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7,275</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9,220</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3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22,227</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33,837</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(11,610)</w:t>
            </w:r>
          </w:p>
        </w:tc>
        <w:tc>
          <w:tcPr>
            <w:tcW w:w="3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(23)</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tcPr>
          <w:p>
            <w:pPr>
              <w:ind w:left="500"/>
              <w:spacing w:after="0" w:line="206" w:lineRule="exact"/>
              <w:rPr>
                <w:sz w:val="20"/>
                <w:szCs w:val="20"/>
                <w:color w:val="auto"/>
              </w:rPr>
            </w:pPr>
            <w:r>
              <w:rPr>
                <w:rFonts w:ascii="Arial" w:cs="Arial" w:eastAsia="Arial" w:hAnsi="Arial"/>
                <w:sz w:val="18"/>
                <w:szCs w:val="18"/>
                <w:color w:val="auto"/>
                <w:w w:val="97"/>
              </w:rPr>
              <w:t>Total collaboration services and other</w:t>
            </w: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440" w:type="dxa"/>
            <w:vAlign w:val="bottom"/>
          </w:tcPr>
          <w:p>
            <w:pPr>
              <w:ind w:left="50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7,275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9,235</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(1,960)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22,230</w:t>
            </w:r>
          </w:p>
        </w:tc>
        <w:tc>
          <w:tcPr>
            <w:tcW w:w="2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33,863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(11,633)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35"/>
              <w:spacing w:after="0"/>
              <w:rPr>
                <w:sz w:val="20"/>
                <w:szCs w:val="20"/>
                <w:color w:val="auto"/>
              </w:rPr>
            </w:pPr>
            <w:r>
              <w:rPr>
                <w:rFonts w:ascii="Arial" w:cs="Arial" w:eastAsia="Arial" w:hAnsi="Arial"/>
                <w:sz w:val="18"/>
                <w:szCs w:val="18"/>
                <w:color w:val="auto"/>
                <w:w w:val="89"/>
              </w:rPr>
              <w:t>24</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Collaboration services and other revenue decreased $2.0 million, or 21%, for the three months ended September 30, 2017, and decreased $11.6 million, or 34%, for the nine months ended September 30, 2017, compared to the same periods a year ago primarily due to a decrease in the collaboration services revenue recognized under our collaboration agreements with AstraZeneca from the impact of the extension of the estimated joint development service period for the AstraZeneca agreements, for revenue recognition purposes, from the end of 2018 to the end of 2020. We made this extension in the third quarter of 2016 due to the approval of the development budget for the treatment of anemia in patients with MDS. Collaboration services and other revenue for the nine months ended September 30, 2017 was also impacted by the allocation of the upfront payment of $62.0 million during the second quarter of 2016, with no corresponding milestones in the current year periods.</w:t>
      </w:r>
    </w:p>
    <w:p>
      <w:pPr>
        <w:spacing w:after="0" w:line="181"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color w:val="auto"/>
        </w:rPr>
        <w:t>Collaboration services revenue recognized under our collaboration agreements with Astellas remained relatively flat for the three and nine months ended September 30, 2017, compared to the same periods a year ago.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3"/>
              </w:rPr>
              <w:t>Change</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Nine Months Ended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60"/>
              <w:spacing w:after="0" w:line="153"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5"/>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8"/>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64"/>
              <w:spacing w:after="0" w:line="153"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top w:val="single" w:sz="8" w:color="auto"/>
              <w:bottom w:val="single" w:sz="8" w:color="auto"/>
            </w:tcBorders>
            <w:gridSpan w:val="2"/>
          </w:tcPr>
          <w:p>
            <w:pPr>
              <w:jc w:val="right"/>
              <w:ind w:right="151"/>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78"/>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75"/>
              <w:spacing w:after="0" w:line="153"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4"/>
          </w:tcPr>
          <w:p>
            <w:pPr>
              <w:jc w:val="right"/>
              <w:ind w:right="384"/>
              <w:spacing w:after="0" w:line="153" w:lineRule="exact"/>
              <w:rPr>
                <w:sz w:val="20"/>
                <w:szCs w:val="20"/>
                <w:color w:val="auto"/>
              </w:rPr>
            </w:pPr>
            <w:r>
              <w:rPr>
                <w:rFonts w:ascii="Arial" w:cs="Arial" w:eastAsia="Arial" w:hAnsi="Arial"/>
                <w:sz w:val="14"/>
                <w:szCs w:val="14"/>
                <w:b w:val="1"/>
                <w:bCs w:val="1"/>
                <w:color w:val="auto"/>
                <w:w w:val="90"/>
              </w:rPr>
              <w:t>(dollars in thousands)</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100"/>
              <w:spacing w:after="0"/>
              <w:rPr>
                <w:sz w:val="20"/>
                <w:szCs w:val="20"/>
                <w:color w:val="auto"/>
              </w:rPr>
            </w:pPr>
            <w:r>
              <w:rPr>
                <w:rFonts w:ascii="Arial" w:cs="Arial" w:eastAsia="Arial" w:hAnsi="Arial"/>
                <w:sz w:val="18"/>
                <w:szCs w:val="18"/>
                <w:color w:val="auto"/>
                <w:w w:val="90"/>
              </w:rPr>
              <w:t>50,336</w:t>
            </w:r>
          </w:p>
        </w:tc>
        <w:tc>
          <w:tcPr>
            <w:tcW w:w="4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40,558</w:t>
            </w:r>
          </w:p>
        </w:tc>
        <w:tc>
          <w:tcPr>
            <w:tcW w:w="4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9,778</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$ 144,049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$ 136,599</w:t>
            </w:r>
          </w:p>
        </w:tc>
        <w:tc>
          <w:tcPr>
            <w:tcW w:w="26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7,450</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3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0"/>
              </w:rPr>
              <w:t>12,953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11,646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37,908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33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90"/>
              </w:rPr>
              <w:t>63,289</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52,204</w:t>
            </w: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$ 181,957</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$ 170,039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11,918</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40"/>
        <w:spacing w:after="0" w:line="270" w:lineRule="auto"/>
        <w:rPr>
          <w:sz w:val="20"/>
          <w:szCs w:val="20"/>
          <w:color w:val="auto"/>
        </w:rPr>
      </w:pPr>
      <w:r>
        <w:rPr>
          <w:rFonts w:ascii="Arial" w:cs="Arial" w:eastAsia="Arial" w:hAnsi="Arial"/>
          <w:sz w:val="18"/>
          <w:szCs w:val="18"/>
          <w:color w:val="auto"/>
        </w:rPr>
        <w:t>Total operating expenses increased $11.1 million, or 21%, for the three months ended September 30, 2017, and $11.9 million, or 7%, for the nine months ended September 30, 2017, compared to the same periods a year ago, for the reasons discussed in the sections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1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nine months ended September 30, 2017 and 2016: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4"/>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w w:val="89"/>
              </w:rPr>
              <w:t>Phase of Development</w:t>
            </w:r>
          </w:p>
        </w:tc>
        <w:tc>
          <w:tcPr>
            <w:tcW w:w="16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20" w:type="dxa"/>
            <w:vAlign w:val="bottom"/>
            <w:gridSpan w:val="2"/>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980" w:type="dxa"/>
            <w:vAlign w:val="bottom"/>
            <w:tcBorders>
              <w:top w:val="single" w:sz="8" w:color="CFF0FC"/>
            </w:tcBorders>
            <w:gridSpan w:val="2"/>
            <w:shd w:val="clear" w:color="auto" w:fill="CFF0FC"/>
          </w:tcPr>
          <w:p>
            <w:pPr>
              <w:jc w:val="right"/>
              <w:ind w:right="668"/>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32,493</w:t>
            </w:r>
          </w:p>
        </w:tc>
        <w:tc>
          <w:tcPr>
            <w:tcW w:w="560" w:type="dxa"/>
            <w:vAlign w:val="bottom"/>
            <w:tcBorders>
              <w:top w:val="single" w:sz="8" w:color="CFF0FC"/>
            </w:tcBorders>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30,880</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92,595</w:t>
            </w: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94,953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8"/>
                <w:szCs w:val="18"/>
                <w:color w:val="auto"/>
              </w:rPr>
              <w:t>Pamrevlumab</w:t>
            </w:r>
          </w:p>
        </w:tc>
        <w:tc>
          <w:tcPr>
            <w:tcW w:w="1360" w:type="dxa"/>
            <w:vAlign w:val="bottom"/>
          </w:tcPr>
          <w:p>
            <w:pPr>
              <w:spacing w:after="0"/>
              <w:rPr>
                <w:sz w:val="20"/>
                <w:szCs w:val="20"/>
                <w:color w:val="auto"/>
              </w:rPr>
            </w:pPr>
            <w:r>
              <w:rPr>
                <w:rFonts w:ascii="Arial" w:cs="Arial" w:eastAsia="Arial" w:hAnsi="Arial"/>
                <w:sz w:val="18"/>
                <w:szCs w:val="18"/>
                <w:color w:val="auto"/>
              </w:rPr>
              <w:t>Phase 2</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12,230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37,366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FG-6874</w:t>
            </w:r>
          </w:p>
        </w:tc>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Phase 1</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8"/>
                <w:szCs w:val="18"/>
                <w:color w:val="auto"/>
              </w:rPr>
              <w:t>FG-5200</w:t>
            </w:r>
          </w:p>
        </w:tc>
        <w:tc>
          <w:tcPr>
            <w:tcW w:w="1360" w:type="dxa"/>
            <w:vAlign w:val="bottom"/>
          </w:tcPr>
          <w:p>
            <w:pPr>
              <w:spacing w:after="0"/>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3,457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4,276</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2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10,590</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20" w:type="dxa"/>
            <w:vAlign w:val="bottom"/>
            <w:gridSpan w:val="2"/>
          </w:tcPr>
          <w:p>
            <w:pPr>
              <w:ind w:left="260"/>
              <w:spacing w:after="0"/>
              <w:rPr>
                <w:sz w:val="20"/>
                <w:szCs w:val="20"/>
                <w:color w:val="auto"/>
              </w:rPr>
            </w:pPr>
            <w:r>
              <w:rPr>
                <w:rFonts w:ascii="Arial" w:cs="Arial" w:eastAsia="Arial" w:hAnsi="Arial"/>
                <w:sz w:val="18"/>
                <w:szCs w:val="18"/>
                <w:color w:val="auto"/>
                <w:w w:val="98"/>
              </w:rPr>
              <w:t>Total research and development expenses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50,336</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40,558</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144,049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Research and development expenses increased $9.8 million, or 24%, for the three months ended September 30, 2017, compared to the same period a year ago. The increase was primarily due to increases in drug development expenses of $6.8 million, employee-related costs of $3.4 million, clinical trial costs of $0.7 million, and stock-based compensation expense of $0.5 million, partially offset by a decrease in outside services of $2.0 million. Drug development expenses increased primarily due to higher drug substance manufacturing activities related to pamrevlumab. Employee-related costs increased due to higher headcount and higher average compensation level. Clinical trial costs increased as a result of the progression of the MDS studies. Stock-based compensation expense increased due to cumulative impact of stock option grant activities. Outside services costs decreased due to lower scientific contract work related to other HIF-PH inhibitors.</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Research and development expenses increased $7.5 million, or 5%, for the nine months ended September 30, 2017, compared to the same period a year ago. The increase was primarily due to increases in employee-related costs of $4.7 million, clinical trial costs of $4.2 million, drug development expenses of $4.0 million, and stock-based compensation of $1.4 million, partially offset by decreases in outside services of $4.9 million, and allocated facility related expense of $2.0 million. Employee-related costs increased due to higher headcount and higher average compensation level. Clinical trial costs increased as a result of the progression of the Phase 3 trials for roxadustat and MDS studies. Drug development expenses increased due to higher drug substance manufacturing activities related to pamrevlumab. Stock-based compensation increased due to cumulative impact of stock option grant activities. Outside services costs decreased due to lower scientific contract work related to other HIF-PH inhibitors. Facility related expenses, as part of the allocated overhead costs, decreased due to the final assessment we obtained during the first quarter of 2017, resulting in a total of $3.0 million reduction in assessed property tax.</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General and administrative expenses increased $1.3 million, or 11%, for the three months ended September 30, 2017, compared to the same period a year ago, primarily due to increases in employee-related costs of $1.2 million, stock-based compensation expense of $0.7 million, partially offset by a decrease in outside services expenses of $0.4 million. Employee-related costs increased due to higher average compensation level, higher headcount, and increased recruiting activities. Stock-based compensation expense increased due to cumulative impact of stock option grant activities. Outside services expenses decreased primarily due to the lower administrative consulting activities.</w:t>
      </w:r>
    </w:p>
    <w:p>
      <w:pPr>
        <w:spacing w:after="0" w:line="19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General and administrative expenses increased $4.5 million, or 13%, for the nine months ended September 30, 2017, compared to the same period a year ago, primarily due to increases in employee-related costs of $2.9 million and stock-based compensation expense of $1.9 million, partially offset by a decrease in facility related expense of $0.9 million. Employee-related costs increased due to higher average compensation level, higher headcount, and increased recruiting activities. Stock-based compensation expense increased due to cumulative impact of stock option grant activities. Facility related expenses decreased due to the final assessment we obtained during the first quarter of 2017, resulting in a total of $3.0 million reduction in assessed property tax.</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for Roxadustat Covered Under Collaboration Agreements</w:t>
      </w:r>
    </w:p>
    <w:p>
      <w:pPr>
        <w:spacing w:after="0" w:line="11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share responsibility with AstraZeneca for clinical development activities required for U.S. regulatory approval of roxadustat. During the fourth quarter of 2015, the $116.5 million cap on our share of development costs for roxadustat was reached. As such, all development and commercialization costs for roxadustat for the treatment of anemia in CKD in the U.S., Europe, Japan and all other markets outside of China have been paid by Astellas and AstraZeneca since reaching the cap. In China, our subsidiary FibroGen Beijing will conduct the development work for CKD anemia, will hold all of the regulatory licenses issued by China regulatory authorities, and be primarily responsible for regulatory, clinical and manufacturing. All development and commercialization costs for roxadustat in China will be shared equally with AstraZeneca.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Income (Expense),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282"/>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402"/>
              <w:spacing w:after="0"/>
              <w:rPr>
                <w:sz w:val="20"/>
                <w:szCs w:val="20"/>
                <w:color w:val="auto"/>
              </w:rPr>
            </w:pPr>
            <w:r>
              <w:rPr>
                <w:rFonts w:ascii="Arial" w:cs="Arial" w:eastAsia="Arial" w:hAnsi="Arial"/>
                <w:sz w:val="14"/>
                <w:szCs w:val="14"/>
                <w:b w:val="1"/>
                <w:bCs w:val="1"/>
                <w:color w:val="auto"/>
                <w:w w:val="97"/>
              </w:rPr>
              <w:t>Nine Months Ended</w:t>
            </w:r>
          </w:p>
        </w:tc>
        <w:tc>
          <w:tcPr>
            <w:tcW w:w="220" w:type="dxa"/>
            <w:vAlign w:val="bottom"/>
          </w:tcPr>
          <w:p>
            <w:pPr>
              <w:spacing w:after="0"/>
              <w:rPr>
                <w:sz w:val="14"/>
                <w:szCs w:val="14"/>
                <w:color w:val="auto"/>
              </w:rPr>
            </w:pPr>
          </w:p>
        </w:tc>
        <w:tc>
          <w:tcPr>
            <w:tcW w:w="7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right"/>
              <w:ind w:right="502"/>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gridSpan w:val="6"/>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0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60"/>
              <w:spacing w:after="0" w:line="153"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58"/>
              <w:spacing w:after="0" w:line="153"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15"/>
              <w:spacing w:after="0" w:line="153"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0"/>
              <w:spacing w:after="0" w:line="153"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35"/>
              <w:spacing w:after="0" w:line="153"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258"/>
              <w:spacing w:after="0" w:line="153"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15"/>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60" w:type="dxa"/>
            <w:vAlign w:val="bottom"/>
            <w:gridSpan w:val="7"/>
          </w:tcPr>
          <w:p>
            <w:pPr>
              <w:jc w:val="right"/>
              <w:ind w:right="422"/>
              <w:spacing w:after="0" w:line="153" w:lineRule="exact"/>
              <w:rPr>
                <w:sz w:val="20"/>
                <w:szCs w:val="20"/>
                <w:color w:val="auto"/>
              </w:rPr>
            </w:pPr>
            <w:r>
              <w:rPr>
                <w:rFonts w:ascii="Arial" w:cs="Arial" w:eastAsia="Arial" w:hAnsi="Arial"/>
                <w:sz w:val="14"/>
                <w:szCs w:val="14"/>
                <w:b w:val="1"/>
                <w:bCs w:val="1"/>
                <w:color w:val="auto"/>
                <w:w w:val="98"/>
              </w:rPr>
              <w:t>(dollars in thousands)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02"/>
              <w:spacing w:after="0"/>
              <w:rPr>
                <w:sz w:val="20"/>
                <w:szCs w:val="20"/>
                <w:color w:val="auto"/>
              </w:rPr>
            </w:pPr>
            <w:r>
              <w:rPr>
                <w:rFonts w:ascii="Arial" w:cs="Arial" w:eastAsia="Arial" w:hAnsi="Arial"/>
                <w:sz w:val="18"/>
                <w:szCs w:val="18"/>
                <w:color w:val="auto"/>
              </w:rPr>
              <w:t>(2,769)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2"/>
              <w:spacing w:after="0"/>
              <w:rPr>
                <w:sz w:val="20"/>
                <w:szCs w:val="20"/>
                <w:color w:val="auto"/>
              </w:rPr>
            </w:pPr>
            <w:r>
              <w:rPr>
                <w:rFonts w:ascii="Arial" w:cs="Arial" w:eastAsia="Arial" w:hAnsi="Arial"/>
                <w:sz w:val="18"/>
                <w:szCs w:val="18"/>
                <w:color w:val="auto"/>
              </w:rPr>
              <w:t>(2,760)</w:t>
            </w:r>
          </w:p>
        </w:tc>
        <w:tc>
          <w:tcPr>
            <w:tcW w:w="30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9"/>
              <w:spacing w:after="0"/>
              <w:rPr>
                <w:sz w:val="20"/>
                <w:szCs w:val="20"/>
                <w:color w:val="auto"/>
              </w:rPr>
            </w:pPr>
            <w:r>
              <w:rPr>
                <w:rFonts w:ascii="Arial" w:cs="Arial" w:eastAsia="Arial" w:hAnsi="Arial"/>
                <w:sz w:val="18"/>
                <w:szCs w:val="18"/>
                <w:color w:val="auto"/>
              </w:rPr>
              <w:t>(9)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
              <w:spacing w:after="0"/>
              <w:rPr>
                <w:sz w:val="20"/>
                <w:szCs w:val="20"/>
                <w:color w:val="auto"/>
              </w:rPr>
            </w:pPr>
            <w:r>
              <w:rPr>
                <w:rFonts w:ascii="Arial" w:cs="Arial" w:eastAsia="Arial" w:hAnsi="Arial"/>
                <w:sz w:val="18"/>
                <w:szCs w:val="18"/>
                <w:color w:val="auto"/>
              </w:rPr>
              <w:t>(7,901)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2"/>
              <w:spacing w:after="0"/>
              <w:rPr>
                <w:sz w:val="20"/>
                <w:szCs w:val="20"/>
                <w:color w:val="auto"/>
              </w:rPr>
            </w:pPr>
            <w:r>
              <w:rPr>
                <w:rFonts w:ascii="Arial" w:cs="Arial" w:eastAsia="Arial" w:hAnsi="Arial"/>
                <w:sz w:val="18"/>
                <w:szCs w:val="18"/>
                <w:color w:val="auto"/>
              </w:rPr>
              <w:t>(7,975)</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0"/>
        </w:trPr>
        <w:tc>
          <w:tcPr>
            <w:tcW w:w="404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160" w:type="dxa"/>
            <w:vAlign w:val="bottom"/>
          </w:tcPr>
          <w:p>
            <w:pPr>
              <w:jc w:val="right"/>
              <w:ind w:right="22"/>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9"/>
                <w:szCs w:val="19"/>
                <w:color w:val="auto"/>
              </w:rPr>
            </w:pPr>
          </w:p>
        </w:tc>
        <w:tc>
          <w:tcPr>
            <w:tcW w:w="720" w:type="dxa"/>
            <w:vAlign w:val="bottom"/>
            <w:gridSpan w:val="2"/>
          </w:tcPr>
          <w:p>
            <w:pPr>
              <w:jc w:val="right"/>
              <w:ind w:right="31"/>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c>
          <w:tcPr>
            <w:tcW w:w="140" w:type="dxa"/>
            <w:vAlign w:val="bottom"/>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260" w:type="dxa"/>
            <w:vAlign w:val="bottom"/>
          </w:tcPr>
          <w:p>
            <w:pPr>
              <w:jc w:val="right"/>
              <w:ind w:right="11"/>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1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Interest expense includes payments made for imputed interest related to the facility lease financing obligations for our leased facilities in San Francisco and China, as well as interest related to the Technology Development Center of the Republic of Finland product development obligations. Interest expense remained relatively flat for the three and nine months ended September 30, 2017, compared to the same period a year ago, with no significant offsetting impacts.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1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Interest income and other, net increased $0.2 million, or 28%, increased $0.4 million, or 15%, for the three and nine months ended September 30, 2017, compared to the same periods a year ago primarily due to higher interest earned on our cash, cash equivalents and investments associated with the higher average balances, partially offset by the unrealized foreign currency translation gain on our monetary assets denominated in foreign currency as a result of U.S. Dollar weakening.</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54"/>
        </w:trPr>
        <w:tc>
          <w:tcPr>
            <w:tcW w:w="48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738"/>
              <w:spacing w:after="0" w:line="153"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8"/>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738"/>
              <w:spacing w:after="0" w:line="153"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3"/>
                <w:szCs w:val="13"/>
                <w:color w:val="auto"/>
              </w:rPr>
            </w:pPr>
          </w:p>
        </w:tc>
      </w:tr>
      <w:tr>
        <w:trPr>
          <w:trHeight w:val="154"/>
        </w:trPr>
        <w:tc>
          <w:tcPr>
            <w:tcW w:w="4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20" w:type="dxa"/>
            <w:vAlign w:val="bottom"/>
            <w:gridSpan w:val="5"/>
          </w:tcPr>
          <w:p>
            <w:pPr>
              <w:jc w:val="right"/>
              <w:ind w:right="1058"/>
              <w:spacing w:after="0" w:line="153" w:lineRule="exact"/>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7"/>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ind w:right="138"/>
              <w:spacing w:after="0"/>
              <w:rPr>
                <w:sz w:val="20"/>
                <w:szCs w:val="20"/>
                <w:color w:val="auto"/>
              </w:rPr>
            </w:pPr>
            <w:r>
              <w:rPr>
                <w:rFonts w:ascii="Arial" w:cs="Arial" w:eastAsia="Arial" w:hAnsi="Arial"/>
                <w:sz w:val="18"/>
                <w:szCs w:val="18"/>
                <w:color w:val="auto"/>
              </w:rPr>
              <w:t>(37,680)</w:t>
            </w:r>
          </w:p>
        </w:tc>
        <w:tc>
          <w:tcPr>
            <w:tcW w:w="3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(23,996)</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118"/>
              <w:spacing w:after="0"/>
              <w:rPr>
                <w:sz w:val="20"/>
                <w:szCs w:val="20"/>
                <w:color w:val="auto"/>
              </w:rPr>
            </w:pPr>
            <w:r>
              <w:rPr>
                <w:rFonts w:ascii="Arial" w:cs="Arial" w:eastAsia="Arial" w:hAnsi="Arial"/>
                <w:sz w:val="18"/>
                <w:szCs w:val="18"/>
                <w:color w:val="auto"/>
              </w:rPr>
              <w:t>(103,915)</w:t>
            </w:r>
          </w:p>
        </w:tc>
        <w:tc>
          <w:tcPr>
            <w:tcW w:w="3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(27,938)</w:t>
            </w: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1360" w:type="dxa"/>
            <w:vAlign w:val="bottom"/>
          </w:tcPr>
          <w:p>
            <w:pPr>
              <w:jc w:val="right"/>
              <w:ind w:right="198"/>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198"/>
              <w:spacing w:after="0"/>
              <w:rPr>
                <w:sz w:val="20"/>
                <w:szCs w:val="20"/>
                <w:color w:val="auto"/>
              </w:rPr>
            </w:pPr>
            <w:r>
              <w:rPr>
                <w:rFonts w:ascii="Arial" w:cs="Arial" w:eastAsia="Arial" w:hAnsi="Arial"/>
                <w:sz w:val="18"/>
                <w:szCs w:val="18"/>
                <w:color w:val="auto"/>
              </w:rPr>
              <w:t>166</w:t>
            </w:r>
          </w:p>
        </w:tc>
        <w:tc>
          <w:tcPr>
            <w:tcW w:w="3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r>
      <w:tr>
        <w:trPr>
          <w:trHeight w:val="227"/>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the three and nine months ended September 30, 2017 were due to foreign taxes.</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provision for income taxes for the three months ended September 30, 2016 was due to the discrete tax effect arising from an unrealized loss in other comprehensive income (loss) related to available-for-sale securities, and foreign taxes. The benefit from income taxes for the nine months ended September 30, 2016 was due to the discrete tax effect arising from cumulative unrealized gains in other comprehensive income (loss) related to available-for-sale securities, partially offset by foreign taxes.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and continue to maintain a full valuation allowance against our deferred tax assets as we do not currently believe that realization of those assets is more likely than not.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17" w:lineRule="exact"/>
        <w:rPr>
          <w:sz w:val="20"/>
          <w:szCs w:val="20"/>
          <w:color w:val="auto"/>
        </w:rPr>
      </w:pPr>
    </w:p>
    <w:p>
      <w:pPr>
        <w:ind w:right="120"/>
        <w:spacing w:after="0" w:line="334"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public offering proceeds) and from the execution of certain collaboration agreements involving license payments, milestones and reimbursement for development services.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On April 11, 2017, we closed an offering of our common stock. In this offering, we sold 5,228,750 shares of our common stock at a public offering price of</w:t>
      </w:r>
    </w:p>
    <w:p>
      <w:pPr>
        <w:spacing w:after="0" w:line="43"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color w:val="auto"/>
        </w:rPr>
        <w:t>$22.95 per share. Net proceeds from this offering were $115.1 million, after deducting underwriting discounts and commissions of $4.9 million. In addition, the total offering expenses were approximately $0.6 million. On August 24, 2017, the Company completed another follow-on offering of its common stock. In this offering, the Company sold a total of 9,200,000 shares of its common stock at a public offering price of $40.75 per share. Net proceeds from this offering were $356.2 million, after deducting underwriting discounts and commissions of $18.7 million. In addition, the offering expenses were approximately $0.4 million in total</w:t>
      </w:r>
    </w:p>
    <w:p>
      <w:pPr>
        <w:spacing w:after="0" w:line="19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As of September 30, 2017, we had cash and cash equivalents of $651.4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September 30, 2017, we had short-term and long-term investments of $78.6 million and $16.8 million, respectively. As of September 30, 2017, a total of $19.1 million of our cash and cash equivalents was held outside of the U.S. in our foreign subsidiaries to be used primarily for our China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1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7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w:t>
      </w:r>
      <w:r>
        <w:rPr>
          <w:rFonts w:ascii="Arial" w:cs="Arial" w:eastAsia="Arial" w:hAnsi="Arial"/>
          <w:sz w:val="16"/>
          <w:szCs w:val="16"/>
          <w:color w:val="auto"/>
        </w:rPr>
        <w:t>ors”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Nine Months Ended September 30,</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536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76"/>
              <w:spacing w:after="0" w:line="153"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(65,327)</w:t>
            </w:r>
          </w:p>
        </w:tc>
        <w:tc>
          <w:tcPr>
            <w:tcW w:w="3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25,653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3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493,059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60" w:type="dxa"/>
            <w:vAlign w:val="bottom"/>
          </w:tcPr>
          <w:p>
            <w:pPr>
              <w:spacing w:after="0"/>
              <w:rPr>
                <w:sz w:val="19"/>
                <w:szCs w:val="19"/>
                <w:color w:val="auto"/>
              </w:rPr>
            </w:pPr>
          </w:p>
        </w:tc>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5360" w:type="dxa"/>
            <w:vAlign w:val="bottom"/>
          </w:tcPr>
          <w:p>
            <w:pPr>
              <w:ind w:left="480"/>
              <w:spacing w:after="0"/>
              <w:rPr>
                <w:sz w:val="20"/>
                <w:szCs w:val="20"/>
                <w:color w:val="auto"/>
              </w:rPr>
            </w:pPr>
            <w:r>
              <w:rPr>
                <w:rFonts w:ascii="Arial" w:cs="Arial" w:eastAsia="Arial" w:hAnsi="Arial"/>
                <w:sz w:val="18"/>
                <w:szCs w:val="18"/>
                <w:color w:val="auto"/>
              </w:rPr>
              <w:t>Net increase in cash and cash equivalents</w:t>
            </w:r>
          </w:p>
        </w:tc>
        <w:tc>
          <w:tcPr>
            <w:tcW w:w="7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44,959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jc w:val="right"/>
              <w:ind w:right="631"/>
              <w:spacing w:after="0"/>
              <w:rPr>
                <w:sz w:val="20"/>
                <w:szCs w:val="20"/>
                <w:color w:val="auto"/>
              </w:rPr>
            </w:pPr>
            <w:r>
              <w:rPr>
                <w:rFonts w:ascii="Arial" w:cs="Arial" w:eastAsia="Arial" w:hAnsi="Arial"/>
                <w:sz w:val="18"/>
                <w:szCs w:val="18"/>
                <w:color w:val="auto"/>
              </w:rPr>
              <w:t>28</w:t>
            </w:r>
          </w:p>
        </w:tc>
        <w:tc>
          <w:tcPr>
            <w:tcW w:w="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5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53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Net cash used in operating activities was $65.3 million for the nine months ended September 30, 2017 and consisted primarily of net loss of $104.1 million adjusted for non-cash items of $33.6 million and a net increase in operating assets and liabilities of $5.2 million. The significant non-cash items included stock-based compensation expense of $27.6 million, depreciation expense of $4.6 million and amortization of premium on investments of $1.5 million. The significant items in the changes in operating assets and liabilities included increases resulted from deferred revenue of $4.1 million and accounts receivable of $1.8 million, partially offset by a decrease resulted from other assets of $1.7 million. The changes in deferred revenue and accounts receivable were related to the timing of the receipt of upfront payments and recognition of revenues under our collaboration agreements with Astellas and AstraZeneca. The change in other assets was primarily driven by the payment during the current year period for the land use right fee for the commercial active pharmaceutical ingredients manufacturing facility that we are establishing in China.</w:t>
      </w:r>
    </w:p>
    <w:p>
      <w:pPr>
        <w:spacing w:after="0" w:line="18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Net cash provided by operating activities was $25.7 million for the nine months ended September 30, 2016 and consisted primarily of net loss of $27.7 million adjusted for non-cash items of $30.0 million and a net increase in operating assets and liabilities of $23.3 million. The significant non-cash items included stock-based compensation expense of $24.3 million, depreciation expense of $4.5 million and amortization of premium on investments of $2.1 million. The significant items in the changes in operating assets and liabilities included increases resulted from deferred revenue of $14.7 million, accounts receivable of $7.7 million and accrued liabilities of $4.2 million, partially offset by a decrease resulted from accounts payable of $4.5 million. The changes in deferred revenue and accounts receivable were related to the timing of the receipt of upfront payments and recognition of revenues under our collaboration agreements with Astellas and AstraZeneca. The change in accounts payable and accrued liabilities were primarily driven by clinical trial activities and the timing of payments.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ind w:right="920"/>
        <w:spacing w:after="0" w:line="270"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cash provided by investing activities was $49.9 million for the nine months ended September 30, 2017 and consisted of proceeds from maturities of available-for-sale securities of $33.8 million and sales of available-for-sale securities of $21.1 million, partially offset by cash used in purchases of property and equipment of $5.0 million.</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provided by investing activities was $15.7 million for the nine months ended September 30, 2016 and consisted of proceeds from maturities of available-for-sale securities of $12.6 million and sales of available-for-sale securities of $4.3 million, partially offset by cash used in purchases of fixed assets of $1.1 million.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liability.</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provided by financing activities was $493.1 million for the three months ended September 30, 2017 and consisted primarily of $471.2 million of total proceeds from follow-on offerings in April and August of 2017, net of underwriting discounts and commission costs, $28.6 million of proceeds from the issuance of common stock upon exercise of stock options and purchases under ESPP, partially offset by $6.0 million of cash paid for payroll taxes on restricted stock unit releases.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provided by financing activities was $3.6 million for the nine months ended September 30, 2016 and consisted of $6.1 million of proceeds from the issuance of common stock upon exercise of stock options and purchases under ESPP, partially offset by $2.2 million of cash paid for payroll taxes on restricted stock unit releases and $0.3 million of repayments on our lease liability.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7"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color w:val="auto"/>
        </w:rPr>
        <w:t>During the three and nine months ended September 30, 2017,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620"/>
        <w:spacing w:after="0" w:line="270" w:lineRule="auto"/>
        <w:rPr>
          <w:sz w:val="20"/>
          <w:szCs w:val="20"/>
          <w:color w:val="auto"/>
        </w:rPr>
      </w:pPr>
      <w:r>
        <w:rPr>
          <w:rFonts w:ascii="Arial" w:cs="Arial" w:eastAsia="Arial" w:hAnsi="Arial"/>
          <w:sz w:val="18"/>
          <w:szCs w:val="18"/>
          <w:color w:val="auto"/>
        </w:rPr>
        <w:t>There have been no material changes in our contractual obligations compared to those disclosed in our Annual Report on Form 10-K for the year ended December 31, 2016.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color w:val="auto"/>
        </w:rPr>
        <w:t>There have been no material changes in our critical accounting policies, estimates and judgments during the three and nine months ended September 30, 2017 compared with the disclosures in Part II, Item 7 of our Annual Report on Form 10-K for the year ended December 31,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In March 2016, the Financial Accounting Standards Board (“FASB”) issued Accounting Standards Update (“ASU”) 2016-09, </w:t>
      </w:r>
      <w:r>
        <w:rPr>
          <w:rFonts w:ascii="Arial" w:cs="Arial" w:eastAsia="Arial" w:hAnsi="Arial"/>
          <w:sz w:val="17"/>
          <w:szCs w:val="17"/>
          <w:i w:val="1"/>
          <w:iCs w:val="1"/>
          <w:color w:val="auto"/>
        </w:rPr>
        <w:t>Compensation -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(Topic 718)</w:t>
      </w:r>
      <w:r>
        <w:rPr>
          <w:rFonts w:ascii="Arial" w:cs="Arial" w:eastAsia="Arial" w:hAnsi="Arial"/>
          <w:sz w:val="17"/>
          <w:szCs w:val="17"/>
          <w:color w:val="auto"/>
        </w:rPr>
        <w:t>. This guidance identifies areas for simplification involving several aspects of accounting for share-based payment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was effective for the annual reporting period beginning after December 15, 2016, including interim periods within that reporting period. We adopted this guidance as of January 1, 2017 and have elected to continue with our existing policy to estimate forfeitures expected to occur when calculating stock compensation expense. Upon adoption, we recorded a retrospective increase of $19.5 million in deferred tax assets for previously unrecognized excess tax benefits that existed as of December 31, 2016, and a corresponding increase of $19.5 million in the valuation allowance against these deferred tax assets, as substantially all of our U.S. and foreign deferred tax assets, net of deferred tax liabilities, are subject to a full valuation allowance. As such, the net impact from these retrospective adjustments was zero to our accumulated deficit. The adoption of this guidance had no impact to our consolidated financial statements for the three and nine months ended September 30, 2017.</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This guidance provides guidance about which changes to the terms or conditions of a stock-based payment award require an entity to apply modification accounting in Topic 718. This guidance is effective for annual reporting period beginning after December 15, 2017, including interim periods, with early adoption permitted. We are currently evaluating the impact on our consolidated financial statements upon the adoption of this guidance.</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7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periods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annual reporting periods beginning after December 15, 2017 and interim periods within those annual periods. We are currently evaluating the impact on our consolidated financial statements upon the adoption of this guidance.</w:t>
      </w:r>
    </w:p>
    <w:p>
      <w:pPr>
        <w:spacing w:after="0" w:line="19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which supersedes the revenue recognition requirements in Accounting Standards Codification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606): Principal versus Agent Considerations </w:t>
      </w:r>
      <w:r>
        <w:rPr>
          <w:rFonts w:ascii="Arial" w:cs="Arial" w:eastAsia="Arial" w:hAnsi="Arial"/>
          <w:sz w:val="16"/>
          <w:szCs w:val="16"/>
          <w:color w:val="auto"/>
        </w:rPr>
        <w:t>(“ASU 2016-08”);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No.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We must adopt ASU 2016-08, ASU 2016-10, ASU 2016-12 and ASU 2016-20 with ASU 2014-09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revenue standards”). The amendments may be applied retrospectively to each prior period (full retrospective) or retrospectively with the cumulative effect recognized as of the date of initial application (modified retrospective). We have commenced our implementation activities related to the adoption of ASU 2014-09 and are in the process of applying the five-step model of the new standard to our various revenue related arrangements. We have completed step 1 (Identify the contract(s) with a customer) and concluded that our collaboration agreements with Astellas and AstraZeneca are the only material contracts which will be impacted by the adoption of the new revenue standards. We are in the process of completing step 2 (Identify the performance obligations in the contract) and have not yet reached a conclusion on whether the distinct criteria evaluated under ASC 605-25 for each performance obligation would result in a similar conclusion under the new revenue standards. With respect to milestones that were previously recognized under ASC 605-28, the milestone method is not applicable under the new revenue standards, and they are considered part of the overall arrangement consideration which will result in a deferral of revenue under the new revenue standards as part of the adoption. We will adopt the new revenue standards in the first quarter of 2018 and apply the full retrospective method to restate each prior reporting period presented in the consolidated financial statements.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As we complete our evaluation of this new standard, new information may arise that could change our current understanding of the impact to revenues recognized and our views on the expected impact to the periods prior to adoption.</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We believe there has been no material change in our exposure to market risks as disclosed in our Annual Report on Form 10-K for the year ended December 31, 2016.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controls and procedures as of the end of the period covered by this Quarterly Report on Form 10-Q. Disclosure controls and procedures (as defined in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Rules 13a-15(e) and 15d-15(e) under the Exchange Act) are designed to provide reasonable assurance that information required to be disclosed by a company</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in the reports that it files or submits under the Exchange Act is recorded, processed, summarized and reported, within the time periods specified in the SEC’s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rules and forms and that such information is accumulated and communicated to the company’s management, including its Chief Executive Officer and Chief</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as appropriate to allow timely decisions regarding required disclosure.</w:t>
      </w:r>
    </w:p>
    <w:p>
      <w:pPr>
        <w:spacing w:after="0" w:line="207"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September 30, 2017 at the reasonable assurance level.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ind w:right="260"/>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September 30, 2017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in our Annual Report on Form 10-K for the year ended December 31, 2016.</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8"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pamrevlumab (FG-3019), in idiopathic pulmonary fibrosis (“IPF”), pancreatic cancer, Duchenne muscular dystrophy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2016, 2015 and 2014 was approximately $61.7 million, $85.8 million and $59.5 million, respectively. As of September 30, 2017, we had an accumulated deficit of $573.8 million. As of September 30, 2017, we had capital resources consisting of cash, cash equivalents and short-term investments of $730.0 million plus $16.8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over 8,000 patients for our U.S. and European programs alone.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 party collaboration revenues will allow us to fund our operating plans through at least the next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3" w:lineRule="exact"/>
        <w:rPr>
          <w:sz w:val="20"/>
          <w:szCs w:val="20"/>
          <w:color w:val="auto"/>
        </w:rPr>
      </w:pPr>
    </w:p>
    <w:p>
      <w:pPr>
        <w:ind w:left="1020" w:hanging="50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3" w:lineRule="exact"/>
        <w:rPr>
          <w:rFonts w:ascii="Arial" w:cs="Arial" w:eastAsia="Arial" w:hAnsi="Arial"/>
          <w:sz w:val="18"/>
          <w:szCs w:val="18"/>
          <w:color w:val="auto"/>
        </w:rPr>
      </w:pPr>
    </w:p>
    <w:p>
      <w:pPr>
        <w:ind w:left="1020" w:right="160" w:hanging="506"/>
        <w:spacing w:after="0" w:line="27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8" w:lineRule="exact"/>
        <w:rPr>
          <w:rFonts w:ascii="Arial" w:cs="Arial" w:eastAsia="Arial" w:hAnsi="Arial"/>
          <w:sz w:val="18"/>
          <w:szCs w:val="18"/>
          <w:color w:val="auto"/>
        </w:rPr>
      </w:pPr>
    </w:p>
    <w:p>
      <w:pPr>
        <w:ind w:left="1020" w:right="120" w:hanging="506"/>
        <w:spacing w:after="0" w:line="334"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21" w:lineRule="exact"/>
        <w:rPr>
          <w:rFonts w:ascii="Arial" w:cs="Arial" w:eastAsia="Arial" w:hAnsi="Arial"/>
          <w:sz w:val="16"/>
          <w:szCs w:val="16"/>
          <w:color w:val="auto"/>
        </w:rPr>
      </w:pPr>
    </w:p>
    <w:p>
      <w:pPr>
        <w:ind w:left="1020" w:hanging="50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3" w:lineRule="exact"/>
        <w:rPr>
          <w:rFonts w:ascii="Arial" w:cs="Arial" w:eastAsia="Arial" w:hAnsi="Arial"/>
          <w:sz w:val="18"/>
          <w:szCs w:val="18"/>
          <w:color w:val="auto"/>
        </w:rPr>
      </w:pPr>
    </w:p>
    <w:p>
      <w:pPr>
        <w:ind w:left="1020" w:right="620" w:hanging="506"/>
        <w:spacing w:after="0" w:line="27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2016, 2015 and 2014, substantially all of our revenues recognized were from our collaboration partners.</w:t>
      </w:r>
    </w:p>
    <w:p>
      <w:pPr>
        <w:spacing w:after="0" w:line="220" w:lineRule="exact"/>
        <w:rPr>
          <w:sz w:val="20"/>
          <w:szCs w:val="20"/>
          <w:color w:val="auto"/>
        </w:rPr>
      </w:pPr>
    </w:p>
    <w:p>
      <w:pPr>
        <w:ind w:right="360"/>
        <w:spacing w:after="0" w:line="270"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pamrevlumab.</w:t>
      </w:r>
    </w:p>
    <w:p>
      <w:pPr>
        <w:spacing w:after="0" w:line="13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7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DMD, and liver fibrosis.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9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3" w:lineRule="exact"/>
        <w:rPr>
          <w:sz w:val="20"/>
          <w:szCs w:val="20"/>
          <w:color w:val="auto"/>
        </w:rPr>
      </w:pPr>
    </w:p>
    <w:p>
      <w:pPr>
        <w:ind w:left="1020" w:right="60" w:hanging="506"/>
        <w:spacing w:after="0" w:line="281"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61" w:lineRule="exact"/>
        <w:rPr>
          <w:rFonts w:ascii="Arial" w:cs="Arial" w:eastAsia="Arial" w:hAnsi="Arial"/>
          <w:sz w:val="17"/>
          <w:szCs w:val="17"/>
          <w:color w:val="auto"/>
        </w:rPr>
      </w:pPr>
    </w:p>
    <w:p>
      <w:pPr>
        <w:ind w:left="1020" w:hanging="506"/>
        <w:spacing w:after="0"/>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timely initiation and completion of our Phase 2 clinical trials for pamrevlumab, including in IPF, pancreatic cancer, DMD, and liver fibrosis;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demonstrate the safety and efficacy of our product candidates to the satisfaction of the relevant regulatory authorities;</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8" w:lineRule="exact"/>
        <w:rPr>
          <w:rFonts w:ascii="Arial" w:cs="Arial" w:eastAsia="Arial" w:hAnsi="Arial"/>
          <w:sz w:val="18"/>
          <w:szCs w:val="18"/>
          <w:color w:val="auto"/>
        </w:rPr>
      </w:pPr>
    </w:p>
    <w:p>
      <w:pPr>
        <w:ind w:left="1020" w:right="500" w:hanging="506"/>
        <w:spacing w:after="0" w:line="27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8" w:lineRule="exact"/>
        <w:rPr>
          <w:rFonts w:ascii="Arial" w:cs="Arial" w:eastAsia="Arial" w:hAnsi="Arial"/>
          <w:sz w:val="18"/>
          <w:szCs w:val="18"/>
          <w:color w:val="auto"/>
        </w:rPr>
      </w:pPr>
    </w:p>
    <w:p>
      <w:pPr>
        <w:ind w:left="1020" w:right="800" w:hanging="506"/>
        <w:spacing w:after="0" w:line="27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right="20" w:hanging="506"/>
        <w:spacing w:after="0" w:line="334"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21" w:lineRule="exact"/>
        <w:rPr>
          <w:rFonts w:ascii="Arial" w:cs="Arial" w:eastAsia="Arial" w:hAnsi="Arial"/>
          <w:sz w:val="16"/>
          <w:szCs w:val="16"/>
          <w:color w:val="auto"/>
        </w:rPr>
      </w:pPr>
    </w:p>
    <w:p>
      <w:pPr>
        <w:ind w:left="1020" w:right="740" w:hanging="506"/>
        <w:spacing w:after="0" w:line="27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3" w:lineRule="exact"/>
        <w:rPr>
          <w:rFonts w:ascii="Arial" w:cs="Arial" w:eastAsia="Arial" w:hAnsi="Arial"/>
          <w:sz w:val="18"/>
          <w:szCs w:val="18"/>
          <w:color w:val="auto"/>
        </w:rPr>
      </w:pPr>
    </w:p>
    <w:p>
      <w:pPr>
        <w:ind w:left="1020" w:right="300" w:hanging="506"/>
        <w:spacing w:after="0" w:line="27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0" w:lineRule="exact"/>
        <w:rPr>
          <w:sz w:val="20"/>
          <w:szCs w:val="20"/>
          <w:color w:val="auto"/>
        </w:rPr>
      </w:pPr>
    </w:p>
    <w:p>
      <w:pPr>
        <w:jc w:val="both"/>
        <w:ind w:right="560"/>
        <w:spacing w:after="0" w:line="281"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77" w:lineRule="exact"/>
        <w:rPr>
          <w:sz w:val="20"/>
          <w:szCs w:val="20"/>
          <w:color w:val="auto"/>
        </w:rPr>
      </w:pPr>
    </w:p>
    <w:p>
      <w:pPr>
        <w:ind w:left="1020" w:right="180" w:hanging="506"/>
        <w:spacing w:after="0" w:line="27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DMD or liver fibrosis;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3" w:lineRule="exact"/>
        <w:rPr>
          <w:rFonts w:ascii="Arial" w:cs="Arial" w:eastAsia="Arial" w:hAnsi="Arial"/>
          <w:sz w:val="18"/>
          <w:szCs w:val="18"/>
          <w:color w:val="auto"/>
        </w:rPr>
      </w:pPr>
    </w:p>
    <w:p>
      <w:pPr>
        <w:ind w:left="1020" w:right="400" w:hanging="506"/>
        <w:spacing w:after="0" w:line="27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36" w:lineRule="exact"/>
        <w:rPr>
          <w:rFonts w:ascii="Arial" w:cs="Arial" w:eastAsia="Arial" w:hAnsi="Arial"/>
          <w:sz w:val="16"/>
          <w:szCs w:val="16"/>
          <w:color w:val="auto"/>
        </w:rPr>
      </w:pPr>
    </w:p>
    <w:p>
      <w:pPr>
        <w:ind w:left="1020" w:right="440" w:hanging="506"/>
        <w:spacing w:after="0" w:line="27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right="760" w:hanging="506"/>
        <w:spacing w:after="0" w:line="27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3" w:lineRule="exact"/>
        <w:rPr>
          <w:rFonts w:ascii="Arial" w:cs="Arial" w:eastAsia="Arial" w:hAnsi="Arial"/>
          <w:sz w:val="18"/>
          <w:szCs w:val="18"/>
          <w:color w:val="auto"/>
        </w:rPr>
      </w:pPr>
    </w:p>
    <w:p>
      <w:pPr>
        <w:ind w:left="1020" w:hanging="506"/>
        <w:spacing w:after="0" w:line="300" w:lineRule="auto"/>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5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38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Our preclinical and Phase 2 results to date for pamrevlumab may not be indicative of the results that may be obtained in larger, controlled Phase 2 clinical trials or Phase 3 clinical trials required for approval.*</w:t>
      </w:r>
    </w:p>
    <w:p>
      <w:pPr>
        <w:spacing w:after="0" w:line="68"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pamrevlumab. We have conducted a randomized placebo-controlled study in 103 IPF patients with substudies comparing pamrevlumab to 57 IPF patients receiving one of two standards of care, an open-label Phase 2 dose escalation study of pamrevlumab for IPF in 89 patients, a Phase 2 dose finding trial of pamrevlumab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pamrevlumab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pamrevlumab has the potential to arrest or reverse fibrosis and reduce tumor mass, we cannot be sure that these results will be indicative of the effects of pamrevlumab in human trials. In addition, the IPF and pancreatic cancer patient populations are extremely ill and routinely experience SAEs, including death, which may be attributed to pamrevlumab in a manner that negatively impacts the safety profile of our product candidate. If the additional clinical trials that we are planning or are currently conducting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3" w:lineRule="exact"/>
        <w:rPr>
          <w:sz w:val="20"/>
          <w:szCs w:val="20"/>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6" w:lineRule="exact"/>
        <w:rPr>
          <w:sz w:val="20"/>
          <w:szCs w:val="20"/>
          <w:color w:val="auto"/>
        </w:rPr>
      </w:pPr>
    </w:p>
    <w:p>
      <w:pPr>
        <w:ind w:right="620"/>
        <w:spacing w:after="0" w:line="270"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8"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6" w:lineRule="exact"/>
        <w:rPr>
          <w:sz w:val="20"/>
          <w:szCs w:val="20"/>
          <w:color w:val="auto"/>
        </w:rPr>
      </w:pPr>
    </w:p>
    <w:p>
      <w:pPr>
        <w:ind w:left="1020" w:hanging="50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0"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8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7"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7" w:lineRule="exact"/>
        <w:rPr>
          <w:sz w:val="20"/>
          <w:szCs w:val="20"/>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3" w:lineRule="exact"/>
        <w:rPr>
          <w:rFonts w:ascii="Arial" w:cs="Arial" w:eastAsia="Arial" w:hAnsi="Arial"/>
          <w:sz w:val="18"/>
          <w:szCs w:val="18"/>
          <w:color w:val="auto"/>
        </w:rPr>
      </w:pPr>
    </w:p>
    <w:p>
      <w:pPr>
        <w:ind w:left="1020" w:right="220" w:hanging="506"/>
        <w:spacing w:after="0" w:line="27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our product candidates being studied in relation to available therapies or other products under development;</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our CRO’s, and our trial sites’ efforts to facilitate timely enrollment in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6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and commercial supply. If we are unable to forecast, order or manufacture sufficient quantities of roxadustat or pamrevlumab on a timely basis, it may delay our development, launch or commercialization in some or all indications we are currently pursuing. For example, prior to agreement with regulatory authorities on the scope of our Phase 3 IPF trial design, there is uncertainty as to whether our supply plans will meet our clinical requirements in a timely manner. Any delay or interruption in the supply of our product candidates or products could have a material adverse effect on our business and operations.</w:t>
      </w:r>
    </w:p>
    <w:p>
      <w:pPr>
        <w:spacing w:after="0" w:line="16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7" w:lineRule="exact"/>
        <w:rPr>
          <w:sz w:val="20"/>
          <w:szCs w:val="20"/>
          <w:color w:val="auto"/>
        </w:rPr>
      </w:pPr>
    </w:p>
    <w:p>
      <w:pPr>
        <w:ind w:left="1020" w:right="880" w:hanging="506"/>
        <w:spacing w:after="0" w:line="27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3" w:lineRule="exact"/>
        <w:rPr>
          <w:rFonts w:ascii="Arial" w:cs="Arial" w:eastAsia="Arial" w:hAnsi="Arial"/>
          <w:sz w:val="18"/>
          <w:szCs w:val="18"/>
          <w:color w:val="auto"/>
        </w:rPr>
      </w:pPr>
    </w:p>
    <w:p>
      <w:pPr>
        <w:ind w:left="1020" w:right="400" w:hanging="506"/>
        <w:spacing w:after="0" w:line="270"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82" w:lineRule="exact"/>
        <w:rPr>
          <w:sz w:val="20"/>
          <w:szCs w:val="20"/>
          <w:color w:val="auto"/>
        </w:rPr>
      </w:pPr>
    </w:p>
    <w:p>
      <w:pPr>
        <w:ind w:right="680"/>
        <w:spacing w:after="0" w:line="270"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Roxadustat for the Treatment of Anemia in Chronic Kidney Disease — Limitations of the Current Standard of Care for Anemia in CKD</w:t>
      </w:r>
      <w:r>
        <w:rPr>
          <w:rFonts w:ascii="Arial" w:cs="Arial" w:eastAsia="Arial" w:hAnsi="Arial"/>
          <w:sz w:val="16"/>
          <w:szCs w:val="16"/>
          <w:color w:val="auto"/>
        </w:rPr>
        <w:t>”. In addition,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received approval for a New Drug Application (“NDA”) before, and may be unable to do so efficiently or at all for roxadustat or any product candidate we are developing.</w:t>
      </w:r>
    </w:p>
    <w:p>
      <w:pPr>
        <w:spacing w:after="0" w:line="6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are currently conducting Phase 2 clinical trials for pamrevlumab and plan on initiating Phase 3 clinical trials for pamrevlumab in the future. We have initiated Phase 3 clinical trials of roxadustat. The conduct of Phase 3 clinical trials and the submission of a successful NDA is a complicated process. As an organization, we have not completed a Phase 3 clinical trial before, have limited experience in preparing, submitting and prosecuting regulatory filings, and have not received approval for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3"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the China Food and Drug Administration (“CFDA”) recently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298" w:lineRule="exact"/>
        <w:rPr>
          <w:sz w:val="20"/>
          <w:szCs w:val="20"/>
          <w:color w:val="auto"/>
        </w:rPr>
      </w:pPr>
    </w:p>
    <w:p>
      <w:pPr>
        <w:ind w:right="300"/>
        <w:spacing w:after="0" w:line="334" w:lineRule="auto"/>
        <w:rPr>
          <w:sz w:val="20"/>
          <w:szCs w:val="20"/>
          <w:color w:val="auto"/>
        </w:rPr>
      </w:pPr>
      <w:r>
        <w:rPr>
          <w:rFonts w:ascii="Arial" w:cs="Arial" w:eastAsia="Arial" w:hAnsi="Arial"/>
          <w:sz w:val="16"/>
          <w:szCs w:val="16"/>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2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51"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8" w:lineRule="exact"/>
        <w:rPr>
          <w:sz w:val="20"/>
          <w:szCs w:val="20"/>
          <w:color w:val="auto"/>
        </w:rPr>
      </w:pPr>
    </w:p>
    <w:p>
      <w:pPr>
        <w:ind w:left="1020" w:hanging="506"/>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15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5"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 xml:space="preserve">If roxadustat is approved and launched commercially, competing drugs are expected to include ESAs, particularly in those patient segments where ESAs are used. Currently available ESAs include epoetin alfa (EPOGEN </w:t>
      </w:r>
      <w:r>
        <w:rPr>
          <w:rFonts w:ascii="Arial" w:cs="Arial" w:eastAsia="Arial" w:hAnsi="Arial"/>
          <w:sz w:val="15"/>
          <w:szCs w:val="15"/>
          <w:color w:val="auto"/>
        </w:rPr>
        <w:t>®</w:t>
      </w:r>
      <w:r>
        <w:rPr>
          <w:rFonts w:ascii="Arial" w:cs="Arial" w:eastAsia="Arial" w:hAnsi="Arial"/>
          <w:sz w:val="18"/>
          <w:szCs w:val="18"/>
          <w:color w:val="auto"/>
        </w:rPr>
        <w:t xml:space="preserve">, marketed by Amgen Inc. in the U.S., Procrit </w:t>
      </w:r>
      <w:r>
        <w:rPr>
          <w:rFonts w:ascii="Arial" w:cs="Arial" w:eastAsia="Arial" w:hAnsi="Arial"/>
          <w:sz w:val="15"/>
          <w:szCs w:val="15"/>
          <w:color w:val="auto"/>
        </w:rPr>
        <w:t>®</w:t>
      </w:r>
      <w:r>
        <w:rPr>
          <w:rFonts w:ascii="Arial" w:cs="Arial" w:eastAsia="Arial" w:hAnsi="Arial"/>
          <w:sz w:val="18"/>
          <w:szCs w:val="18"/>
          <w:color w:val="auto"/>
        </w:rPr>
        <w:t xml:space="preserve"> and Erypo </w:t>
      </w:r>
      <w:r>
        <w:rPr>
          <w:rFonts w:ascii="Arial" w:cs="Arial" w:eastAsia="Arial" w:hAnsi="Arial"/>
          <w:sz w:val="15"/>
          <w:szCs w:val="15"/>
          <w:color w:val="auto"/>
        </w:rPr>
        <w:t>®</w:t>
      </w:r>
      <w:r>
        <w:rPr>
          <w:rFonts w:ascii="Arial" w:cs="Arial" w:eastAsia="Arial" w:hAnsi="Arial"/>
          <w:sz w:val="18"/>
          <w:szCs w:val="18"/>
          <w:color w:val="auto"/>
        </w:rPr>
        <w:t xml:space="preserve">/Eprex </w:t>
      </w:r>
      <w:r>
        <w:rPr>
          <w:rFonts w:ascii="Arial" w:cs="Arial" w:eastAsia="Arial" w:hAnsi="Arial"/>
          <w:sz w:val="15"/>
          <w:szCs w:val="15"/>
          <w:color w:val="auto"/>
        </w:rPr>
        <w:t>®</w:t>
      </w:r>
      <w:r>
        <w:rPr>
          <w:rFonts w:ascii="Arial" w:cs="Arial" w:eastAsia="Arial" w:hAnsi="Arial"/>
          <w:sz w:val="18"/>
          <w:szCs w:val="18"/>
          <w:color w:val="auto"/>
        </w:rPr>
        <w:t xml:space="preserve"> , marketed by Johnson &amp; Johnson Inc., and Espo </w:t>
      </w:r>
      <w:r>
        <w:rPr>
          <w:rFonts w:ascii="Arial" w:cs="Arial" w:eastAsia="Arial" w:hAnsi="Arial"/>
          <w:sz w:val="15"/>
          <w:szCs w:val="15"/>
          <w:color w:val="auto"/>
        </w:rPr>
        <w:t>®</w:t>
      </w:r>
      <w:r>
        <w:rPr>
          <w:rFonts w:ascii="Arial" w:cs="Arial" w:eastAsia="Arial" w:hAnsi="Arial"/>
          <w:sz w:val="18"/>
          <w:szCs w:val="18"/>
          <w:color w:val="auto"/>
        </w:rPr>
        <w:t xml:space="preserve"> marketed by Kyowa Hakko Kirin (“KHK”), in Japan and China), darbepoetin (Amgen/KHK’s Aranesp </w:t>
      </w:r>
      <w:r>
        <w:rPr>
          <w:rFonts w:ascii="Arial" w:cs="Arial" w:eastAsia="Arial" w:hAnsi="Arial"/>
          <w:sz w:val="15"/>
          <w:szCs w:val="15"/>
          <w:color w:val="auto"/>
        </w:rPr>
        <w:t>®</w:t>
      </w:r>
      <w:r>
        <w:rPr>
          <w:rFonts w:ascii="Arial" w:cs="Arial" w:eastAsia="Arial" w:hAnsi="Arial"/>
          <w:sz w:val="18"/>
          <w:szCs w:val="18"/>
          <w:color w:val="auto"/>
        </w:rPr>
        <w:t xml:space="preserve"> and NESP </w:t>
      </w:r>
      <w:r>
        <w:rPr>
          <w:rFonts w:ascii="Arial" w:cs="Arial" w:eastAsia="Arial" w:hAnsi="Arial"/>
          <w:sz w:val="15"/>
          <w:szCs w:val="15"/>
          <w:color w:val="auto"/>
        </w:rPr>
        <w:t>®</w:t>
      </w:r>
      <w:r>
        <w:rPr>
          <w:rFonts w:ascii="Arial" w:cs="Arial" w:eastAsia="Arial" w:hAnsi="Arial"/>
          <w:sz w:val="18"/>
          <w:szCs w:val="18"/>
          <w:color w:val="auto"/>
        </w:rPr>
        <w:t xml:space="preserve"> ) and Mircera </w:t>
      </w:r>
      <w:r>
        <w:rPr>
          <w:rFonts w:ascii="Arial" w:cs="Arial" w:eastAsia="Arial" w:hAnsi="Arial"/>
          <w:sz w:val="15"/>
          <w:szCs w:val="15"/>
          <w:color w:val="auto"/>
        </w:rPr>
        <w:t>®</w:t>
      </w:r>
      <w:r>
        <w:rPr>
          <w:rFonts w:ascii="Arial" w:cs="Arial" w:eastAsia="Arial" w:hAnsi="Arial"/>
          <w:sz w:val="18"/>
          <w:szCs w:val="18"/>
          <w:color w:val="auto"/>
        </w:rPr>
        <w:t xml:space="preserve"> marketed by Hoffmann-La Roche (“Roche”) outside of the U.S. and by Vifor Pharma (formerly a company of Galenica Group (“Vifor”)), a Roche licensee, in the U.S. and Puerto Rico, as well as biosimilar versions of these currently marketed ESA products. ESAs have been used in the treatment of anemia in CKD for over 20 years, serving a significant majority of dialysis dependent CKD patients. While NDD-CKD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19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may also face competition from potential new anemia therapies currently in clinical development, including those patient segments not currently addressed by ESAs. Companies such as GlaxoSmithKline plc (“GSK”), Bayer Corporation (“Bayer”), Akebia Therapeutics, Inc. (“Akebia”), and Japan Tobacco, who are currently developing HIF prolyl hydroxylase (“HIF-PH”) inhibitors for anemia in CKD indications, may be in competition with roxadustat for patient recruitment and enrollment for clinical trials and may be in direct competition with roxadustat if and when it is approved and launched commercially. Akebia is currently conducting two Phase 3 studies in non-dialysis-dependent CKD patients primarily in the U.S., one started in December 2015 and the other in February 2016, and initiated two Phase 3 studies in DD-CKD, one in July 2016 and the other in August 2016, also primarily in the U.S. More recently, Akebia started a Phase 2 study with three-times-weekly 20-week dosing in dialysis patients in May 2017. In September 2017, Mitsubishi Tanabe Pharmaceutical Corporation, Akebia’s collaboration partner, announced topline results from a vadadustat Japan Phase 2 study in 51 NDD patients, and its plan to start a Japan Phase 3 development program, rather than including Japan sites in their global Phase 3 program. GSK started Phase 3 studies in NDD-CKD and DD-CKD in the U.S. in September 2016, and in Japan in June 2016. Bayer has completed global Phase 2 studies and recently announced its HIF-PH inhibitor is now in continued development in Japan only, currently in Phase 2. In September 2017, Japan Tobacco started two Phase 3 open label studies in Japan, one in 30 peritoneal dialysis patients and one in 26 ESA naïve hemodialysis patients. Some of these product candidates may enter the market prior to roxadustat.</w:t>
      </w:r>
    </w:p>
    <w:p>
      <w:pPr>
        <w:spacing w:after="0" w:line="17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addition, there are other companies developing biologic therapies for the treatment of other anemia indications that we may also seek to pursue in the future, including anemia of myelodysplastic syndromes (“MDS”), for which we received approval from the CFDA for our Phase 2/3 clinical trial application in China and acceptance of our investigational new drug application (“IND”) and the Phase 3 pivotal study protocol from the FDA, and expected to start those studies in the second half of 2017.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There may also be new therapies for renal-related diseases that could limit the market or level of reimbursement available for roxadustat if and when it is commercialized.</w:t>
      </w:r>
    </w:p>
    <w:p>
      <w:pPr>
        <w:spacing w:after="0" w:line="19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China, biosimilars of epoetin alfa are offered by Chinese pharmaceutical companies such as EPIAO marketed by 3SBio Inc. as well as over 15 other local manufacturers. We may also face competition by HIF-PH inhibitors from other companies such as Akebia, Bayer, and GSK who recently was authorized by the CFDA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and recently announced an expansion of their U.S. collaboration with Otsuka to add markets, including China. 3SBio Inc. also announced in 2016 its plan on beginning a Phase 1 clinical trial of a HIF-PH inhibitor for the China market.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 xml:space="preserve">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European Union (“EU”), and the final material patents in the U.S.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resubmitted a Biologics License Application (“BLA”) after receiving a complete response letter (“CRL”) from the FDA denying approval of its BLA submitted in October 2015. While FDA’s Advisory Committee recommended approving the BLA in May 2017, FDA issued another CRL on June 22, 2017. Sandoz, a division of Novartis, markets Binocrit </w:t>
      </w:r>
      <w:r>
        <w:rPr>
          <w:rFonts w:ascii="Arial" w:cs="Arial" w:eastAsia="Arial" w:hAnsi="Arial"/>
          <w:sz w:val="15"/>
          <w:szCs w:val="15"/>
          <w:color w:val="auto"/>
        </w:rPr>
        <w:t>®</w:t>
      </w:r>
      <w:r>
        <w:rPr>
          <w:rFonts w:ascii="Arial" w:cs="Arial" w:eastAsia="Arial" w:hAnsi="Arial"/>
          <w:sz w:val="18"/>
          <w:szCs w:val="18"/>
          <w:color w:val="auto"/>
        </w:rPr>
        <w:t xml:space="preserve"> (epoetin alfa) in Europe and plans to file a biosimilar BLA in 2017 in the U.S.</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 recently entered into a new 6-year sourcing and supply agreement with Amgen effective through 2022. Fresenius’ contract with Amgen expired in 2015, and Fresenius is now administering Mircera </w:t>
      </w:r>
      <w:r>
        <w:rPr>
          <w:rFonts w:ascii="Arial" w:cs="Arial" w:eastAsia="Arial" w:hAnsi="Arial"/>
          <w:sz w:val="14"/>
          <w:szCs w:val="14"/>
          <w:color w:val="auto"/>
        </w:rPr>
        <w:t>®</w:t>
      </w:r>
      <w:r>
        <w:rPr>
          <w:rFonts w:ascii="Arial" w:cs="Arial" w:eastAsia="Arial" w:hAnsi="Arial"/>
          <w:sz w:val="17"/>
          <w:szCs w:val="17"/>
          <w:color w:val="auto"/>
        </w:rPr>
        <w:t xml:space="preserve"> in a significant portion of its U.S. dialysis patients since Mircera was made available by Vifor. Successful penetration of this market may require AstraZeneca to reach a significant agreement with Fresenius or DaVita on favorable terms and on a timely basis.</w:t>
      </w:r>
    </w:p>
    <w:p>
      <w:pPr>
        <w:spacing w:after="0" w:line="181"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If pamrevlumab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Promedior Inc.’s PRM-151, Biogen-Idec’s STX-100, and Prometic Life Sciences Inc.’s PBI-4050.</w:t>
      </w:r>
    </w:p>
    <w:p>
      <w:pPr>
        <w:spacing w:after="0" w:line="17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Merrimack Pharmaceuticals, Inc. (“Merrimack”) and Halozyme Therapeutics, Inc. Gemcitabine and/or nab-paclitaxel are the current standard of care in the first-line treatment of metastatic pancreatic cancer. Celgene Corporation’s Abraxane </w:t>
      </w:r>
      <w:r>
        <w:rPr>
          <w:rFonts w:ascii="Arial" w:cs="Arial" w:eastAsia="Arial" w:hAnsi="Arial"/>
          <w:sz w:val="14"/>
          <w:szCs w:val="14"/>
          <w:color w:val="auto"/>
        </w:rPr>
        <w:t>®</w:t>
      </w:r>
      <w:r>
        <w:rPr>
          <w:rFonts w:ascii="Arial" w:cs="Arial" w:eastAsia="Arial" w:hAnsi="Arial"/>
          <w:sz w:val="17"/>
          <w:szCs w:val="17"/>
          <w:color w:val="auto"/>
        </w:rPr>
        <w:t xml:space="preserve"> (nab-paclitaxel) was launched in the U.S. and Europe in 2013 and 2014, and was the first drug approved in this disease in nearly a decade. In 2015, Merrimack received FDA approval for the use of ONIVYDE (irinotecan liposome injection) for the treatment of patients with metastatic adenocarcinoma of the pancreas after disease progression following gemcitabine-based therapy.</w:t>
      </w:r>
    </w:p>
    <w:p>
      <w:pPr>
        <w:spacing w:after="0" w:line="181"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 xml:space="preserve">If pamrevlumab is approved and launched commercially to treat DMD, pamrevlumab may face competition for some patients from Sarepta Therapeutics, Inc. (“Sarepta”), as well as PTC Therapeutics, Santhera Pharmaceuticals, Pfizer, Summit plc and Tivorsan Pharmaceuticals. Sarepta is researching and developing clinical candidates for many of the specific mutations in the dystrophin gene and recently received accelerated approval in the United States for its first drug Exondys 51 (eteplirsen). The approval is limited to patients who have a confirmed mutation in the DMD gene that is amenable to exon 51 skipping. This mutation represents a subset of approximately 13% of patients with DMD. Marathon Pharmaceuticals received approval for its drug Emflaza (deflazacort) on February 9, 2017 and on March 16, 2017 announced that it had sold the commercialization rights to Emflaza to PTC Therapeutics. PTC Therapeutics’ product ataluren (Translarna </w:t>
      </w:r>
      <w:r>
        <w:rPr>
          <w:rFonts w:ascii="Arial" w:cs="Arial" w:eastAsia="Arial" w:hAnsi="Arial"/>
          <w:sz w:val="13"/>
          <w:szCs w:val="13"/>
          <w:color w:val="auto"/>
        </w:rPr>
        <w:t>TM</w:t>
      </w:r>
      <w:r>
        <w:rPr>
          <w:rFonts w:ascii="Arial" w:cs="Arial" w:eastAsia="Arial" w:hAnsi="Arial"/>
          <w:sz w:val="16"/>
          <w:szCs w:val="16"/>
          <w:color w:val="auto"/>
        </w:rPr>
        <w:t xml:space="preserve"> ) received conditional approval in Europe in 2014 and a complete response letter from the FDA in October of 2017 stating that the FDA is unable to approve the application in its current form. Translarna targets a different set of DMD patients from those being targeted by Sarepta’s existing exon-skipping therapeutic candidate; however it is also limited to a subset of patients who carry a specific mutation.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 xml:space="preserve">Conversely, pamrevlumab and some other potential competitors are intended to treat DMD patients regardless of the specific mutation. For example, Santhera Pharmaceuticals recently reported positive Phase 3 data with its drug idebenone (Raxone </w:t>
      </w:r>
      <w:r>
        <w:rPr>
          <w:rFonts w:ascii="Arial" w:cs="Arial" w:eastAsia="Arial" w:hAnsi="Arial"/>
          <w:sz w:val="14"/>
          <w:szCs w:val="14"/>
          <w:color w:val="auto"/>
        </w:rPr>
        <w:t>®</w:t>
      </w:r>
      <w:r>
        <w:rPr>
          <w:rFonts w:ascii="Arial" w:cs="Arial" w:eastAsia="Arial" w:hAnsi="Arial"/>
          <w:sz w:val="17"/>
          <w:szCs w:val="17"/>
          <w:color w:val="auto"/>
        </w:rPr>
        <w:t xml:space="preserve">/Catena </w:t>
      </w:r>
      <w:r>
        <w:rPr>
          <w:rFonts w:ascii="Arial" w:cs="Arial" w:eastAsia="Arial" w:hAnsi="Arial"/>
          <w:sz w:val="14"/>
          <w:szCs w:val="14"/>
          <w:color w:val="auto"/>
        </w:rPr>
        <w:t>®</w:t>
      </w:r>
      <w:r>
        <w:rPr>
          <w:rFonts w:ascii="Arial" w:cs="Arial" w:eastAsia="Arial" w:hAnsi="Arial"/>
          <w:sz w:val="17"/>
          <w:szCs w:val="17"/>
          <w:color w:val="auto"/>
        </w:rPr>
        <w:t>) in a trial measuring changes in lung function for DMD patients, however the FDA has asked for additional data from an ongoing trial prior to considering Raxone for approval. Previously we had expected this additional trial to be confirmatory rather than necessary for submission. Idebenone is a synthetic short-chain benzoquinone and a cofactor for the enzyme NAD(P)H:quinone oxidoreductase (NQO1). Pfizer’s product candidate, which is in Phase 2 development to treat DMD,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that is potentially implicated in all DMD patients. Summit is conducting a Phase 2 trial and Tivorsan intends to submit an IND and start Phase 1 in 2017. In October 2016, Summit and Sarepta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75"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7" w:lineRule="exact"/>
        <w:rPr>
          <w:sz w:val="20"/>
          <w:szCs w:val="20"/>
          <w:color w:val="auto"/>
        </w:rPr>
      </w:pPr>
    </w:p>
    <w:p>
      <w:pPr>
        <w:ind w:left="1020" w:right="200" w:hanging="506"/>
        <w:spacing w:after="0" w:line="27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8" w:lineRule="exact"/>
        <w:rPr>
          <w:rFonts w:ascii="Arial" w:cs="Arial" w:eastAsia="Arial" w:hAnsi="Arial"/>
          <w:sz w:val="18"/>
          <w:szCs w:val="18"/>
          <w:color w:val="auto"/>
        </w:rPr>
      </w:pPr>
    </w:p>
    <w:p>
      <w:pPr>
        <w:ind w:left="1020" w:right="240" w:hanging="506"/>
        <w:spacing w:after="0" w:line="270"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hanging="506"/>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4" w:lineRule="exact"/>
        <w:rPr>
          <w:rFonts w:ascii="Arial" w:cs="Arial" w:eastAsia="Arial" w:hAnsi="Arial"/>
          <w:sz w:val="17"/>
          <w:szCs w:val="17"/>
          <w:color w:val="auto"/>
        </w:rPr>
      </w:pPr>
    </w:p>
    <w:p>
      <w:pPr>
        <w:ind w:left="1020" w:hanging="506"/>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327"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6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44" w:lineRule="exact"/>
        <w:rPr>
          <w:sz w:val="20"/>
          <w:szCs w:val="20"/>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8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69"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7"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2"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do not have any operating manufacturing facilities at this time other than our roxadustat and FG-5200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84" w:lineRule="exact"/>
        <w:rPr>
          <w:sz w:val="20"/>
          <w:szCs w:val="20"/>
          <w:color w:val="auto"/>
        </w:rPr>
      </w:pPr>
    </w:p>
    <w:p>
      <w:pPr>
        <w:ind w:left="1020" w:right="460" w:hanging="506"/>
        <w:spacing w:after="0" w:line="27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8" w:lineRule="exact"/>
        <w:rPr>
          <w:rFonts w:ascii="Arial" w:cs="Arial" w:eastAsia="Arial" w:hAnsi="Arial"/>
          <w:sz w:val="18"/>
          <w:szCs w:val="18"/>
          <w:color w:val="auto"/>
        </w:rPr>
      </w:pPr>
    </w:p>
    <w:p>
      <w:pPr>
        <w:ind w:left="1020" w:right="520" w:hanging="506"/>
        <w:spacing w:after="0" w:line="27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8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7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8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44"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3"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81"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8"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8"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disputes with third parties and competitors may be costly and time consuming, and may negatively affect our competitive position.*</w:t>
      </w:r>
    </w:p>
    <w:p>
      <w:pPr>
        <w:spacing w:after="0" w:line="15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proceedings before the U.S. Patent and Trademark Office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oppositions have been filed against four FibroGen European patents within our HIF Anemia-related Technologies Patent Portfolio. (An opposition is a European Patent Office mechanism providing for a third-party challenge to a granted European patent.) In three of these proceedings, for FibroGen European Patent Nos. 1463823, 1633333 and 2322155, the European Patent Office has handed down decisions unfavorable to FibroGen. These decisions are currently under appeal, and these three patents are valid and enforceable pending resolution of the appeals. In the fourth of the challenged cases, the European Patent Office issued a decision favorable to FibroGen, maintaining FibroGen European Patent No. 2322153. An appeal of this decision may be filed by one or more parties to the opposition. The ultimate outcomes of these proceedings remain uncertain, and ultimate resolution of each of the appeal proceedings may take two to four years or longer. While we believe these FibroGen patents will be upheld in relevant part, we note that narrowing or even revocation of any of these patents would not affect our exclusivity for roxadustat or our freedom-to-operate with respect to use of roxadustat for the treatment of anemia.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1"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8"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7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600"/>
        <w:spacing w:after="0" w:line="270"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3" w:lineRule="exact"/>
        <w:rPr>
          <w:sz w:val="20"/>
          <w:szCs w:val="20"/>
          <w:color w:val="auto"/>
        </w:rPr>
      </w:pPr>
    </w:p>
    <w:p>
      <w:pPr>
        <w:ind w:right="340"/>
        <w:spacing w:after="0" w:line="334"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2" w:lineRule="exact"/>
        <w:rPr>
          <w:sz w:val="20"/>
          <w:szCs w:val="20"/>
          <w:color w:val="auto"/>
        </w:rPr>
      </w:pPr>
    </w:p>
    <w:p>
      <w:pPr>
        <w:ind w:left="1020" w:right="10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8" w:lineRule="exact"/>
        <w:rPr>
          <w:rFonts w:ascii="Arial" w:cs="Arial" w:eastAsia="Arial" w:hAnsi="Arial"/>
          <w:sz w:val="18"/>
          <w:szCs w:val="18"/>
          <w:color w:val="auto"/>
        </w:rPr>
      </w:pPr>
    </w:p>
    <w:p>
      <w:pPr>
        <w:ind w:left="1020" w:right="44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4" w:lineRule="exact"/>
        <w:rPr>
          <w:rFonts w:ascii="Arial" w:cs="Arial" w:eastAsia="Arial" w:hAnsi="Arial"/>
          <w:sz w:val="17"/>
          <w:szCs w:val="17"/>
          <w:color w:val="auto"/>
        </w:rPr>
      </w:pPr>
    </w:p>
    <w:p>
      <w:pPr>
        <w:ind w:left="1020" w:right="38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3" w:lineRule="exact"/>
        <w:rPr>
          <w:rFonts w:ascii="Arial" w:cs="Arial" w:eastAsia="Arial" w:hAnsi="Arial"/>
          <w:sz w:val="18"/>
          <w:szCs w:val="18"/>
          <w:color w:val="auto"/>
        </w:rPr>
      </w:pPr>
    </w:p>
    <w:p>
      <w:pPr>
        <w:ind w:left="1020" w:right="62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8" w:lineRule="exact"/>
        <w:rPr>
          <w:rFonts w:ascii="Arial" w:cs="Arial" w:eastAsia="Arial" w:hAnsi="Arial"/>
          <w:sz w:val="18"/>
          <w:szCs w:val="18"/>
          <w:color w:val="auto"/>
        </w:rPr>
      </w:pPr>
    </w:p>
    <w:p>
      <w:pPr>
        <w:ind w:left="1020" w:right="300" w:hanging="506"/>
        <w:spacing w:after="0" w:line="270"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8" w:lineRule="exact"/>
        <w:rPr>
          <w:rFonts w:ascii="Arial" w:cs="Arial" w:eastAsia="Arial" w:hAnsi="Arial"/>
          <w:sz w:val="18"/>
          <w:szCs w:val="18"/>
          <w:color w:val="auto"/>
        </w:rPr>
      </w:pPr>
    </w:p>
    <w:p>
      <w:pPr>
        <w:ind w:left="1020" w:right="240" w:hanging="506"/>
        <w:spacing w:after="0" w:line="306" w:lineRule="auto"/>
        <w:tabs>
          <w:tab w:leader="none" w:pos="10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57"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3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3" w:lineRule="exact"/>
        <w:rPr>
          <w:sz w:val="20"/>
          <w:szCs w:val="20"/>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3" w:lineRule="exact"/>
        <w:rPr>
          <w:rFonts w:ascii="Arial" w:cs="Arial" w:eastAsia="Arial" w:hAnsi="Arial"/>
          <w:sz w:val="18"/>
          <w:szCs w:val="18"/>
          <w:color w:val="auto"/>
        </w:rPr>
      </w:pPr>
    </w:p>
    <w:p>
      <w:pPr>
        <w:ind w:left="1020" w:right="280" w:hanging="506"/>
        <w:spacing w:after="0" w:line="27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8"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8" w:lineRule="exact"/>
        <w:rPr>
          <w:rFonts w:ascii="Arial" w:cs="Arial" w:eastAsia="Arial" w:hAnsi="Arial"/>
          <w:sz w:val="18"/>
          <w:szCs w:val="18"/>
          <w:color w:val="auto"/>
        </w:rPr>
      </w:pPr>
    </w:p>
    <w:p>
      <w:pPr>
        <w:ind w:left="1020" w:right="20" w:hanging="506"/>
        <w:spacing w:after="0" w:line="270"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2" w:lineRule="exact"/>
        <w:rPr>
          <w:sz w:val="20"/>
          <w:szCs w:val="20"/>
          <w:color w:val="auto"/>
        </w:rPr>
      </w:pPr>
    </w:p>
    <w:p>
      <w:pPr>
        <w:ind w:right="180"/>
        <w:spacing w:after="0" w:line="300"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45" w:lineRule="exact"/>
        <w:rPr>
          <w:sz w:val="20"/>
          <w:szCs w:val="20"/>
          <w:color w:val="auto"/>
        </w:rPr>
      </w:pPr>
    </w:p>
    <w:p>
      <w:pPr>
        <w:ind w:right="140"/>
        <w:spacing w:after="0" w:line="281"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61" w:lineRule="exact"/>
        <w:rPr>
          <w:sz w:val="20"/>
          <w:szCs w:val="20"/>
          <w:color w:val="auto"/>
        </w:rPr>
      </w:pPr>
    </w:p>
    <w:p>
      <w:pPr>
        <w:ind w:left="1020" w:right="20" w:hanging="506"/>
        <w:spacing w:after="0" w:line="25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7" w:lineRule="exact"/>
        <w:rPr>
          <w:rFonts w:ascii="Arial" w:cs="Arial" w:eastAsia="Arial" w:hAnsi="Arial"/>
          <w:sz w:val="18"/>
          <w:szCs w:val="18"/>
          <w:color w:val="auto"/>
        </w:rPr>
      </w:pPr>
    </w:p>
    <w:p>
      <w:pPr>
        <w:jc w:val="both"/>
        <w:ind w:left="1020" w:right="400" w:hanging="506"/>
        <w:spacing w:after="0" w:line="259"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7" w:lineRule="exact"/>
        <w:rPr>
          <w:rFonts w:ascii="Arial" w:cs="Arial" w:eastAsia="Arial" w:hAnsi="Arial"/>
          <w:sz w:val="18"/>
          <w:szCs w:val="18"/>
          <w:color w:val="auto"/>
        </w:rPr>
      </w:pPr>
    </w:p>
    <w:p>
      <w:pPr>
        <w:ind w:left="1020" w:hanging="506"/>
        <w:spacing w:after="0" w:line="270"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right="580" w:hanging="506"/>
        <w:spacing w:after="0" w:line="300"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45" w:lineRule="exact"/>
        <w:rPr>
          <w:rFonts w:ascii="Arial" w:cs="Arial" w:eastAsia="Arial" w:hAnsi="Arial"/>
          <w:sz w:val="17"/>
          <w:szCs w:val="17"/>
          <w:color w:val="auto"/>
        </w:rPr>
      </w:pPr>
    </w:p>
    <w:p>
      <w:pPr>
        <w:ind w:left="1020" w:right="160" w:hanging="506"/>
        <w:spacing w:after="0" w:line="25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81" w:lineRule="exact"/>
        <w:rPr>
          <w:rFonts w:ascii="Arial" w:cs="Arial" w:eastAsia="Arial" w:hAnsi="Arial"/>
          <w:sz w:val="18"/>
          <w:szCs w:val="18"/>
          <w:color w:val="auto"/>
        </w:rPr>
      </w:pPr>
    </w:p>
    <w:p>
      <w:pPr>
        <w:ind w:left="1020" w:right="120" w:hanging="506"/>
        <w:spacing w:after="0" w:line="287"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61" w:lineRule="exact"/>
        <w:rPr>
          <w:rFonts w:ascii="Arial" w:cs="Arial" w:eastAsia="Arial" w:hAnsi="Arial"/>
          <w:sz w:val="16"/>
          <w:szCs w:val="16"/>
          <w:color w:val="auto"/>
        </w:rPr>
      </w:pPr>
    </w:p>
    <w:p>
      <w:pPr>
        <w:ind w:left="1020" w:right="40" w:hanging="506"/>
        <w:spacing w:after="0" w:line="289"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United States Government must be manufactured in the United States or in TAA approved and designated countries. Drugs manufactured in countries not approved under the TAA, may not be sold to the United States without specific regulatory approval. We have little experience with this regulation and there is a risk that drugs made from Chinese-made API may not be sold to an entity of the United States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97"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82" w:lineRule="exact"/>
        <w:rPr>
          <w:sz w:val="20"/>
          <w:szCs w:val="20"/>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22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conduct, or contract others to conduct, animal testing in the future, which could harm our research and development activities.</w:t>
      </w:r>
    </w:p>
    <w:p>
      <w:pPr>
        <w:spacing w:after="0" w:line="15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4"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3" w:lineRule="exact"/>
        <w:rPr>
          <w:sz w:val="20"/>
          <w:szCs w:val="20"/>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3" w:lineRule="exact"/>
        <w:rPr>
          <w:rFonts w:ascii="Arial" w:cs="Arial" w:eastAsia="Arial" w:hAnsi="Arial"/>
          <w:sz w:val="18"/>
          <w:szCs w:val="18"/>
          <w:color w:val="auto"/>
        </w:rPr>
      </w:pPr>
    </w:p>
    <w:p>
      <w:pPr>
        <w:ind w:left="1020" w:right="420" w:hanging="506"/>
        <w:spacing w:after="0" w:line="270"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73"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9"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17" w:lineRule="exact"/>
        <w:rPr>
          <w:sz w:val="20"/>
          <w:szCs w:val="20"/>
          <w:color w:val="auto"/>
        </w:rPr>
      </w:pPr>
    </w:p>
    <w:p>
      <w:pPr>
        <w:ind w:right="60"/>
        <w:spacing w:after="0" w:line="300"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5" w:lineRule="exact"/>
        <w:rPr>
          <w:sz w:val="20"/>
          <w:szCs w:val="20"/>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3" w:lineRule="exact"/>
        <w:rPr>
          <w:rFonts w:ascii="Arial" w:cs="Arial" w:eastAsia="Arial" w:hAnsi="Arial"/>
          <w:sz w:val="18"/>
          <w:szCs w:val="18"/>
          <w:color w:val="auto"/>
        </w:rPr>
      </w:pPr>
    </w:p>
    <w:p>
      <w:pPr>
        <w:ind w:left="1020" w:right="340" w:hanging="506"/>
        <w:spacing w:after="0" w:line="270"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3" w:lineRule="exact"/>
        <w:rPr>
          <w:rFonts w:ascii="Arial" w:cs="Arial" w:eastAsia="Arial" w:hAnsi="Arial"/>
          <w:sz w:val="18"/>
          <w:szCs w:val="18"/>
          <w:color w:val="auto"/>
        </w:rPr>
      </w:pPr>
    </w:p>
    <w:p>
      <w:pPr>
        <w:ind w:left="1020" w:right="180" w:hanging="506"/>
        <w:spacing w:after="0" w:line="270"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3" w:lineRule="exact"/>
        <w:rPr>
          <w:rFonts w:ascii="Arial" w:cs="Arial" w:eastAsia="Arial" w:hAnsi="Arial"/>
          <w:sz w:val="18"/>
          <w:szCs w:val="18"/>
          <w:color w:val="auto"/>
        </w:rPr>
      </w:pPr>
    </w:p>
    <w:p>
      <w:pPr>
        <w:ind w:left="1020" w:right="400" w:hanging="506"/>
        <w:spacing w:after="0" w:line="270"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Patients’ use of traditional Chinese medicine in violation of study protocols in our China studies may lead the China Food and Drug Administration (“CFDA”) and regulators in other jurisdictions in which we are seeking approval to suspend our studies, reject our study data and withhold approval for roxadustat.</w:t>
      </w:r>
    </w:p>
    <w:p>
      <w:pPr>
        <w:spacing w:after="0" w:line="7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304"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b w:val="1"/>
          <w:bCs w:val="1"/>
          <w:i w:val="1"/>
          <w:iCs w:val="1"/>
          <w:color w:val="auto"/>
        </w:rPr>
        <w:t>We are planning on using our own manufacturing facilities in China to produce roxadustat drug product, FG-5200 corneal implants, and possibly roxadustat API.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6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2014, we received a Pharmaceutical Production Permit (“PPP”) for our facility in Beijing, China, and are currently building a manufacturing facility in Cangzhou, Hebei, in which we intend to manufacture roxadustat for commercial sale. The PPP allowed us to produce the NDA registration campaign of roxadustat according to cGMP. However, we have not yet received a license for commercial manufacture of roxadustat. As an organization, we have limited experience building and licensing manufacturing facilities which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succeed for licensure or continue to be successful in meeting these requirements.</w:t>
      </w:r>
    </w:p>
    <w:p>
      <w:pPr>
        <w:spacing w:after="0" w:line="17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78"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3"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subsidiary FibroGen (China) Medical Technology Development Co., Ltd. (“FibroGen Beijing”), plans to seek approval for roxadustat in China as a Domestic Class 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91"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68"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API manufacturing facility in Cangzhou, Hebei, with the intention of being operational shortly after NDA approval. Any delays related to these regulations or our new manufacturing facility could adversely affect the cost timing of our commercialization in China.</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2016, China announced implementation of a three-year pilot program for the Marketing Authorization Holder System (“MAH”) in certain piloted regions. We are considering applying to participate in this program, and if accepted, we may be able to outsource drug product or API manufacturing to third parties while retaining the manufacturing license. However, we cannot know if we will be accepted into the MAH program, or how long such program will be available.</w:t>
      </w:r>
    </w:p>
    <w:p>
      <w:pPr>
        <w:spacing w:after="0" w:line="295"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11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Even if roxadustat is approved in China, it will face intense competition in the market for treatments of anemia in CKD. Roxadustat would compete with ESAs, which are offered by established multinational pharmaceutical companies such as Kyowa Hakko Kirin China Pharmaceutical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6"/>
          <w:szCs w:val="16"/>
          <w:i w:val="1"/>
          <w:iCs w:val="1"/>
          <w:color w:val="auto"/>
        </w:rPr>
        <w:t>Business — Government</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 Regulation in China</w:t>
      </w:r>
      <w:r>
        <w:rPr>
          <w:rFonts w:ascii="Arial" w:cs="Arial" w:eastAsia="Arial" w:hAnsi="Arial"/>
          <w:sz w:val="16"/>
          <w:szCs w:val="16"/>
          <w:color w:val="auto"/>
        </w:rPr>
        <w:t>.” We believe that the inclusion of a drug in the Medical Insurance Catalogs can substantially improve the sales of a drug.</w:t>
      </w:r>
      <w:r>
        <w:rPr>
          <w:rFonts w:ascii="Arial" w:cs="Arial" w:eastAsia="Arial" w:hAnsi="Arial"/>
          <w:sz w:val="16"/>
          <w:szCs w:val="16"/>
          <w:i w:val="1"/>
          <w:iCs w:val="1"/>
          <w:color w:val="auto"/>
        </w:rPr>
        <w:t xml:space="preserve"> </w:t>
      </w:r>
      <w:r>
        <w:rPr>
          <w:rFonts w:ascii="Arial" w:cs="Arial" w:eastAsia="Arial" w:hAnsi="Arial"/>
          <w:sz w:val="16"/>
          <w:szCs w:val="16"/>
          <w:color w:val="auto"/>
        </w:rPr>
        <w:t>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not yet received a license to manufacture FG-5200 in our Beijing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8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7" w:lineRule="exact"/>
        <w:rPr>
          <w:sz w:val="20"/>
          <w:szCs w:val="20"/>
          <w:color w:val="auto"/>
        </w:rPr>
      </w:pPr>
    </w:p>
    <w:p>
      <w:pPr>
        <w:ind w:right="300"/>
        <w:spacing w:after="0" w:line="270"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8"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82"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8"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September 30, 2017, approximately $2.4 million of our cash and cash equivalents is held in China.</w:t>
      </w:r>
    </w:p>
    <w:p>
      <w:pPr>
        <w:spacing w:after="0" w:line="286"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1"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86"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In the U.S., comprehensive tax reform has been announced as a priority by the new President’s administration and the U.S. Congress. Various proposals are under evaluation and consideration but it is not possible to accurately ascertain at this time the overall impact of such proposals on our future effective tax rate and corporate structure.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125" w:lineRule="exact"/>
        <w:rPr>
          <w:sz w:val="20"/>
          <w:szCs w:val="20"/>
          <w:color w:val="auto"/>
        </w:rPr>
      </w:pPr>
    </w:p>
    <w:p>
      <w:pPr>
        <w:ind w:right="360"/>
        <w:spacing w:after="0" w:line="281"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7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China’s economic, political or social conditions or government policies could have a material adverse effect on our business and operations.</w:t>
      </w:r>
    </w:p>
    <w:p>
      <w:pPr>
        <w:spacing w:after="0" w:line="15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86" w:lineRule="exact"/>
        <w:rPr>
          <w:sz w:val="20"/>
          <w:szCs w:val="20"/>
          <w:color w:val="auto"/>
        </w:rPr>
      </w:pPr>
    </w:p>
    <w:p>
      <w:pPr>
        <w:ind w:right="520"/>
        <w:spacing w:after="0" w:line="270"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 relating to the United Kingdom’s referendum vote in favor of leaving the European Union could adversely affect us.</w:t>
      </w:r>
    </w:p>
    <w:p>
      <w:pPr>
        <w:spacing w:after="0" w:line="125"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8"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5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9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ind w:right="480"/>
        <w:spacing w:after="0" w:line="270"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71" w:lineRule="exact"/>
        <w:rPr>
          <w:sz w:val="20"/>
          <w:szCs w:val="20"/>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have recently upgraded our disaster data recovery program,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500"/>
        <w:spacing w:after="0" w:line="270"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27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7"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8" w:lineRule="exact"/>
        <w:rPr>
          <w:sz w:val="20"/>
          <w:szCs w:val="20"/>
          <w:color w:val="auto"/>
        </w:rPr>
      </w:pPr>
    </w:p>
    <w:p>
      <w:pPr>
        <w:ind w:right="240"/>
        <w:spacing w:after="0" w:line="270"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5"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2"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3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9" w:lineRule="exact"/>
        <w:rPr>
          <w:sz w:val="20"/>
          <w:szCs w:val="20"/>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3" w:lineRule="exact"/>
        <w:rPr>
          <w:rFonts w:ascii="Arial" w:cs="Arial" w:eastAsia="Arial" w:hAnsi="Arial"/>
          <w:sz w:val="18"/>
          <w:szCs w:val="18"/>
          <w:color w:val="auto"/>
        </w:rPr>
      </w:pPr>
    </w:p>
    <w:p>
      <w:pPr>
        <w:ind w:left="1020" w:right="240" w:hanging="506"/>
        <w:spacing w:after="0" w:line="27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3" w:lineRule="exact"/>
        <w:rPr>
          <w:rFonts w:ascii="Arial" w:cs="Arial" w:eastAsia="Arial" w:hAnsi="Arial"/>
          <w:sz w:val="18"/>
          <w:szCs w:val="18"/>
          <w:color w:val="auto"/>
        </w:rPr>
      </w:pPr>
    </w:p>
    <w:p>
      <w:pPr>
        <w:ind w:left="1020" w:right="100" w:hanging="506"/>
        <w:spacing w:after="0" w:line="27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3" w:lineRule="exact"/>
        <w:rPr>
          <w:rFonts w:ascii="Arial" w:cs="Arial" w:eastAsia="Arial" w:hAnsi="Arial"/>
          <w:sz w:val="18"/>
          <w:szCs w:val="18"/>
          <w:color w:val="auto"/>
        </w:rPr>
      </w:pPr>
    </w:p>
    <w:p>
      <w:pPr>
        <w:ind w:left="1020" w:right="240" w:hanging="506"/>
        <w:spacing w:after="0" w:line="270"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4" w:lineRule="exact"/>
        <w:rPr>
          <w:rFonts w:ascii="Arial" w:cs="Arial" w:eastAsia="Arial" w:hAnsi="Arial"/>
          <w:sz w:val="17"/>
          <w:szCs w:val="17"/>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the biotechnology industry and particular companies perceived by investors to be comparable to us;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our underwritten public offerings of common stock completed on April 11, 2017 (the “April 2017 Offering”)and completed on August 24, 2017 (the “August 2017 Offering”) and may not use them effectively.*</w:t>
      </w:r>
    </w:p>
    <w:p>
      <w:pPr>
        <w:spacing w:after="0" w:line="4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net proceeds from the April 2017 Offering is intended to be used to fund the expansion of product development in China, including developing roxadustat in additional indications beyond CKD, manufacturing and commercialization activities, as well as for general corporate purposes. The net proceeds from the August 2017 Offering is intended to be used to fund the expansion of product development, including our development of pamrevlumab beyond current Phase 2 programs, manufacturing and commercialization activities, as well as for general corporate purposes. These general corporate purposes, may include, among other things, funding research and development, clinical trials, vendor payables, potential regulatory submissions, hiring additional personnel and capital expenditures. However, we have no current commitments or obligations to use the net proceeds in the manner described above. Our management has broad discretion in the application of the balance of the net proceeds from the April 2017 Offering and the August 2017 Offering, and could spend the proceeds in ways our stockholders may not agree with or that fails to improve our business or enhance the value of our common stock. The failure by our management to use these funds effectively could result in financial losses that could harm our business, cause the price of our common stock to decline and delay the development of our product candidates.</w:t>
      </w:r>
    </w:p>
    <w:p>
      <w:pPr>
        <w:spacing w:after="0" w:line="290"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As of October 31, 2017, our executive officers, directors and principal stockholders, together with their respective affiliates, owned approximately 21.21%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July 31, 2017.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73" w:lineRule="exact"/>
        <w:rPr>
          <w:sz w:val="20"/>
          <w:szCs w:val="20"/>
          <w:color w:val="auto"/>
        </w:rPr>
      </w:pPr>
    </w:p>
    <w:p>
      <w:pPr>
        <w:ind w:right="400"/>
        <w:spacing w:after="0" w:line="270"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7" w:lineRule="exact"/>
        <w:rPr>
          <w:sz w:val="20"/>
          <w:szCs w:val="20"/>
          <w:color w:val="auto"/>
        </w:rPr>
      </w:pPr>
    </w:p>
    <w:p>
      <w:pPr>
        <w:ind w:left="1020" w:hanging="506"/>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7" w:lineRule="exact"/>
        <w:rPr>
          <w:sz w:val="20"/>
          <w:szCs w:val="20"/>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3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1020" w:right="180" w:hanging="506"/>
        <w:spacing w:after="0" w:line="270"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0" w:lineRule="exact"/>
        <w:rPr>
          <w:sz w:val="20"/>
          <w:szCs w:val="20"/>
          <w:color w:val="auto"/>
        </w:rPr>
      </w:pPr>
    </w:p>
    <w:p>
      <w:pPr>
        <w:ind w:left="1020" w:hanging="506"/>
        <w:spacing w:after="0" w:line="270"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3" w:lineRule="exact"/>
        <w:rPr>
          <w:rFonts w:ascii="Arial" w:cs="Arial" w:eastAsia="Arial" w:hAnsi="Arial"/>
          <w:sz w:val="18"/>
          <w:szCs w:val="18"/>
          <w:color w:val="auto"/>
        </w:rPr>
      </w:pPr>
    </w:p>
    <w:p>
      <w:pPr>
        <w:ind w:left="1020" w:right="120" w:hanging="506"/>
        <w:spacing w:after="0" w:line="270"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8" w:lineRule="exact"/>
        <w:rPr>
          <w:rFonts w:ascii="Arial" w:cs="Arial" w:eastAsia="Arial" w:hAnsi="Arial"/>
          <w:sz w:val="18"/>
          <w:szCs w:val="18"/>
          <w:color w:val="auto"/>
        </w:rPr>
      </w:pPr>
    </w:p>
    <w:p>
      <w:pPr>
        <w:ind w:left="1020" w:hanging="506"/>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3" w:lineRule="exact"/>
        <w:rPr>
          <w:rFonts w:ascii="Arial" w:cs="Arial" w:eastAsia="Arial" w:hAnsi="Arial"/>
          <w:sz w:val="18"/>
          <w:szCs w:val="18"/>
          <w:color w:val="auto"/>
        </w:rPr>
      </w:pPr>
    </w:p>
    <w:p>
      <w:pPr>
        <w:ind w:left="1020" w:hanging="506"/>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36" w:lineRule="exact"/>
        <w:rPr>
          <w:rFonts w:ascii="Arial" w:cs="Arial" w:eastAsia="Arial" w:hAnsi="Arial"/>
          <w:sz w:val="16"/>
          <w:szCs w:val="16"/>
          <w:color w:val="auto"/>
        </w:rPr>
      </w:pPr>
    </w:p>
    <w:p>
      <w:pPr>
        <w:ind w:left="1020" w:hanging="506"/>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4" w:lineRule="exact"/>
        <w:rPr>
          <w:rFonts w:ascii="Arial" w:cs="Arial" w:eastAsia="Arial" w:hAnsi="Arial"/>
          <w:sz w:val="17"/>
          <w:szCs w:val="17"/>
          <w:color w:val="auto"/>
        </w:rPr>
      </w:pPr>
    </w:p>
    <w:p>
      <w:pPr>
        <w:ind w:left="1020" w:right="320" w:hanging="506"/>
        <w:spacing w:after="0" w:line="270"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5"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5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(“NOLs”) to offset future taxable income may be subject to certain limitations.</w:t>
      </w:r>
    </w:p>
    <w:p>
      <w:pPr>
        <w:spacing w:after="0" w:line="11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In general, under Section 382 of the Internal Revenue Code of 1986, as amended (“Code”), a corporation that undergoes an “ownership change” is subject to limitations on its ability to utilize its pre-change NOL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Arial" w:cs="Arial" w:eastAsia="Arial" w:hAnsi="Arial"/>
          <w:sz w:val="17"/>
          <w:szCs w:val="17"/>
          <w:i w:val="1"/>
          <w:iCs w:val="1"/>
          <w:color w:val="auto"/>
        </w:rPr>
        <w:t>Risks Related to Our Financial Condition and History of Operating Losses</w:t>
      </w:r>
      <w:r>
        <w:rPr>
          <w:rFonts w:ascii="Arial" w:cs="Arial" w:eastAsia="Arial" w:hAnsi="Arial"/>
          <w:sz w:val="17"/>
          <w:szCs w:val="17"/>
          <w:color w:val="auto"/>
        </w:rPr>
        <w:t>,” we have incurred significant net losses since our inception and anticipate that we will continue to incur significant losses for the foreseeable future; thus, we do not know whether or when we will generate the U.S. federal or state taxable income necessary to utilize our NOLs or credits. A full valuation allowance has been provided for all of our NOLs and credits.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 In the U.S., comprehensive tax reform has been announced as a priority by the new President’s administration and the U.S. Congress. Various proposals are under evaluation and consideration but it is not possible to accurately ascertain at this time the overall impact of such proposals on our future tax liabilities, profitability, and financial condition.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87"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17"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80" w:type="dxa"/>
            <w:vAlign w:val="bottom"/>
            <w:gridSpan w:val="19"/>
          </w:tcPr>
          <w:p>
            <w:pPr>
              <w:ind w:left="680"/>
              <w:spacing w:after="0"/>
              <w:rPr>
                <w:sz w:val="20"/>
                <w:szCs w:val="20"/>
                <w:color w:val="auto"/>
              </w:rPr>
            </w:pPr>
            <w:r>
              <w:rPr>
                <w:rFonts w:ascii="Arial" w:cs="Arial" w:eastAsia="Arial" w:hAnsi="Arial"/>
                <w:sz w:val="14"/>
                <w:szCs w:val="14"/>
                <w:b w:val="1"/>
                <w:bCs w:val="1"/>
                <w:color w:val="auto"/>
              </w:rPr>
              <w:t>Exhibit Description</w:t>
            </w:r>
          </w:p>
        </w:tc>
      </w:tr>
      <w:tr>
        <w:trPr>
          <w:trHeight w:val="314"/>
        </w:trPr>
        <w:tc>
          <w:tcPr>
            <w:tcW w:w="1360" w:type="dxa"/>
            <w:vAlign w:val="bottom"/>
            <w:tcBorders>
              <w:top w:val="single" w:sz="8" w:color="auto"/>
            </w:tcBorders>
          </w:tcPr>
          <w:p>
            <w:pPr>
              <w:jc w:val="right"/>
              <w:ind w:right="95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5200" w:type="dxa"/>
            <w:vAlign w:val="bottom"/>
            <w:tcBorders>
              <w:top w:val="single" w:sz="8" w:color="auto"/>
            </w:tcBorders>
            <w:gridSpan w:val="23"/>
          </w:tcPr>
          <w:p>
            <w:pPr>
              <w:spacing w:after="0"/>
              <w:rPr>
                <w:rFonts w:ascii="Arial" w:cs="Arial" w:eastAsia="Arial" w:hAnsi="Arial"/>
                <w:sz w:val="18"/>
                <w:szCs w:val="18"/>
                <w:color w:val="0000EE"/>
                <w:w w:val="95"/>
              </w:rPr>
            </w:pPr>
            <w:hyperlink r:id="rId100">
              <w:r>
                <w:rPr>
                  <w:rFonts w:ascii="Arial" w:cs="Arial" w:eastAsia="Arial" w:hAnsi="Arial"/>
                  <w:sz w:val="18"/>
                  <w:szCs w:val="18"/>
                  <w:color w:val="0000EE"/>
                  <w:w w:val="95"/>
                </w:rPr>
                <w:t>Amended and Restated Certificate of Incorporation of FibroGen, Inc.</w:t>
              </w:r>
            </w:hyperlink>
          </w:p>
        </w:tc>
      </w:tr>
      <w:tr>
        <w:trPr>
          <w:trHeight w:val="340"/>
        </w:trPr>
        <w:tc>
          <w:tcPr>
            <w:tcW w:w="1360" w:type="dxa"/>
            <w:vAlign w:val="bottom"/>
          </w:tcPr>
          <w:p>
            <w:pPr>
              <w:jc w:val="right"/>
              <w:ind w:right="95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920" w:type="dxa"/>
            <w:vAlign w:val="bottom"/>
            <w:tcBorders>
              <w:top w:val="single" w:sz="8" w:color="0000EE"/>
            </w:tcBorders>
            <w:gridSpan w:val="15"/>
          </w:tcPr>
          <w:p>
            <w:pPr>
              <w:spacing w:after="0"/>
              <w:rPr>
                <w:rFonts w:ascii="Arial" w:cs="Arial" w:eastAsia="Arial" w:hAnsi="Arial"/>
                <w:sz w:val="18"/>
                <w:szCs w:val="18"/>
                <w:color w:val="0000EE"/>
              </w:rPr>
            </w:pPr>
            <w:hyperlink r:id="rId101">
              <w:r>
                <w:rPr>
                  <w:rFonts w:ascii="Arial" w:cs="Arial" w:eastAsia="Arial" w:hAnsi="Arial"/>
                  <w:sz w:val="18"/>
                  <w:szCs w:val="18"/>
                  <w:color w:val="0000EE"/>
                </w:rPr>
                <w:t>Amended and Restated Bylaws of FibroGen, Inc.</w:t>
              </w:r>
            </w:hyperlink>
          </w:p>
        </w:tc>
        <w:tc>
          <w:tcPr>
            <w:tcW w:w="280" w:type="dxa"/>
            <w:vAlign w:val="bottom"/>
            <w:gridSpan w:val="8"/>
          </w:tcPr>
          <w:p>
            <w:pPr>
              <w:spacing w:after="0"/>
              <w:rPr>
                <w:sz w:val="24"/>
                <w:szCs w:val="24"/>
                <w:color w:val="auto"/>
              </w:rPr>
            </w:pPr>
          </w:p>
        </w:tc>
      </w:tr>
      <w:tr>
        <w:trPr>
          <w:trHeight w:val="340"/>
        </w:trPr>
        <w:tc>
          <w:tcPr>
            <w:tcW w:w="1360" w:type="dxa"/>
            <w:vAlign w:val="bottom"/>
          </w:tcPr>
          <w:p>
            <w:pPr>
              <w:jc w:val="right"/>
              <w:ind w:right="95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Common Stock Certificate.</w:t>
              </w:r>
            </w:hyperlink>
          </w:p>
        </w:tc>
        <w:tc>
          <w:tcPr>
            <w:tcW w:w="920" w:type="dxa"/>
            <w:vAlign w:val="bottom"/>
            <w:tcBorders>
              <w:top w:val="single" w:sz="8" w:color="0000EE"/>
            </w:tcBorders>
            <w:gridSpan w:val="6"/>
          </w:tcPr>
          <w:p>
            <w:pPr>
              <w:spacing w:after="0"/>
              <w:rPr>
                <w:sz w:val="24"/>
                <w:szCs w:val="24"/>
                <w:color w:val="auto"/>
              </w:rPr>
            </w:pPr>
          </w:p>
        </w:tc>
        <w:tc>
          <w:tcPr>
            <w:tcW w:w="1700" w:type="dxa"/>
            <w:vAlign w:val="bottom"/>
            <w:gridSpan w:val="12"/>
          </w:tcPr>
          <w:p>
            <w:pPr>
              <w:spacing w:after="0"/>
              <w:rPr>
                <w:sz w:val="24"/>
                <w:szCs w:val="24"/>
                <w:color w:val="auto"/>
              </w:rPr>
            </w:pPr>
          </w:p>
        </w:tc>
      </w:tr>
      <w:tr>
        <w:trPr>
          <w:trHeight w:val="340"/>
        </w:trPr>
        <w:tc>
          <w:tcPr>
            <w:tcW w:w="1360" w:type="dxa"/>
            <w:vAlign w:val="bottom"/>
          </w:tcPr>
          <w:p>
            <w:pPr>
              <w:jc w:val="right"/>
              <w:ind w:right="953"/>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Investor Rights Agreement by and among FibroGen, Inc. and certain of</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03">
              <w:r>
                <w:rPr>
                  <w:rFonts w:ascii="Arial" w:cs="Arial" w:eastAsia="Arial" w:hAnsi="Arial"/>
                  <w:sz w:val="18"/>
                  <w:szCs w:val="18"/>
                  <w:color w:val="0000EE"/>
                </w:rPr>
                <w:t>its stockholders, dated as of December 1995.</w:t>
              </w:r>
            </w:hyperlink>
          </w:p>
        </w:tc>
        <w:tc>
          <w:tcPr>
            <w:tcW w:w="120" w:type="dxa"/>
            <w:vAlign w:val="bottom"/>
            <w:gridSpan w:val="4"/>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jc w:val="right"/>
              <w:ind w:right="95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Investor Rights Agreement by and among FibroGen, Inc. and certain of</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8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r:id="rId104">
              <w:r>
                <w:rPr>
                  <w:rFonts w:ascii="Arial" w:cs="Arial" w:eastAsia="Arial" w:hAnsi="Arial"/>
                  <w:sz w:val="18"/>
                  <w:szCs w:val="18"/>
                  <w:color w:val="0000EE"/>
                </w:rPr>
                <w:t>its warrant holders, dated as of February 8, 2000.</w:t>
              </w:r>
            </w:hyperlink>
          </w:p>
        </w:tc>
        <w:tc>
          <w:tcPr>
            <w:tcW w:w="120" w:type="dxa"/>
            <w:vAlign w:val="bottom"/>
            <w:gridSpan w:val="4"/>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jc w:val="right"/>
              <w:ind w:right="953"/>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89"/>
              </w:rPr>
            </w:pPr>
            <w:hyperlink r:id="rId105">
              <w:r>
                <w:rPr>
                  <w:rFonts w:ascii="Arial" w:cs="Arial" w:eastAsia="Arial" w:hAnsi="Arial"/>
                  <w:sz w:val="18"/>
                  <w:szCs w:val="18"/>
                  <w:color w:val="0000EE"/>
                  <w:w w:val="89"/>
                </w:rPr>
                <w:t>Warrant to Purchase 11,076 Shares of Common Stock issued to Bristow</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00" w:type="dxa"/>
            <w:vAlign w:val="bottom"/>
            <w:tcBorders>
              <w:top w:val="single" w:sz="8" w:color="0000EE"/>
            </w:tcBorders>
            <w:gridSpan w:val="20"/>
          </w:tcPr>
          <w:p>
            <w:pPr>
              <w:spacing w:after="0" w:line="194" w:lineRule="exact"/>
              <w:rPr>
                <w:rFonts w:ascii="Arial" w:cs="Arial" w:eastAsia="Arial" w:hAnsi="Arial"/>
                <w:sz w:val="18"/>
                <w:szCs w:val="18"/>
                <w:color w:val="0000EE"/>
              </w:rPr>
            </w:pPr>
            <w:hyperlink r:id="rId105">
              <w:r>
                <w:rPr>
                  <w:rFonts w:ascii="Arial" w:cs="Arial" w:eastAsia="Arial" w:hAnsi="Arial"/>
                  <w:sz w:val="18"/>
                  <w:szCs w:val="18"/>
                  <w:color w:val="0000EE"/>
                </w:rPr>
                <w:t>Investments, L.P, dated as of February 8, 2000.</w:t>
              </w:r>
            </w:hyperlink>
          </w:p>
        </w:tc>
        <w:tc>
          <w:tcPr>
            <w:tcW w:w="100" w:type="dxa"/>
            <w:vAlign w:val="bottom"/>
            <w:gridSpan w:val="3"/>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jc w:val="right"/>
              <w:ind w:right="953"/>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5180" w:type="dxa"/>
            <w:vAlign w:val="bottom"/>
            <w:tcBorders>
              <w:bottom w:val="single" w:sz="8" w:color="0000EE"/>
            </w:tcBorders>
            <w:gridSpan w:val="22"/>
          </w:tcPr>
          <w:p>
            <w:pPr>
              <w:spacing w:after="0"/>
              <w:rPr>
                <w:rFonts w:ascii="Arial" w:cs="Arial" w:eastAsia="Arial" w:hAnsi="Arial"/>
                <w:sz w:val="18"/>
                <w:szCs w:val="18"/>
                <w:color w:val="0000EE"/>
                <w:w w:val="88"/>
              </w:rPr>
            </w:pPr>
            <w:hyperlink r:id="rId106">
              <w:r>
                <w:rPr>
                  <w:rFonts w:ascii="Arial" w:cs="Arial" w:eastAsia="Arial" w:hAnsi="Arial"/>
                  <w:sz w:val="18"/>
                  <w:szCs w:val="18"/>
                  <w:color w:val="0000EE"/>
                  <w:w w:val="88"/>
                </w:rPr>
                <w:t>Common Stock Purchase Agreement by and between FibroGen, Inc. and</w:t>
              </w:r>
            </w:hyperlink>
          </w:p>
        </w:tc>
        <w:tc>
          <w:tcPr>
            <w:tcW w:w="20" w:type="dxa"/>
            <w:vAlign w:val="bottom"/>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tcBorders>
              <w:bottom w:val="single" w:sz="8" w:color="0000EE"/>
            </w:tcBorders>
            <w:gridSpan w:val="9"/>
          </w:tcPr>
          <w:p>
            <w:pPr>
              <w:spacing w:after="0" w:line="194" w:lineRule="exact"/>
              <w:rPr>
                <w:rFonts w:ascii="Arial" w:cs="Arial" w:eastAsia="Arial" w:hAnsi="Arial"/>
                <w:sz w:val="18"/>
                <w:szCs w:val="18"/>
                <w:color w:val="0000EE"/>
                <w:w w:val="88"/>
              </w:rPr>
            </w:pPr>
            <w:hyperlink r:id="rId106">
              <w:r>
                <w:rPr>
                  <w:rFonts w:ascii="Arial" w:cs="Arial" w:eastAsia="Arial" w:hAnsi="Arial"/>
                  <w:sz w:val="18"/>
                  <w:szCs w:val="18"/>
                  <w:color w:val="0000EE"/>
                  <w:w w:val="88"/>
                </w:rPr>
                <w:t>AstraZeneca AB, dated as of October 20, 2014.</w:t>
              </w:r>
            </w:hyperlink>
          </w:p>
        </w:tc>
        <w:tc>
          <w:tcPr>
            <w:tcW w:w="1820" w:type="dxa"/>
            <w:vAlign w:val="bottom"/>
            <w:gridSpan w:val="14"/>
          </w:tcPr>
          <w:p>
            <w:pPr>
              <w:spacing w:after="0"/>
              <w:rPr>
                <w:sz w:val="16"/>
                <w:szCs w:val="16"/>
                <w:color w:val="auto"/>
              </w:rPr>
            </w:pPr>
          </w:p>
        </w:tc>
      </w:tr>
      <w:tr>
        <w:trPr>
          <w:trHeight w:val="340"/>
        </w:trPr>
        <w:tc>
          <w:tcPr>
            <w:tcW w:w="1360" w:type="dxa"/>
            <w:vAlign w:val="bottom"/>
          </w:tcPr>
          <w:p>
            <w:pPr>
              <w:jc w:val="right"/>
              <w:ind w:right="873"/>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5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Shareholders’ Agreement by and among FibroGen International</w:t>
              </w:r>
            </w:hyperlink>
          </w:p>
        </w:tc>
        <w:tc>
          <w:tcPr>
            <w:tcW w:w="640" w:type="dxa"/>
            <w:vAlign w:val="bottom"/>
            <w:gridSpan w:val="11"/>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23"/>
          </w:tcPr>
          <w:p>
            <w:pPr>
              <w:spacing w:after="0" w:line="194"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(Cayman) Limited and certain of its shareholders, dated as of September</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6"/>
              </w:rPr>
            </w:pPr>
            <w:hyperlink w:anchor="page75">
              <w:r>
                <w:rPr>
                  <w:rFonts w:ascii="Arial" w:cs="Arial" w:eastAsia="Arial" w:hAnsi="Arial"/>
                  <w:sz w:val="18"/>
                  <w:szCs w:val="18"/>
                  <w:color w:val="0000EE"/>
                  <w:w w:val="86"/>
                </w:rPr>
                <w:t>8, 2017.</w:t>
              </w:r>
            </w:hyperlink>
          </w:p>
        </w:tc>
        <w:tc>
          <w:tcPr>
            <w:tcW w:w="2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40"/>
        </w:trPr>
        <w:tc>
          <w:tcPr>
            <w:tcW w:w="1360" w:type="dxa"/>
            <w:vAlign w:val="bottom"/>
          </w:tcPr>
          <w:p>
            <w:pPr>
              <w:jc w:val="right"/>
              <w:ind w:right="873"/>
              <w:spacing w:after="0"/>
              <w:rPr>
                <w:sz w:val="20"/>
                <w:szCs w:val="20"/>
                <w:color w:val="auto"/>
              </w:rPr>
            </w:pPr>
            <w:r>
              <w:rPr>
                <w:rFonts w:ascii="Arial" w:cs="Arial" w:eastAsia="Arial" w:hAnsi="Arial"/>
                <w:sz w:val="18"/>
                <w:szCs w:val="18"/>
                <w:color w:val="auto"/>
                <w:w w:val="90"/>
              </w:rPr>
              <w:t>10.9*</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2"/>
              </w:rPr>
            </w:pPr>
            <w:hyperlink w:anchor="page155">
              <w:r>
                <w:rPr>
                  <w:rFonts w:ascii="Arial" w:cs="Arial" w:eastAsia="Arial" w:hAnsi="Arial"/>
                  <w:sz w:val="18"/>
                  <w:szCs w:val="18"/>
                  <w:color w:val="0000EE"/>
                  <w:w w:val="92"/>
                </w:rPr>
                <w:t>Collaboration Agreement, by and between FibroGen, Inc. and Astellas</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2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w:anchor="page155">
              <w:r>
                <w:rPr>
                  <w:rFonts w:ascii="Arial" w:cs="Arial" w:eastAsia="Arial" w:hAnsi="Arial"/>
                  <w:sz w:val="18"/>
                  <w:szCs w:val="18"/>
                  <w:color w:val="0000EE"/>
                </w:rPr>
                <w:t>Pharma Inc., effective as of June 1, 2005.</w:t>
              </w:r>
            </w:hyperlink>
          </w:p>
        </w:tc>
        <w:tc>
          <w:tcPr>
            <w:tcW w:w="180" w:type="dxa"/>
            <w:vAlign w:val="bottom"/>
            <w:gridSpan w:val="6"/>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84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0"/>
        </w:trPr>
        <w:tc>
          <w:tcPr>
            <w:tcW w:w="1360" w:type="dxa"/>
            <w:vAlign w:val="bottom"/>
          </w:tcPr>
          <w:p>
            <w:pPr>
              <w:jc w:val="right"/>
              <w:ind w:right="873"/>
              <w:spacing w:after="0"/>
              <w:rPr>
                <w:sz w:val="20"/>
                <w:szCs w:val="20"/>
                <w:color w:val="auto"/>
              </w:rPr>
            </w:pPr>
            <w:r>
              <w:rPr>
                <w:rFonts w:ascii="Arial" w:cs="Arial" w:eastAsia="Arial" w:hAnsi="Arial"/>
                <w:sz w:val="18"/>
                <w:szCs w:val="18"/>
                <w:color w:val="auto"/>
                <w:w w:val="90"/>
              </w:rPr>
              <w:t>31.1*</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3"/>
              </w:rPr>
            </w:pPr>
            <w:hyperlink w:anchor="page209">
              <w:r>
                <w:rPr>
                  <w:rFonts w:ascii="Arial" w:cs="Arial" w:eastAsia="Arial" w:hAnsi="Arial"/>
                  <w:sz w:val="18"/>
                  <w:szCs w:val="18"/>
                  <w:color w:val="0000EE"/>
                  <w:w w:val="93"/>
                </w:rPr>
                <w:t>Certification of Chief Executive Officer, as required by Rule 13a-14(a)</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top w:val="single" w:sz="8" w:color="0000EE"/>
              <w:bottom w:val="single" w:sz="8" w:color="0000EE"/>
            </w:tcBorders>
            <w:gridSpan w:val="4"/>
          </w:tcPr>
          <w:p>
            <w:pPr>
              <w:spacing w:after="0" w:line="194" w:lineRule="exact"/>
              <w:rPr>
                <w:rFonts w:ascii="Arial" w:cs="Arial" w:eastAsia="Arial" w:hAnsi="Arial"/>
                <w:sz w:val="18"/>
                <w:szCs w:val="18"/>
                <w:color w:val="0000EE"/>
                <w:w w:val="88"/>
              </w:rPr>
            </w:pPr>
            <w:hyperlink w:anchor="page209">
              <w:r>
                <w:rPr>
                  <w:rFonts w:ascii="Arial" w:cs="Arial" w:eastAsia="Arial" w:hAnsi="Arial"/>
                  <w:sz w:val="18"/>
                  <w:szCs w:val="18"/>
                  <w:color w:val="0000EE"/>
                  <w:w w:val="88"/>
                </w:rPr>
                <w:t>or Rule 15d-14(a).</w:t>
              </w:r>
            </w:hyperlink>
          </w:p>
        </w:tc>
        <w:tc>
          <w:tcPr>
            <w:tcW w:w="3720" w:type="dxa"/>
            <w:vAlign w:val="bottom"/>
            <w:tcBorders>
              <w:top w:val="single" w:sz="8" w:color="0000EE"/>
            </w:tcBorders>
            <w:gridSpan w:val="14"/>
          </w:tcPr>
          <w:p>
            <w:pPr>
              <w:spacing w:after="0"/>
              <w:rPr>
                <w:sz w:val="16"/>
                <w:szCs w:val="16"/>
                <w:color w:val="auto"/>
              </w:rPr>
            </w:pPr>
          </w:p>
        </w:tc>
        <w:tc>
          <w:tcPr>
            <w:tcW w:w="160" w:type="dxa"/>
            <w:vAlign w:val="bottom"/>
            <w:gridSpan w:val="5"/>
          </w:tcPr>
          <w:p>
            <w:pPr>
              <w:spacing w:after="0"/>
              <w:rPr>
                <w:sz w:val="16"/>
                <w:szCs w:val="16"/>
                <w:color w:val="auto"/>
              </w:rPr>
            </w:pPr>
          </w:p>
        </w:tc>
      </w:tr>
      <w:tr>
        <w:trPr>
          <w:trHeight w:val="340"/>
        </w:trPr>
        <w:tc>
          <w:tcPr>
            <w:tcW w:w="1360" w:type="dxa"/>
            <w:vAlign w:val="bottom"/>
          </w:tcPr>
          <w:p>
            <w:pPr>
              <w:jc w:val="right"/>
              <w:ind w:right="873"/>
              <w:spacing w:after="0"/>
              <w:rPr>
                <w:sz w:val="20"/>
                <w:szCs w:val="20"/>
                <w:color w:val="auto"/>
              </w:rPr>
            </w:pPr>
            <w:r>
              <w:rPr>
                <w:rFonts w:ascii="Arial" w:cs="Arial" w:eastAsia="Arial" w:hAnsi="Arial"/>
                <w:sz w:val="18"/>
                <w:szCs w:val="18"/>
                <w:color w:val="auto"/>
                <w:w w:val="90"/>
              </w:rPr>
              <w:t>31.2*</w:t>
            </w:r>
          </w:p>
        </w:tc>
        <w:tc>
          <w:tcPr>
            <w:tcW w:w="120" w:type="dxa"/>
            <w:vAlign w:val="bottom"/>
          </w:tcPr>
          <w:p>
            <w:pPr>
              <w:spacing w:after="0"/>
              <w:rPr>
                <w:sz w:val="24"/>
                <w:szCs w:val="24"/>
                <w:color w:val="auto"/>
              </w:rPr>
            </w:pPr>
          </w:p>
        </w:tc>
        <w:tc>
          <w:tcPr>
            <w:tcW w:w="5200" w:type="dxa"/>
            <w:vAlign w:val="bottom"/>
            <w:gridSpan w:val="23"/>
          </w:tcPr>
          <w:p>
            <w:pPr>
              <w:spacing w:after="0"/>
              <w:rPr>
                <w:rFonts w:ascii="Arial" w:cs="Arial" w:eastAsia="Arial" w:hAnsi="Arial"/>
                <w:sz w:val="18"/>
                <w:szCs w:val="18"/>
                <w:color w:val="0000EE"/>
                <w:w w:val="91"/>
              </w:rPr>
            </w:pPr>
            <w:hyperlink w:anchor="page210">
              <w:r>
                <w:rPr>
                  <w:rFonts w:ascii="Arial" w:cs="Arial" w:eastAsia="Arial" w:hAnsi="Arial"/>
                  <w:sz w:val="18"/>
                  <w:szCs w:val="18"/>
                  <w:color w:val="0000EE"/>
                  <w:w w:val="91"/>
                </w:rPr>
                <w:t>Certification of Chief Financial Officer, as required by Rule 13a-14(a) or</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80" w:type="dxa"/>
            <w:vAlign w:val="bottom"/>
            <w:tcBorders>
              <w:top w:val="single" w:sz="8" w:color="0000EE"/>
            </w:tcBorders>
            <w:gridSpan w:val="22"/>
          </w:tcPr>
          <w:p>
            <w:pPr>
              <w:spacing w:after="0" w:line="194" w:lineRule="exact"/>
              <w:rPr>
                <w:rFonts w:ascii="Arial" w:cs="Arial" w:eastAsia="Arial" w:hAnsi="Arial"/>
                <w:sz w:val="18"/>
                <w:szCs w:val="18"/>
                <w:color w:val="0000EE"/>
              </w:rPr>
            </w:pPr>
            <w:hyperlink w:anchor="page210">
              <w:r>
                <w:rPr>
                  <w:rFonts w:ascii="Arial" w:cs="Arial" w:eastAsia="Arial" w:hAnsi="Arial"/>
                  <w:sz w:val="18"/>
                  <w:szCs w:val="18"/>
                  <w:color w:val="0000EE"/>
                </w:rPr>
                <w:t>Rule 15d-14(a).</w:t>
              </w:r>
            </w:hyperlink>
          </w:p>
        </w:tc>
        <w:tc>
          <w:tcPr>
            <w:tcW w:w="20" w:type="dxa"/>
            <w:vAlign w:val="bottom"/>
          </w:tcPr>
          <w:p>
            <w:pPr>
              <w:spacing w:after="0"/>
              <w:rPr>
                <w:sz w:val="16"/>
                <w:szCs w:val="16"/>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6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40"/>
        </w:trPr>
        <w:tc>
          <w:tcPr>
            <w:tcW w:w="1360" w:type="dxa"/>
            <w:vAlign w:val="bottom"/>
          </w:tcPr>
          <w:p>
            <w:pPr>
              <w:jc w:val="right"/>
              <w:ind w:right="873"/>
              <w:spacing w:after="0"/>
              <w:rPr>
                <w:sz w:val="20"/>
                <w:szCs w:val="20"/>
                <w:color w:val="auto"/>
              </w:rPr>
            </w:pPr>
            <w:r>
              <w:rPr>
                <w:rFonts w:ascii="Arial" w:cs="Arial" w:eastAsia="Arial" w:hAnsi="Arial"/>
                <w:sz w:val="18"/>
                <w:szCs w:val="18"/>
                <w:color w:val="auto"/>
                <w:w w:val="90"/>
              </w:rPr>
              <w:t>32.1*</w:t>
            </w:r>
          </w:p>
        </w:tc>
        <w:tc>
          <w:tcPr>
            <w:tcW w:w="120" w:type="dxa"/>
            <w:vAlign w:val="bottom"/>
          </w:tcPr>
          <w:p>
            <w:pPr>
              <w:spacing w:after="0"/>
              <w:rPr>
                <w:sz w:val="24"/>
                <w:szCs w:val="24"/>
                <w:color w:val="auto"/>
              </w:rPr>
            </w:pPr>
          </w:p>
        </w:tc>
        <w:tc>
          <w:tcPr>
            <w:tcW w:w="478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11">
              <w:r>
                <w:rPr>
                  <w:rFonts w:ascii="Arial" w:cs="Arial" w:eastAsia="Arial" w:hAnsi="Arial"/>
                  <w:sz w:val="18"/>
                  <w:szCs w:val="18"/>
                  <w:color w:val="0000EE"/>
                  <w:w w:val="92"/>
                </w:rPr>
                <w:t>Certification of Principal Executive Officer and Principal Financial</w:t>
              </w:r>
            </w:hyperlink>
          </w:p>
        </w:tc>
        <w:tc>
          <w:tcPr>
            <w:tcW w:w="420" w:type="dxa"/>
            <w:vAlign w:val="bottom"/>
            <w:gridSpan w:val="10"/>
          </w:tcPr>
          <w:p>
            <w:pPr>
              <w:spacing w:after="0"/>
              <w:rPr>
                <w:sz w:val="24"/>
                <w:szCs w:val="24"/>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40" w:type="dxa"/>
            <w:vAlign w:val="bottom"/>
            <w:tcBorders>
              <w:bottom w:val="single" w:sz="8" w:color="0000EE"/>
            </w:tcBorders>
            <w:gridSpan w:val="16"/>
          </w:tcPr>
          <w:p>
            <w:pPr>
              <w:spacing w:after="0" w:line="194"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Officer, as required by Rule 13a-14(b) or Rule 15d-14(b) and Section</w:t>
              </w:r>
            </w:hyperlink>
          </w:p>
        </w:tc>
        <w:tc>
          <w:tcPr>
            <w:tcW w:w="260" w:type="dxa"/>
            <w:vAlign w:val="bottom"/>
            <w:gridSpan w:val="7"/>
          </w:tcPr>
          <w:p>
            <w:pPr>
              <w:spacing w:after="0"/>
              <w:rPr>
                <w:sz w:val="16"/>
                <w:szCs w:val="16"/>
                <w:color w:val="auto"/>
              </w:rPr>
            </w:pPr>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0" w:type="dxa"/>
            <w:vAlign w:val="bottom"/>
            <w:gridSpan w:val="23"/>
          </w:tcPr>
          <w:p>
            <w:pPr>
              <w:spacing w:after="0" w:line="194" w:lineRule="exact"/>
              <w:rPr>
                <w:rFonts w:ascii="Arial" w:cs="Arial" w:eastAsia="Arial" w:hAnsi="Arial"/>
                <w:sz w:val="18"/>
                <w:szCs w:val="18"/>
                <w:color w:val="0000EE"/>
                <w:w w:val="96"/>
              </w:rPr>
            </w:pPr>
            <w:hyperlink w:anchor="page211">
              <w:r>
                <w:rPr>
                  <w:rFonts w:ascii="Arial" w:cs="Arial" w:eastAsia="Arial" w:hAnsi="Arial"/>
                  <w:sz w:val="18"/>
                  <w:szCs w:val="18"/>
                  <w:color w:val="0000EE"/>
                  <w:w w:val="96"/>
                </w:rPr>
                <w:t>1350 of Chapter 63 of Title 18 of the United States Code (18 U.S.C.</w:t>
              </w:r>
            </w:hyperlink>
          </w:p>
        </w:tc>
      </w:tr>
      <w:tr>
        <w:trPr>
          <w:trHeight w:val="19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0000EE"/>
              <w:bottom w:val="single" w:sz="8" w:color="0000EE"/>
            </w:tcBorders>
            <w:gridSpan w:val="2"/>
          </w:tcPr>
          <w:p>
            <w:pPr>
              <w:spacing w:after="0" w:line="194"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§1350)(1)).</w:t>
              </w:r>
            </w:hyperlink>
          </w:p>
        </w:tc>
        <w:tc>
          <w:tcPr>
            <w:tcW w:w="3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66"/>
        </w:trPr>
        <w:tc>
          <w:tcPr>
            <w:tcW w:w="136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5200" w:type="dxa"/>
            <w:vAlign w:val="bottom"/>
            <w:gridSpan w:val="23"/>
          </w:tcPr>
          <w:p>
            <w:pPr>
              <w:spacing w:after="0"/>
              <w:rPr>
                <w:sz w:val="20"/>
                <w:szCs w:val="20"/>
                <w:color w:val="auto"/>
              </w:rPr>
            </w:pPr>
            <w:r>
              <w:rPr>
                <w:rFonts w:ascii="Arial" w:cs="Arial" w:eastAsia="Arial" w:hAnsi="Arial"/>
                <w:sz w:val="18"/>
                <w:szCs w:val="18"/>
                <w:color w:val="auto"/>
                <w:w w:val="97"/>
              </w:rPr>
              <w:t>Financial statements from the quarterly report on Form 10-Q of the</w:t>
            </w:r>
          </w:p>
        </w:tc>
      </w:tr>
      <w:tr>
        <w:trPr>
          <w:trHeight w:val="227"/>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0" w:type="dxa"/>
            <w:vAlign w:val="bottom"/>
            <w:gridSpan w:val="23"/>
          </w:tcPr>
          <w:p>
            <w:pPr>
              <w:spacing w:after="0"/>
              <w:rPr>
                <w:sz w:val="20"/>
                <w:szCs w:val="20"/>
                <w:color w:val="auto"/>
              </w:rPr>
            </w:pPr>
            <w:r>
              <w:rPr>
                <w:rFonts w:ascii="Arial" w:cs="Arial" w:eastAsia="Arial" w:hAnsi="Arial"/>
                <w:sz w:val="18"/>
                <w:szCs w:val="18"/>
                <w:color w:val="auto"/>
                <w:w w:val="98"/>
              </w:rPr>
              <w:t>Company for the quarter ended September 30, 2017, formatted in</w:t>
            </w:r>
          </w:p>
        </w:tc>
      </w:tr>
    </w:tbl>
    <w:p>
      <w:pPr>
        <w:ind w:left="1480" w:right="180"/>
        <w:spacing w:after="0" w:line="267" w:lineRule="auto"/>
        <w:rPr>
          <w:sz w:val="20"/>
          <w:szCs w:val="20"/>
          <w:color w:val="auto"/>
        </w:rPr>
      </w:pPr>
      <w:r>
        <w:rPr>
          <w:rFonts w:ascii="Arial" w:cs="Arial" w:eastAsia="Arial" w:hAnsi="Arial"/>
          <w:sz w:val="17"/>
          <w:szCs w:val="17"/>
          <w:color w:val="auto"/>
        </w:rPr>
        <w:t>XBRL: (i) the Condensed Consolidated Balance Sheets, (ii) the Condensed Consolidated Statements of Operations (iii) the Condensed Consolidated Statement of Comprehensive Loss, (iv) the Condensed Consolidated Statements of Cash Flows and (v)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686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686435" cy="8255"/>
                    </a:xfrm>
                    <a:prstGeom prst="rect">
                      <a:avLst/>
                    </a:prstGeom>
                    <a:noFill/>
                  </pic:spPr>
                </pic:pic>
              </a:graphicData>
            </a:graphic>
          </wp:anchor>
        </w:drawing>
      </w:r>
    </w:p>
    <w:p>
      <w:pPr>
        <w:spacing w:after="0" w:line="135" w:lineRule="exact"/>
        <w:rPr>
          <w:sz w:val="20"/>
          <w:szCs w:val="20"/>
          <w:color w:val="auto"/>
        </w:rPr>
      </w:pPr>
    </w:p>
    <w:p>
      <w:pPr>
        <w:ind w:left="520" w:hanging="513"/>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2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120" w:type="dxa"/>
            <w:vAlign w:val="bottom"/>
            <w:tcBorders>
              <w:top w:val="single" w:sz="8" w:color="auto"/>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140"/>
              <w:spacing w:after="0" w:line="153" w:lineRule="exact"/>
              <w:rPr>
                <w:sz w:val="20"/>
                <w:szCs w:val="20"/>
                <w:color w:val="auto"/>
              </w:rPr>
            </w:pPr>
            <w:r>
              <w:rPr>
                <w:rFonts w:ascii="Arial" w:cs="Arial" w:eastAsia="Arial" w:hAnsi="Arial"/>
                <w:sz w:val="14"/>
                <w:szCs w:val="14"/>
                <w:b w:val="1"/>
                <w:bCs w:val="1"/>
                <w:color w:val="auto"/>
              </w:rPr>
              <w:t>SEC File No.</w:t>
            </w: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ind w:left="320"/>
              <w:spacing w:after="0" w:line="153"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ind w:left="160"/>
              <w:spacing w:after="0" w:line="153" w:lineRule="exact"/>
              <w:rPr>
                <w:sz w:val="20"/>
                <w:szCs w:val="20"/>
                <w:color w:val="auto"/>
              </w:rPr>
            </w:pPr>
            <w:r>
              <w:rPr>
                <w:rFonts w:ascii="Arial" w:cs="Arial" w:eastAsia="Arial" w:hAnsi="Arial"/>
                <w:sz w:val="14"/>
                <w:szCs w:val="14"/>
                <w:b w:val="1"/>
                <w:bCs w:val="1"/>
                <w:color w:val="auto"/>
              </w:rPr>
              <w:t>Filing Date</w:t>
            </w:r>
          </w:p>
        </w:tc>
      </w:tr>
      <w:tr>
        <w:trPr>
          <w:trHeight w:val="352"/>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6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6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001-36740</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60"/>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10/01/2014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333-199069</w:t>
            </w:r>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88"/>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74"/>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001"/>
        </w:trPr>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680" w:space="120"/>
            <w:col w:w="46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FibroGen, Inc.</w:t>
            </w:r>
          </w:p>
        </w:tc>
        <w:tc>
          <w:tcPr>
            <w:tcW w:w="4340" w:type="dxa"/>
            <w:vAlign w:val="bottom"/>
          </w:tcPr>
          <w:p>
            <w:pPr>
              <w:spacing w:after="0"/>
              <w:rPr>
                <w:sz w:val="17"/>
                <w:szCs w:val="17"/>
                <w:color w:val="auto"/>
              </w:rPr>
            </w:pPr>
          </w:p>
        </w:tc>
      </w:tr>
      <w:tr>
        <w:trPr>
          <w:trHeight w:val="473"/>
        </w:trPr>
        <w:tc>
          <w:tcPr>
            <w:tcW w:w="3760" w:type="dxa"/>
            <w:vAlign w:val="bottom"/>
          </w:tcPr>
          <w:p>
            <w:pPr>
              <w:spacing w:after="0"/>
              <w:rPr>
                <w:sz w:val="20"/>
                <w:szCs w:val="20"/>
                <w:color w:val="auto"/>
              </w:rPr>
            </w:pPr>
            <w:r>
              <w:rPr>
                <w:rFonts w:ascii="Arial" w:cs="Arial" w:eastAsia="Arial" w:hAnsi="Arial"/>
                <w:sz w:val="18"/>
                <w:szCs w:val="18"/>
                <w:color w:val="auto"/>
              </w:rPr>
              <w:t>Dated: November 8, 2017</w:t>
            </w:r>
          </w:p>
        </w:tc>
        <w:tc>
          <w:tcPr>
            <w:tcW w:w="220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Thomas B. Neff</w:t>
            </w:r>
          </w:p>
        </w:tc>
      </w:tr>
      <w:tr>
        <w:trPr>
          <w:trHeight w:val="193"/>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Thomas B. Neff</w:t>
            </w:r>
          </w:p>
        </w:tc>
      </w:tr>
      <w:tr>
        <w:trPr>
          <w:trHeight w:val="214"/>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27"/>
        </w:trPr>
        <w:tc>
          <w:tcPr>
            <w:tcW w:w="3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28"/>
        </w:trPr>
        <w:tc>
          <w:tcPr>
            <w:tcW w:w="3760" w:type="dxa"/>
            <w:vAlign w:val="bottom"/>
          </w:tcPr>
          <w:p>
            <w:pPr>
              <w:spacing w:after="0"/>
              <w:rPr>
                <w:sz w:val="20"/>
                <w:szCs w:val="20"/>
                <w:color w:val="auto"/>
              </w:rPr>
            </w:pPr>
            <w:r>
              <w:rPr>
                <w:rFonts w:ascii="Arial" w:cs="Arial" w:eastAsia="Arial" w:hAnsi="Arial"/>
                <w:sz w:val="18"/>
                <w:szCs w:val="18"/>
                <w:color w:val="auto"/>
              </w:rPr>
              <w:t>Dated: November 8, 2017</w:t>
            </w:r>
          </w:p>
        </w:tc>
        <w:tc>
          <w:tcPr>
            <w:tcW w:w="2200" w:type="dxa"/>
            <w:vAlign w:val="bottom"/>
          </w:tcPr>
          <w:p>
            <w:pPr>
              <w:spacing w:after="0"/>
              <w:rPr>
                <w:sz w:val="24"/>
                <w:szCs w:val="24"/>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3"/>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Pat Cotroneo</w:t>
            </w:r>
          </w:p>
        </w:tc>
      </w:tr>
      <w:tr>
        <w:trPr>
          <w:trHeight w:val="214"/>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27"/>
        </w:trPr>
        <w:tc>
          <w:tcPr>
            <w:tcW w:w="37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54"/>
        </w:trPr>
        <w:tc>
          <w:tcPr>
            <w:tcW w:w="3760" w:type="dxa"/>
            <w:vAlign w:val="bottom"/>
          </w:tcPr>
          <w:p>
            <w:pPr>
              <w:spacing w:after="0"/>
              <w:rPr>
                <w:sz w:val="24"/>
                <w:szCs w:val="24"/>
                <w:color w:val="auto"/>
              </w:rPr>
            </w:pPr>
          </w:p>
        </w:tc>
        <w:tc>
          <w:tcPr>
            <w:tcW w:w="2200" w:type="dxa"/>
            <w:vAlign w:val="bottom"/>
          </w:tcPr>
          <w:p>
            <w:pPr>
              <w:jc w:val="right"/>
              <w:ind w:right="71"/>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160"/>
        <w:spacing w:after="0"/>
        <w:rPr>
          <w:sz w:val="20"/>
          <w:szCs w:val="20"/>
          <w:color w:val="auto"/>
        </w:rPr>
      </w:pPr>
      <w:r>
        <w:rPr>
          <w:rFonts w:ascii="Arial" w:cs="Arial" w:eastAsia="Arial" w:hAnsi="Arial"/>
          <w:sz w:val="20"/>
          <w:szCs w:val="20"/>
          <w:b w:val="1"/>
          <w:bCs w:val="1"/>
          <w:color w:val="auto"/>
        </w:rPr>
        <w:t>FIBROGEN INTERNATIONAL (CAYMAN LIMITED)</w:t>
      </w:r>
    </w:p>
    <w:p>
      <w:pPr>
        <w:spacing w:after="0" w:line="200" w:lineRule="exact"/>
        <w:rPr>
          <w:sz w:val="20"/>
          <w:szCs w:val="20"/>
          <w:color w:val="auto"/>
        </w:rPr>
      </w:pPr>
    </w:p>
    <w:p>
      <w:pPr>
        <w:spacing w:after="0" w:line="344"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SHAREHOLDERS’ AGREEMENT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DATED September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1424305</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220"/>
          </w:cols>
          <w:pgMar w:left="1440" w:top="544"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720" w:type="dxa"/>
            <w:vAlign w:val="bottom"/>
            <w:gridSpan w:val="2"/>
          </w:tcPr>
          <w:p>
            <w:pPr>
              <w:jc w:val="right"/>
              <w:ind w:right="4642"/>
              <w:spacing w:after="0"/>
              <w:rPr>
                <w:sz w:val="20"/>
                <w:szCs w:val="20"/>
                <w:color w:val="auto"/>
              </w:rPr>
            </w:pPr>
            <w:r>
              <w:rPr>
                <w:rFonts w:ascii="Arial" w:cs="Arial" w:eastAsia="Arial" w:hAnsi="Arial"/>
                <w:sz w:val="20"/>
                <w:szCs w:val="20"/>
                <w:color w:val="auto"/>
                <w:w w:val="92"/>
              </w:rPr>
              <w:t>TABLE OF CONTENTS</w:t>
            </w:r>
          </w:p>
        </w:tc>
      </w:tr>
      <w:tr>
        <w:trPr>
          <w:trHeight w:val="444"/>
        </w:trPr>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474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248"/>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1.</w:t>
            </w:r>
          </w:p>
        </w:tc>
        <w:tc>
          <w:tcPr>
            <w:tcW w:w="1440" w:type="dxa"/>
            <w:vAlign w:val="bottom"/>
          </w:tcPr>
          <w:p>
            <w:pPr>
              <w:ind w:left="220"/>
              <w:spacing w:after="0"/>
              <w:rPr>
                <w:sz w:val="20"/>
                <w:szCs w:val="20"/>
                <w:color w:val="auto"/>
              </w:rPr>
            </w:pPr>
            <w:r>
              <w:rPr>
                <w:rFonts w:ascii="Arial" w:cs="Arial" w:eastAsia="Arial" w:hAnsi="Arial"/>
                <w:sz w:val="20"/>
                <w:szCs w:val="20"/>
                <w:color w:val="auto"/>
              </w:rPr>
              <w:t>Definitions</w:t>
            </w:r>
          </w:p>
        </w:tc>
        <w:tc>
          <w:tcPr>
            <w:tcW w:w="2900" w:type="dxa"/>
            <w:vAlign w:val="bottom"/>
          </w:tcPr>
          <w:p>
            <w:pPr>
              <w:spacing w:after="0"/>
              <w:rPr>
                <w:sz w:val="21"/>
                <w:szCs w:val="21"/>
                <w:color w:val="auto"/>
              </w:rPr>
            </w:pP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2.</w:t>
            </w:r>
          </w:p>
        </w:tc>
        <w:tc>
          <w:tcPr>
            <w:tcW w:w="4340" w:type="dxa"/>
            <w:vAlign w:val="bottom"/>
            <w:gridSpan w:val="2"/>
          </w:tcPr>
          <w:p>
            <w:pPr>
              <w:ind w:left="220"/>
              <w:spacing w:after="0"/>
              <w:rPr>
                <w:sz w:val="20"/>
                <w:szCs w:val="20"/>
                <w:color w:val="auto"/>
              </w:rPr>
            </w:pPr>
            <w:r>
              <w:rPr>
                <w:rFonts w:ascii="Arial" w:cs="Arial" w:eastAsia="Arial" w:hAnsi="Arial"/>
                <w:sz w:val="20"/>
                <w:szCs w:val="20"/>
                <w:color w:val="auto"/>
              </w:rPr>
              <w:t>Registration Rights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46"/>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2.1.</w:t>
            </w:r>
          </w:p>
        </w:tc>
        <w:tc>
          <w:tcPr>
            <w:tcW w:w="2900" w:type="dxa"/>
            <w:vAlign w:val="bottom"/>
          </w:tcPr>
          <w:p>
            <w:pPr>
              <w:ind w:left="100"/>
              <w:spacing w:after="0"/>
              <w:rPr>
                <w:sz w:val="20"/>
                <w:szCs w:val="20"/>
                <w:color w:val="auto"/>
              </w:rPr>
            </w:pPr>
            <w:r>
              <w:rPr>
                <w:rFonts w:ascii="Arial" w:cs="Arial" w:eastAsia="Arial" w:hAnsi="Arial"/>
                <w:sz w:val="20"/>
                <w:szCs w:val="20"/>
                <w:color w:val="auto"/>
              </w:rPr>
              <w:t>Demand Registration</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4</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2.2.</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Company Registration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5</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2.3.</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Underwriting Requirements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5</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2.4.</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Obligations of the Company</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6</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2.5.</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Furnish Information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7</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2.6.</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Expenses of Registration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7</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2.7.</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Delay of Registration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7</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2.8.</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“Market Stand-off” Agreement</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7</w:t>
            </w:r>
          </w:p>
        </w:tc>
      </w:tr>
      <w:tr>
        <w:trPr>
          <w:trHeight w:val="248"/>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2.9.</w:t>
            </w:r>
          </w:p>
        </w:tc>
        <w:tc>
          <w:tcPr>
            <w:tcW w:w="2900" w:type="dxa"/>
            <w:vAlign w:val="bottom"/>
          </w:tcPr>
          <w:p>
            <w:pPr>
              <w:ind w:left="100"/>
              <w:spacing w:after="0"/>
              <w:rPr>
                <w:sz w:val="20"/>
                <w:szCs w:val="20"/>
                <w:color w:val="auto"/>
              </w:rPr>
            </w:pPr>
            <w:r>
              <w:rPr>
                <w:rFonts w:ascii="Arial" w:cs="Arial" w:eastAsia="Arial" w:hAnsi="Arial"/>
                <w:sz w:val="20"/>
                <w:szCs w:val="20"/>
                <w:color w:val="auto"/>
                <w:w w:val="91"/>
              </w:rPr>
              <w:t>Termination of Registration Rights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3.</w:t>
            </w:r>
          </w:p>
        </w:tc>
        <w:tc>
          <w:tcPr>
            <w:tcW w:w="4340" w:type="dxa"/>
            <w:vAlign w:val="bottom"/>
            <w:gridSpan w:val="2"/>
          </w:tcPr>
          <w:p>
            <w:pPr>
              <w:ind w:left="220"/>
              <w:spacing w:after="0"/>
              <w:rPr>
                <w:sz w:val="20"/>
                <w:szCs w:val="20"/>
                <w:color w:val="auto"/>
              </w:rPr>
            </w:pPr>
            <w:r>
              <w:rPr>
                <w:rFonts w:ascii="Arial" w:cs="Arial" w:eastAsia="Arial" w:hAnsi="Arial"/>
                <w:sz w:val="20"/>
                <w:szCs w:val="20"/>
                <w:color w:val="auto"/>
              </w:rPr>
              <w:t>Restrictions on Transfer</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46"/>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3.1.</w:t>
            </w:r>
          </w:p>
        </w:tc>
        <w:tc>
          <w:tcPr>
            <w:tcW w:w="2900" w:type="dxa"/>
            <w:vAlign w:val="bottom"/>
          </w:tcPr>
          <w:p>
            <w:pPr>
              <w:ind w:left="100"/>
              <w:spacing w:after="0"/>
              <w:rPr>
                <w:sz w:val="20"/>
                <w:szCs w:val="20"/>
                <w:color w:val="auto"/>
              </w:rPr>
            </w:pPr>
            <w:r>
              <w:rPr>
                <w:rFonts w:ascii="Arial" w:cs="Arial" w:eastAsia="Arial" w:hAnsi="Arial"/>
                <w:sz w:val="20"/>
                <w:szCs w:val="20"/>
                <w:color w:val="auto"/>
              </w:rPr>
              <w:t>General.</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8</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3.2.</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Right of First Refusal.</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10</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3.3.</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Prohibited Transferees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11</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3.4.</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Transfer Void</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11</w:t>
            </w:r>
          </w:p>
        </w:tc>
      </w:tr>
      <w:tr>
        <w:trPr>
          <w:trHeight w:val="248"/>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3.5.</w:t>
            </w:r>
          </w:p>
        </w:tc>
        <w:tc>
          <w:tcPr>
            <w:tcW w:w="2900" w:type="dxa"/>
            <w:vAlign w:val="bottom"/>
          </w:tcPr>
          <w:p>
            <w:pPr>
              <w:ind w:left="100"/>
              <w:spacing w:after="0"/>
              <w:rPr>
                <w:sz w:val="20"/>
                <w:szCs w:val="20"/>
                <w:color w:val="auto"/>
              </w:rPr>
            </w:pPr>
            <w:r>
              <w:rPr>
                <w:rFonts w:ascii="Arial" w:cs="Arial" w:eastAsia="Arial" w:hAnsi="Arial"/>
                <w:sz w:val="20"/>
                <w:szCs w:val="20"/>
                <w:color w:val="auto"/>
              </w:rPr>
              <w:t>Exempted Offerings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4.</w:t>
            </w:r>
          </w:p>
        </w:tc>
        <w:tc>
          <w:tcPr>
            <w:tcW w:w="4340" w:type="dxa"/>
            <w:vAlign w:val="bottom"/>
            <w:gridSpan w:val="2"/>
          </w:tcPr>
          <w:p>
            <w:pPr>
              <w:ind w:left="220"/>
              <w:spacing w:after="0"/>
              <w:rPr>
                <w:sz w:val="20"/>
                <w:szCs w:val="20"/>
                <w:color w:val="auto"/>
              </w:rPr>
            </w:pPr>
            <w:r>
              <w:rPr>
                <w:rFonts w:ascii="Arial" w:cs="Arial" w:eastAsia="Arial" w:hAnsi="Arial"/>
                <w:sz w:val="20"/>
                <w:szCs w:val="20"/>
                <w:color w:val="auto"/>
              </w:rPr>
              <w:t>Drag-Along Right</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246"/>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4.1.</w:t>
            </w:r>
          </w:p>
        </w:tc>
        <w:tc>
          <w:tcPr>
            <w:tcW w:w="2900" w:type="dxa"/>
            <w:vAlign w:val="bottom"/>
          </w:tcPr>
          <w:p>
            <w:pPr>
              <w:ind w:left="100"/>
              <w:spacing w:after="0"/>
              <w:rPr>
                <w:sz w:val="20"/>
                <w:szCs w:val="20"/>
                <w:color w:val="auto"/>
              </w:rPr>
            </w:pPr>
            <w:r>
              <w:rPr>
                <w:rFonts w:ascii="Arial" w:cs="Arial" w:eastAsia="Arial" w:hAnsi="Arial"/>
                <w:sz w:val="20"/>
                <w:szCs w:val="20"/>
                <w:color w:val="auto"/>
              </w:rPr>
              <w:t>Definitions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11</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4.2.</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Actions to be Taken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11</w:t>
            </w:r>
          </w:p>
        </w:tc>
      </w:tr>
      <w:tr>
        <w:trPr>
          <w:trHeight w:val="248"/>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4.3.</w:t>
            </w:r>
          </w:p>
        </w:tc>
        <w:tc>
          <w:tcPr>
            <w:tcW w:w="2900" w:type="dxa"/>
            <w:vAlign w:val="bottom"/>
          </w:tcPr>
          <w:p>
            <w:pPr>
              <w:ind w:left="100"/>
              <w:spacing w:after="0"/>
              <w:rPr>
                <w:sz w:val="20"/>
                <w:szCs w:val="20"/>
                <w:color w:val="auto"/>
              </w:rPr>
            </w:pPr>
            <w:r>
              <w:rPr>
                <w:rFonts w:ascii="Arial" w:cs="Arial" w:eastAsia="Arial" w:hAnsi="Arial"/>
                <w:sz w:val="20"/>
                <w:szCs w:val="20"/>
                <w:color w:val="auto"/>
              </w:rPr>
              <w:t>Exceptions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5.</w:t>
            </w:r>
          </w:p>
        </w:tc>
        <w:tc>
          <w:tcPr>
            <w:tcW w:w="4340" w:type="dxa"/>
            <w:vAlign w:val="bottom"/>
            <w:gridSpan w:val="2"/>
          </w:tcPr>
          <w:p>
            <w:pPr>
              <w:ind w:left="220"/>
              <w:spacing w:after="0"/>
              <w:rPr>
                <w:sz w:val="20"/>
                <w:szCs w:val="20"/>
                <w:color w:val="auto"/>
              </w:rPr>
            </w:pPr>
            <w:r>
              <w:rPr>
                <w:rFonts w:ascii="Arial" w:cs="Arial" w:eastAsia="Arial" w:hAnsi="Arial"/>
                <w:sz w:val="20"/>
                <w:szCs w:val="20"/>
                <w:color w:val="auto"/>
              </w:rPr>
              <w:t>Vote to Increase Authorized Common Shares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6.</w:t>
            </w:r>
          </w:p>
        </w:tc>
        <w:tc>
          <w:tcPr>
            <w:tcW w:w="4340" w:type="dxa"/>
            <w:vAlign w:val="bottom"/>
            <w:gridSpan w:val="2"/>
          </w:tcPr>
          <w:p>
            <w:pPr>
              <w:ind w:left="220"/>
              <w:spacing w:after="0"/>
              <w:rPr>
                <w:sz w:val="20"/>
                <w:szCs w:val="20"/>
                <w:color w:val="auto"/>
              </w:rPr>
            </w:pPr>
            <w:r>
              <w:rPr>
                <w:rFonts w:ascii="Arial" w:cs="Arial" w:eastAsia="Arial" w:hAnsi="Arial"/>
                <w:sz w:val="20"/>
                <w:szCs w:val="20"/>
                <w:color w:val="auto"/>
              </w:rPr>
              <w:t>Information Rights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46"/>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6.1.</w:t>
            </w:r>
          </w:p>
        </w:tc>
        <w:tc>
          <w:tcPr>
            <w:tcW w:w="2900" w:type="dxa"/>
            <w:vAlign w:val="bottom"/>
          </w:tcPr>
          <w:p>
            <w:pPr>
              <w:ind w:left="100"/>
              <w:spacing w:after="0"/>
              <w:rPr>
                <w:sz w:val="20"/>
                <w:szCs w:val="20"/>
                <w:color w:val="auto"/>
              </w:rPr>
            </w:pPr>
            <w:r>
              <w:rPr>
                <w:rFonts w:ascii="Arial" w:cs="Arial" w:eastAsia="Arial" w:hAnsi="Arial"/>
                <w:sz w:val="20"/>
                <w:szCs w:val="20"/>
                <w:color w:val="auto"/>
                <w:w w:val="96"/>
              </w:rPr>
              <w:t>Delivery of Financial Statements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6.4.</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Termination of Information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13</w:t>
            </w:r>
          </w:p>
        </w:tc>
      </w:tr>
      <w:tr>
        <w:trPr>
          <w:trHeight w:val="248"/>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6.5.</w:t>
            </w:r>
          </w:p>
        </w:tc>
        <w:tc>
          <w:tcPr>
            <w:tcW w:w="2900" w:type="dxa"/>
            <w:vAlign w:val="bottom"/>
          </w:tcPr>
          <w:p>
            <w:pPr>
              <w:ind w:left="100"/>
              <w:spacing w:after="0"/>
              <w:rPr>
                <w:sz w:val="20"/>
                <w:szCs w:val="20"/>
                <w:color w:val="auto"/>
              </w:rPr>
            </w:pPr>
            <w:r>
              <w:rPr>
                <w:rFonts w:ascii="Arial" w:cs="Arial" w:eastAsia="Arial" w:hAnsi="Arial"/>
                <w:sz w:val="20"/>
                <w:szCs w:val="20"/>
                <w:color w:val="auto"/>
              </w:rPr>
              <w:t>Confidentiality</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13</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7.</w:t>
            </w:r>
          </w:p>
        </w:tc>
        <w:tc>
          <w:tcPr>
            <w:tcW w:w="1440" w:type="dxa"/>
            <w:vAlign w:val="bottom"/>
          </w:tcPr>
          <w:p>
            <w:pPr>
              <w:ind w:left="220"/>
              <w:spacing w:after="0"/>
              <w:rPr>
                <w:sz w:val="20"/>
                <w:szCs w:val="20"/>
                <w:color w:val="auto"/>
              </w:rPr>
            </w:pPr>
            <w:r>
              <w:rPr>
                <w:rFonts w:ascii="Arial" w:cs="Arial" w:eastAsia="Arial" w:hAnsi="Arial"/>
                <w:sz w:val="20"/>
                <w:szCs w:val="20"/>
                <w:color w:val="auto"/>
              </w:rPr>
              <w:t>Term</w:t>
            </w:r>
          </w:p>
        </w:tc>
        <w:tc>
          <w:tcPr>
            <w:tcW w:w="2900" w:type="dxa"/>
            <w:vAlign w:val="bottom"/>
          </w:tcPr>
          <w:p>
            <w:pPr>
              <w:spacing w:after="0"/>
              <w:rPr>
                <w:sz w:val="23"/>
                <w:szCs w:val="23"/>
                <w:color w:val="auto"/>
              </w:rPr>
            </w:pP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67"/>
        </w:trPr>
        <w:tc>
          <w:tcPr>
            <w:tcW w:w="380" w:type="dxa"/>
            <w:vAlign w:val="bottom"/>
          </w:tcPr>
          <w:p>
            <w:pPr>
              <w:jc w:val="right"/>
              <w:ind w:right="122"/>
              <w:spacing w:after="0"/>
              <w:rPr>
                <w:sz w:val="20"/>
                <w:szCs w:val="20"/>
                <w:color w:val="auto"/>
              </w:rPr>
            </w:pPr>
            <w:r>
              <w:rPr>
                <w:rFonts w:ascii="Arial" w:cs="Arial" w:eastAsia="Arial" w:hAnsi="Arial"/>
                <w:sz w:val="20"/>
                <w:szCs w:val="20"/>
                <w:color w:val="auto"/>
                <w:w w:val="83"/>
              </w:rPr>
              <w:t>8.</w:t>
            </w:r>
          </w:p>
        </w:tc>
        <w:tc>
          <w:tcPr>
            <w:tcW w:w="1440" w:type="dxa"/>
            <w:vAlign w:val="bottom"/>
          </w:tcPr>
          <w:p>
            <w:pPr>
              <w:ind w:left="220"/>
              <w:spacing w:after="0"/>
              <w:rPr>
                <w:sz w:val="20"/>
                <w:szCs w:val="20"/>
                <w:color w:val="auto"/>
              </w:rPr>
            </w:pPr>
            <w:r>
              <w:rPr>
                <w:rFonts w:ascii="Arial" w:cs="Arial" w:eastAsia="Arial" w:hAnsi="Arial"/>
                <w:sz w:val="20"/>
                <w:szCs w:val="20"/>
                <w:color w:val="auto"/>
                <w:w w:val="94"/>
              </w:rPr>
              <w:t>Miscellaneous</w:t>
            </w:r>
          </w:p>
        </w:tc>
        <w:tc>
          <w:tcPr>
            <w:tcW w:w="2900" w:type="dxa"/>
            <w:vAlign w:val="bottom"/>
          </w:tcPr>
          <w:p>
            <w:pPr>
              <w:spacing w:after="0"/>
              <w:rPr>
                <w:sz w:val="23"/>
                <w:szCs w:val="23"/>
                <w:color w:val="auto"/>
              </w:rPr>
            </w:pP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46"/>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8.1.</w:t>
            </w:r>
          </w:p>
        </w:tc>
        <w:tc>
          <w:tcPr>
            <w:tcW w:w="2900" w:type="dxa"/>
            <w:vAlign w:val="bottom"/>
          </w:tcPr>
          <w:p>
            <w:pPr>
              <w:ind w:left="100"/>
              <w:spacing w:after="0"/>
              <w:rPr>
                <w:sz w:val="20"/>
                <w:szCs w:val="20"/>
                <w:color w:val="auto"/>
              </w:rPr>
            </w:pPr>
            <w:r>
              <w:rPr>
                <w:rFonts w:ascii="Arial" w:cs="Arial" w:eastAsia="Arial" w:hAnsi="Arial"/>
                <w:sz w:val="20"/>
                <w:szCs w:val="20"/>
                <w:color w:val="auto"/>
              </w:rPr>
              <w:t>Successors and Assigns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14</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8.2.</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Governing Law</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14</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8.3.</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Counterparts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15</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8.4.</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Titles and Subtitles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15</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8.5.</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Notices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15</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8.6.</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Amendments and Waivers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15</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8.7.</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Severability.</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16</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8.8.</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Additional Holders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16</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8.9.</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Entire Agreement</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16</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8.10.</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Dispute Resolution</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16</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8.11.</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Delays or Omissions</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17</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8.12.</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w w:val="91"/>
              </w:rPr>
              <w:t>Share Splits, Share Dividends, etc</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17</w:t>
            </w:r>
          </w:p>
        </w:tc>
      </w:tr>
      <w:tr>
        <w:trPr>
          <w:trHeight w:val="227"/>
        </w:trPr>
        <w:tc>
          <w:tcPr>
            <w:tcW w:w="380" w:type="dxa"/>
            <w:vAlign w:val="bottom"/>
          </w:tcPr>
          <w:p>
            <w:pPr>
              <w:spacing w:after="0"/>
              <w:rPr>
                <w:sz w:val="19"/>
                <w:szCs w:val="19"/>
                <w:color w:val="auto"/>
              </w:rPr>
            </w:pPr>
          </w:p>
        </w:tc>
        <w:tc>
          <w:tcPr>
            <w:tcW w:w="1440" w:type="dxa"/>
            <w:vAlign w:val="bottom"/>
          </w:tcPr>
          <w:p>
            <w:pPr>
              <w:ind w:left="660"/>
              <w:spacing w:after="0" w:line="227" w:lineRule="exact"/>
              <w:rPr>
                <w:sz w:val="20"/>
                <w:szCs w:val="20"/>
                <w:color w:val="auto"/>
              </w:rPr>
            </w:pPr>
            <w:r>
              <w:rPr>
                <w:rFonts w:ascii="Arial" w:cs="Arial" w:eastAsia="Arial" w:hAnsi="Arial"/>
                <w:sz w:val="20"/>
                <w:szCs w:val="20"/>
                <w:color w:val="auto"/>
              </w:rPr>
              <w:t>8.13.</w:t>
            </w:r>
          </w:p>
        </w:tc>
        <w:tc>
          <w:tcPr>
            <w:tcW w:w="2900" w:type="dxa"/>
            <w:vAlign w:val="bottom"/>
          </w:tcPr>
          <w:p>
            <w:pPr>
              <w:ind w:left="100"/>
              <w:spacing w:after="0" w:line="227" w:lineRule="exact"/>
              <w:rPr>
                <w:sz w:val="20"/>
                <w:szCs w:val="20"/>
                <w:color w:val="auto"/>
              </w:rPr>
            </w:pPr>
            <w:r>
              <w:rPr>
                <w:rFonts w:ascii="Arial" w:cs="Arial" w:eastAsia="Arial" w:hAnsi="Arial"/>
                <w:sz w:val="20"/>
                <w:szCs w:val="20"/>
                <w:color w:val="auto"/>
              </w:rPr>
              <w:t>Manner of Voting</w:t>
            </w:r>
          </w:p>
        </w:tc>
        <w:tc>
          <w:tcPr>
            <w:tcW w:w="6720" w:type="dxa"/>
            <w:vAlign w:val="bottom"/>
            <w:gridSpan w:val="2"/>
          </w:tcPr>
          <w:p>
            <w:pPr>
              <w:jc w:val="right"/>
              <w:spacing w:after="0" w:line="227" w:lineRule="exact"/>
              <w:rPr>
                <w:sz w:val="20"/>
                <w:szCs w:val="20"/>
                <w:color w:val="auto"/>
              </w:rPr>
            </w:pPr>
            <w:r>
              <w:rPr>
                <w:rFonts w:ascii="Arial" w:cs="Arial" w:eastAsia="Arial" w:hAnsi="Arial"/>
                <w:sz w:val="20"/>
                <w:szCs w:val="20"/>
                <w:color w:val="auto"/>
              </w:rPr>
              <w:t>17</w:t>
            </w:r>
          </w:p>
        </w:tc>
      </w:tr>
      <w:tr>
        <w:trPr>
          <w:trHeight w:val="248"/>
        </w:trPr>
        <w:tc>
          <w:tcPr>
            <w:tcW w:w="380" w:type="dxa"/>
            <w:vAlign w:val="bottom"/>
          </w:tcPr>
          <w:p>
            <w:pPr>
              <w:spacing w:after="0"/>
              <w:rPr>
                <w:sz w:val="21"/>
                <w:szCs w:val="21"/>
                <w:color w:val="auto"/>
              </w:rPr>
            </w:pPr>
          </w:p>
        </w:tc>
        <w:tc>
          <w:tcPr>
            <w:tcW w:w="1440" w:type="dxa"/>
            <w:vAlign w:val="bottom"/>
          </w:tcPr>
          <w:p>
            <w:pPr>
              <w:ind w:left="660"/>
              <w:spacing w:after="0"/>
              <w:rPr>
                <w:sz w:val="20"/>
                <w:szCs w:val="20"/>
                <w:color w:val="auto"/>
              </w:rPr>
            </w:pPr>
            <w:r>
              <w:rPr>
                <w:rFonts w:ascii="Arial" w:cs="Arial" w:eastAsia="Arial" w:hAnsi="Arial"/>
                <w:sz w:val="20"/>
                <w:szCs w:val="20"/>
                <w:color w:val="auto"/>
              </w:rPr>
              <w:t>8.14.</w:t>
            </w:r>
          </w:p>
        </w:tc>
        <w:tc>
          <w:tcPr>
            <w:tcW w:w="2900" w:type="dxa"/>
            <w:vAlign w:val="bottom"/>
          </w:tcPr>
          <w:p>
            <w:pPr>
              <w:ind w:left="100"/>
              <w:spacing w:after="0"/>
              <w:rPr>
                <w:sz w:val="20"/>
                <w:szCs w:val="20"/>
                <w:color w:val="auto"/>
              </w:rPr>
            </w:pPr>
            <w:r>
              <w:rPr>
                <w:rFonts w:ascii="Arial" w:cs="Arial" w:eastAsia="Arial" w:hAnsi="Arial"/>
                <w:sz w:val="20"/>
                <w:szCs w:val="20"/>
                <w:color w:val="auto"/>
              </w:rPr>
              <w:t>Aggregation of Shares</w:t>
            </w:r>
          </w:p>
        </w:tc>
        <w:tc>
          <w:tcPr>
            <w:tcW w:w="672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576"/>
        </w:trPr>
        <w:tc>
          <w:tcPr>
            <w:tcW w:w="3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10"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1680" w:type="dxa"/>
            <w:vAlign w:val="bottom"/>
          </w:tcPr>
          <w:p>
            <w:pPr>
              <w:jc w:val="right"/>
              <w:ind w:right="162"/>
              <w:spacing w:after="0"/>
              <w:rPr>
                <w:sz w:val="20"/>
                <w:szCs w:val="20"/>
                <w:color w:val="auto"/>
              </w:rPr>
            </w:pPr>
            <w:r>
              <w:rPr>
                <w:rFonts w:ascii="Arial" w:cs="Arial" w:eastAsia="Arial" w:hAnsi="Arial"/>
                <w:sz w:val="20"/>
                <w:szCs w:val="20"/>
                <w:color w:val="auto"/>
              </w:rPr>
              <w:t>8.15.</w:t>
            </w:r>
          </w:p>
        </w:tc>
        <w:tc>
          <w:tcPr>
            <w:tcW w:w="6720" w:type="dxa"/>
            <w:vAlign w:val="bottom"/>
            <w:gridSpan w:val="2"/>
          </w:tcPr>
          <w:p>
            <w:pPr>
              <w:ind w:left="240"/>
              <w:spacing w:after="0"/>
              <w:rPr>
                <w:sz w:val="20"/>
                <w:szCs w:val="20"/>
                <w:color w:val="auto"/>
              </w:rPr>
            </w:pPr>
            <w:r>
              <w:rPr>
                <w:rFonts w:ascii="Arial" w:cs="Arial" w:eastAsia="Arial" w:hAnsi="Arial"/>
                <w:sz w:val="20"/>
                <w:szCs w:val="20"/>
                <w:color w:val="auto"/>
              </w:rPr>
              <w:t>Further Assurances</w:t>
            </w:r>
          </w:p>
        </w:tc>
        <w:tc>
          <w:tcPr>
            <w:tcW w:w="30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227"/>
        </w:trPr>
        <w:tc>
          <w:tcPr>
            <w:tcW w:w="1680" w:type="dxa"/>
            <w:vAlign w:val="bottom"/>
          </w:tcPr>
          <w:p>
            <w:pPr>
              <w:jc w:val="right"/>
              <w:ind w:right="162"/>
              <w:spacing w:after="0" w:line="227" w:lineRule="exact"/>
              <w:rPr>
                <w:sz w:val="20"/>
                <w:szCs w:val="20"/>
                <w:color w:val="auto"/>
              </w:rPr>
            </w:pPr>
            <w:r>
              <w:rPr>
                <w:rFonts w:ascii="Arial" w:cs="Arial" w:eastAsia="Arial" w:hAnsi="Arial"/>
                <w:sz w:val="20"/>
                <w:szCs w:val="20"/>
                <w:color w:val="auto"/>
              </w:rPr>
              <w:t>8.16.</w:t>
            </w:r>
          </w:p>
        </w:tc>
        <w:tc>
          <w:tcPr>
            <w:tcW w:w="6720" w:type="dxa"/>
            <w:vAlign w:val="bottom"/>
            <w:gridSpan w:val="2"/>
          </w:tcPr>
          <w:p>
            <w:pPr>
              <w:ind w:left="240"/>
              <w:spacing w:after="0" w:line="227" w:lineRule="exact"/>
              <w:rPr>
                <w:sz w:val="20"/>
                <w:szCs w:val="20"/>
                <w:color w:val="auto"/>
              </w:rPr>
            </w:pPr>
            <w:r>
              <w:rPr>
                <w:rFonts w:ascii="Arial" w:cs="Arial" w:eastAsia="Arial" w:hAnsi="Arial"/>
                <w:sz w:val="20"/>
                <w:szCs w:val="20"/>
                <w:color w:val="auto"/>
              </w:rPr>
              <w:t>Specific Enforcement; Remedies Cumulative</w:t>
            </w:r>
          </w:p>
        </w:tc>
        <w:tc>
          <w:tcPr>
            <w:tcW w:w="3040" w:type="dxa"/>
            <w:vAlign w:val="bottom"/>
          </w:tcPr>
          <w:p>
            <w:pPr>
              <w:jc w:val="right"/>
              <w:spacing w:after="0" w:line="227" w:lineRule="exact"/>
              <w:rPr>
                <w:sz w:val="20"/>
                <w:szCs w:val="20"/>
                <w:color w:val="auto"/>
              </w:rPr>
            </w:pPr>
            <w:r>
              <w:rPr>
                <w:rFonts w:ascii="Arial" w:cs="Arial" w:eastAsia="Arial" w:hAnsi="Arial"/>
                <w:sz w:val="20"/>
                <w:szCs w:val="20"/>
                <w:color w:val="auto"/>
              </w:rPr>
              <w:t>17</w:t>
            </w:r>
          </w:p>
        </w:tc>
      </w:tr>
      <w:tr>
        <w:trPr>
          <w:trHeight w:val="248"/>
        </w:trPr>
        <w:tc>
          <w:tcPr>
            <w:tcW w:w="1680" w:type="dxa"/>
            <w:vAlign w:val="bottom"/>
          </w:tcPr>
          <w:p>
            <w:pPr>
              <w:jc w:val="right"/>
              <w:ind w:right="162"/>
              <w:spacing w:after="0"/>
              <w:rPr>
                <w:sz w:val="20"/>
                <w:szCs w:val="20"/>
                <w:color w:val="auto"/>
              </w:rPr>
            </w:pPr>
            <w:r>
              <w:rPr>
                <w:rFonts w:ascii="Arial" w:cs="Arial" w:eastAsia="Arial" w:hAnsi="Arial"/>
                <w:sz w:val="20"/>
                <w:szCs w:val="20"/>
                <w:color w:val="auto"/>
              </w:rPr>
              <w:t>8.17.</w:t>
            </w:r>
          </w:p>
        </w:tc>
        <w:tc>
          <w:tcPr>
            <w:tcW w:w="6720" w:type="dxa"/>
            <w:vAlign w:val="bottom"/>
            <w:gridSpan w:val="2"/>
          </w:tcPr>
          <w:p>
            <w:pPr>
              <w:ind w:left="240"/>
              <w:spacing w:after="0"/>
              <w:rPr>
                <w:sz w:val="20"/>
                <w:szCs w:val="20"/>
                <w:color w:val="auto"/>
              </w:rPr>
            </w:pPr>
            <w:r>
              <w:rPr>
                <w:rFonts w:ascii="Arial" w:cs="Arial" w:eastAsia="Arial" w:hAnsi="Arial"/>
                <w:sz w:val="20"/>
                <w:szCs w:val="20"/>
                <w:color w:val="auto"/>
              </w:rPr>
              <w:t>Passive Foreign Investment Company</w:t>
            </w:r>
          </w:p>
        </w:tc>
        <w:tc>
          <w:tcPr>
            <w:tcW w:w="3040" w:type="dxa"/>
            <w:vAlign w:val="bottom"/>
          </w:tcPr>
          <w:p>
            <w:pPr>
              <w:jc w:val="right"/>
              <w:spacing w:after="0"/>
              <w:rPr>
                <w:sz w:val="20"/>
                <w:szCs w:val="20"/>
                <w:color w:val="auto"/>
              </w:rPr>
            </w:pPr>
            <w:r>
              <w:rPr>
                <w:rFonts w:ascii="Arial" w:cs="Arial" w:eastAsia="Arial" w:hAnsi="Arial"/>
                <w:sz w:val="20"/>
                <w:szCs w:val="20"/>
                <w:color w:val="auto"/>
              </w:rPr>
              <w:t>18</w:t>
            </w:r>
          </w:p>
        </w:tc>
      </w:tr>
      <w:tr>
        <w:trPr>
          <w:trHeight w:val="419"/>
        </w:trPr>
        <w:tc>
          <w:tcPr>
            <w:tcW w:w="1680" w:type="dxa"/>
            <w:vAlign w:val="bottom"/>
          </w:tcPr>
          <w:p>
            <w:pPr>
              <w:spacing w:after="0"/>
              <w:rPr>
                <w:sz w:val="20"/>
                <w:szCs w:val="20"/>
                <w:color w:val="auto"/>
              </w:rPr>
            </w:pPr>
            <w:r>
              <w:rPr>
                <w:rFonts w:ascii="Arial" w:cs="Arial" w:eastAsia="Arial" w:hAnsi="Arial"/>
                <w:sz w:val="20"/>
                <w:szCs w:val="20"/>
                <w:color w:val="auto"/>
              </w:rPr>
              <w:t>Schedule I</w:t>
            </w:r>
          </w:p>
        </w:tc>
        <w:tc>
          <w:tcPr>
            <w:tcW w:w="1300" w:type="dxa"/>
            <w:vAlign w:val="bottom"/>
          </w:tcPr>
          <w:p>
            <w:pPr>
              <w:jc w:val="right"/>
              <w:ind w:right="322"/>
              <w:spacing w:after="0"/>
              <w:rPr>
                <w:sz w:val="20"/>
                <w:szCs w:val="20"/>
                <w:color w:val="auto"/>
              </w:rPr>
            </w:pPr>
            <w:r>
              <w:rPr>
                <w:rFonts w:ascii="Arial" w:cs="Arial" w:eastAsia="Arial" w:hAnsi="Arial"/>
                <w:sz w:val="20"/>
                <w:szCs w:val="20"/>
                <w:color w:val="auto"/>
              </w:rPr>
              <w:t>-</w:t>
            </w:r>
          </w:p>
        </w:tc>
        <w:tc>
          <w:tcPr>
            <w:tcW w:w="5420" w:type="dxa"/>
            <w:vAlign w:val="bottom"/>
          </w:tcPr>
          <w:p>
            <w:pPr>
              <w:ind w:left="400"/>
              <w:spacing w:after="0"/>
              <w:rPr>
                <w:sz w:val="20"/>
                <w:szCs w:val="20"/>
                <w:color w:val="auto"/>
              </w:rPr>
            </w:pPr>
            <w:r>
              <w:rPr>
                <w:rFonts w:ascii="Arial" w:cs="Arial" w:eastAsia="Arial" w:hAnsi="Arial"/>
                <w:sz w:val="20"/>
                <w:szCs w:val="20"/>
                <w:color w:val="auto"/>
              </w:rPr>
              <w:t>Schedule of Holders</w:t>
            </w:r>
          </w:p>
        </w:tc>
        <w:tc>
          <w:tcPr>
            <w:tcW w:w="3040" w:type="dxa"/>
            <w:vAlign w:val="bottom"/>
          </w:tcPr>
          <w:p>
            <w:pPr>
              <w:spacing w:after="0"/>
              <w:rPr>
                <w:sz w:val="24"/>
                <w:szCs w:val="24"/>
                <w:color w:val="auto"/>
              </w:rPr>
            </w:pPr>
          </w:p>
        </w:tc>
      </w:tr>
      <w:tr>
        <w:trPr>
          <w:trHeight w:val="248"/>
        </w:trPr>
        <w:tc>
          <w:tcPr>
            <w:tcW w:w="1680" w:type="dxa"/>
            <w:vAlign w:val="bottom"/>
          </w:tcPr>
          <w:p>
            <w:pPr>
              <w:spacing w:after="0"/>
              <w:rPr>
                <w:sz w:val="20"/>
                <w:szCs w:val="20"/>
                <w:color w:val="auto"/>
              </w:rPr>
            </w:pPr>
            <w:r>
              <w:rPr>
                <w:rFonts w:ascii="Arial" w:cs="Arial" w:eastAsia="Arial" w:hAnsi="Arial"/>
                <w:sz w:val="20"/>
                <w:szCs w:val="20"/>
                <w:color w:val="auto"/>
              </w:rPr>
              <w:t>Exhibit A</w:t>
            </w:r>
          </w:p>
        </w:tc>
        <w:tc>
          <w:tcPr>
            <w:tcW w:w="1300" w:type="dxa"/>
            <w:vAlign w:val="bottom"/>
          </w:tcPr>
          <w:p>
            <w:pPr>
              <w:jc w:val="right"/>
              <w:ind w:right="322"/>
              <w:spacing w:after="0"/>
              <w:rPr>
                <w:sz w:val="20"/>
                <w:szCs w:val="20"/>
                <w:color w:val="auto"/>
              </w:rPr>
            </w:pPr>
            <w:r>
              <w:rPr>
                <w:rFonts w:ascii="Arial" w:cs="Arial" w:eastAsia="Arial" w:hAnsi="Arial"/>
                <w:sz w:val="20"/>
                <w:szCs w:val="20"/>
                <w:color w:val="auto"/>
              </w:rPr>
              <w:t>-</w:t>
            </w:r>
          </w:p>
        </w:tc>
        <w:tc>
          <w:tcPr>
            <w:tcW w:w="5420" w:type="dxa"/>
            <w:vAlign w:val="bottom"/>
          </w:tcPr>
          <w:p>
            <w:pPr>
              <w:ind w:left="400"/>
              <w:spacing w:after="0"/>
              <w:rPr>
                <w:sz w:val="20"/>
                <w:szCs w:val="20"/>
                <w:color w:val="auto"/>
              </w:rPr>
            </w:pPr>
            <w:r>
              <w:rPr>
                <w:rFonts w:ascii="Arial" w:cs="Arial" w:eastAsia="Arial" w:hAnsi="Arial"/>
                <w:sz w:val="20"/>
                <w:szCs w:val="20"/>
                <w:color w:val="auto"/>
              </w:rPr>
              <w:t>Form of Joinder Agreement</w:t>
            </w:r>
          </w:p>
        </w:tc>
        <w:tc>
          <w:tcPr>
            <w:tcW w:w="3040" w:type="dxa"/>
            <w:vAlign w:val="bottom"/>
          </w:tcPr>
          <w:p>
            <w:pPr>
              <w:spacing w:after="0"/>
              <w:rPr>
                <w:sz w:val="21"/>
                <w:szCs w:val="21"/>
                <w:color w:val="auto"/>
              </w:rPr>
            </w:pPr>
          </w:p>
        </w:tc>
      </w:tr>
      <w:tr>
        <w:trPr>
          <w:trHeight w:val="1257"/>
        </w:trPr>
        <w:tc>
          <w:tcPr>
            <w:tcW w:w="1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77" w:name="page78"/>
    <w:bookmarkEnd w:id="77"/>
    <w:p>
      <w:pPr>
        <w:jc w:val="center"/>
        <w:spacing w:after="0"/>
        <w:rPr>
          <w:sz w:val="20"/>
          <w:szCs w:val="20"/>
          <w:color w:val="auto"/>
        </w:rPr>
      </w:pPr>
      <w:r>
        <w:rPr>
          <w:rFonts w:ascii="Arial" w:cs="Arial" w:eastAsia="Arial" w:hAnsi="Arial"/>
          <w:sz w:val="20"/>
          <w:szCs w:val="20"/>
          <w:b w:val="1"/>
          <w:bCs w:val="1"/>
          <w:color w:val="auto"/>
        </w:rPr>
        <w:t>SHAREHOLDERS’ AGREEMENT</w:t>
      </w:r>
    </w:p>
    <w:p>
      <w:pPr>
        <w:spacing w:after="0" w:line="211"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THIS SHAREHOLDERS’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the 8</w:t>
      </w:r>
      <w:r>
        <w:rPr>
          <w:rFonts w:ascii="Arial" w:cs="Arial" w:eastAsia="Arial" w:hAnsi="Arial"/>
          <w:sz w:val="16"/>
          <w:szCs w:val="16"/>
          <w:color w:val="auto"/>
        </w:rPr>
        <w:t>th</w:t>
      </w:r>
      <w:r>
        <w:rPr>
          <w:rFonts w:ascii="Arial" w:cs="Arial" w:eastAsia="Arial" w:hAnsi="Arial"/>
          <w:sz w:val="20"/>
          <w:szCs w:val="20"/>
          <w:color w:val="auto"/>
        </w:rPr>
        <w:t xml:space="preserve"> day of September, 2017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among FibroGen International (Cayman) Limited, a Cayman Islands exempted company limited by shares (the “</w:t>
      </w:r>
      <w:r>
        <w:rPr>
          <w:rFonts w:ascii="Arial" w:cs="Arial" w:eastAsia="Arial" w:hAnsi="Arial"/>
          <w:sz w:val="20"/>
          <w:szCs w:val="20"/>
          <w:b w:val="1"/>
          <w:bCs w:val="1"/>
          <w:color w:val="auto"/>
        </w:rPr>
        <w:t>Company</w:t>
      </w:r>
      <w:r>
        <w:rPr>
          <w:rFonts w:ascii="Arial" w:cs="Arial" w:eastAsia="Arial" w:hAnsi="Arial"/>
          <w:sz w:val="20"/>
          <w:szCs w:val="20"/>
          <w:color w:val="auto"/>
        </w:rPr>
        <w:t xml:space="preserve">”) and each of the holders of Series A Preference Shares (including FibroGen, Inc.) listed on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hereto (each of which is referred to in this Agreement as a “</w:t>
      </w:r>
      <w:r>
        <w:rPr>
          <w:rFonts w:ascii="Arial" w:cs="Arial" w:eastAsia="Arial" w:hAnsi="Arial"/>
          <w:sz w:val="20"/>
          <w:szCs w:val="20"/>
          <w:b w:val="1"/>
          <w:bCs w:val="1"/>
          <w:color w:val="auto"/>
        </w:rPr>
        <w:t>Holder</w:t>
      </w:r>
      <w:r>
        <w:rPr>
          <w:rFonts w:ascii="Arial" w:cs="Arial" w:eastAsia="Arial" w:hAnsi="Arial"/>
          <w:sz w:val="20"/>
          <w:szCs w:val="20"/>
          <w:color w:val="auto"/>
        </w:rPr>
        <w:t>” and collectively as the “</w:t>
      </w:r>
      <w:r>
        <w:rPr>
          <w:rFonts w:ascii="Arial" w:cs="Arial" w:eastAsia="Arial" w:hAnsi="Arial"/>
          <w:sz w:val="20"/>
          <w:szCs w:val="20"/>
          <w:b w:val="1"/>
          <w:bCs w:val="1"/>
          <w:color w:val="auto"/>
        </w:rPr>
        <w:t>Holders</w:t>
      </w:r>
      <w:r>
        <w:rPr>
          <w:rFonts w:ascii="Arial" w:cs="Arial" w:eastAsia="Arial" w:hAnsi="Arial"/>
          <w:sz w:val="20"/>
          <w:szCs w:val="20"/>
          <w:color w:val="auto"/>
        </w:rPr>
        <w:t xml:space="preserve">”) and any other Person that becomes a party to this Agreement in accordance with </w:t>
      </w:r>
      <w:r>
        <w:rPr>
          <w:rFonts w:ascii="Arial" w:cs="Arial" w:eastAsia="Arial" w:hAnsi="Arial"/>
          <w:sz w:val="20"/>
          <w:szCs w:val="20"/>
          <w:u w:val="single" w:color="auto"/>
          <w:color w:val="auto"/>
        </w:rPr>
        <w:t>Section 8.8</w:t>
      </w:r>
      <w:r>
        <w:rPr>
          <w:rFonts w:ascii="Arial" w:cs="Arial" w:eastAsia="Arial" w:hAnsi="Arial"/>
          <w:sz w:val="20"/>
          <w:szCs w:val="20"/>
          <w:color w:val="auto"/>
        </w:rPr>
        <w:t xml:space="preserve"> 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p>
    <w:p>
      <w:pPr>
        <w:spacing w:after="0" w:line="211"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Holders were previously holders of Series A Preference Shares (the “</w:t>
      </w:r>
      <w:r>
        <w:rPr>
          <w:rFonts w:ascii="Arial" w:cs="Arial" w:eastAsia="Arial" w:hAnsi="Arial"/>
          <w:sz w:val="20"/>
          <w:szCs w:val="20"/>
          <w:b w:val="1"/>
          <w:bCs w:val="1"/>
          <w:color w:val="auto"/>
        </w:rPr>
        <w:t>Cayman II Series A Shares</w:t>
      </w:r>
      <w:r>
        <w:rPr>
          <w:rFonts w:ascii="Arial" w:cs="Arial" w:eastAsia="Arial" w:hAnsi="Arial"/>
          <w:sz w:val="20"/>
          <w:szCs w:val="20"/>
          <w:color w:val="auto"/>
        </w:rPr>
        <w:t>”) of</w:t>
      </w:r>
      <w:r>
        <w:rPr>
          <w:rFonts w:ascii="Arial" w:cs="Arial" w:eastAsia="Arial" w:hAnsi="Arial"/>
          <w:sz w:val="20"/>
          <w:szCs w:val="20"/>
          <w:b w:val="1"/>
          <w:bCs w:val="1"/>
          <w:color w:val="auto"/>
        </w:rPr>
        <w:t xml:space="preserve"> </w:t>
      </w:r>
      <w:r>
        <w:rPr>
          <w:rFonts w:ascii="Arial" w:cs="Arial" w:eastAsia="Arial" w:hAnsi="Arial"/>
          <w:sz w:val="20"/>
          <w:szCs w:val="20"/>
          <w:color w:val="auto"/>
        </w:rPr>
        <w:t>FibroGen China Anemia Holdings, Ltd. (“</w:t>
      </w:r>
      <w:r>
        <w:rPr>
          <w:rFonts w:ascii="Arial" w:cs="Arial" w:eastAsia="Arial" w:hAnsi="Arial"/>
          <w:sz w:val="20"/>
          <w:szCs w:val="20"/>
          <w:b w:val="1"/>
          <w:bCs w:val="1"/>
          <w:color w:val="auto"/>
        </w:rPr>
        <w:t>Cayman II</w:t>
      </w:r>
      <w:r>
        <w:rPr>
          <w:rFonts w:ascii="Arial" w:cs="Arial" w:eastAsia="Arial" w:hAnsi="Arial"/>
          <w:sz w:val="20"/>
          <w:szCs w:val="20"/>
          <w:color w:val="auto"/>
        </w:rPr>
        <w:t>”), a wholly owned subsidiary of the Company;</w:t>
      </w:r>
    </w:p>
    <w:p>
      <w:pPr>
        <w:spacing w:after="0" w:line="16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of that certain offer letter (the “</w:t>
      </w:r>
      <w:r>
        <w:rPr>
          <w:rFonts w:ascii="Arial" w:cs="Arial" w:eastAsia="Arial" w:hAnsi="Arial"/>
          <w:sz w:val="20"/>
          <w:szCs w:val="20"/>
          <w:b w:val="1"/>
          <w:bCs w:val="1"/>
          <w:color w:val="auto"/>
        </w:rPr>
        <w:t>Offer Letter</w:t>
      </w:r>
      <w:r>
        <w:rPr>
          <w:rFonts w:ascii="Arial" w:cs="Arial" w:eastAsia="Arial" w:hAnsi="Arial"/>
          <w:sz w:val="20"/>
          <w:szCs w:val="20"/>
          <w:color w:val="auto"/>
        </w:rPr>
        <w:t>”), dated July 29, 2017,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Cayman II, the Holders (other than FibroGen who was not a shareholder in Cayman II) agreed to the Exchange (as defined in the Offer Letter) of all of their Cayman II Series A Shares held for Series A Preference Shares of the Company;</w:t>
      </w:r>
    </w:p>
    <w:p>
      <w:pPr>
        <w:spacing w:after="0" w:line="179"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of the Exchange, this Agreement is contemplated to be executed by the Company and</w:t>
      </w:r>
      <w:r>
        <w:rPr>
          <w:rFonts w:ascii="Arial" w:cs="Arial" w:eastAsia="Arial" w:hAnsi="Arial"/>
          <w:sz w:val="20"/>
          <w:szCs w:val="20"/>
          <w:b w:val="1"/>
          <w:bCs w:val="1"/>
          <w:color w:val="auto"/>
        </w:rPr>
        <w:t xml:space="preserve"> </w:t>
      </w:r>
      <w:r>
        <w:rPr>
          <w:rFonts w:ascii="Arial" w:cs="Arial" w:eastAsia="Arial" w:hAnsi="Arial"/>
          <w:sz w:val="20"/>
          <w:szCs w:val="20"/>
          <w:color w:val="auto"/>
        </w:rPr>
        <w:t>each of the Holders in their capacity asshareholders of the Company; and</w:t>
      </w:r>
    </w:p>
    <w:p>
      <w:pPr>
        <w:spacing w:after="0" w:line="165"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parties hereto desire to enter into this Agreement to provide for certain matters regarding the Holders’</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Series A Preference Shares.</w:t>
      </w:r>
    </w:p>
    <w:p>
      <w:pPr>
        <w:spacing w:after="0" w:line="165" w:lineRule="exact"/>
        <w:rPr>
          <w:sz w:val="20"/>
          <w:szCs w:val="20"/>
          <w:color w:val="auto"/>
        </w:rPr>
      </w:pPr>
    </w:p>
    <w:p>
      <w:pPr>
        <w:ind w:left="17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hereby agree as follows:</w:t>
      </w:r>
    </w:p>
    <w:p>
      <w:pPr>
        <w:spacing w:after="0" w:line="230" w:lineRule="exact"/>
        <w:rPr>
          <w:sz w:val="20"/>
          <w:szCs w:val="20"/>
          <w:color w:val="auto"/>
        </w:rPr>
      </w:pPr>
    </w:p>
    <w:p>
      <w:pPr>
        <w:ind w:left="1680" w:hanging="796"/>
        <w:spacing w:after="0"/>
        <w:tabs>
          <w:tab w:leader="none" w:pos="1680" w:val="left"/>
        </w:tabs>
        <w:numPr>
          <w:ilvl w:val="0"/>
          <w:numId w:val="43"/>
        </w:numPr>
        <w:rPr>
          <w:rFonts w:ascii="Arial" w:cs="Arial" w:eastAsia="Arial" w:hAnsi="Arial"/>
          <w:sz w:val="21"/>
          <w:szCs w:val="21"/>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purposes of this Agreement:</w:t>
      </w:r>
    </w:p>
    <w:p>
      <w:pPr>
        <w:spacing w:after="0" w:line="193" w:lineRule="exact"/>
        <w:rPr>
          <w:sz w:val="20"/>
          <w:szCs w:val="20"/>
          <w:color w:val="auto"/>
        </w:rPr>
      </w:pPr>
    </w:p>
    <w:p>
      <w:pPr>
        <w:jc w:val="both"/>
        <w:ind w:firstLine="1755"/>
        <w:spacing w:after="0" w:line="274"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 As used in this definition, “control” (including, with correlative meanings, the terms “controlled by” and “under common control with”) means the possession, directly or indirectly, of the power to direct the management and policies of a Person, whether through the ownership of voting securities, contract, or otherwise.</w:t>
      </w:r>
    </w:p>
    <w:p>
      <w:pPr>
        <w:spacing w:after="0" w:line="157" w:lineRule="exact"/>
        <w:rPr>
          <w:sz w:val="20"/>
          <w:szCs w:val="20"/>
          <w:color w:val="auto"/>
        </w:rPr>
      </w:pPr>
    </w:p>
    <w:p>
      <w:pPr>
        <w:jc w:val="both"/>
        <w:ind w:firstLine="1755"/>
        <w:spacing w:after="0" w:line="287" w:lineRule="auto"/>
        <w:rPr>
          <w:sz w:val="20"/>
          <w:szCs w:val="20"/>
          <w:color w:val="auto"/>
        </w:rPr>
      </w:pPr>
      <w:r>
        <w:rPr>
          <w:rFonts w:ascii="Arial" w:cs="Arial" w:eastAsia="Arial" w:hAnsi="Arial"/>
          <w:sz w:val="17"/>
          <w:szCs w:val="17"/>
          <w:color w:val="auto"/>
        </w:rPr>
        <w:t>1.2. “</w:t>
      </w:r>
      <w:r>
        <w:rPr>
          <w:rFonts w:ascii="Arial" w:cs="Arial" w:eastAsia="Arial" w:hAnsi="Arial"/>
          <w:sz w:val="17"/>
          <w:szCs w:val="17"/>
          <w:b w:val="1"/>
          <w:bCs w:val="1"/>
          <w:color w:val="auto"/>
        </w:rPr>
        <w:t>Capital Shares</w:t>
      </w:r>
      <w:r>
        <w:rPr>
          <w:rFonts w:ascii="Arial" w:cs="Arial" w:eastAsia="Arial" w:hAnsi="Arial"/>
          <w:sz w:val="17"/>
          <w:szCs w:val="17"/>
          <w:color w:val="auto"/>
        </w:rPr>
        <w:t>” means (a) Common Shares and Series A Preference Shares, in each case, whether now outstanding or hereafter issued in any context (including, without limitation, in connection with any share division, sub-division, consolidation, dividend, recapitalization, reorganization, or the like), (b) Common Shares issued or issuable upon conversion of Series A Preference Shares and</w:t>
      </w:r>
    </w:p>
    <w:p>
      <w:pPr>
        <w:spacing w:after="0" w:line="2" w:lineRule="exact"/>
        <w:rPr>
          <w:sz w:val="20"/>
          <w:szCs w:val="20"/>
          <w:color w:val="auto"/>
        </w:rPr>
      </w:pPr>
    </w:p>
    <w:p>
      <w:pPr>
        <w:jc w:val="both"/>
        <w:ind w:firstLine="7"/>
        <w:spacing w:after="0" w:line="228" w:lineRule="exact"/>
        <w:tabs>
          <w:tab w:leader="none" w:pos="2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Common Shares issued or issuable upon exercise or conversion, as applicable, of stock options, warrants or other convertible securities of the Company, in each case now owned or subsequently acquired by any Holder or their respective successors or permitted transferees or assigns. For purposes of the number of shares of Capital Shares held by a Holder (or any other calculation based thereon), all shares of Series A Preference Shares shall be deemed to have been converted into Common Shares at the then</w:t>
      </w:r>
      <w:r>
        <w:rPr>
          <w:rFonts w:ascii="MS PGothic" w:cs="MS PGothic" w:eastAsia="MS PGothic" w:hAnsi="MS PGothic"/>
          <w:sz w:val="18"/>
          <w:szCs w:val="18"/>
          <w:color w:val="auto"/>
        </w:rPr>
        <w:t>‑</w:t>
      </w:r>
      <w:r>
        <w:rPr>
          <w:rFonts w:ascii="Arial" w:cs="Arial" w:eastAsia="Arial" w:hAnsi="Arial"/>
          <w:sz w:val="18"/>
          <w:szCs w:val="18"/>
          <w:color w:val="auto"/>
        </w:rPr>
        <w:t>applicable conversion ratio.</w:t>
      </w:r>
    </w:p>
    <w:p>
      <w:pPr>
        <w:spacing w:after="0" w:line="200" w:lineRule="exact"/>
        <w:rPr>
          <w:sz w:val="20"/>
          <w:szCs w:val="20"/>
          <w:color w:val="auto"/>
        </w:rPr>
      </w:pPr>
    </w:p>
    <w:p>
      <w:pPr>
        <w:spacing w:after="0" w:line="211"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78" w:name="page79"/>
    <w:bookmarkEnd w:id="78"/>
    <w:p>
      <w:pPr>
        <w:ind w:left="1760"/>
        <w:spacing w:after="0"/>
        <w:tabs>
          <w:tab w:leader="none" w:pos="268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Closing”</w:t>
      </w:r>
      <w:r>
        <w:rPr>
          <w:rFonts w:ascii="Arial" w:cs="Arial" w:eastAsia="Arial" w:hAnsi="Arial"/>
          <w:sz w:val="17"/>
          <w:szCs w:val="17"/>
          <w:color w:val="auto"/>
        </w:rPr>
        <w:t xml:space="preserve"> means the closing of the Exchange.</w:t>
      </w:r>
    </w:p>
    <w:p>
      <w:pPr>
        <w:spacing w:after="0" w:line="211" w:lineRule="exact"/>
        <w:rPr>
          <w:sz w:val="20"/>
          <w:szCs w:val="20"/>
          <w:color w:val="auto"/>
        </w:rPr>
      </w:pPr>
    </w:p>
    <w:p>
      <w:pPr>
        <w:ind w:left="1760"/>
        <w:spacing w:after="0"/>
        <w:tabs>
          <w:tab w:leader="none" w:pos="2680" w:val="left"/>
        </w:tabs>
        <w:rPr>
          <w:sz w:val="20"/>
          <w:szCs w:val="20"/>
          <w:color w:val="auto"/>
        </w:rPr>
      </w:pPr>
      <w:r>
        <w:rPr>
          <w:rFonts w:ascii="Arial" w:cs="Arial" w:eastAsia="Arial" w:hAnsi="Arial"/>
          <w:sz w:val="20"/>
          <w:szCs w:val="20"/>
          <w:color w:val="auto"/>
        </w:rPr>
        <w:t>1.4.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Common Shares</w:t>
      </w:r>
      <w:r>
        <w:rPr>
          <w:rFonts w:ascii="Arial" w:cs="Arial" w:eastAsia="Arial" w:hAnsi="Arial"/>
          <w:sz w:val="17"/>
          <w:szCs w:val="17"/>
          <w:color w:val="auto"/>
        </w:rPr>
        <w:t>” means the Company’s common shares, par value $0.0001 per share.</w:t>
      </w:r>
    </w:p>
    <w:p>
      <w:pPr>
        <w:spacing w:after="0" w:line="211"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1.5. “</w:t>
      </w:r>
      <w:r>
        <w:rPr>
          <w:rFonts w:ascii="Arial" w:cs="Arial" w:eastAsia="Arial" w:hAnsi="Arial"/>
          <w:sz w:val="20"/>
          <w:szCs w:val="20"/>
          <w:b w:val="1"/>
          <w:bCs w:val="1"/>
          <w:color w:val="auto"/>
        </w:rPr>
        <w:t>Company Notice</w:t>
      </w:r>
      <w:r>
        <w:rPr>
          <w:rFonts w:ascii="Arial" w:cs="Arial" w:eastAsia="Arial" w:hAnsi="Arial"/>
          <w:sz w:val="20"/>
          <w:szCs w:val="20"/>
          <w:color w:val="auto"/>
        </w:rPr>
        <w:t>” means written notice from the Company notifying the selling Holder(s) that the Company intends to exercise its Right of First Refusal as to a specific number of, or all of, the Transfer Shares with respect to any Proposed Holder Transfer.</w:t>
      </w:r>
    </w:p>
    <w:p>
      <w:pPr>
        <w:spacing w:after="0" w:line="179" w:lineRule="exact"/>
        <w:rPr>
          <w:sz w:val="20"/>
          <w:szCs w:val="20"/>
          <w:color w:val="auto"/>
        </w:rPr>
      </w:pPr>
    </w:p>
    <w:p>
      <w:pPr>
        <w:jc w:val="both"/>
        <w:ind w:firstLine="1755"/>
        <w:spacing w:after="0" w:line="276"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Competitor</w:t>
      </w:r>
      <w:r>
        <w:rPr>
          <w:rFonts w:ascii="Arial" w:cs="Arial" w:eastAsia="Arial" w:hAnsi="Arial"/>
          <w:sz w:val="18"/>
          <w:szCs w:val="18"/>
          <w:color w:val="auto"/>
        </w:rPr>
        <w:t>” means a Person engaged, directly or indirectly (including through any partnership, limited liability company, corporation, joint venture or similar arrangement (whether now existing or formed hereafter)), in the pharmaceutical industry in China for the treatment of anemia, hepatitis C treatment induced anemia, or Myelodysplastic Syndrome, but shall not include any financial investment firm or collective investment vehicle that, together with its Affiliates, holds less than 10% of the outstanding equity of any Competitor and does not, nor do any of its Affiliates, have a right to designate any members of the Board of Directors of any Competitor.</w:t>
      </w:r>
    </w:p>
    <w:p>
      <w:pPr>
        <w:spacing w:after="0" w:line="158"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color w:val="auto"/>
        </w:rPr>
        <w:t>1.7. “</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and the rules and regulations promulgated thereunder.</w:t>
      </w:r>
    </w:p>
    <w:p>
      <w:pPr>
        <w:spacing w:after="0" w:line="165" w:lineRule="exact"/>
        <w:rPr>
          <w:sz w:val="20"/>
          <w:szCs w:val="20"/>
          <w:color w:val="auto"/>
        </w:rPr>
      </w:pPr>
    </w:p>
    <w:p>
      <w:pPr>
        <w:jc w:val="both"/>
        <w:ind w:firstLine="1755"/>
        <w:spacing w:after="0" w:line="275"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share option, share purchase, or similar plan; (ii) a registration relating to an SEC Rule 145 transaction;</w:t>
      </w:r>
    </w:p>
    <w:p>
      <w:pPr>
        <w:spacing w:after="0" w:line="2" w:lineRule="exact"/>
        <w:rPr>
          <w:sz w:val="20"/>
          <w:szCs w:val="20"/>
          <w:color w:val="auto"/>
        </w:rPr>
      </w:pPr>
    </w:p>
    <w:p>
      <w:pPr>
        <w:jc w:val="both"/>
        <w:ind w:firstLine="7"/>
        <w:spacing w:after="0" w:line="238" w:lineRule="auto"/>
        <w:tabs>
          <w:tab w:leader="none" w:pos="361" w:val="left"/>
        </w:tabs>
        <w:numPr>
          <w:ilvl w:val="0"/>
          <w:numId w:val="45"/>
        </w:numPr>
        <w:rPr>
          <w:rFonts w:ascii="Arial" w:cs="Arial" w:eastAsia="Arial" w:hAnsi="Arial"/>
          <w:sz w:val="20"/>
          <w:szCs w:val="20"/>
          <w:color w:val="auto"/>
        </w:rPr>
      </w:pPr>
      <w:r>
        <w:rPr>
          <w:rFonts w:ascii="Arial" w:cs="Arial" w:eastAsia="Arial" w:hAnsi="Arial"/>
          <w:sz w:val="20"/>
          <w:szCs w:val="20"/>
          <w:color w:val="auto"/>
        </w:rPr>
        <w:t>a registration on any form that does not include substantially the same information as would be required to be included in a Registration Statement covering the sale of the Registrable Securities; or (iv) a registration in which the only Common Shares being registered are Common Shares issuable upon conversion of debt securities that are also being registered.</w:t>
      </w:r>
    </w:p>
    <w:p>
      <w:pPr>
        <w:spacing w:after="0" w:line="188"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1.9. “</w:t>
      </w:r>
      <w:r>
        <w:rPr>
          <w:rFonts w:ascii="Arial" w:cs="Arial" w:eastAsia="Arial" w:hAnsi="Arial"/>
          <w:sz w:val="20"/>
          <w:szCs w:val="20"/>
          <w:b w:val="1"/>
          <w:bCs w:val="1"/>
          <w:color w:val="auto"/>
        </w:rPr>
        <w:t>Immediate Family Member</w:t>
      </w:r>
      <w:r>
        <w:rPr>
          <w:rFonts w:ascii="Arial" w:cs="Arial" w:eastAsia="Arial" w:hAnsi="Arial"/>
          <w:sz w:val="20"/>
          <w:szCs w:val="20"/>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79"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89"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color w:val="auto"/>
        </w:rPr>
        <w:t>1.11. “</w:t>
      </w:r>
      <w:r>
        <w:rPr>
          <w:rFonts w:ascii="Arial" w:cs="Arial" w:eastAsia="Arial" w:hAnsi="Arial"/>
          <w:sz w:val="20"/>
          <w:szCs w:val="20"/>
          <w:b w:val="1"/>
          <w:bCs w:val="1"/>
          <w:color w:val="auto"/>
        </w:rPr>
        <w:t>IPO</w:t>
      </w:r>
      <w:r>
        <w:rPr>
          <w:rFonts w:ascii="Arial" w:cs="Arial" w:eastAsia="Arial" w:hAnsi="Arial"/>
          <w:sz w:val="20"/>
          <w:szCs w:val="20"/>
          <w:color w:val="auto"/>
        </w:rPr>
        <w:t>” means the Company’s first underwritten public offering of its Common Shares pursuant to a Registration Statement.</w:t>
      </w:r>
    </w:p>
    <w:p>
      <w:pPr>
        <w:spacing w:after="0" w:line="165"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entity</w:t>
      </w:r>
      <w:r>
        <w:rPr>
          <w:rFonts w:ascii="Arial" w:cs="Arial" w:eastAsia="Arial" w:hAnsi="Arial"/>
          <w:sz w:val="20"/>
          <w:szCs w:val="20"/>
          <w:color w:val="0000FF"/>
        </w:rPr>
        <w:t>.</w:t>
      </w:r>
    </w:p>
    <w:p>
      <w:pPr>
        <w:spacing w:after="0" w:line="189"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1.1. “</w:t>
      </w:r>
      <w:r>
        <w:rPr>
          <w:rFonts w:ascii="Arial" w:cs="Arial" w:eastAsia="Arial" w:hAnsi="Arial"/>
          <w:sz w:val="20"/>
          <w:szCs w:val="20"/>
          <w:b w:val="1"/>
          <w:bCs w:val="1"/>
          <w:color w:val="auto"/>
        </w:rPr>
        <w:t>Proposed Holder Transfer</w:t>
      </w:r>
      <w:r>
        <w:rPr>
          <w:rFonts w:ascii="Arial" w:cs="Arial" w:eastAsia="Arial" w:hAnsi="Arial"/>
          <w:sz w:val="20"/>
          <w:szCs w:val="20"/>
          <w:color w:val="auto"/>
        </w:rPr>
        <w:t>” means any assignment, sale, offer to sell, pledge, mortgage, hypothecation, encumbrance, disposition of or any other like transfer or encumbering of any Transfer Shares (or any interest therein) proposed by any of the Holders.</w:t>
      </w:r>
    </w:p>
    <w:p>
      <w:pPr>
        <w:spacing w:after="0" w:line="179" w:lineRule="exact"/>
        <w:rPr>
          <w:sz w:val="20"/>
          <w:szCs w:val="20"/>
          <w:color w:val="auto"/>
        </w:rPr>
      </w:pPr>
    </w:p>
    <w:p>
      <w:pPr>
        <w:jc w:val="both"/>
        <w:ind w:right="20" w:firstLine="1755"/>
        <w:spacing w:after="0" w:line="262" w:lineRule="auto"/>
        <w:rPr>
          <w:sz w:val="20"/>
          <w:szCs w:val="20"/>
          <w:color w:val="auto"/>
        </w:rPr>
      </w:pPr>
      <w:r>
        <w:rPr>
          <w:rFonts w:ascii="Arial" w:cs="Arial" w:eastAsia="Arial" w:hAnsi="Arial"/>
          <w:sz w:val="20"/>
          <w:szCs w:val="20"/>
          <w:color w:val="auto"/>
        </w:rPr>
        <w:t>1.2. “</w:t>
      </w:r>
      <w:r>
        <w:rPr>
          <w:rFonts w:ascii="Arial" w:cs="Arial" w:eastAsia="Arial" w:hAnsi="Arial"/>
          <w:sz w:val="20"/>
          <w:szCs w:val="20"/>
          <w:b w:val="1"/>
          <w:bCs w:val="1"/>
          <w:color w:val="auto"/>
        </w:rPr>
        <w:t>Proposed Transfer Notice</w:t>
      </w:r>
      <w:r>
        <w:rPr>
          <w:rFonts w:ascii="Arial" w:cs="Arial" w:eastAsia="Arial" w:hAnsi="Arial"/>
          <w:sz w:val="20"/>
          <w:szCs w:val="20"/>
          <w:color w:val="auto"/>
        </w:rPr>
        <w:t>” means written notice from a Holder setting forth the terms and conditions of a Proposed Holder Transfer.</w:t>
      </w:r>
    </w:p>
    <w:p>
      <w:pPr>
        <w:spacing w:after="0" w:line="165"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b w:val="1"/>
          <w:bCs w:val="1"/>
          <w:color w:val="auto"/>
        </w:rPr>
        <w:t>“Prospective Transferee</w:t>
      </w:r>
      <w:r>
        <w:rPr>
          <w:rFonts w:ascii="Arial" w:cs="Arial" w:eastAsia="Arial" w:hAnsi="Arial"/>
          <w:sz w:val="18"/>
          <w:szCs w:val="18"/>
          <w:color w:val="auto"/>
        </w:rPr>
        <w:t>” means any Person to whom a Holder proposes to make a Proposed Holder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Transfer.</w:t>
      </w:r>
    </w:p>
    <w:p>
      <w:pPr>
        <w:spacing w:after="0" w:line="200" w:lineRule="exact"/>
        <w:rPr>
          <w:sz w:val="20"/>
          <w:szCs w:val="20"/>
          <w:color w:val="auto"/>
        </w:rPr>
      </w:pPr>
    </w:p>
    <w:p>
      <w:pPr>
        <w:spacing w:after="0" w:line="211"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79" w:name="page80"/>
    <w:bookmarkEnd w:id="79"/>
    <w:p>
      <w:pPr>
        <w:jc w:val="both"/>
        <w:ind w:firstLine="1755"/>
        <w:spacing w:after="0" w:line="274"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means (i) the Common Shares issuable or issued upon conversion of the Series A Preference Shares and (ii) any Common Shares issued as (or issuable upon the conversion or exercise of any warrant, right, or other security that is issued as) a dividend or other distribution with respect to the Series A Preference Shares; excluding in all cases, however, any such Common Shares issued or issuable, or any security issued as a dividend, in each case, with respect to Series A Preference Shares sold in a transaction in which the applicable rights under this Agreement are not assigned pursuant to </w:t>
      </w:r>
      <w:r>
        <w:rPr>
          <w:rFonts w:ascii="Arial" w:cs="Arial" w:eastAsia="Arial" w:hAnsi="Arial"/>
          <w:sz w:val="18"/>
          <w:szCs w:val="18"/>
          <w:u w:val="single" w:color="auto"/>
          <w:color w:val="auto"/>
        </w:rPr>
        <w:t>Subsection 8.1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2.9</w:t>
      </w:r>
      <w:r>
        <w:rPr>
          <w:rFonts w:ascii="Arial" w:cs="Arial" w:eastAsia="Arial" w:hAnsi="Arial"/>
          <w:sz w:val="18"/>
          <w:szCs w:val="18"/>
          <w:color w:val="auto"/>
        </w:rPr>
        <w:t xml:space="preserve"> of this Agreement.</w:t>
      </w:r>
    </w:p>
    <w:p>
      <w:pPr>
        <w:spacing w:after="0" w:line="157" w:lineRule="exact"/>
        <w:rPr>
          <w:sz w:val="20"/>
          <w:szCs w:val="20"/>
          <w:color w:val="auto"/>
        </w:rPr>
      </w:pPr>
    </w:p>
    <w:p>
      <w:pPr>
        <w:jc w:val="both"/>
        <w:ind w:firstLine="1755"/>
        <w:spacing w:after="0" w:line="290"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of Registrable Securities determined by adding the number of outstanding Common Shares that are Registrable Securities and the number of Common Shares issuable (directly or indirectly) pursuant to then exercisable and/or convertible securities that are exercisable or convertible into Registrable Securities.</w:t>
      </w:r>
    </w:p>
    <w:p>
      <w:pPr>
        <w:spacing w:after="0" w:line="144"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b w:val="1"/>
          <w:bCs w:val="1"/>
          <w:color w:val="auto"/>
        </w:rPr>
        <w:t>Registration Statement</w:t>
      </w:r>
      <w:r>
        <w:rPr>
          <w:rFonts w:ascii="Arial" w:cs="Arial" w:eastAsia="Arial" w:hAnsi="Arial"/>
          <w:sz w:val="20"/>
          <w:szCs w:val="20"/>
          <w:color w:val="auto"/>
        </w:rPr>
        <w:t>” means a form S-1 under the Securities Act as in effect on the date hereof, or any successor registration form under the Securities Act subsequently adopted by the SEC, or any similar registration form on a U.S., Hong Kong, China or other exchange on which the Company decides to list.</w:t>
      </w:r>
    </w:p>
    <w:p>
      <w:pPr>
        <w:spacing w:after="0" w:line="179" w:lineRule="exact"/>
        <w:rPr>
          <w:sz w:val="20"/>
          <w:szCs w:val="20"/>
          <w:color w:val="auto"/>
        </w:rPr>
      </w:pPr>
    </w:p>
    <w:p>
      <w:pPr>
        <w:jc w:val="both"/>
        <w:ind w:firstLine="1755"/>
        <w:spacing w:after="0" w:line="290"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“Reorganization”</w:t>
      </w:r>
      <w:r>
        <w:rPr>
          <w:rFonts w:ascii="Arial" w:cs="Arial" w:eastAsia="Arial" w:hAnsi="Arial"/>
          <w:sz w:val="18"/>
          <w:szCs w:val="18"/>
          <w:color w:val="auto"/>
        </w:rPr>
        <w:t xml:space="preserve"> means a merger or consolidation of the Company with or into any other corporation or corporations (other than the merger of a wholly or majority owned subsidiary into the Company), or a sale, lease or other conveyance of all or substantially all of the assets, key technology or shares of capital stock of the Company in a transaction or series of transactions.</w:t>
      </w:r>
    </w:p>
    <w:p>
      <w:pPr>
        <w:spacing w:after="0" w:line="144"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b w:val="1"/>
          <w:bCs w:val="1"/>
          <w:color w:val="auto"/>
        </w:rPr>
        <w:t xml:space="preserve">“Restated Articles” </w:t>
      </w:r>
      <w:r>
        <w:rPr>
          <w:rFonts w:ascii="Arial" w:cs="Arial" w:eastAsia="Arial" w:hAnsi="Arial"/>
          <w:sz w:val="18"/>
          <w:szCs w:val="18"/>
          <w:color w:val="auto"/>
        </w:rPr>
        <w:t>means the Amended and Restated Memorandum and Articles of Association of the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189" w:lineRule="exact"/>
        <w:rPr>
          <w:sz w:val="20"/>
          <w:szCs w:val="20"/>
          <w:color w:val="auto"/>
        </w:rPr>
      </w:pPr>
    </w:p>
    <w:p>
      <w:pPr>
        <w:jc w:val="both"/>
        <w:ind w:firstLine="1755"/>
        <w:spacing w:after="0" w:line="262"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b w:val="1"/>
          <w:bCs w:val="1"/>
          <w:color w:val="auto"/>
        </w:rPr>
        <w:t>Restricted Securities</w:t>
      </w:r>
      <w:r>
        <w:rPr>
          <w:rFonts w:ascii="Arial" w:cs="Arial" w:eastAsia="Arial" w:hAnsi="Arial"/>
          <w:sz w:val="20"/>
          <w:szCs w:val="20"/>
          <w:color w:val="auto"/>
        </w:rPr>
        <w:t xml:space="preserve">” means the securities of the Company required to bear the legend set forth in </w:t>
      </w:r>
      <w:r>
        <w:rPr>
          <w:rFonts w:ascii="Arial" w:cs="Arial" w:eastAsia="Arial" w:hAnsi="Arial"/>
          <w:sz w:val="20"/>
          <w:szCs w:val="20"/>
          <w:u w:val="single" w:color="auto"/>
          <w:color w:val="auto"/>
        </w:rPr>
        <w:t>Subsection 3.1(b)</w:t>
      </w:r>
      <w:r>
        <w:rPr>
          <w:rFonts w:ascii="Arial" w:cs="Arial" w:eastAsia="Arial" w:hAnsi="Arial"/>
          <w:sz w:val="20"/>
          <w:szCs w:val="20"/>
          <w:color w:val="auto"/>
        </w:rPr>
        <w:t xml:space="preserve"> hereof.</w:t>
      </w:r>
    </w:p>
    <w:p>
      <w:pPr>
        <w:spacing w:after="0" w:line="165"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1.20. “</w:t>
      </w:r>
      <w:r>
        <w:rPr>
          <w:rFonts w:ascii="Arial" w:cs="Arial" w:eastAsia="Arial" w:hAnsi="Arial"/>
          <w:sz w:val="20"/>
          <w:szCs w:val="20"/>
          <w:b w:val="1"/>
          <w:bCs w:val="1"/>
          <w:color w:val="auto"/>
        </w:rPr>
        <w:t>Right of First Refusal</w:t>
      </w:r>
      <w:r>
        <w:rPr>
          <w:rFonts w:ascii="Arial" w:cs="Arial" w:eastAsia="Arial" w:hAnsi="Arial"/>
          <w:sz w:val="20"/>
          <w:szCs w:val="20"/>
          <w:color w:val="auto"/>
        </w:rPr>
        <w:t>” means the right, but not an obligation, of the Company, or its permitted transferees or assigns, to purchase some or all of the Transfer Shares with respect to a Proposed Holder Transfer, on the terms and conditions specified in the Proposed Transfer Notice.</w:t>
      </w:r>
    </w:p>
    <w:p>
      <w:pPr>
        <w:spacing w:after="0" w:line="179"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SEC</w:t>
      </w:r>
      <w:r>
        <w:rPr>
          <w:rFonts w:ascii="Arial" w:cs="Arial" w:eastAsia="Arial" w:hAnsi="Arial"/>
          <w:sz w:val="17"/>
          <w:szCs w:val="17"/>
          <w:color w:val="auto"/>
        </w:rPr>
        <w:t>” means the Securities and Exchange Commission.</w:t>
      </w:r>
    </w:p>
    <w:p>
      <w:pPr>
        <w:spacing w:after="0" w:line="211"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SEC Rule 144</w:t>
      </w:r>
      <w:r>
        <w:rPr>
          <w:rFonts w:ascii="Arial" w:cs="Arial" w:eastAsia="Arial" w:hAnsi="Arial"/>
          <w:sz w:val="17"/>
          <w:szCs w:val="17"/>
          <w:color w:val="auto"/>
        </w:rPr>
        <w:t>” means Rule 144 promulgated by the SEC under the Securities Act.</w:t>
      </w:r>
    </w:p>
    <w:p>
      <w:pPr>
        <w:spacing w:after="0" w:line="211"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SEC Rule 145</w:t>
      </w:r>
      <w:r>
        <w:rPr>
          <w:rFonts w:ascii="Arial" w:cs="Arial" w:eastAsia="Arial" w:hAnsi="Arial"/>
          <w:sz w:val="17"/>
          <w:szCs w:val="17"/>
          <w:color w:val="auto"/>
        </w:rPr>
        <w:t>” means Rule 145 promulgated by the SEC under the Securities Act.</w:t>
      </w:r>
    </w:p>
    <w:p>
      <w:pPr>
        <w:spacing w:after="0" w:line="211"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189" w:lineRule="exact"/>
        <w:rPr>
          <w:sz w:val="20"/>
          <w:szCs w:val="20"/>
          <w:color w:val="auto"/>
        </w:rPr>
      </w:pPr>
    </w:p>
    <w:p>
      <w:pPr>
        <w:jc w:val="both"/>
        <w:ind w:firstLine="1755"/>
        <w:spacing w:after="0" w:line="249" w:lineRule="auto"/>
        <w:rPr>
          <w:sz w:val="20"/>
          <w:szCs w:val="20"/>
          <w:color w:val="auto"/>
        </w:rPr>
      </w:pPr>
      <w:r>
        <w:rPr>
          <w:rFonts w:ascii="Arial" w:cs="Arial" w:eastAsia="Arial" w:hAnsi="Arial"/>
          <w:sz w:val="20"/>
          <w:szCs w:val="20"/>
          <w:color w:val="auto"/>
        </w:rPr>
        <w:t>1.25. “</w:t>
      </w:r>
      <w:r>
        <w:rPr>
          <w:rFonts w:ascii="Arial" w:cs="Arial" w:eastAsia="Arial" w:hAnsi="Arial"/>
          <w:sz w:val="20"/>
          <w:szCs w:val="20"/>
          <w:b w:val="1"/>
          <w:bCs w:val="1"/>
          <w:color w:val="auto"/>
        </w:rPr>
        <w:t>Selling Expenses</w:t>
      </w:r>
      <w:r>
        <w:rPr>
          <w:rFonts w:ascii="Arial" w:cs="Arial" w:eastAsia="Arial" w:hAnsi="Arial"/>
          <w:sz w:val="20"/>
          <w:szCs w:val="20"/>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20"/>
          <w:szCs w:val="20"/>
          <w:u w:val="single" w:color="auto"/>
          <w:color w:val="auto"/>
        </w:rPr>
        <w:t>Subsection 2.6.</w:t>
      </w:r>
    </w:p>
    <w:p>
      <w:pPr>
        <w:spacing w:after="0" w:line="179"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Series A Preference Shares</w:t>
      </w:r>
      <w:r>
        <w:rPr>
          <w:rFonts w:ascii="Arial" w:cs="Arial" w:eastAsia="Arial" w:hAnsi="Arial"/>
          <w:sz w:val="18"/>
          <w:szCs w:val="18"/>
          <w:color w:val="auto"/>
        </w:rPr>
        <w:t>” means the Company’s Series A Preference Shares, par value $0.0001 per</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share.</w:t>
      </w:r>
    </w:p>
    <w:p>
      <w:pPr>
        <w:spacing w:after="0" w:line="200" w:lineRule="exact"/>
        <w:rPr>
          <w:sz w:val="20"/>
          <w:szCs w:val="20"/>
          <w:color w:val="auto"/>
        </w:rPr>
      </w:pPr>
    </w:p>
    <w:p>
      <w:pPr>
        <w:spacing w:after="0" w:line="211"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0" w:right="239" w:bottom="1440" w:gutter="0" w:footer="0" w:header="0"/>
        </w:sectPr>
      </w:pPr>
    </w:p>
    <w:bookmarkStart w:id="80" w:name="page81"/>
    <w:bookmarkEnd w:id="80"/>
    <w:p>
      <w:pPr>
        <w:ind w:left="1680" w:hanging="796"/>
        <w:spacing w:after="0"/>
        <w:tabs>
          <w:tab w:leader="none" w:pos="1680" w:val="left"/>
        </w:tabs>
        <w:numPr>
          <w:ilvl w:val="0"/>
          <w:numId w:val="46"/>
        </w:numPr>
        <w:rPr>
          <w:rFonts w:ascii="Arial" w:cs="Arial" w:eastAsia="Arial" w:hAnsi="Arial"/>
          <w:sz w:val="21"/>
          <w:szCs w:val="21"/>
          <w:color w:val="auto"/>
        </w:rPr>
      </w:pPr>
      <w:r>
        <w:rPr>
          <w:rFonts w:ascii="Arial" w:cs="Arial" w:eastAsia="Arial" w:hAnsi="Arial"/>
          <w:sz w:val="20"/>
          <w:szCs w:val="20"/>
          <w:u w:val="single" w:color="auto"/>
          <w:color w:val="auto"/>
        </w:rPr>
        <w:t>Registration Rights</w:t>
      </w:r>
      <w:r>
        <w:rPr>
          <w:rFonts w:ascii="Arial" w:cs="Arial" w:eastAsia="Arial" w:hAnsi="Arial"/>
          <w:sz w:val="20"/>
          <w:szCs w:val="20"/>
          <w:color w:val="auto"/>
        </w:rPr>
        <w:t>. The Company covenants and agrees as follows:</w:t>
      </w:r>
    </w:p>
    <w:p>
      <w:pPr>
        <w:spacing w:after="0" w:line="199" w:lineRule="exact"/>
        <w:rPr>
          <w:rFonts w:ascii="Arial" w:cs="Arial" w:eastAsia="Arial" w:hAnsi="Arial"/>
          <w:sz w:val="21"/>
          <w:szCs w:val="21"/>
          <w:color w:val="auto"/>
        </w:rPr>
      </w:pPr>
    </w:p>
    <w:p>
      <w:pPr>
        <w:ind w:left="1760"/>
        <w:spacing w:after="0"/>
        <w:rPr>
          <w:rFonts w:ascii="Arial" w:cs="Arial" w:eastAsia="Arial" w:hAnsi="Arial"/>
          <w:sz w:val="21"/>
          <w:szCs w:val="21"/>
          <w:color w:val="auto"/>
        </w:rPr>
      </w:pPr>
      <w:r>
        <w:rPr>
          <w:rFonts w:ascii="Arial" w:cs="Arial" w:eastAsia="Arial" w:hAnsi="Arial"/>
          <w:sz w:val="20"/>
          <w:szCs w:val="20"/>
          <w:color w:val="auto"/>
        </w:rPr>
        <w:t>2.1.</w:t>
      </w:r>
      <w:r>
        <w:rPr>
          <w:rFonts w:ascii="Arial" w:cs="Arial" w:eastAsia="Arial" w:hAnsi="Arial"/>
          <w:sz w:val="17"/>
          <w:szCs w:val="17"/>
          <w:u w:val="single" w:color="auto"/>
          <w:color w:val="auto"/>
        </w:rPr>
        <w:t>Demand Registration</w:t>
      </w:r>
      <w:r>
        <w:rPr>
          <w:rFonts w:ascii="Arial" w:cs="Arial" w:eastAsia="Arial" w:hAnsi="Arial"/>
          <w:sz w:val="17"/>
          <w:szCs w:val="17"/>
          <w:color w:val="auto"/>
        </w:rPr>
        <w:t>.</w:t>
      </w:r>
    </w:p>
    <w:p>
      <w:pPr>
        <w:spacing w:after="0" w:line="223" w:lineRule="exact"/>
        <w:rPr>
          <w:rFonts w:ascii="Arial" w:cs="Arial" w:eastAsia="Arial" w:hAnsi="Arial"/>
          <w:sz w:val="21"/>
          <w:szCs w:val="21"/>
          <w:color w:val="auto"/>
        </w:rPr>
      </w:pPr>
    </w:p>
    <w:p>
      <w:pPr>
        <w:jc w:val="both"/>
        <w:ind w:firstLine="2641"/>
        <w:spacing w:after="0" w:line="266" w:lineRule="auto"/>
        <w:tabs>
          <w:tab w:leader="none" w:pos="3512" w:val="left"/>
        </w:tabs>
        <w:numPr>
          <w:ilvl w:val="1"/>
          <w:numId w:val="46"/>
        </w:numPr>
        <w:rPr>
          <w:rFonts w:ascii="Arial" w:cs="Arial" w:eastAsia="Arial" w:hAnsi="Arial"/>
          <w:sz w:val="19"/>
          <w:szCs w:val="19"/>
          <w:color w:val="auto"/>
        </w:rPr>
      </w:pPr>
      <w:r>
        <w:rPr>
          <w:rFonts w:ascii="Arial" w:cs="Arial" w:eastAsia="Arial" w:hAnsi="Arial"/>
          <w:sz w:val="18"/>
          <w:szCs w:val="18"/>
          <w:u w:val="single" w:color="auto"/>
          <w:color w:val="auto"/>
        </w:rPr>
        <w:t>Demand</w:t>
      </w:r>
      <w:r>
        <w:rPr>
          <w:rFonts w:ascii="Arial" w:cs="Arial" w:eastAsia="Arial" w:hAnsi="Arial"/>
          <w:sz w:val="18"/>
          <w:szCs w:val="18"/>
          <w:color w:val="auto"/>
        </w:rPr>
        <w:t>. If at any time after the earlier of (i) twelve (12) months after approval of the Company’s anemia product in the People’s Republic of China by the State Food and Drug Administration or (ii) one hundred eighty (180) days after the effective date of the Registration Statement for the IPO, the Company receives a request from Holders of fifty percent (50%) of the Registrable Securities then outstanding that the Company file a Registration Statement with respect to at least forty percent (40%) of the Registrable Securities then outstanding (or a lesser percent if the anticipated aggregate offering price, net of Selling Expenses, would exceed USD$10 million), then the Company shall (i) within thirty (30) days after the date such request is given, give notice thereof (the “</w:t>
      </w:r>
      <w:r>
        <w:rPr>
          <w:rFonts w:ascii="Arial" w:cs="Arial" w:eastAsia="Arial" w:hAnsi="Arial"/>
          <w:sz w:val="18"/>
          <w:szCs w:val="18"/>
          <w:b w:val="1"/>
          <w:bCs w:val="1"/>
          <w:color w:val="auto"/>
        </w:rPr>
        <w:t>Demand Notice</w:t>
      </w:r>
      <w:r>
        <w:rPr>
          <w:rFonts w:ascii="Arial" w:cs="Arial" w:eastAsia="Arial" w:hAnsi="Arial"/>
          <w:sz w:val="18"/>
          <w:szCs w:val="18"/>
          <w:color w:val="auto"/>
        </w:rPr>
        <w:t xml:space="preserve">”) to all Holders other than the Initiating Holders; and (ii) as soon as practicable, file a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8"/>
          <w:szCs w:val="18"/>
          <w:u w:val="single" w:color="auto"/>
          <w:color w:val="auto"/>
        </w:rPr>
        <w:t>Subsections 2.1(c) and 2.1(d)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2.3.</w:t>
      </w:r>
    </w:p>
    <w:p>
      <w:pPr>
        <w:spacing w:after="0" w:line="189" w:lineRule="exact"/>
        <w:rPr>
          <w:rFonts w:ascii="Arial" w:cs="Arial" w:eastAsia="Arial" w:hAnsi="Arial"/>
          <w:sz w:val="19"/>
          <w:szCs w:val="19"/>
          <w:color w:val="auto"/>
        </w:rPr>
      </w:pPr>
    </w:p>
    <w:p>
      <w:pPr>
        <w:jc w:val="both"/>
        <w:ind w:firstLine="2641"/>
        <w:spacing w:after="0" w:line="285" w:lineRule="auto"/>
        <w:tabs>
          <w:tab w:leader="none" w:pos="3524" w:val="left"/>
        </w:tabs>
        <w:numPr>
          <w:ilvl w:val="1"/>
          <w:numId w:val="46"/>
        </w:numPr>
        <w:rPr>
          <w:rFonts w:ascii="Arial" w:cs="Arial" w:eastAsia="Arial" w:hAnsi="Arial"/>
          <w:sz w:val="18"/>
          <w:szCs w:val="18"/>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in the United States, the Company receives a request from Holders of at least twenty percent (20%) of the Registrable Securities then outstanding that the Company file a Form S-3 Registration Statement with respect to outstanding Registrable Securities of such Holders having an anticipated aggregate offering price, net of Selling Expenses, of at least USD$5 million, then the Company shall (i) within ten (10) days after the date such request is given, give a Demand Notice to all Holders other than the Initiating Holders; and (ii) as soon as practicable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 2.1(d)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2.3</w:t>
      </w:r>
      <w:r>
        <w:rPr>
          <w:rFonts w:ascii="Arial" w:cs="Arial" w:eastAsia="Arial" w:hAnsi="Arial"/>
          <w:sz w:val="17"/>
          <w:szCs w:val="17"/>
          <w:color w:val="auto"/>
        </w:rPr>
        <w:t>.</w:t>
      </w:r>
    </w:p>
    <w:p>
      <w:pPr>
        <w:spacing w:after="0" w:line="171" w:lineRule="exact"/>
        <w:rPr>
          <w:rFonts w:ascii="Arial" w:cs="Arial" w:eastAsia="Arial" w:hAnsi="Arial"/>
          <w:sz w:val="18"/>
          <w:szCs w:val="18"/>
          <w:color w:val="auto"/>
        </w:rPr>
      </w:pPr>
    </w:p>
    <w:p>
      <w:pPr>
        <w:jc w:val="both"/>
        <w:ind w:firstLine="2641"/>
        <w:spacing w:after="0" w:line="268" w:lineRule="auto"/>
        <w:tabs>
          <w:tab w:leader="none" w:pos="3512" w:val="left"/>
        </w:tabs>
        <w:numPr>
          <w:ilvl w:val="1"/>
          <w:numId w:val="46"/>
        </w:numPr>
        <w:rPr>
          <w:rFonts w:ascii="Arial" w:cs="Arial" w:eastAsia="Arial" w:hAnsi="Arial"/>
          <w:sz w:val="19"/>
          <w:szCs w:val="19"/>
          <w:color w:val="auto"/>
        </w:rPr>
      </w:pPr>
      <w:r>
        <w:rPr>
          <w:rFonts w:ascii="Arial" w:cs="Arial" w:eastAsia="Arial" w:hAnsi="Arial"/>
          <w:sz w:val="18"/>
          <w:szCs w:val="18"/>
          <w:u w:val="single" w:color="auto"/>
          <w:color w:val="auto"/>
        </w:rPr>
        <w:t>Deferred Registration</w:t>
      </w:r>
      <w:r>
        <w:rPr>
          <w:rFonts w:ascii="Arial" w:cs="Arial" w:eastAsia="Arial" w:hAnsi="Arial"/>
          <w:sz w:val="18"/>
          <w:szCs w:val="18"/>
          <w:color w:val="auto"/>
        </w:rPr>
        <w:t xml:space="preserve">. Notwithstanding the foregoing obligations, if the Company furnishes to Holders requesting a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certificate signed by the Company’s chief executive officer stating that in the good faith judgment of the Company, it would be materially detrimental to the Company and its shareholders for such Registration Statement to either become effective or remain effective for as long as such Registration Statement otherwise would be required to remain effective, then the Company shall have the right to defer taking action with respect to such filing, and any time periods with respect to filing or effectiveness thereof shall be tolled correspondingly, for a period of not more than one hundred eighty (180) days after the request of the Initiating Holders is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not invoke this right more than once in any twelve (12) month period.</w:t>
      </w:r>
    </w:p>
    <w:p>
      <w:pPr>
        <w:spacing w:after="0" w:line="184" w:lineRule="exact"/>
        <w:rPr>
          <w:rFonts w:ascii="Arial" w:cs="Arial" w:eastAsia="Arial" w:hAnsi="Arial"/>
          <w:sz w:val="19"/>
          <w:szCs w:val="19"/>
          <w:color w:val="auto"/>
        </w:rPr>
      </w:pPr>
    </w:p>
    <w:p>
      <w:pPr>
        <w:jc w:val="both"/>
        <w:ind w:firstLine="2641"/>
        <w:spacing w:after="0" w:line="252" w:lineRule="auto"/>
        <w:tabs>
          <w:tab w:leader="none" w:pos="3524" w:val="left"/>
        </w:tabs>
        <w:numPr>
          <w:ilvl w:val="1"/>
          <w:numId w:val="46"/>
        </w:numPr>
        <w:rPr>
          <w:rFonts w:ascii="Arial" w:cs="Arial" w:eastAsia="Arial" w:hAnsi="Arial"/>
          <w:sz w:val="20"/>
          <w:szCs w:val="20"/>
          <w:color w:val="auto"/>
        </w:rPr>
      </w:pPr>
      <w:r>
        <w:rPr>
          <w:rFonts w:ascii="Arial" w:cs="Arial" w:eastAsia="Arial" w:hAnsi="Arial"/>
          <w:sz w:val="19"/>
          <w:szCs w:val="19"/>
          <w:u w:val="single" w:color="auto"/>
          <w:color w:val="auto"/>
        </w:rPr>
        <w:t>Limitations on Registration; Effectiveness</w:t>
      </w:r>
      <w:r>
        <w:rPr>
          <w:rFonts w:ascii="Arial" w:cs="Arial" w:eastAsia="Arial" w:hAnsi="Arial"/>
          <w:sz w:val="19"/>
          <w:szCs w:val="19"/>
          <w:color w:val="auto"/>
        </w:rPr>
        <w:t xml:space="preserve">. The Company shall not be obligated to effect, or to take any action to effect, any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(i) during the period that is ninety (90) days before the Company’s good faith estimate of the date of filing of, and ending on a date that is one hundred eighty (180) days after the effective date of, a Company-initiated registration; (ii) after the Company has effected one registration pursuant to </w:t>
      </w:r>
      <w:r>
        <w:rPr>
          <w:rFonts w:ascii="Arial" w:cs="Arial" w:eastAsia="Arial" w:hAnsi="Arial"/>
          <w:sz w:val="19"/>
          <w:szCs w:val="19"/>
          <w:u w:val="single" w:color="auto"/>
          <w:color w:val="auto"/>
        </w:rPr>
        <w:t>Subsection 2.1(a)</w:t>
      </w:r>
      <w:r>
        <w:rPr>
          <w:rFonts w:ascii="Arial" w:cs="Arial" w:eastAsia="Arial" w:hAnsi="Arial"/>
          <w:sz w:val="19"/>
          <w:szCs w:val="19"/>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9"/>
          <w:szCs w:val="19"/>
          <w:u w:val="single" w:color="auto"/>
          <w:color w:val="auto"/>
        </w:rPr>
        <w:t>Subsection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2.1(b)</w:t>
      </w:r>
      <w:r>
        <w:rPr>
          <w:rFonts w:ascii="Arial" w:cs="Arial" w:eastAsia="Arial" w:hAnsi="Arial"/>
          <w:sz w:val="19"/>
          <w:szCs w:val="19"/>
          <w:color w:val="auto"/>
        </w:rPr>
        <w:t xml:space="preserve">. The Company shall not be obligated to effect, or to take any action to effect, any registration pursuant to </w:t>
      </w:r>
      <w:r>
        <w:rPr>
          <w:rFonts w:ascii="Arial" w:cs="Arial" w:eastAsia="Arial" w:hAnsi="Arial"/>
          <w:sz w:val="19"/>
          <w:szCs w:val="19"/>
          <w:u w:val="single" w:color="auto"/>
          <w:color w:val="auto"/>
        </w:rPr>
        <w:t>Subsection 2.1(b)</w:t>
      </w:r>
      <w:r>
        <w:rPr>
          <w:rFonts w:ascii="Arial" w:cs="Arial" w:eastAsia="Arial" w:hAnsi="Arial"/>
          <w:sz w:val="19"/>
          <w:szCs w:val="19"/>
          <w:color w:val="auto"/>
        </w:rPr>
        <w:t xml:space="preserve"> (i) during the period that is sixty (60) days before the Company’s good faith estimate of the date of filing of, and ending on a date that is ninety (90) days after the effective date of, a Company-initiated registration;</w:t>
      </w:r>
    </w:p>
    <w:p>
      <w:pPr>
        <w:spacing w:after="0" w:line="398"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1" w:name="page82"/>
    <w:bookmarkEnd w:id="81"/>
    <w:p>
      <w:pPr>
        <w:jc w:val="both"/>
        <w:spacing w:after="0" w:line="275" w:lineRule="auto"/>
        <w:rPr>
          <w:sz w:val="20"/>
          <w:szCs w:val="20"/>
          <w:color w:val="auto"/>
        </w:rPr>
      </w:pPr>
      <w:r>
        <w:rPr>
          <w:rFonts w:ascii="Arial" w:cs="Arial" w:eastAsia="Arial" w:hAnsi="Arial"/>
          <w:sz w:val="18"/>
          <w:szCs w:val="18"/>
          <w:color w:val="auto"/>
        </w:rPr>
        <w:t xml:space="preserve">or (ii) if the Company has effected two registrations pursuant to </w:t>
      </w:r>
      <w:r>
        <w:rPr>
          <w:rFonts w:ascii="Arial" w:cs="Arial" w:eastAsia="Arial" w:hAnsi="Arial"/>
          <w:sz w:val="18"/>
          <w:szCs w:val="18"/>
          <w:u w:val="single" w:color="auto"/>
          <w:color w:val="auto"/>
        </w:rPr>
        <w:t>Subsection 2.1(b)</w:t>
      </w:r>
      <w:r>
        <w:rPr>
          <w:rFonts w:ascii="Arial" w:cs="Arial" w:eastAsia="Arial" w:hAnsi="Arial"/>
          <w:sz w:val="18"/>
          <w:szCs w:val="18"/>
          <w:color w:val="auto"/>
        </w:rPr>
        <w:t xml:space="preserve"> within the eighteen (18) month period immediately preceding the date of such request. A registration shall not be counted as “effected” for purposes of this </w:t>
      </w:r>
      <w:r>
        <w:rPr>
          <w:rFonts w:ascii="Arial" w:cs="Arial" w:eastAsia="Arial" w:hAnsi="Arial"/>
          <w:sz w:val="18"/>
          <w:szCs w:val="18"/>
          <w:u w:val="single" w:color="auto"/>
          <w:color w:val="auto"/>
        </w:rPr>
        <w:t>Subsection 2.1(d)</w:t>
      </w:r>
      <w:r>
        <w:rPr>
          <w:rFonts w:ascii="Arial" w:cs="Arial" w:eastAsia="Arial" w:hAnsi="Arial"/>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8"/>
          <w:szCs w:val="18"/>
          <w:u w:val="single" w:color="auto"/>
          <w:color w:val="auto"/>
        </w:rPr>
        <w:t>Subsection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Subsection 2.1(d).</w:t>
      </w:r>
    </w:p>
    <w:p>
      <w:pPr>
        <w:spacing w:after="0" w:line="163" w:lineRule="exact"/>
        <w:rPr>
          <w:sz w:val="20"/>
          <w:szCs w:val="20"/>
          <w:color w:val="auto"/>
        </w:rPr>
      </w:pPr>
    </w:p>
    <w:p>
      <w:pPr>
        <w:jc w:val="both"/>
        <w:ind w:firstLine="1755"/>
        <w:spacing w:after="0" w:line="28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shareholders other than the Holders) any of its Common Shares under the Securities Act (or other applicable securities laws outside the United States)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The rights of the Holders set forth in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shall not apply to an IPO.</w:t>
      </w:r>
    </w:p>
    <w:p>
      <w:pPr>
        <w:spacing w:after="0" w:line="160" w:lineRule="exact"/>
        <w:rPr>
          <w:sz w:val="20"/>
          <w:szCs w:val="20"/>
          <w:color w:val="auto"/>
        </w:rPr>
      </w:pPr>
    </w:p>
    <w:p>
      <w:pPr>
        <w:ind w:left="1760"/>
        <w:spacing w:after="0"/>
        <w:tabs>
          <w:tab w:leader="none" w:pos="26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4" w:lineRule="exact"/>
        <w:rPr>
          <w:sz w:val="20"/>
          <w:szCs w:val="20"/>
          <w:color w:val="auto"/>
        </w:rPr>
      </w:pPr>
    </w:p>
    <w:p>
      <w:pPr>
        <w:jc w:val="both"/>
        <w:ind w:firstLine="2641"/>
        <w:spacing w:after="0" w:line="265" w:lineRule="auto"/>
        <w:tabs>
          <w:tab w:leader="none" w:pos="3512" w:val="left"/>
        </w:tabs>
        <w:numPr>
          <w:ilvl w:val="0"/>
          <w:numId w:val="47"/>
        </w:numPr>
        <w:rPr>
          <w:rFonts w:ascii="Arial" w:cs="Arial" w:eastAsia="Arial" w:hAnsi="Arial"/>
          <w:sz w:val="19"/>
          <w:szCs w:val="19"/>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Subsection 2.1(a)</w:t>
      </w:r>
      <w:r>
        <w:rPr>
          <w:rFonts w:ascii="Arial" w:cs="Arial" w:eastAsia="Arial" w:hAnsi="Arial"/>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8"/>
          <w:szCs w:val="18"/>
          <w:u w:val="single" w:color="auto"/>
          <w:color w:val="auto"/>
        </w:rPr>
        <w:t>Subsection 2.4(e)</w:t>
      </w:r>
      <w:r>
        <w:rPr>
          <w:rFonts w:ascii="Arial" w:cs="Arial" w:eastAsia="Arial" w:hAnsi="Arial"/>
          <w:sz w:val="18"/>
          <w:szCs w:val="18"/>
          <w:color w:val="auto"/>
        </w:rPr>
        <w:t xml:space="preserve">) enter into an underwriting agreement in customary form with the underwriter(s) selected for such underwriting. Notwithstanding any other provision of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if the managing underwriter(s) advise(s) the Initiating Holders in writing that marketing factors require a limitation on the number of shares to be underwritten, then the Company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90" w:lineRule="exact"/>
        <w:rPr>
          <w:rFonts w:ascii="Arial" w:cs="Arial" w:eastAsia="Arial" w:hAnsi="Arial"/>
          <w:sz w:val="19"/>
          <w:szCs w:val="19"/>
          <w:color w:val="auto"/>
        </w:rPr>
      </w:pPr>
    </w:p>
    <w:p>
      <w:pPr>
        <w:jc w:val="both"/>
        <w:ind w:firstLine="2641"/>
        <w:spacing w:after="0" w:line="238" w:lineRule="auto"/>
        <w:tabs>
          <w:tab w:leader="none" w:pos="3524" w:val="left"/>
        </w:tabs>
        <w:numPr>
          <w:ilvl w:val="0"/>
          <w:numId w:val="47"/>
        </w:numPr>
        <w:rPr>
          <w:rFonts w:ascii="Arial" w:cs="Arial" w:eastAsia="Arial" w:hAnsi="Arial"/>
          <w:sz w:val="21"/>
          <w:szCs w:val="21"/>
          <w:color w:val="auto"/>
        </w:rPr>
      </w:pPr>
      <w:r>
        <w:rPr>
          <w:rFonts w:ascii="Arial" w:cs="Arial" w:eastAsia="Arial" w:hAnsi="Arial"/>
          <w:sz w:val="20"/>
          <w:szCs w:val="20"/>
          <w:color w:val="auto"/>
        </w:rPr>
        <w:t xml:space="preserve">In connection with any offering involving an underwriting of shares of the Company’s Capital Shares pursuant to </w:t>
      </w:r>
      <w:r>
        <w:rPr>
          <w:rFonts w:ascii="Arial" w:cs="Arial" w:eastAsia="Arial" w:hAnsi="Arial"/>
          <w:sz w:val="20"/>
          <w:szCs w:val="20"/>
          <w:u w:val="single" w:color="auto"/>
          <w:color w:val="auto"/>
        </w:rPr>
        <w:t>Subsection 2.2</w:t>
      </w:r>
      <w:r>
        <w:rPr>
          <w:rFonts w:ascii="Arial" w:cs="Arial" w:eastAsia="Arial" w:hAnsi="Arial"/>
          <w:sz w:val="20"/>
          <w:szCs w:val="20"/>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determine will not jeopardize the success of the offering by the Company. If the total number of securities, including Registrable Securities, requested by Company shareholders to be included in such offering exceeds the number of securities to be sold (other than by the Company) that the</w:t>
      </w:r>
    </w:p>
    <w:p>
      <w:pPr>
        <w:spacing w:after="0" w:line="200" w:lineRule="exact"/>
        <w:rPr>
          <w:sz w:val="20"/>
          <w:szCs w:val="20"/>
          <w:color w:val="auto"/>
        </w:rPr>
      </w:pPr>
    </w:p>
    <w:p>
      <w:pPr>
        <w:spacing w:after="0" w:line="212"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2" w:name="page83"/>
    <w:bookmarkEnd w:id="82"/>
    <w:p>
      <w:pPr>
        <w:jc w:val="both"/>
        <w:spacing w:after="0" w:line="267" w:lineRule="auto"/>
        <w:rPr>
          <w:sz w:val="20"/>
          <w:szCs w:val="20"/>
          <w:color w:val="auto"/>
        </w:rPr>
      </w:pPr>
      <w:r>
        <w:rPr>
          <w:rFonts w:ascii="Arial" w:cs="Arial" w:eastAsia="Arial" w:hAnsi="Arial"/>
          <w:sz w:val="18"/>
          <w:szCs w:val="18"/>
          <w:color w:val="auto"/>
        </w:rPr>
        <w:t xml:space="preserve">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To facilitate the allocation of shares in accordance with the above provisions, the Company or the underwriters may round the number of shares allocated to any Holder to the nearest one hundred (100) shares. For purposes of the provision in this </w:t>
      </w:r>
      <w:r>
        <w:rPr>
          <w:rFonts w:ascii="Arial" w:cs="Arial" w:eastAsia="Arial" w:hAnsi="Arial"/>
          <w:sz w:val="18"/>
          <w:szCs w:val="18"/>
          <w:u w:val="single" w:color="auto"/>
          <w:color w:val="auto"/>
        </w:rPr>
        <w:t>Subsection 2.3(b)</w:t>
      </w:r>
      <w:r>
        <w:rPr>
          <w:rFonts w:ascii="Arial" w:cs="Arial" w:eastAsia="Arial" w:hAnsi="Arial"/>
          <w:sz w:val="18"/>
          <w:szCs w:val="18"/>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74"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Obligations of the Company</w:t>
      </w:r>
      <w:r>
        <w:rPr>
          <w:rFonts w:ascii="Arial" w:cs="Arial" w:eastAsia="Arial" w:hAnsi="Arial"/>
          <w:sz w:val="20"/>
          <w:szCs w:val="20"/>
          <w:color w:val="auto"/>
        </w:rPr>
        <w:t xml:space="preserve">. Whenever required under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to effect the registration of any Registrable Securities, the Company shall, as expeditiously as reasonably possible:</w:t>
      </w:r>
    </w:p>
    <w:p>
      <w:pPr>
        <w:spacing w:after="0" w:line="190" w:lineRule="exact"/>
        <w:rPr>
          <w:sz w:val="20"/>
          <w:szCs w:val="20"/>
          <w:color w:val="auto"/>
        </w:rPr>
      </w:pPr>
    </w:p>
    <w:p>
      <w:pPr>
        <w:jc w:val="both"/>
        <w:ind w:firstLine="2641"/>
        <w:spacing w:after="0" w:line="279" w:lineRule="auto"/>
        <w:tabs>
          <w:tab w:leader="none" w:pos="3512" w:val="left"/>
        </w:tabs>
        <w:numPr>
          <w:ilvl w:val="1"/>
          <w:numId w:val="48"/>
        </w:numPr>
        <w:rPr>
          <w:rFonts w:ascii="Arial" w:cs="Arial" w:eastAsia="Arial" w:hAnsi="Arial"/>
          <w:sz w:val="18"/>
          <w:szCs w:val="18"/>
          <w:color w:val="auto"/>
        </w:rPr>
      </w:pPr>
      <w:r>
        <w:rPr>
          <w:rFonts w:ascii="Arial" w:cs="Arial" w:eastAsia="Arial" w:hAnsi="Arial"/>
          <w:sz w:val="17"/>
          <w:szCs w:val="17"/>
          <w:color w:val="auto"/>
        </w:rPr>
        <w:t xml:space="preserve">prepare and file with the applicable governmental authority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such one hundred twenty (120) day period shall be extended for a period of time equal to the period the Holder refrains, at the request of an underwriter of Common Shares (or other securities) of the Company, from selling any securities included in such registration, and</w:t>
      </w:r>
    </w:p>
    <w:p>
      <w:pPr>
        <w:jc w:val="both"/>
        <w:ind w:firstLine="7"/>
        <w:spacing w:after="0" w:line="238" w:lineRule="auto"/>
        <w:tabs>
          <w:tab w:leader="none" w:pos="294"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 the case of any registration of Registrable Securities on Form S-3 that are intended to be offered on a continuous or delayed basis, subject to compliance with applicable SEC rules, such one hundred twenty (120) day period shall be extended for up to 180 days, if necessary, to keep the Registration Statement effective until all such Registrable Securities are sold;</w:t>
      </w:r>
    </w:p>
    <w:p>
      <w:pPr>
        <w:spacing w:after="0" w:line="207" w:lineRule="exact"/>
        <w:rPr>
          <w:rFonts w:ascii="Arial" w:cs="Arial" w:eastAsia="Arial" w:hAnsi="Arial"/>
          <w:sz w:val="20"/>
          <w:szCs w:val="20"/>
          <w:color w:val="auto"/>
        </w:rPr>
      </w:pPr>
    </w:p>
    <w:p>
      <w:pPr>
        <w:jc w:val="both"/>
        <w:ind w:firstLine="2641"/>
        <w:spacing w:after="0" w:line="239" w:lineRule="auto"/>
        <w:tabs>
          <w:tab w:leader="none" w:pos="3524" w:val="left"/>
        </w:tabs>
        <w:numPr>
          <w:ilvl w:val="1"/>
          <w:numId w:val="49"/>
        </w:numPr>
        <w:rPr>
          <w:rFonts w:ascii="Arial" w:cs="Arial" w:eastAsia="Arial" w:hAnsi="Arial"/>
          <w:sz w:val="21"/>
          <w:szCs w:val="21"/>
          <w:color w:val="auto"/>
        </w:rPr>
      </w:pPr>
      <w:r>
        <w:rPr>
          <w:rFonts w:ascii="Arial" w:cs="Arial" w:eastAsia="Arial" w:hAnsi="Arial"/>
          <w:sz w:val="20"/>
          <w:szCs w:val="20"/>
          <w:color w:val="auto"/>
        </w:rPr>
        <w:t>prepare and file with the applicable governmental authority such amendments and supplements to such Registration Statement, and the prospectus used in connection with such Registration Statement, as may be necessary to comply with the Securities Act (or other applicable securities laws outside the United States) in order to enable the disposition of all securities covered by such Registration Statement;</w:t>
      </w:r>
    </w:p>
    <w:p>
      <w:pPr>
        <w:spacing w:after="0" w:line="207" w:lineRule="exact"/>
        <w:rPr>
          <w:rFonts w:ascii="Arial" w:cs="Arial" w:eastAsia="Arial" w:hAnsi="Arial"/>
          <w:sz w:val="21"/>
          <w:szCs w:val="21"/>
          <w:color w:val="auto"/>
        </w:rPr>
      </w:pPr>
    </w:p>
    <w:p>
      <w:pPr>
        <w:jc w:val="both"/>
        <w:ind w:firstLine="2641"/>
        <w:spacing w:after="0"/>
        <w:tabs>
          <w:tab w:leader="none" w:pos="3512" w:val="left"/>
        </w:tabs>
        <w:numPr>
          <w:ilvl w:val="1"/>
          <w:numId w:val="49"/>
        </w:numPr>
        <w:rPr>
          <w:rFonts w:ascii="Arial" w:cs="Arial" w:eastAsia="Arial" w:hAnsi="Arial"/>
          <w:sz w:val="21"/>
          <w:szCs w:val="21"/>
          <w:color w:val="auto"/>
        </w:rPr>
      </w:pPr>
      <w:r>
        <w:rPr>
          <w:rFonts w:ascii="Arial" w:cs="Arial" w:eastAsia="Arial" w:hAnsi="Arial"/>
          <w:sz w:val="20"/>
          <w:szCs w:val="20"/>
          <w:color w:val="auto"/>
        </w:rPr>
        <w:t>furnish to the selling Holders such numbers of copies of a prospectus, including a preliminary prospectus, as required by the Securities Act (or other applicable securities laws outside the United States), and such other documents as the Holders may reasonably request in order to facilitate their disposition of their Registrable Securities;</w:t>
      </w:r>
    </w:p>
    <w:p>
      <w:pPr>
        <w:spacing w:after="0" w:line="206" w:lineRule="exact"/>
        <w:rPr>
          <w:rFonts w:ascii="Arial" w:cs="Arial" w:eastAsia="Arial" w:hAnsi="Arial"/>
          <w:sz w:val="21"/>
          <w:szCs w:val="21"/>
          <w:color w:val="auto"/>
        </w:rPr>
      </w:pPr>
    </w:p>
    <w:p>
      <w:pPr>
        <w:jc w:val="both"/>
        <w:ind w:firstLine="2641"/>
        <w:spacing w:after="0" w:line="238" w:lineRule="auto"/>
        <w:tabs>
          <w:tab w:leader="none" w:pos="3524" w:val="left"/>
        </w:tabs>
        <w:numPr>
          <w:ilvl w:val="1"/>
          <w:numId w:val="49"/>
        </w:numPr>
        <w:rPr>
          <w:rFonts w:ascii="Arial" w:cs="Arial" w:eastAsia="Arial" w:hAnsi="Arial"/>
          <w:sz w:val="21"/>
          <w:szCs w:val="21"/>
          <w:color w:val="auto"/>
        </w:rPr>
      </w:pPr>
      <w:r>
        <w:rPr>
          <w:rFonts w:ascii="Arial" w:cs="Arial" w:eastAsia="Arial" w:hAnsi="Arial"/>
          <w:sz w:val="20"/>
          <w:szCs w:val="20"/>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 (or other applicable securities laws outside the United States);</w:t>
      </w:r>
    </w:p>
    <w:p>
      <w:pPr>
        <w:spacing w:after="0" w:line="200" w:lineRule="exact"/>
        <w:rPr>
          <w:sz w:val="20"/>
          <w:szCs w:val="20"/>
          <w:color w:val="auto"/>
        </w:rPr>
      </w:pPr>
    </w:p>
    <w:p>
      <w:pPr>
        <w:spacing w:after="0" w:line="213"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3" w:name="page84"/>
    <w:bookmarkEnd w:id="83"/>
    <w:p>
      <w:pPr>
        <w:ind w:firstLine="2641"/>
        <w:spacing w:after="0" w:line="244" w:lineRule="auto"/>
        <w:tabs>
          <w:tab w:leader="none" w:pos="3512" w:val="left"/>
        </w:tabs>
        <w:numPr>
          <w:ilvl w:val="0"/>
          <w:numId w:val="50"/>
        </w:numPr>
        <w:rPr>
          <w:rFonts w:ascii="Arial" w:cs="Arial" w:eastAsia="Arial" w:hAnsi="Arial"/>
          <w:sz w:val="21"/>
          <w:szCs w:val="21"/>
          <w:color w:val="auto"/>
        </w:rPr>
      </w:pPr>
      <w:r>
        <w:rPr>
          <w:rFonts w:ascii="Arial" w:cs="Arial" w:eastAsia="Arial" w:hAnsi="Arial"/>
          <w:sz w:val="20"/>
          <w:szCs w:val="20"/>
          <w:color w:val="auto"/>
        </w:rPr>
        <w:t>in the event of any underwritten public offering, enter into and perform its obligations under an underwriting agreement, in usual and customary form, with the underwriter(s) of such offering;</w:t>
      </w:r>
    </w:p>
    <w:p>
      <w:pPr>
        <w:spacing w:after="0" w:line="201" w:lineRule="exact"/>
        <w:rPr>
          <w:rFonts w:ascii="Arial" w:cs="Arial" w:eastAsia="Arial" w:hAnsi="Arial"/>
          <w:sz w:val="21"/>
          <w:szCs w:val="21"/>
          <w:color w:val="auto"/>
        </w:rPr>
      </w:pPr>
    </w:p>
    <w:p>
      <w:pPr>
        <w:ind w:firstLine="2641"/>
        <w:spacing w:after="0" w:line="244" w:lineRule="auto"/>
        <w:tabs>
          <w:tab w:leader="none" w:pos="3489" w:val="left"/>
        </w:tabs>
        <w:numPr>
          <w:ilvl w:val="0"/>
          <w:numId w:val="50"/>
        </w:numPr>
        <w:rPr>
          <w:rFonts w:ascii="Arial" w:cs="Arial" w:eastAsia="Arial" w:hAnsi="Arial"/>
          <w:sz w:val="21"/>
          <w:szCs w:val="21"/>
          <w:color w:val="auto"/>
        </w:rPr>
      </w:pPr>
      <w:r>
        <w:rPr>
          <w:rFonts w:ascii="Arial" w:cs="Arial" w:eastAsia="Arial" w:hAnsi="Arial"/>
          <w:sz w:val="20"/>
          <w:szCs w:val="20"/>
          <w:color w:val="auto"/>
        </w:rPr>
        <w:t>use its commercially reasonable efforts to cause all such Registrable Securities covered by such Registration Statement to be listed on a national securities exchange or trading system;</w:t>
      </w:r>
    </w:p>
    <w:p>
      <w:pPr>
        <w:spacing w:after="0" w:line="201" w:lineRule="exact"/>
        <w:rPr>
          <w:rFonts w:ascii="Arial" w:cs="Arial" w:eastAsia="Arial" w:hAnsi="Arial"/>
          <w:sz w:val="21"/>
          <w:szCs w:val="21"/>
          <w:color w:val="auto"/>
        </w:rPr>
      </w:pPr>
    </w:p>
    <w:p>
      <w:pPr>
        <w:jc w:val="both"/>
        <w:ind w:firstLine="2641"/>
        <w:spacing w:after="0"/>
        <w:tabs>
          <w:tab w:leader="none" w:pos="3524" w:val="left"/>
        </w:tabs>
        <w:numPr>
          <w:ilvl w:val="0"/>
          <w:numId w:val="50"/>
        </w:numPr>
        <w:rPr>
          <w:rFonts w:ascii="Arial" w:cs="Arial" w:eastAsia="Arial" w:hAnsi="Arial"/>
          <w:sz w:val="21"/>
          <w:szCs w:val="21"/>
          <w:color w:val="auto"/>
        </w:rPr>
      </w:pPr>
      <w:r>
        <w:rPr>
          <w:rFonts w:ascii="Arial" w:cs="Arial" w:eastAsia="Arial" w:hAnsi="Arial"/>
          <w:sz w:val="20"/>
          <w:szCs w:val="20"/>
          <w:color w:val="auto"/>
        </w:rPr>
        <w:t>provide a transfer agent and registrar for all Registrable Securities registered pursuant to this Agreement and provide a CUSIP (or equivalent) number for all such Registrable Securities, in each case not later than the effective date of such registration;</w:t>
      </w:r>
    </w:p>
    <w:p>
      <w:pPr>
        <w:spacing w:after="0" w:line="206" w:lineRule="exact"/>
        <w:rPr>
          <w:rFonts w:ascii="Arial" w:cs="Arial" w:eastAsia="Arial" w:hAnsi="Arial"/>
          <w:sz w:val="21"/>
          <w:szCs w:val="21"/>
          <w:color w:val="auto"/>
        </w:rPr>
      </w:pPr>
    </w:p>
    <w:p>
      <w:pPr>
        <w:jc w:val="both"/>
        <w:ind w:firstLine="2641"/>
        <w:spacing w:after="0"/>
        <w:tabs>
          <w:tab w:leader="none" w:pos="3524" w:val="left"/>
        </w:tabs>
        <w:numPr>
          <w:ilvl w:val="0"/>
          <w:numId w:val="50"/>
        </w:numPr>
        <w:rPr>
          <w:rFonts w:ascii="Arial" w:cs="Arial" w:eastAsia="Arial" w:hAnsi="Arial"/>
          <w:sz w:val="21"/>
          <w:szCs w:val="21"/>
          <w:color w:val="auto"/>
        </w:rPr>
      </w:pPr>
      <w:r>
        <w:rPr>
          <w:rFonts w:ascii="Arial" w:cs="Arial" w:eastAsia="Arial" w:hAnsi="Arial"/>
          <w:sz w:val="20"/>
          <w:szCs w:val="20"/>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206" w:lineRule="exact"/>
        <w:rPr>
          <w:rFonts w:ascii="Arial" w:cs="Arial" w:eastAsia="Arial" w:hAnsi="Arial"/>
          <w:sz w:val="21"/>
          <w:szCs w:val="21"/>
          <w:color w:val="auto"/>
        </w:rPr>
      </w:pPr>
    </w:p>
    <w:p>
      <w:pPr>
        <w:ind w:left="3480" w:hanging="839"/>
        <w:spacing w:after="0"/>
        <w:tabs>
          <w:tab w:leader="none" w:pos="3480" w:val="left"/>
        </w:tabs>
        <w:numPr>
          <w:ilvl w:val="0"/>
          <w:numId w:val="50"/>
        </w:numPr>
        <w:rPr>
          <w:rFonts w:ascii="Arial" w:cs="Arial" w:eastAsia="Arial" w:hAnsi="Arial"/>
          <w:sz w:val="18"/>
          <w:szCs w:val="18"/>
          <w:color w:val="auto"/>
        </w:rPr>
      </w:pPr>
      <w:r>
        <w:rPr>
          <w:rFonts w:ascii="Arial" w:cs="Arial" w:eastAsia="Arial" w:hAnsi="Arial"/>
          <w:sz w:val="17"/>
          <w:szCs w:val="17"/>
          <w:color w:val="auto"/>
        </w:rPr>
        <w:t>after such Registration Statement becomes effective, notify each selling Holder of any request by the</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applicable governmental authority that the Company amend or supplement such Registration Statement or prospectus.</w:t>
      </w:r>
    </w:p>
    <w:p>
      <w:pPr>
        <w:spacing w:after="0" w:line="19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Furnish Information</w:t>
      </w:r>
      <w:r>
        <w:rPr>
          <w:rFonts w:ascii="Arial" w:cs="Arial" w:eastAsia="Arial" w:hAnsi="Arial"/>
          <w:sz w:val="20"/>
          <w:szCs w:val="20"/>
          <w:color w:val="auto"/>
        </w:rPr>
        <w:t xml:space="preserve">. It shall be a condition precedent to the obligations of the Company to take any action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90" w:lineRule="exact"/>
        <w:rPr>
          <w:sz w:val="20"/>
          <w:szCs w:val="20"/>
          <w:color w:val="auto"/>
        </w:rPr>
      </w:pPr>
    </w:p>
    <w:p>
      <w:pPr>
        <w:jc w:val="both"/>
        <w:ind w:firstLine="1755"/>
        <w:spacing w:after="0" w:line="268"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Selling Expenses) incurred in connection with registrations, filings, or qualifications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all registration, filing, and qualification fees; printers’ and accounting fees; fees and disbursements of counsel for the Company; and the reasonable fees and disbursements, not to exceed ten thousand dollars ($10,000), of one counsel for the selling Holders (“</w:t>
      </w:r>
      <w:r>
        <w:rPr>
          <w:rFonts w:ascii="Arial" w:cs="Arial" w:eastAsia="Arial" w:hAnsi="Arial"/>
          <w:sz w:val="18"/>
          <w:szCs w:val="18"/>
          <w:b w:val="1"/>
          <w:bCs w:val="1"/>
          <w:color w:val="auto"/>
        </w:rPr>
        <w:t>Selling Holder Counsel</w:t>
      </w:r>
      <w:r>
        <w:rPr>
          <w:rFonts w:ascii="Arial" w:cs="Arial" w:eastAsia="Arial" w:hAnsi="Arial"/>
          <w:sz w:val="18"/>
          <w:szCs w:val="18"/>
          <w:color w:val="auto"/>
        </w:rPr>
        <w:t xml:space="preserve">”), shall be borne and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pay for any expenses of any registration proceeding begun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8"/>
          <w:szCs w:val="18"/>
          <w:u w:val="single" w:color="auto"/>
          <w:color w:val="auto"/>
        </w:rPr>
        <w:t>Subsection 2.1(a)</w:t>
      </w:r>
      <w:r>
        <w:rPr>
          <w:rFonts w:ascii="Arial" w:cs="Arial" w:eastAsia="Arial" w:hAnsi="Arial"/>
          <w:sz w:val="18"/>
          <w:szCs w:val="18"/>
          <w:color w:val="auto"/>
        </w:rPr>
        <w:t xml:space="preserve">. All Selling Expenses relating to Registrable Securities registered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borne and paid by the Holders pro rata on the basis of the number of Registrable Securities registered on their behalf.</w:t>
      </w:r>
    </w:p>
    <w:p>
      <w:pPr>
        <w:spacing w:after="0" w:line="172"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Delay of Registration</w:t>
      </w:r>
      <w:r>
        <w:rPr>
          <w:rFonts w:ascii="Arial" w:cs="Arial" w:eastAsia="Arial" w:hAnsi="Arial"/>
          <w:sz w:val="20"/>
          <w:szCs w:val="20"/>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w:t>
      </w:r>
      <w:r>
        <w:rPr>
          <w:rFonts w:ascii="Arial" w:cs="Arial" w:eastAsia="Arial" w:hAnsi="Arial"/>
          <w:sz w:val="20"/>
          <w:szCs w:val="20"/>
          <w:u w:val="single" w:color="auto"/>
          <w:color w:val="auto"/>
        </w:rPr>
        <w:t>Section 2</w:t>
      </w:r>
      <w:r>
        <w:rPr>
          <w:rFonts w:ascii="Arial" w:cs="Arial" w:eastAsia="Arial" w:hAnsi="Arial"/>
          <w:sz w:val="20"/>
          <w:szCs w:val="20"/>
          <w:color w:val="auto"/>
        </w:rPr>
        <w:t>.</w:t>
      </w:r>
    </w:p>
    <w:p>
      <w:pPr>
        <w:spacing w:after="0" w:line="187" w:lineRule="exact"/>
        <w:rPr>
          <w:sz w:val="20"/>
          <w:szCs w:val="20"/>
          <w:color w:val="auto"/>
        </w:rPr>
      </w:pPr>
    </w:p>
    <w:p>
      <w:pPr>
        <w:jc w:val="both"/>
        <w:ind w:firstLine="1755"/>
        <w:spacing w:after="0" w:line="231" w:lineRule="exact"/>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“Market Stand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off” Agreement</w:t>
      </w:r>
      <w:r>
        <w:rPr>
          <w:rFonts w:ascii="Arial" w:cs="Arial" w:eastAsia="Arial" w:hAnsi="Arial"/>
          <w:sz w:val="18"/>
          <w:szCs w:val="18"/>
          <w:color w:val="auto"/>
        </w:rPr>
        <w:t>. Each Holder hereby agrees that it will not, without the prior written consent of the managing underwriter, during the period commencing on the date of the final prospectus relating to the registration by the Company of Common Shares or any other equity securities under a Registration Statement, and ending on the date specified by the Company and the managing underwriter (such period not to exceed one hundred eighty (180) days in the case of the IPO,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w:t>
      </w:r>
    </w:p>
    <w:p>
      <w:pPr>
        <w:spacing w:after="0" w:line="200" w:lineRule="exact"/>
        <w:rPr>
          <w:sz w:val="20"/>
          <w:szCs w:val="20"/>
          <w:color w:val="auto"/>
        </w:rPr>
      </w:pPr>
    </w:p>
    <w:p>
      <w:pPr>
        <w:spacing w:after="0" w:line="210"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84" w:name="page85"/>
    <w:bookmarkEnd w:id="84"/>
    <w:p>
      <w:pPr>
        <w:jc w:val="both"/>
        <w:spacing w:after="0" w:line="229" w:lineRule="exact"/>
        <w:rPr>
          <w:sz w:val="20"/>
          <w:szCs w:val="20"/>
          <w:color w:val="auto"/>
        </w:rPr>
      </w:pPr>
      <w:r>
        <w:rPr>
          <w:rFonts w:ascii="Arial" w:cs="Arial" w:eastAsia="Arial" w:hAnsi="Arial"/>
          <w:sz w:val="18"/>
          <w:szCs w:val="18"/>
          <w:color w:val="auto"/>
        </w:rPr>
        <w:t xml:space="preserve">2711(f)(4) or NYSE Rule 472(f)(4), or any successor provisions or amendments thereto), (i) lend; offer; pledge; sell; contract to sell; sell any option or contract to purchase; purchase any option or contract to sell; grant any option, right, or warrant to purchase; or otherwise transfer or dispose of, directly or indirectly, any Common Shares or any securities convertible into or exercisable or exchangeable (directly or indirectly) for Common Shares (whether such shares or any such securities are then owned by the Holder or are thereafter acquired) or (ii) enter into any swap or other arrangement that transfers to another, in whole or in part, any of the economic consequences of ownership of such securities, whether any such transaction described in clause (i) or (ii) above is to be settled by delivery of Common Shares or other securities, in cash, or otherwise. The foregoing provisions of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not apply to the sale of any shares to an underwriter pursuant to an underwriting agreement. The underwriters in connection with such registration are intended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beneficiaries of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or that are necessary to give further effect thereto.</w:t>
      </w:r>
    </w:p>
    <w:p>
      <w:pPr>
        <w:spacing w:after="0" w:line="196" w:lineRule="exact"/>
        <w:rPr>
          <w:sz w:val="20"/>
          <w:szCs w:val="20"/>
          <w:color w:val="auto"/>
        </w:rPr>
      </w:pPr>
    </w:p>
    <w:p>
      <w:pPr>
        <w:jc w:val="both"/>
        <w:ind w:firstLine="1755"/>
        <w:spacing w:after="0" w:line="311"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shall terminate upon the earliest to occur of:</w:t>
      </w:r>
    </w:p>
    <w:p>
      <w:pPr>
        <w:spacing w:after="0" w:line="144" w:lineRule="exact"/>
        <w:rPr>
          <w:sz w:val="20"/>
          <w:szCs w:val="20"/>
          <w:color w:val="auto"/>
        </w:rPr>
      </w:pPr>
    </w:p>
    <w:p>
      <w:pPr>
        <w:ind w:left="3520" w:hanging="879"/>
        <w:spacing w:after="0"/>
        <w:tabs>
          <w:tab w:leader="none" w:pos="3520" w:val="left"/>
        </w:tabs>
        <w:numPr>
          <w:ilvl w:val="0"/>
          <w:numId w:val="51"/>
        </w:numPr>
        <w:rPr>
          <w:rFonts w:ascii="Arial" w:cs="Arial" w:eastAsia="Arial" w:hAnsi="Arial"/>
          <w:sz w:val="20"/>
          <w:szCs w:val="20"/>
          <w:color w:val="auto"/>
        </w:rPr>
      </w:pPr>
      <w:r>
        <w:rPr>
          <w:rFonts w:ascii="Arial" w:cs="Arial" w:eastAsia="Arial" w:hAnsi="Arial"/>
          <w:sz w:val="19"/>
          <w:szCs w:val="19"/>
          <w:color w:val="auto"/>
        </w:rPr>
        <w:t>the closing of a Reorganization, as such term is defined in the Company’s Restated Articles;</w:t>
      </w:r>
    </w:p>
    <w:p>
      <w:pPr>
        <w:spacing w:after="0" w:line="223" w:lineRule="exact"/>
        <w:rPr>
          <w:rFonts w:ascii="Arial" w:cs="Arial" w:eastAsia="Arial" w:hAnsi="Arial"/>
          <w:sz w:val="20"/>
          <w:szCs w:val="20"/>
          <w:color w:val="auto"/>
        </w:rPr>
      </w:pPr>
    </w:p>
    <w:p>
      <w:pPr>
        <w:ind w:left="3540" w:hanging="899"/>
        <w:spacing w:after="0"/>
        <w:tabs>
          <w:tab w:leader="none" w:pos="3540" w:val="left"/>
        </w:tabs>
        <w:numPr>
          <w:ilvl w:val="0"/>
          <w:numId w:val="51"/>
        </w:numPr>
        <w:rPr>
          <w:rFonts w:ascii="Arial" w:cs="Arial" w:eastAsia="Arial" w:hAnsi="Arial"/>
          <w:sz w:val="18"/>
          <w:szCs w:val="18"/>
          <w:color w:val="auto"/>
        </w:rPr>
      </w:pPr>
      <w:r>
        <w:rPr>
          <w:rFonts w:ascii="Arial" w:cs="Arial" w:eastAsia="Arial" w:hAnsi="Arial"/>
          <w:sz w:val="17"/>
          <w:szCs w:val="17"/>
          <w:color w:val="auto"/>
        </w:rPr>
        <w:t>such time as Rule 144 or another similar exemption under the Securities Act is available for the sale</w:t>
      </w:r>
    </w:p>
    <w:p>
      <w:pPr>
        <w:spacing w:after="0" w:line="3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all of such Holder’s Capital Shares without limitation during a three-month period without registration; and</w:t>
      </w:r>
    </w:p>
    <w:p>
      <w:pPr>
        <w:spacing w:after="0" w:line="207" w:lineRule="exact"/>
        <w:rPr>
          <w:rFonts w:ascii="Arial" w:cs="Arial" w:eastAsia="Arial" w:hAnsi="Arial"/>
          <w:sz w:val="18"/>
          <w:szCs w:val="18"/>
          <w:color w:val="auto"/>
        </w:rPr>
      </w:pPr>
    </w:p>
    <w:p>
      <w:pPr>
        <w:ind w:left="3520" w:hanging="879"/>
        <w:spacing w:after="0"/>
        <w:tabs>
          <w:tab w:leader="none" w:pos="3520" w:val="left"/>
        </w:tabs>
        <w:numPr>
          <w:ilvl w:val="0"/>
          <w:numId w:val="51"/>
        </w:numPr>
        <w:rPr>
          <w:rFonts w:ascii="Arial" w:cs="Arial" w:eastAsia="Arial" w:hAnsi="Arial"/>
          <w:sz w:val="21"/>
          <w:szCs w:val="21"/>
          <w:color w:val="auto"/>
        </w:rPr>
      </w:pPr>
      <w:r>
        <w:rPr>
          <w:rFonts w:ascii="Arial" w:cs="Arial" w:eastAsia="Arial" w:hAnsi="Arial"/>
          <w:sz w:val="20"/>
          <w:szCs w:val="20"/>
          <w:color w:val="auto"/>
        </w:rPr>
        <w:t>the second anniversary of the IPO.</w:t>
      </w:r>
    </w:p>
    <w:p>
      <w:pPr>
        <w:spacing w:after="0" w:line="212" w:lineRule="exact"/>
        <w:rPr>
          <w:sz w:val="20"/>
          <w:szCs w:val="20"/>
          <w:color w:val="auto"/>
        </w:rPr>
      </w:pPr>
    </w:p>
    <w:p>
      <w:pPr>
        <w:ind w:left="1680" w:hanging="796"/>
        <w:spacing w:after="0"/>
        <w:tabs>
          <w:tab w:leader="none" w:pos="1680" w:val="left"/>
        </w:tabs>
        <w:numPr>
          <w:ilvl w:val="0"/>
          <w:numId w:val="52"/>
        </w:numPr>
        <w:rPr>
          <w:rFonts w:ascii="Arial" w:cs="Arial" w:eastAsia="Arial" w:hAnsi="Arial"/>
          <w:sz w:val="21"/>
          <w:szCs w:val="21"/>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99" w:lineRule="exact"/>
        <w:rPr>
          <w:rFonts w:ascii="Arial" w:cs="Arial" w:eastAsia="Arial" w:hAnsi="Arial"/>
          <w:sz w:val="21"/>
          <w:szCs w:val="21"/>
          <w:color w:val="auto"/>
        </w:rPr>
      </w:pPr>
    </w:p>
    <w:p>
      <w:pPr>
        <w:ind w:left="1760"/>
        <w:spacing w:after="0"/>
        <w:rPr>
          <w:rFonts w:ascii="Arial" w:cs="Arial" w:eastAsia="Arial" w:hAnsi="Arial"/>
          <w:sz w:val="21"/>
          <w:szCs w:val="21"/>
          <w:color w:val="auto"/>
        </w:rPr>
      </w:pPr>
      <w:r>
        <w:rPr>
          <w:rFonts w:ascii="Arial" w:cs="Arial" w:eastAsia="Arial" w:hAnsi="Arial"/>
          <w:sz w:val="20"/>
          <w:szCs w:val="20"/>
          <w:color w:val="auto"/>
        </w:rPr>
        <w:t>3.1.</w:t>
      </w:r>
      <w:r>
        <w:rPr>
          <w:rFonts w:ascii="Arial" w:cs="Arial" w:eastAsia="Arial" w:hAnsi="Arial"/>
          <w:sz w:val="17"/>
          <w:szCs w:val="17"/>
          <w:u w:val="single" w:color="auto"/>
          <w:color w:val="auto"/>
        </w:rPr>
        <w:t>General</w:t>
      </w:r>
      <w:r>
        <w:rPr>
          <w:rFonts w:ascii="Arial" w:cs="Arial" w:eastAsia="Arial" w:hAnsi="Arial"/>
          <w:sz w:val="17"/>
          <w:szCs w:val="17"/>
          <w:color w:val="auto"/>
        </w:rPr>
        <w:t>.</w:t>
      </w:r>
    </w:p>
    <w:p>
      <w:pPr>
        <w:spacing w:after="0" w:line="223" w:lineRule="exact"/>
        <w:rPr>
          <w:rFonts w:ascii="Arial" w:cs="Arial" w:eastAsia="Arial" w:hAnsi="Arial"/>
          <w:sz w:val="21"/>
          <w:szCs w:val="21"/>
          <w:color w:val="auto"/>
        </w:rPr>
      </w:pPr>
    </w:p>
    <w:p>
      <w:pPr>
        <w:jc w:val="both"/>
        <w:ind w:firstLine="2641"/>
        <w:spacing w:after="0" w:line="251" w:lineRule="auto"/>
        <w:tabs>
          <w:tab w:leader="none" w:pos="3512" w:val="left"/>
        </w:tabs>
        <w:numPr>
          <w:ilvl w:val="1"/>
          <w:numId w:val="52"/>
        </w:numPr>
        <w:rPr>
          <w:rFonts w:ascii="Arial" w:cs="Arial" w:eastAsia="Arial" w:hAnsi="Arial"/>
          <w:sz w:val="20"/>
          <w:szCs w:val="20"/>
          <w:color w:val="auto"/>
        </w:rPr>
      </w:pPr>
      <w:r>
        <w:rPr>
          <w:rFonts w:ascii="Arial" w:cs="Arial" w:eastAsia="Arial" w:hAnsi="Arial"/>
          <w:sz w:val="19"/>
          <w:szCs w:val="19"/>
          <w:color w:val="auto"/>
        </w:rPr>
        <w:t>The Capital Shares held by any Holder shall not be sold, pledged, or otherwise transferred, and the Company shall not recognize and shall issue stop-transfer instructions to its transfer agent with respect to any such sale, pledge, or transfer, except upon the conditions specified in this Agreement. A transferring Holder will cause any proposed purchaser, pledgee, or transferee of the Capital Shares held by such Holder to agree to take and hold such securities subject to the provisions and upon the conditions specified in this Agreement (any such Capital Shares transferred or proposed to be transferred, the “</w:t>
      </w:r>
      <w:r>
        <w:rPr>
          <w:rFonts w:ascii="Arial" w:cs="Arial" w:eastAsia="Arial" w:hAnsi="Arial"/>
          <w:sz w:val="19"/>
          <w:szCs w:val="19"/>
          <w:b w:val="1"/>
          <w:bCs w:val="1"/>
          <w:color w:val="auto"/>
        </w:rPr>
        <w:t>Transfer Shares</w:t>
      </w:r>
      <w:r>
        <w:rPr>
          <w:rFonts w:ascii="Arial" w:cs="Arial" w:eastAsia="Arial" w:hAnsi="Arial"/>
          <w:sz w:val="19"/>
          <w:szCs w:val="19"/>
          <w:color w:val="auto"/>
        </w:rPr>
        <w:t>”). Any successor or permitted assignee of any Holder, including any Prospective Transferee who purchases Transfer Shares in accordance with the terms hereof, shall deliver to the Company,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spacing w:after="0" w:line="200" w:lineRule="exact"/>
        <w:rPr>
          <w:sz w:val="20"/>
          <w:szCs w:val="20"/>
          <w:color w:val="auto"/>
        </w:rPr>
      </w:pPr>
    </w:p>
    <w:p>
      <w:pPr>
        <w:spacing w:after="0" w:line="204"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5" w:name="page86"/>
    <w:bookmarkEnd w:id="85"/>
    <w:p>
      <w:pPr>
        <w:jc w:val="both"/>
        <w:ind w:firstLine="2641"/>
        <w:spacing w:after="0" w:line="302" w:lineRule="auto"/>
        <w:tabs>
          <w:tab w:leader="none" w:pos="3524" w:val="left"/>
        </w:tabs>
        <w:numPr>
          <w:ilvl w:val="0"/>
          <w:numId w:val="53"/>
        </w:numPr>
        <w:rPr>
          <w:rFonts w:ascii="Arial" w:cs="Arial" w:eastAsia="Arial" w:hAnsi="Arial"/>
          <w:sz w:val="18"/>
          <w:szCs w:val="18"/>
          <w:color w:val="auto"/>
        </w:rPr>
      </w:pPr>
      <w:r>
        <w:rPr>
          <w:rFonts w:ascii="Arial" w:cs="Arial" w:eastAsia="Arial" w:hAnsi="Arial"/>
          <w:sz w:val="17"/>
          <w:szCs w:val="17"/>
          <w:color w:val="auto"/>
        </w:rPr>
        <w:t xml:space="preserve">Each certificate or instrument, if any, representing (i) Capital Shares and any other securities issued in respect thereof upon any share division, subdivision, share dividend, recapitalization, merger, consolidation, or similar event, shall (unless otherwise permitted by the provisions of </w:t>
      </w:r>
      <w:r>
        <w:rPr>
          <w:rFonts w:ascii="Arial" w:cs="Arial" w:eastAsia="Arial" w:hAnsi="Arial"/>
          <w:sz w:val="17"/>
          <w:szCs w:val="17"/>
          <w:u w:val="single" w:color="auto"/>
          <w:color w:val="auto"/>
        </w:rPr>
        <w:t>Subsection 3.1(c)</w:t>
      </w:r>
      <w:r>
        <w:rPr>
          <w:rFonts w:ascii="Arial" w:cs="Arial" w:eastAsia="Arial" w:hAnsi="Arial"/>
          <w:sz w:val="17"/>
          <w:szCs w:val="17"/>
          <w:color w:val="auto"/>
        </w:rPr>
        <w:t>) be stamped or otherwise imprinted with a legend substantially in the following form:</w:t>
      </w:r>
    </w:p>
    <w:p>
      <w:pPr>
        <w:spacing w:after="0" w:line="142" w:lineRule="exact"/>
        <w:rPr>
          <w:sz w:val="20"/>
          <w:szCs w:val="20"/>
          <w:color w:val="auto"/>
        </w:rPr>
      </w:pPr>
    </w:p>
    <w:p>
      <w:pPr>
        <w:jc w:val="both"/>
        <w:ind w:left="1760" w:right="1760" w:firstLine="608"/>
        <w:spacing w:after="0"/>
        <w:rPr>
          <w:sz w:val="20"/>
          <w:szCs w:val="20"/>
          <w:color w:val="auto"/>
        </w:rPr>
      </w:pPr>
      <w:r>
        <w:rPr>
          <w:rFonts w:ascii="Arial" w:cs="Arial" w:eastAsia="Arial" w:hAnsi="Arial"/>
          <w:sz w:val="20"/>
          <w:szCs w:val="20"/>
          <w:color w:val="auto"/>
        </w:rPr>
        <w:t>THE SECURITIES REPRESENTED HEREBY HAVE BEEN ACQUIRED FOR INVESTMENT AND HAVE NOT BEEN REGISTERED UNDER ANY SECURITIES ACT, INCLUDING THE SECURITIES ACT OF 1933. SUCH SHARES MAY NOT BE SOLD, PLEDGED, OR TRANSFERRED IN THE ABSENCE OF SUCH REGISTRATION OR A VALID EXEMPTION FROM THE REGISTRATION AND PROSPECTUS DELIVERY REQUIREMENTS OF SAID ACT.</w:t>
      </w:r>
    </w:p>
    <w:p>
      <w:pPr>
        <w:spacing w:after="0" w:line="89" w:lineRule="exact"/>
        <w:rPr>
          <w:sz w:val="20"/>
          <w:szCs w:val="20"/>
          <w:color w:val="auto"/>
        </w:rPr>
      </w:pPr>
    </w:p>
    <w:p>
      <w:pPr>
        <w:jc w:val="both"/>
        <w:ind w:left="1760" w:right="1760" w:firstLine="608"/>
        <w:spacing w:after="0"/>
        <w:rPr>
          <w:sz w:val="20"/>
          <w:szCs w:val="20"/>
          <w:color w:val="auto"/>
        </w:rPr>
      </w:pPr>
      <w:r>
        <w:rPr>
          <w:rFonts w:ascii="Arial" w:cs="Arial" w:eastAsia="Arial" w:hAnsi="Arial"/>
          <w:sz w:val="20"/>
          <w:szCs w:val="20"/>
          <w:color w:val="auto"/>
        </w:rPr>
        <w:t>THE SECURITIES REPRESENTED HEREBY MAY BE TRANSFERRED ONLY IN ACCORDANCE WITH THE TERMS OF AN AGREEMENT BETWEEN THE COMPANY AND THE SHAREHOLDERS, A COPY OF WHICH IS AVAILABLE ON REQUEST FROM THE COMPANY, AND WHICH INCLUDES, AMONG OTHER PROVISIONS, A RIGHT OF FIRST REFUSAL IN FAVOR OF THE COMPANY ON ALL TRANSFERS OF THE SECURITIES REPRESENTED BY THIS CERTIFICATE.</w:t>
      </w:r>
    </w:p>
    <w:p>
      <w:pPr>
        <w:spacing w:after="0" w:line="89" w:lineRule="exact"/>
        <w:rPr>
          <w:sz w:val="20"/>
          <w:szCs w:val="20"/>
          <w:color w:val="auto"/>
        </w:rPr>
      </w:pPr>
    </w:p>
    <w:p>
      <w:pPr>
        <w:ind w:firstLine="878"/>
        <w:spacing w:after="0" w:line="256" w:lineRule="auto"/>
        <w:rPr>
          <w:sz w:val="20"/>
          <w:szCs w:val="20"/>
          <w:color w:val="auto"/>
        </w:rPr>
      </w:pPr>
      <w:r>
        <w:rPr>
          <w:rFonts w:ascii="Arial" w:cs="Arial" w:eastAsia="Arial" w:hAnsi="Arial"/>
          <w:sz w:val="20"/>
          <w:szCs w:val="20"/>
          <w:color w:val="auto"/>
        </w:rPr>
        <w:t xml:space="preserve">The Holders consent to the Company making a notation in its records and giving instructions to any transfer agent of the Restricted Securities in order to implement the restrictions on transfer set forth in </w:t>
      </w:r>
      <w:r>
        <w:rPr>
          <w:rFonts w:ascii="Arial" w:cs="Arial" w:eastAsia="Arial" w:hAnsi="Arial"/>
          <w:sz w:val="20"/>
          <w:szCs w:val="20"/>
          <w:u w:val="single" w:color="auto"/>
          <w:color w:val="auto"/>
        </w:rPr>
        <w:t>Subsection 3.1.</w:t>
      </w:r>
    </w:p>
    <w:p>
      <w:pPr>
        <w:spacing w:after="0" w:line="190" w:lineRule="exact"/>
        <w:rPr>
          <w:sz w:val="20"/>
          <w:szCs w:val="20"/>
          <w:color w:val="auto"/>
        </w:rPr>
      </w:pPr>
    </w:p>
    <w:p>
      <w:pPr>
        <w:jc w:val="both"/>
        <w:ind w:firstLine="2641"/>
        <w:spacing w:after="0" w:line="265" w:lineRule="auto"/>
        <w:tabs>
          <w:tab w:leader="none" w:pos="3512" w:val="left"/>
        </w:tabs>
        <w:numPr>
          <w:ilvl w:val="0"/>
          <w:numId w:val="54"/>
        </w:numPr>
        <w:rPr>
          <w:rFonts w:ascii="Arial" w:cs="Arial" w:eastAsia="Arial" w:hAnsi="Arial"/>
          <w:sz w:val="19"/>
          <w:szCs w:val="19"/>
          <w:color w:val="auto"/>
        </w:rPr>
      </w:pPr>
      <w:r>
        <w:rPr>
          <w:rFonts w:ascii="Arial" w:cs="Arial" w:eastAsia="Arial" w:hAnsi="Arial"/>
          <w:sz w:val="18"/>
          <w:szCs w:val="18"/>
          <w:color w:val="auto"/>
        </w:rPr>
        <w:t xml:space="preserve">Each Holder of Restricted Securities, whether or not represented by a certificate or other instrument, by acceptance thereof, agrees to comply in all respects with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Before any proposed sale, pledge, or transfer of any Restricted Securities, unless there is in effect a Registration Statement covering the proposed transaction, the Holder thereof shall give notice to the Company of such Holder’s intention to effect such sale, pledge, or transfer in accordance with </w:t>
      </w:r>
      <w:r>
        <w:rPr>
          <w:rFonts w:ascii="Arial" w:cs="Arial" w:eastAsia="Arial" w:hAnsi="Arial"/>
          <w:sz w:val="18"/>
          <w:szCs w:val="18"/>
          <w:u w:val="single" w:color="auto"/>
          <w:color w:val="auto"/>
        </w:rPr>
        <w:t>Subsection 3.2(b)</w:t>
      </w:r>
      <w:r>
        <w:rPr>
          <w:rFonts w:ascii="Arial" w:cs="Arial" w:eastAsia="Arial" w:hAnsi="Arial"/>
          <w:sz w:val="18"/>
          <w:szCs w:val="18"/>
          <w:color w:val="auto"/>
        </w:rPr>
        <w:t xml:space="preserve">.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applicable securities laws; (ii) a “no action” letter from the SEC (or equivalent governmental authority) to the effect that the proposed sale, pledge, or transfer of such Restricted Securities without registration will not result in a recommendation by the staff of the SEC (or equivalent governmental authority) that action be taken with respect thereto; or (iii) any other evidence reasonably satisfactory to counsel to the Company to the effect that the proposed sale, pledge, or transfer of the Restricted Securities may be effected without registration under applicable securities laws, whereupon, subject to compliance with the terms of Section 3, including, without limitation,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the Holder of such Restricted Securities shall be entitled to sell, pledge, or transfer such Restricted Securities in accordance with the terms of the notice given by the Holder to the Company. Each certificate or instrument evidencing the Restricted Securities transferred as above provided shall bear the appropriate restrictive legend set forth in </w:t>
      </w:r>
      <w:r>
        <w:rPr>
          <w:rFonts w:ascii="Arial" w:cs="Arial" w:eastAsia="Arial" w:hAnsi="Arial"/>
          <w:sz w:val="18"/>
          <w:szCs w:val="18"/>
          <w:u w:val="single" w:color="auto"/>
          <w:color w:val="auto"/>
        </w:rPr>
        <w:t>Subsection 3.1(b)</w:t>
      </w:r>
      <w:r>
        <w:rPr>
          <w:rFonts w:ascii="Arial" w:cs="Arial" w:eastAsia="Arial" w:hAnsi="Arial"/>
          <w:sz w:val="18"/>
          <w:szCs w:val="18"/>
          <w:color w:val="auto"/>
        </w:rPr>
        <w:t>, except that such certificate shall not bear such restrictive legend if, in the opinion of counsel for such Holder and the Company, such legend is not required in order to establish compliance with any provisions of applicable securities laws.</w:t>
      </w:r>
    </w:p>
    <w:p>
      <w:pPr>
        <w:spacing w:after="0" w:line="390" w:lineRule="exact"/>
        <w:rPr>
          <w:sz w:val="20"/>
          <w:szCs w:val="20"/>
          <w:color w:val="auto"/>
        </w:rPr>
      </w:pPr>
    </w:p>
    <w:p>
      <w:pPr>
        <w:spacing w:after="0"/>
        <w:tabs>
          <w:tab w:leader="none" w:pos="566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6" w:name="page87"/>
    <w:bookmarkEnd w:id="86"/>
    <w:p>
      <w:pPr>
        <w:ind w:left="1760"/>
        <w:spacing w:after="0"/>
        <w:tabs>
          <w:tab w:leader="none" w:pos="26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4" w:lineRule="exact"/>
        <w:rPr>
          <w:sz w:val="20"/>
          <w:szCs w:val="20"/>
          <w:color w:val="auto"/>
        </w:rPr>
      </w:pPr>
    </w:p>
    <w:p>
      <w:pPr>
        <w:jc w:val="both"/>
        <w:ind w:firstLine="2641"/>
        <w:spacing w:after="0" w:line="238" w:lineRule="auto"/>
        <w:tabs>
          <w:tab w:leader="none" w:pos="3512" w:val="left"/>
        </w:tabs>
        <w:numPr>
          <w:ilvl w:val="0"/>
          <w:numId w:val="55"/>
        </w:numPr>
        <w:rPr>
          <w:rFonts w:ascii="Arial" w:cs="Arial" w:eastAsia="Arial" w:hAnsi="Arial"/>
          <w:sz w:val="21"/>
          <w:szCs w:val="21"/>
          <w:color w:val="auto"/>
        </w:rPr>
      </w:pPr>
      <w:r>
        <w:rPr>
          <w:rFonts w:ascii="Arial" w:cs="Arial" w:eastAsia="Arial" w:hAnsi="Arial"/>
          <w:sz w:val="20"/>
          <w:szCs w:val="20"/>
          <w:u w:val="single" w:color="auto"/>
          <w:color w:val="auto"/>
        </w:rPr>
        <w:t>Grant</w:t>
      </w:r>
      <w:r>
        <w:rPr>
          <w:rFonts w:ascii="Arial" w:cs="Arial" w:eastAsia="Arial" w:hAnsi="Arial"/>
          <w:sz w:val="20"/>
          <w:szCs w:val="20"/>
          <w:color w:val="auto"/>
        </w:rPr>
        <w:t xml:space="preserve">. Subject to the terms of </w:t>
      </w:r>
      <w:r>
        <w:rPr>
          <w:rFonts w:ascii="Arial" w:cs="Arial" w:eastAsia="Arial" w:hAnsi="Arial"/>
          <w:sz w:val="20"/>
          <w:szCs w:val="20"/>
          <w:u w:val="single" w:color="auto"/>
          <w:color w:val="auto"/>
        </w:rPr>
        <w:t>Section 3.2(e)</w:t>
      </w:r>
      <w:r>
        <w:rPr>
          <w:rFonts w:ascii="Arial" w:cs="Arial" w:eastAsia="Arial" w:hAnsi="Arial"/>
          <w:sz w:val="20"/>
          <w:szCs w:val="20"/>
          <w:color w:val="auto"/>
        </w:rPr>
        <w:t xml:space="preserve"> below, each Holder hereby unconditionally and irrevocably grants to the Company a Right of First Refusal to purchase all or any portion of any Transfer Shares that such Holder may propose to transfer in a Proposed Holder Transfer, at the same price and on the same terms and conditions as those offered to the Prospective Transferee. The Right of First Refusal herby granted to the Company shall be assignable, in whole or in party, by the Company to any Person, in the Company’s sole discretion.</w:t>
      </w:r>
    </w:p>
    <w:p>
      <w:pPr>
        <w:spacing w:after="0" w:line="210" w:lineRule="exact"/>
        <w:rPr>
          <w:rFonts w:ascii="Arial" w:cs="Arial" w:eastAsia="Arial" w:hAnsi="Arial"/>
          <w:sz w:val="21"/>
          <w:szCs w:val="21"/>
          <w:color w:val="auto"/>
        </w:rPr>
      </w:pPr>
    </w:p>
    <w:p>
      <w:pPr>
        <w:jc w:val="both"/>
        <w:ind w:firstLine="2641"/>
        <w:spacing w:after="0" w:line="254" w:lineRule="auto"/>
        <w:tabs>
          <w:tab w:leader="none" w:pos="3524" w:val="left"/>
        </w:tabs>
        <w:numPr>
          <w:ilvl w:val="0"/>
          <w:numId w:val="55"/>
        </w:numPr>
        <w:rPr>
          <w:rFonts w:ascii="Arial" w:cs="Arial" w:eastAsia="Arial" w:hAnsi="Arial"/>
          <w:sz w:val="20"/>
          <w:szCs w:val="20"/>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Each Holder proposing to make a Proposed Holder Transfer must deliver a Proposed Transfer Notice to the Company not later than forty-five (45) days prior to the consummation of such Proposed Holder Transfer. Such Proposed Transfer Notice shall contain the material terms and conditions (including price and form of consideration) of the Proposed Holder Transfer and the identity of the Prospective Transferee. To exercise its Right of First Refusal under </w:t>
      </w:r>
      <w:r>
        <w:rPr>
          <w:rFonts w:ascii="Arial" w:cs="Arial" w:eastAsia="Arial" w:hAnsi="Arial"/>
          <w:sz w:val="19"/>
          <w:szCs w:val="19"/>
          <w:u w:val="single" w:color="auto"/>
          <w:color w:val="auto"/>
        </w:rPr>
        <w:t>Section 3.2</w:t>
      </w:r>
      <w:r>
        <w:rPr>
          <w:rFonts w:ascii="Arial" w:cs="Arial" w:eastAsia="Arial" w:hAnsi="Arial"/>
          <w:sz w:val="19"/>
          <w:szCs w:val="19"/>
          <w:color w:val="auto"/>
        </w:rPr>
        <w:t>, the Company must deliver a Company Notice to the selling Holder within thirty (30) days after delivery of the Proposed Transfer Notice.</w:t>
      </w:r>
    </w:p>
    <w:p>
      <w:pPr>
        <w:spacing w:after="0" w:line="193" w:lineRule="exact"/>
        <w:rPr>
          <w:rFonts w:ascii="Arial" w:cs="Arial" w:eastAsia="Arial" w:hAnsi="Arial"/>
          <w:sz w:val="20"/>
          <w:szCs w:val="20"/>
          <w:color w:val="auto"/>
        </w:rPr>
      </w:pPr>
    </w:p>
    <w:p>
      <w:pPr>
        <w:jc w:val="both"/>
        <w:ind w:firstLine="2641"/>
        <w:spacing w:after="0" w:line="284" w:lineRule="auto"/>
        <w:tabs>
          <w:tab w:leader="none" w:pos="3512" w:val="left"/>
        </w:tabs>
        <w:numPr>
          <w:ilvl w:val="0"/>
          <w:numId w:val="55"/>
        </w:numPr>
        <w:rPr>
          <w:rFonts w:ascii="Arial" w:cs="Arial" w:eastAsia="Arial" w:hAnsi="Arial"/>
          <w:sz w:val="18"/>
          <w:szCs w:val="18"/>
          <w:color w:val="auto"/>
        </w:rPr>
      </w:pPr>
      <w:r>
        <w:rPr>
          <w:rFonts w:ascii="Arial" w:cs="Arial" w:eastAsia="Arial" w:hAnsi="Arial"/>
          <w:sz w:val="17"/>
          <w:szCs w:val="17"/>
          <w:u w:val="single" w:color="auto"/>
          <w:color w:val="auto"/>
        </w:rPr>
        <w:t>Forfeiture of Rights</w:t>
      </w:r>
      <w:r>
        <w:rPr>
          <w:rFonts w:ascii="Arial" w:cs="Arial" w:eastAsia="Arial" w:hAnsi="Arial"/>
          <w:sz w:val="17"/>
          <w:szCs w:val="17"/>
          <w:color w:val="auto"/>
        </w:rPr>
        <w:t xml:space="preserve">. Notwithstanding the foregoing, if the total number of Transfer Shares that the Company has agreed to purchase in the Company Notice is less than the total number of Transfer Shares proposed to be transferred, then the Company shall be deemed to have forfeited any right to purchase such remaining Transfer Shares, and the selling Holder shall be free to sell such Transfer Shares not purchased by the Company to the Prospective Transferee on terms and conditions substantially similar to (and in no event more favorable to the Prospective Transferee than) the terms and conditions set forth in the Proposed Transfer Notice, it being understood and agreed that (i) any such sale or transfer shall be subject to the other terms and restrictions of this Agreement; (ii) any future Proposed Holder Transfer shall remain subject to the terms and conditions of this Agreement, including </w:t>
      </w:r>
      <w:r>
        <w:rPr>
          <w:rFonts w:ascii="Arial" w:cs="Arial" w:eastAsia="Arial" w:hAnsi="Arial"/>
          <w:sz w:val="17"/>
          <w:szCs w:val="17"/>
          <w:u w:val="single" w:color="auto"/>
          <w:color w:val="auto"/>
        </w:rPr>
        <w:t>Section 3</w:t>
      </w:r>
      <w:r>
        <w:rPr>
          <w:rFonts w:ascii="Arial" w:cs="Arial" w:eastAsia="Arial" w:hAnsi="Arial"/>
          <w:sz w:val="17"/>
          <w:szCs w:val="17"/>
          <w:color w:val="auto"/>
        </w:rPr>
        <w:t>; and (iii) such sale shall be consummated within seventy-five (75) days after receipt of the Proposed Transfer Notice by the Company and, if such sale is not consummated within such seventy-five (75) day period, such sale shall again become subject to the Right of First Refusal on the terms set forth herein.</w:t>
      </w:r>
    </w:p>
    <w:p>
      <w:pPr>
        <w:spacing w:after="0" w:line="174" w:lineRule="exact"/>
        <w:rPr>
          <w:rFonts w:ascii="Arial" w:cs="Arial" w:eastAsia="Arial" w:hAnsi="Arial"/>
          <w:sz w:val="18"/>
          <w:szCs w:val="18"/>
          <w:color w:val="auto"/>
        </w:rPr>
      </w:pPr>
    </w:p>
    <w:p>
      <w:pPr>
        <w:jc w:val="both"/>
        <w:ind w:firstLine="2641"/>
        <w:spacing w:after="0" w:line="252" w:lineRule="auto"/>
        <w:tabs>
          <w:tab w:leader="none" w:pos="3524" w:val="left"/>
        </w:tabs>
        <w:numPr>
          <w:ilvl w:val="0"/>
          <w:numId w:val="55"/>
        </w:numPr>
        <w:rPr>
          <w:rFonts w:ascii="Arial" w:cs="Arial" w:eastAsia="Arial" w:hAnsi="Arial"/>
          <w:sz w:val="20"/>
          <w:szCs w:val="20"/>
          <w:color w:val="auto"/>
        </w:rPr>
      </w:pPr>
      <w:r>
        <w:rPr>
          <w:rFonts w:ascii="Arial" w:cs="Arial" w:eastAsia="Arial" w:hAnsi="Arial"/>
          <w:sz w:val="19"/>
          <w:szCs w:val="19"/>
          <w:u w:val="single" w:color="auto"/>
          <w:color w:val="auto"/>
        </w:rPr>
        <w:t>Consideration; Closing</w:t>
      </w:r>
      <w:r>
        <w:rPr>
          <w:rFonts w:ascii="Arial" w:cs="Arial" w:eastAsia="Arial" w:hAnsi="Arial"/>
          <w:sz w:val="19"/>
          <w:szCs w:val="19"/>
          <w:color w:val="auto"/>
        </w:rPr>
        <w:t>. If the consideration proposed to be paid for the Transfer Shares is in property, services or other non-cash consideration, the fair market value of the consideration shall be as determined in good faith by the Company and as set forth in the Company Notice. If the Company cannot for any reason pay for the Transfer Shares in the same form of non-cash consideration, the Company may pay the cash value equivalent thereof, as determined in good faith by the Company and as set forth in the Company Notice. The closing of the purchase of Transfer Shares by the Company shall take place, and all payments from the Company shall have been delivered to the selling Holder, by the later of (i) the date specified in the Proposed Transfer Notice as the intended date of the Proposed Holder Transfer and (ii) thirty (30) days after delivery of the Proposed Transfer Notice.</w:t>
      </w:r>
    </w:p>
    <w:p>
      <w:pPr>
        <w:spacing w:after="0" w:line="197" w:lineRule="exact"/>
        <w:rPr>
          <w:rFonts w:ascii="Arial" w:cs="Arial" w:eastAsia="Arial" w:hAnsi="Arial"/>
          <w:sz w:val="20"/>
          <w:szCs w:val="20"/>
          <w:color w:val="auto"/>
        </w:rPr>
      </w:pPr>
    </w:p>
    <w:p>
      <w:pPr>
        <w:jc w:val="both"/>
        <w:ind w:firstLine="2641"/>
        <w:spacing w:after="0" w:line="274" w:lineRule="auto"/>
        <w:tabs>
          <w:tab w:leader="none" w:pos="3512" w:val="left"/>
        </w:tabs>
        <w:numPr>
          <w:ilvl w:val="0"/>
          <w:numId w:val="55"/>
        </w:numPr>
        <w:rPr>
          <w:rFonts w:ascii="Arial" w:cs="Arial" w:eastAsia="Arial" w:hAnsi="Arial"/>
          <w:sz w:val="19"/>
          <w:szCs w:val="19"/>
          <w:color w:val="auto"/>
        </w:rPr>
      </w:pPr>
      <w:r>
        <w:rPr>
          <w:rFonts w:ascii="Arial" w:cs="Arial" w:eastAsia="Arial" w:hAnsi="Arial"/>
          <w:sz w:val="18"/>
          <w:szCs w:val="18"/>
          <w:u w:val="single" w:color="auto"/>
          <w:color w:val="auto"/>
        </w:rPr>
        <w:t>Violation of First Refusal Right</w:t>
      </w:r>
      <w:r>
        <w:rPr>
          <w:rFonts w:ascii="Arial" w:cs="Arial" w:eastAsia="Arial" w:hAnsi="Arial"/>
          <w:sz w:val="18"/>
          <w:szCs w:val="18"/>
          <w:color w:val="auto"/>
        </w:rPr>
        <w:t>. If any Holder becomes obligated to sell any Transfer Shares to the Company under this Agreement and fails to deliver such Transfer Shares in accordance with the terms of this Agreement, the Company may, at its option, in addition to all other remedies it may have, send to such Holder the purchase price for such Transfer Shares as is herein specified and thereby purchase such Transfer Shares and cancel such shares in accordance with the Restated Articles.</w:t>
      </w:r>
    </w:p>
    <w:p>
      <w:pPr>
        <w:spacing w:after="0" w:line="379"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87" w:name="page88"/>
    <w:bookmarkEnd w:id="87"/>
    <w:p>
      <w:pPr>
        <w:jc w:val="both"/>
        <w:ind w:firstLine="2641"/>
        <w:spacing w:after="0" w:line="251" w:lineRule="auto"/>
        <w:tabs>
          <w:tab w:leader="none" w:pos="3489" w:val="left"/>
        </w:tabs>
        <w:numPr>
          <w:ilvl w:val="0"/>
          <w:numId w:val="56"/>
        </w:numPr>
        <w:rPr>
          <w:rFonts w:ascii="Arial" w:cs="Arial" w:eastAsia="Arial" w:hAnsi="Arial"/>
          <w:sz w:val="20"/>
          <w:szCs w:val="20"/>
          <w:color w:val="auto"/>
        </w:rPr>
      </w:pPr>
      <w:r>
        <w:rPr>
          <w:rFonts w:ascii="Arial" w:cs="Arial" w:eastAsia="Arial" w:hAnsi="Arial"/>
          <w:sz w:val="19"/>
          <w:szCs w:val="19"/>
          <w:u w:val="single" w:color="auto"/>
          <w:color w:val="auto"/>
        </w:rPr>
        <w:t>Exempted Transfers</w:t>
      </w:r>
      <w:r>
        <w:rPr>
          <w:rFonts w:ascii="Arial" w:cs="Arial" w:eastAsia="Arial" w:hAnsi="Arial"/>
          <w:sz w:val="19"/>
          <w:szCs w:val="19"/>
          <w:color w:val="auto"/>
        </w:rPr>
        <w:t xml:space="preserve">. Notwithstanding the foregoing or anything to the contrary herein, the provisions of this </w:t>
      </w:r>
      <w:r>
        <w:rPr>
          <w:rFonts w:ascii="Arial" w:cs="Arial" w:eastAsia="Arial" w:hAnsi="Arial"/>
          <w:sz w:val="19"/>
          <w:szCs w:val="19"/>
          <w:u w:val="single" w:color="auto"/>
          <w:color w:val="auto"/>
        </w:rPr>
        <w:t>Subsection 3.2</w:t>
      </w:r>
      <w:r>
        <w:rPr>
          <w:rFonts w:ascii="Arial" w:cs="Arial" w:eastAsia="Arial" w:hAnsi="Arial"/>
          <w:sz w:val="19"/>
          <w:szCs w:val="19"/>
          <w:color w:val="auto"/>
        </w:rPr>
        <w:t xml:space="preserve"> shall not apply: (a) in the case of a Holder that is an entity, upon a transfer by such Holder to its stockholders, members, partners or other equity holders, or (b) in the case of a Holder that is a natural person, upon a transfer by such Holder, either during his or her lifetime or on death by will or intestacy to his or her Immediate Family Member or any other relative approved by the Company, or any custodian or trustee of any trust, partnership or limited liability company for the benefit of, or the ownership interests of which are owned wholly by, such Holder or any such Immediate Family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clauses (a</w:t>
      </w:r>
      <w:r>
        <w:rPr>
          <w:rFonts w:ascii="Arial" w:cs="Arial" w:eastAsia="Arial" w:hAnsi="Arial"/>
          <w:sz w:val="19"/>
          <w:szCs w:val="19"/>
          <w:b w:val="1"/>
          <w:bCs w:val="1"/>
          <w:color w:val="auto"/>
        </w:rPr>
        <w:t>)</w:t>
      </w:r>
      <w:r>
        <w:rPr>
          <w:rFonts w:ascii="Arial" w:cs="Arial" w:eastAsia="Arial" w:hAnsi="Arial"/>
          <w:sz w:val="19"/>
          <w:szCs w:val="19"/>
          <w:color w:val="auto"/>
        </w:rPr>
        <w:t xml:space="preserve"> or (b), the Holder shall deliver prior written notice to the Company of such pledge, gift or transfer and such shares of Transfer Shares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as a Holder (but only with respect to the securities so transferred to the transferee).</w:t>
      </w:r>
    </w:p>
    <w:p>
      <w:pPr>
        <w:spacing w:after="0" w:line="199" w:lineRule="exact"/>
        <w:rPr>
          <w:rFonts w:ascii="Arial" w:cs="Arial" w:eastAsia="Arial" w:hAnsi="Arial"/>
          <w:sz w:val="20"/>
          <w:szCs w:val="20"/>
          <w:color w:val="auto"/>
        </w:rPr>
      </w:pPr>
    </w:p>
    <w:p>
      <w:pPr>
        <w:ind w:left="3540" w:hanging="899"/>
        <w:spacing w:after="0"/>
        <w:tabs>
          <w:tab w:leader="none" w:pos="3540" w:val="left"/>
        </w:tabs>
        <w:numPr>
          <w:ilvl w:val="0"/>
          <w:numId w:val="56"/>
        </w:numPr>
        <w:rPr>
          <w:rFonts w:ascii="Arial" w:cs="Arial" w:eastAsia="Arial" w:hAnsi="Arial"/>
          <w:sz w:val="20"/>
          <w:szCs w:val="20"/>
          <w:color w:val="auto"/>
        </w:rPr>
      </w:pPr>
      <w:r>
        <w:rPr>
          <w:rFonts w:ascii="Arial" w:cs="Arial" w:eastAsia="Arial" w:hAnsi="Arial"/>
          <w:sz w:val="19"/>
          <w:szCs w:val="19"/>
          <w:u w:val="single" w:color="auto"/>
          <w:color w:val="auto"/>
        </w:rPr>
        <w:t>Termination of Right of First Refusal</w:t>
      </w:r>
      <w:r>
        <w:rPr>
          <w:rFonts w:ascii="Arial" w:cs="Arial" w:eastAsia="Arial" w:hAnsi="Arial"/>
          <w:sz w:val="19"/>
          <w:szCs w:val="19"/>
          <w:color w:val="auto"/>
        </w:rPr>
        <w:t>.  The Right of First Refusal set forth in Section 3 shall</w:t>
      </w:r>
    </w:p>
    <w:p>
      <w:pPr>
        <w:spacing w:after="0" w:line="1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terminate upon the earliest to occur of:</w:t>
      </w:r>
    </w:p>
    <w:p>
      <w:pPr>
        <w:spacing w:after="0" w:line="194" w:lineRule="exact"/>
        <w:rPr>
          <w:rFonts w:ascii="Arial" w:cs="Arial" w:eastAsia="Arial" w:hAnsi="Arial"/>
          <w:sz w:val="20"/>
          <w:szCs w:val="20"/>
          <w:color w:val="auto"/>
        </w:rPr>
      </w:pPr>
    </w:p>
    <w:p>
      <w:pPr>
        <w:ind w:left="4260" w:hanging="741"/>
        <w:spacing w:after="0"/>
        <w:tabs>
          <w:tab w:leader="none" w:pos="426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effectiveness of a public offering by the Company; and</w:t>
      </w:r>
    </w:p>
    <w:p>
      <w:pPr>
        <w:spacing w:after="0" w:line="210" w:lineRule="exact"/>
        <w:rPr>
          <w:rFonts w:ascii="Arial" w:cs="Arial" w:eastAsia="Arial" w:hAnsi="Arial"/>
          <w:sz w:val="20"/>
          <w:szCs w:val="20"/>
          <w:color w:val="auto"/>
        </w:rPr>
      </w:pPr>
    </w:p>
    <w:p>
      <w:pPr>
        <w:jc w:val="both"/>
        <w:ind w:firstLine="3519"/>
        <w:spacing w:after="0" w:line="246" w:lineRule="auto"/>
        <w:tabs>
          <w:tab w:leader="none" w:pos="431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sale or other transfer in a transaction or series of transactions, other than to an Affiliate, of greater than fifty percent (50%) of the Capital Shares of the Company held by FibroGen International (Cayman) Limited as of the final Closing of the Series A Preference shares.</w:t>
      </w:r>
    </w:p>
    <w:p>
      <w:pPr>
        <w:spacing w:after="0" w:line="18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Prohibited Transferees</w:t>
      </w:r>
      <w:r>
        <w:rPr>
          <w:rFonts w:ascii="Arial" w:cs="Arial" w:eastAsia="Arial" w:hAnsi="Arial"/>
          <w:sz w:val="20"/>
          <w:szCs w:val="20"/>
          <w:color w:val="auto"/>
        </w:rPr>
        <w:t>. No Holder shall transfer any Transfer Shares to (a) any Person which, in the determination of the Company is a Competitor, or (b) any customer, distributor or supplier of the Company, if the Company should determine that such transfer would result in such customer, distributor or supplier receiving information that would place the Company at a competitive disadvantage with respect to such customer, distributor or supplier.</w:t>
      </w:r>
    </w:p>
    <w:p>
      <w:pPr>
        <w:spacing w:after="0" w:line="190"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Transfer Void</w:t>
      </w:r>
      <w:r>
        <w:rPr>
          <w:rFonts w:ascii="Arial" w:cs="Arial" w:eastAsia="Arial" w:hAnsi="Arial"/>
          <w:sz w:val="20"/>
          <w:szCs w:val="20"/>
          <w:color w:val="auto"/>
        </w:rPr>
        <w:t xml:space="preserve">. Any Proposed Holder Transfer not made in compliance with the requirements of this Agreement shall be null and void </w:t>
      </w:r>
      <w:r>
        <w:rPr>
          <w:rFonts w:ascii="Arial" w:cs="Arial" w:eastAsia="Arial" w:hAnsi="Arial"/>
          <w:sz w:val="20"/>
          <w:szCs w:val="20"/>
          <w:i w:val="1"/>
          <w:iCs w:val="1"/>
          <w:color w:val="auto"/>
        </w:rPr>
        <w:t>ab initio</w:t>
      </w:r>
      <w:r>
        <w:rPr>
          <w:rFonts w:ascii="Arial" w:cs="Arial" w:eastAsia="Arial" w:hAnsi="Arial"/>
          <w:sz w:val="20"/>
          <w:szCs w:val="20"/>
          <w:color w:val="auto"/>
        </w:rPr>
        <w:t>, shall not be recorded on the books of the Company or its transfer agent and shall not be recognized by the Company.</w:t>
      </w:r>
    </w:p>
    <w:p>
      <w:pPr>
        <w:spacing w:after="0" w:line="18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Exempted Offerings</w:t>
      </w:r>
      <w:r>
        <w:rPr>
          <w:rFonts w:ascii="Arial" w:cs="Arial" w:eastAsia="Arial" w:hAnsi="Arial"/>
          <w:sz w:val="20"/>
          <w:szCs w:val="20"/>
          <w:color w:val="auto"/>
        </w:rPr>
        <w:t xml:space="preserve">. Notwithstanding the foregoing or anything to the contrary herein, the provisions of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shall not apply to any sale, pledge or other transfer of any Capital Shares (a) to the public in an offering pursuant to an effective Registration Statement, (b) pursuant to a Reorganization (as defined in the Company’s Restated Articles), or (c) by FibroGen, Inc., FibroGen International (Cayman) Limited or its Affiliates.</w:t>
      </w:r>
    </w:p>
    <w:p>
      <w:pPr>
        <w:spacing w:after="0" w:line="203" w:lineRule="exact"/>
        <w:rPr>
          <w:sz w:val="20"/>
          <w:szCs w:val="20"/>
          <w:color w:val="auto"/>
        </w:rPr>
      </w:pPr>
    </w:p>
    <w:p>
      <w:pPr>
        <w:ind w:left="1680" w:hanging="796"/>
        <w:spacing w:after="0"/>
        <w:tabs>
          <w:tab w:leader="none" w:pos="1680" w:val="left"/>
        </w:tabs>
        <w:numPr>
          <w:ilvl w:val="0"/>
          <w:numId w:val="57"/>
        </w:numPr>
        <w:rPr>
          <w:rFonts w:ascii="Arial" w:cs="Arial" w:eastAsia="Arial" w:hAnsi="Arial"/>
          <w:sz w:val="21"/>
          <w:szCs w:val="21"/>
          <w:color w:val="auto"/>
        </w:rPr>
      </w:pPr>
      <w:r>
        <w:rPr>
          <w:rFonts w:ascii="Arial" w:cs="Arial" w:eastAsia="Arial" w:hAnsi="Arial"/>
          <w:sz w:val="20"/>
          <w:szCs w:val="20"/>
          <w:u w:val="single" w:color="auto"/>
          <w:color w:val="auto"/>
        </w:rPr>
        <w:t>Drag-Along Right</w:t>
      </w:r>
      <w:r>
        <w:rPr>
          <w:rFonts w:ascii="Arial" w:cs="Arial" w:eastAsia="Arial" w:hAnsi="Arial"/>
          <w:sz w:val="20"/>
          <w:szCs w:val="20"/>
          <w:color w:val="auto"/>
        </w:rPr>
        <w:t>.</w:t>
      </w:r>
    </w:p>
    <w:p>
      <w:pPr>
        <w:spacing w:after="0" w:line="193" w:lineRule="exact"/>
        <w:rPr>
          <w:sz w:val="20"/>
          <w:szCs w:val="20"/>
          <w:color w:val="auto"/>
        </w:rPr>
      </w:pPr>
    </w:p>
    <w:p>
      <w:pPr>
        <w:jc w:val="both"/>
        <w:ind w:firstLine="1755"/>
        <w:spacing w:after="0" w:line="245"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Definitions</w:t>
      </w:r>
      <w:r>
        <w:rPr>
          <w:rFonts w:ascii="Arial" w:cs="Arial" w:eastAsia="Arial" w:hAnsi="Arial"/>
          <w:sz w:val="20"/>
          <w:szCs w:val="20"/>
          <w:color w:val="auto"/>
        </w:rPr>
        <w:t>. A “</w:t>
      </w:r>
      <w:r>
        <w:rPr>
          <w:rFonts w:ascii="Arial" w:cs="Arial" w:eastAsia="Arial" w:hAnsi="Arial"/>
          <w:sz w:val="20"/>
          <w:szCs w:val="20"/>
          <w:b w:val="1"/>
          <w:bCs w:val="1"/>
          <w:color w:val="auto"/>
        </w:rPr>
        <w:t>Sale of the Company</w:t>
      </w:r>
      <w:r>
        <w:rPr>
          <w:rFonts w:ascii="Arial" w:cs="Arial" w:eastAsia="Arial" w:hAnsi="Arial"/>
          <w:sz w:val="20"/>
          <w:szCs w:val="20"/>
          <w:color w:val="auto"/>
        </w:rPr>
        <w:t>” shall mean either: (a) a transaction or series of related transactions (excluding an IPO or other registered offering by the Company) in which a Person, or a group of related Persons, acquires from shareholders of the Company shares representing at least fifty percent (50%) of the outstanding voting power of the Company (a “</w:t>
      </w:r>
      <w:r>
        <w:rPr>
          <w:rFonts w:ascii="Arial" w:cs="Arial" w:eastAsia="Arial" w:hAnsi="Arial"/>
          <w:sz w:val="20"/>
          <w:szCs w:val="20"/>
          <w:b w:val="1"/>
          <w:bCs w:val="1"/>
          <w:color w:val="auto"/>
        </w:rPr>
        <w:t>Share Sale</w:t>
      </w:r>
      <w:r>
        <w:rPr>
          <w:rFonts w:ascii="Arial" w:cs="Arial" w:eastAsia="Arial" w:hAnsi="Arial"/>
          <w:sz w:val="20"/>
          <w:szCs w:val="20"/>
          <w:color w:val="auto"/>
        </w:rPr>
        <w:t>”); or (b) a transaction that qualifies as a “</w:t>
      </w:r>
      <w:r>
        <w:rPr>
          <w:rFonts w:ascii="Arial" w:cs="Arial" w:eastAsia="Arial" w:hAnsi="Arial"/>
          <w:sz w:val="20"/>
          <w:szCs w:val="20"/>
          <w:b w:val="1"/>
          <w:bCs w:val="1"/>
          <w:color w:val="auto"/>
        </w:rPr>
        <w:t>Reorganization</w:t>
      </w:r>
      <w:r>
        <w:rPr>
          <w:rFonts w:ascii="Arial" w:cs="Arial" w:eastAsia="Arial" w:hAnsi="Arial"/>
          <w:sz w:val="20"/>
          <w:szCs w:val="20"/>
          <w:color w:val="auto"/>
        </w:rPr>
        <w:t>” as defined in the Restated Articles.</w:t>
      </w:r>
    </w:p>
    <w:p>
      <w:pPr>
        <w:spacing w:after="0" w:line="188" w:lineRule="exact"/>
        <w:rPr>
          <w:sz w:val="20"/>
          <w:szCs w:val="20"/>
          <w:color w:val="auto"/>
        </w:rPr>
      </w:pPr>
    </w:p>
    <w:p>
      <w:pPr>
        <w:jc w:val="both"/>
        <w:ind w:firstLine="1755"/>
        <w:spacing w:after="0" w:line="241"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Actions to be Taken</w:t>
      </w:r>
      <w:r>
        <w:rPr>
          <w:rFonts w:ascii="Arial" w:cs="Arial" w:eastAsia="Arial" w:hAnsi="Arial"/>
          <w:sz w:val="20"/>
          <w:szCs w:val="20"/>
          <w:color w:val="auto"/>
        </w:rPr>
        <w:t>. In the event that (a) holders representing at least fifty percent (50%) of the Common Shares (i) then issued and outstanding and (ii) issuable upon conversion of the shares of Series A Preference Shares, voting together as a single class, and (b) holders representing at least fifty percent (50%) of the Series A Preference Shares then issued and outstanding voting as a separate class (collectively, the “</w:t>
      </w:r>
      <w:r>
        <w:rPr>
          <w:rFonts w:ascii="Arial" w:cs="Arial" w:eastAsia="Arial" w:hAnsi="Arial"/>
          <w:sz w:val="20"/>
          <w:szCs w:val="20"/>
          <w:b w:val="1"/>
          <w:bCs w:val="1"/>
          <w:color w:val="auto"/>
        </w:rPr>
        <w:t>Selling Holders</w:t>
      </w:r>
      <w:r>
        <w:rPr>
          <w:rFonts w:ascii="Arial" w:cs="Arial" w:eastAsia="Arial" w:hAnsi="Arial"/>
          <w:sz w:val="20"/>
          <w:szCs w:val="20"/>
          <w:color w:val="auto"/>
        </w:rPr>
        <w:t xml:space="preserve">”), approve a Sale of the Company in writing, specifying that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shall apply to such transaction, then each Holder and the Company hereby agrees:</w:t>
      </w:r>
    </w:p>
    <w:p>
      <w:pPr>
        <w:spacing w:after="0" w:line="200" w:lineRule="exact"/>
        <w:rPr>
          <w:sz w:val="20"/>
          <w:szCs w:val="20"/>
          <w:color w:val="auto"/>
        </w:rPr>
      </w:pPr>
    </w:p>
    <w:p>
      <w:pPr>
        <w:spacing w:after="0" w:line="210"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88" w:name="page89"/>
    <w:bookmarkEnd w:id="88"/>
    <w:p>
      <w:pPr>
        <w:jc w:val="both"/>
        <w:ind w:firstLine="2641"/>
        <w:spacing w:after="0" w:line="254" w:lineRule="auto"/>
        <w:tabs>
          <w:tab w:leader="none" w:pos="3512" w:val="left"/>
        </w:tabs>
        <w:numPr>
          <w:ilvl w:val="0"/>
          <w:numId w:val="58"/>
        </w:numPr>
        <w:rPr>
          <w:rFonts w:ascii="Arial" w:cs="Arial" w:eastAsia="Arial" w:hAnsi="Arial"/>
          <w:sz w:val="20"/>
          <w:szCs w:val="20"/>
          <w:color w:val="auto"/>
        </w:rPr>
      </w:pPr>
      <w:r>
        <w:rPr>
          <w:rFonts w:ascii="Arial" w:cs="Arial" w:eastAsia="Arial" w:hAnsi="Arial"/>
          <w:sz w:val="19"/>
          <w:szCs w:val="19"/>
          <w:color w:val="auto"/>
        </w:rPr>
        <w:t>if such transaction requires shareholder approval, with respect to all Capital Shares that such Holder owns or over which such Holder otherwise exercises voting power, to vote (in person, by proxy or by action by written consent, as applicable) all Series A Preference Shares in favor of, and adopt, such Sale of the Company (together with any related amendment to the Restated Articles required in order to implement such Sale of the Company) and to vote in opposition to any and all other proposals that could delay or impair the ability of the Company to consummate such Sale of the Company;</w:t>
      </w:r>
    </w:p>
    <w:p>
      <w:pPr>
        <w:spacing w:after="0" w:line="193" w:lineRule="exact"/>
        <w:rPr>
          <w:rFonts w:ascii="Arial" w:cs="Arial" w:eastAsia="Arial" w:hAnsi="Arial"/>
          <w:sz w:val="20"/>
          <w:szCs w:val="20"/>
          <w:color w:val="auto"/>
        </w:rPr>
      </w:pPr>
    </w:p>
    <w:p>
      <w:pPr>
        <w:jc w:val="both"/>
        <w:ind w:firstLine="2641"/>
        <w:spacing w:after="0" w:line="258" w:lineRule="auto"/>
        <w:tabs>
          <w:tab w:leader="none" w:pos="3524" w:val="left"/>
        </w:tabs>
        <w:numPr>
          <w:ilvl w:val="0"/>
          <w:numId w:val="58"/>
        </w:numPr>
        <w:rPr>
          <w:rFonts w:ascii="Arial" w:cs="Arial" w:eastAsia="Arial" w:hAnsi="Arial"/>
          <w:sz w:val="20"/>
          <w:szCs w:val="20"/>
          <w:color w:val="auto"/>
        </w:rPr>
      </w:pPr>
      <w:r>
        <w:rPr>
          <w:rFonts w:ascii="Arial" w:cs="Arial" w:eastAsia="Arial" w:hAnsi="Arial"/>
          <w:sz w:val="19"/>
          <w:szCs w:val="19"/>
          <w:color w:val="auto"/>
        </w:rPr>
        <w:t xml:space="preserve">if such transaction is a Share Sale, to sell the same proportion of Capital Shares of the Company beneficially held by such Holder as is being sold by the Selling Holders to the Person to whom the Selling Holders propose to sell their Capital Shares, and, except as permitted in </w:t>
      </w:r>
      <w:r>
        <w:rPr>
          <w:rFonts w:ascii="Arial" w:cs="Arial" w:eastAsia="Arial" w:hAnsi="Arial"/>
          <w:sz w:val="19"/>
          <w:szCs w:val="19"/>
          <w:u w:val="single" w:color="auto"/>
          <w:color w:val="auto"/>
        </w:rPr>
        <w:t>Subsection 4.3</w:t>
      </w:r>
      <w:r>
        <w:rPr>
          <w:rFonts w:ascii="Arial" w:cs="Arial" w:eastAsia="Arial" w:hAnsi="Arial"/>
          <w:sz w:val="19"/>
          <w:szCs w:val="19"/>
          <w:color w:val="auto"/>
        </w:rPr>
        <w:t xml:space="preserve"> below, on the same terms and conditions as the Selling Holders;</w:t>
      </w:r>
    </w:p>
    <w:p>
      <w:pPr>
        <w:spacing w:after="0" w:line="190" w:lineRule="exact"/>
        <w:rPr>
          <w:rFonts w:ascii="Arial" w:cs="Arial" w:eastAsia="Arial" w:hAnsi="Arial"/>
          <w:sz w:val="20"/>
          <w:szCs w:val="20"/>
          <w:color w:val="auto"/>
        </w:rPr>
      </w:pPr>
    </w:p>
    <w:p>
      <w:pPr>
        <w:jc w:val="both"/>
        <w:ind w:firstLine="2641"/>
        <w:spacing w:after="0" w:line="254" w:lineRule="auto"/>
        <w:tabs>
          <w:tab w:leader="none" w:pos="3512" w:val="left"/>
        </w:tabs>
        <w:numPr>
          <w:ilvl w:val="0"/>
          <w:numId w:val="58"/>
        </w:numPr>
        <w:rPr>
          <w:rFonts w:ascii="Arial" w:cs="Arial" w:eastAsia="Arial" w:hAnsi="Arial"/>
          <w:sz w:val="20"/>
          <w:szCs w:val="20"/>
          <w:color w:val="auto"/>
        </w:rPr>
      </w:pPr>
      <w:r>
        <w:rPr>
          <w:rFonts w:ascii="Arial" w:cs="Arial" w:eastAsia="Arial" w:hAnsi="Arial"/>
          <w:sz w:val="19"/>
          <w:szCs w:val="19"/>
          <w:color w:val="auto"/>
        </w:rPr>
        <w:t xml:space="preserve">to execute and deliver all related documentation and take such other action in support of the Sale of the Company as shall reasonably be requested by the Company or the Selling Holders in order to carry out the terms and provision of </w:t>
      </w:r>
      <w:r>
        <w:rPr>
          <w:rFonts w:ascii="Arial" w:cs="Arial" w:eastAsia="Arial" w:hAnsi="Arial"/>
          <w:sz w:val="19"/>
          <w:szCs w:val="19"/>
          <w:u w:val="single" w:color="auto"/>
          <w:color w:val="auto"/>
        </w:rPr>
        <w:t>Section 4</w:t>
      </w:r>
      <w:r>
        <w:rPr>
          <w:rFonts w:ascii="Arial" w:cs="Arial" w:eastAsia="Arial" w:hAnsi="Arial"/>
          <w:sz w:val="19"/>
          <w:szCs w:val="19"/>
          <w:color w:val="auto"/>
        </w:rPr>
        <w:t>, including without limitation executing and delivering instruments of conveyance and transfer, and any purchase agreement, merger agreement, indemnity agreement, escrow agreement, consent, waiver, governmental filing, share certificates duly endorsed for transfer (free and clear of impermissible liens, claims and encumbrances) and any similar or related documents;</w:t>
      </w:r>
    </w:p>
    <w:p>
      <w:pPr>
        <w:spacing w:after="0" w:line="193" w:lineRule="exact"/>
        <w:rPr>
          <w:rFonts w:ascii="Arial" w:cs="Arial" w:eastAsia="Arial" w:hAnsi="Arial"/>
          <w:sz w:val="20"/>
          <w:szCs w:val="20"/>
          <w:color w:val="auto"/>
        </w:rPr>
      </w:pPr>
    </w:p>
    <w:p>
      <w:pPr>
        <w:jc w:val="both"/>
        <w:ind w:firstLine="2641"/>
        <w:spacing w:after="0" w:line="239" w:lineRule="auto"/>
        <w:tabs>
          <w:tab w:leader="none" w:pos="3524" w:val="left"/>
        </w:tabs>
        <w:numPr>
          <w:ilvl w:val="0"/>
          <w:numId w:val="58"/>
        </w:numPr>
        <w:rPr>
          <w:rFonts w:ascii="Arial" w:cs="Arial" w:eastAsia="Arial" w:hAnsi="Arial"/>
          <w:sz w:val="21"/>
          <w:szCs w:val="21"/>
          <w:color w:val="auto"/>
        </w:rPr>
      </w:pPr>
      <w:r>
        <w:rPr>
          <w:rFonts w:ascii="Arial" w:cs="Arial" w:eastAsia="Arial" w:hAnsi="Arial"/>
          <w:sz w:val="20"/>
          <w:szCs w:val="20"/>
          <w:color w:val="auto"/>
        </w:rPr>
        <w:t>not to deposit, and to cause their Affiliates not to deposit, except as provided in this Agreement, any Capital Shares of the Company owned by such party or Affiliate in a voting trust or subject any Capital Shares to any arrangement or agreement with respect to the voting of such Capital Shares, unless specifically requested to do so by the acquiror in connection with the Sale of the Company;</w:t>
      </w:r>
    </w:p>
    <w:p>
      <w:pPr>
        <w:spacing w:after="0" w:line="207" w:lineRule="exact"/>
        <w:rPr>
          <w:rFonts w:ascii="Arial" w:cs="Arial" w:eastAsia="Arial" w:hAnsi="Arial"/>
          <w:sz w:val="21"/>
          <w:szCs w:val="21"/>
          <w:color w:val="auto"/>
        </w:rPr>
      </w:pPr>
    </w:p>
    <w:p>
      <w:pPr>
        <w:ind w:left="3520" w:hanging="879"/>
        <w:spacing w:after="0"/>
        <w:tabs>
          <w:tab w:leader="none" w:pos="3520" w:val="left"/>
        </w:tabs>
        <w:numPr>
          <w:ilvl w:val="0"/>
          <w:numId w:val="58"/>
        </w:numPr>
        <w:rPr>
          <w:rFonts w:ascii="Arial" w:cs="Arial" w:eastAsia="Arial" w:hAnsi="Arial"/>
          <w:sz w:val="19"/>
          <w:szCs w:val="19"/>
          <w:color w:val="auto"/>
        </w:rPr>
      </w:pPr>
      <w:r>
        <w:rPr>
          <w:rFonts w:ascii="Arial" w:cs="Arial" w:eastAsia="Arial" w:hAnsi="Arial"/>
          <w:sz w:val="18"/>
          <w:szCs w:val="18"/>
          <w:color w:val="auto"/>
        </w:rPr>
        <w:t>to irrevocably waive any dissenters’ rights or rights of appraisal under applicable law at any time</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with respect to such Sale of the Company;</w:t>
      </w:r>
    </w:p>
    <w:p>
      <w:pPr>
        <w:spacing w:after="0" w:line="207" w:lineRule="exact"/>
        <w:rPr>
          <w:rFonts w:ascii="Arial" w:cs="Arial" w:eastAsia="Arial" w:hAnsi="Arial"/>
          <w:sz w:val="19"/>
          <w:szCs w:val="19"/>
          <w:color w:val="auto"/>
        </w:rPr>
      </w:pPr>
    </w:p>
    <w:p>
      <w:pPr>
        <w:jc w:val="both"/>
        <w:ind w:firstLine="2641"/>
        <w:spacing w:after="0" w:line="252" w:lineRule="auto"/>
        <w:tabs>
          <w:tab w:leader="none" w:pos="3489" w:val="left"/>
        </w:tabs>
        <w:numPr>
          <w:ilvl w:val="0"/>
          <w:numId w:val="58"/>
        </w:numPr>
        <w:rPr>
          <w:rFonts w:ascii="Arial" w:cs="Arial" w:eastAsia="Arial" w:hAnsi="Arial"/>
          <w:sz w:val="20"/>
          <w:szCs w:val="20"/>
          <w:color w:val="auto"/>
        </w:rPr>
      </w:pPr>
      <w:r>
        <w:rPr>
          <w:rFonts w:ascii="Arial" w:cs="Arial" w:eastAsia="Arial" w:hAnsi="Arial"/>
          <w:sz w:val="19"/>
          <w:szCs w:val="19"/>
          <w:color w:val="auto"/>
        </w:rPr>
        <w:t xml:space="preserve">if the consideration to be paid in exchange for the Capital Shares pursuant to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includes any securities and due receipt thereof by any Holder would require under applicable law (x) the registration or qualification of such securities or of any person as a broker or dealer or agent with respect to such securities or (y) the provision to any Holder of any information other than such information as a prudent issuer would generally furnish in an offering made solely to “accredited investors” as defined in Regulation D promulgated under the Securities Act of 1933, as amended, the Company may cause to be paid to any such Holder in lieu thereof, against surrender of the Capital Shares which would have otherwise been sold by such Holder, an amount in cash equal to the fair value (as determined in good faith by the Company) of the securities which such Holder would otherwise receive as of the date of the issuance of such securities in exchange for the Capital Shares; and</w:t>
      </w:r>
    </w:p>
    <w:p>
      <w:pPr>
        <w:spacing w:after="0" w:line="195" w:lineRule="exact"/>
        <w:rPr>
          <w:rFonts w:ascii="Arial" w:cs="Arial" w:eastAsia="Arial" w:hAnsi="Arial"/>
          <w:sz w:val="20"/>
          <w:szCs w:val="20"/>
          <w:color w:val="auto"/>
        </w:rPr>
      </w:pPr>
    </w:p>
    <w:p>
      <w:pPr>
        <w:jc w:val="both"/>
        <w:ind w:firstLine="2641"/>
        <w:spacing w:after="0" w:line="267" w:lineRule="auto"/>
        <w:tabs>
          <w:tab w:leader="none" w:pos="3524" w:val="left"/>
        </w:tabs>
        <w:numPr>
          <w:ilvl w:val="0"/>
          <w:numId w:val="58"/>
        </w:numPr>
        <w:rPr>
          <w:rFonts w:ascii="Arial" w:cs="Arial" w:eastAsia="Arial" w:hAnsi="Arial"/>
          <w:sz w:val="19"/>
          <w:szCs w:val="19"/>
          <w:color w:val="auto"/>
        </w:rPr>
      </w:pPr>
      <w:r>
        <w:rPr>
          <w:rFonts w:ascii="Arial" w:cs="Arial" w:eastAsia="Arial" w:hAnsi="Arial"/>
          <w:sz w:val="18"/>
          <w:szCs w:val="18"/>
          <w:color w:val="auto"/>
        </w:rPr>
        <w:t>in the event that the Selling Holders, in connection with such Sale of the Company, appoint a shareholder representative (the “</w:t>
      </w:r>
      <w:r>
        <w:rPr>
          <w:rFonts w:ascii="Arial" w:cs="Arial" w:eastAsia="Arial" w:hAnsi="Arial"/>
          <w:sz w:val="18"/>
          <w:szCs w:val="18"/>
          <w:b w:val="1"/>
          <w:bCs w:val="1"/>
          <w:color w:val="auto"/>
        </w:rPr>
        <w:t>Shareholder Representative</w:t>
      </w:r>
      <w:r>
        <w:rPr>
          <w:rFonts w:ascii="Arial" w:cs="Arial" w:eastAsia="Arial" w:hAnsi="Arial"/>
          <w:sz w:val="18"/>
          <w:szCs w:val="18"/>
          <w:color w:val="auto"/>
        </w:rPr>
        <w:t>”) with respect to matters affecting the under the applicable definitive transaction agreements following consummation of such Sale of the Company, (x) to consent to (i) the appointment of such Shareholder Representative, (ii) the establishment of any applicable escrow, expense or similar fund in connection with any indemnification or similar obligations, and (iii) the payment of such Holder’s pro rata portion (from the applicable escrow or expense fund or otherwise) of any and all reasonable fees and expenses to such Shareholder Representative in connection with such Shareholder Representative’s services and duties in connection with such Sale of the Company and its related service as the representative of the, and (y) not to assert any claim or commence any suit against the Shareholder Representative or any other Holder with respect to any action or inaction taken or failed to be taken by the Shareholder Representative in connection with its service as the Shareholder Representative, absent fraud or willful misconduct.</w:t>
      </w:r>
    </w:p>
    <w:p>
      <w:pPr>
        <w:spacing w:after="0" w:line="387"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9" w:name="page90"/>
    <w:bookmarkEnd w:id="89"/>
    <w:p>
      <w:pPr>
        <w:jc w:val="both"/>
        <w:ind w:firstLine="1755"/>
        <w:spacing w:after="0" w:line="26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Notwithstanding the foregoing, a Holder will not be required to comply with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above in connection with any proposed sale of the Company unless, upon the consummation of the proposed sale, (i) each Holder, with respect to each class or series of Company securities held thereby, will receive the same form and amount of consideration per share for its shares of such class or series as is received by the Selling Holders in respect of shares of such same class or series held by such Selling Holders, and (ii) unless Holders representing at least fifty percent (50%) of the Series A Preference Shares elect to receive a lesser amount by written notice given to the Company at least fifteen (15) days prior to the effective date of any such proposed sale, the aggregate consideration receivable by all shareholders of the Company shall be allocated among the such shareholders on the basis of the relative liquidation preferences to which the holders of each such class or series of Company securities are entitled in a Reorganization (assuming for this purpose that the proposed sale is a Reorganization) in accordance with the Company’s Restated Articles in effect immediately prior to the proposed sale.</w:t>
      </w:r>
    </w:p>
    <w:p>
      <w:pPr>
        <w:spacing w:after="0" w:line="182" w:lineRule="exact"/>
        <w:rPr>
          <w:sz w:val="20"/>
          <w:szCs w:val="20"/>
          <w:color w:val="auto"/>
        </w:rPr>
      </w:pPr>
    </w:p>
    <w:p>
      <w:pPr>
        <w:jc w:val="both"/>
        <w:ind w:firstLine="884"/>
        <w:spacing w:after="0" w:line="255" w:lineRule="auto"/>
        <w:tabs>
          <w:tab w:leader="none" w:pos="1679" w:val="left"/>
        </w:tabs>
        <w:numPr>
          <w:ilvl w:val="0"/>
          <w:numId w:val="59"/>
        </w:numPr>
        <w:rPr>
          <w:rFonts w:ascii="Arial" w:cs="Arial" w:eastAsia="Arial" w:hAnsi="Arial"/>
          <w:sz w:val="20"/>
          <w:szCs w:val="20"/>
          <w:color w:val="auto"/>
        </w:rPr>
      </w:pPr>
      <w:r>
        <w:rPr>
          <w:rFonts w:ascii="Arial" w:cs="Arial" w:eastAsia="Arial" w:hAnsi="Arial"/>
          <w:sz w:val="19"/>
          <w:szCs w:val="19"/>
          <w:u w:val="single" w:color="auto"/>
          <w:color w:val="auto"/>
        </w:rPr>
        <w:t>Vote to Increase Authorized Common Shares</w:t>
      </w:r>
      <w:r>
        <w:rPr>
          <w:rFonts w:ascii="Arial" w:cs="Arial" w:eastAsia="Arial" w:hAnsi="Arial"/>
          <w:sz w:val="19"/>
          <w:szCs w:val="19"/>
          <w:color w:val="auto"/>
        </w:rPr>
        <w:t>. Each Holder agrees to vote or cause to be voted all Capital Shares owned by such Holder, or over which such Holder has voting control, from time to time and at all times, in whatever manner as shall be necessary to increase the number of authorized shares of Common Shares from time to time to ensure that there will be sufficient Common Shares available for conversion of all of the preference shares issued and outstanding by the Company at any given time.</w:t>
      </w:r>
    </w:p>
    <w:p>
      <w:pPr>
        <w:spacing w:after="0" w:line="193" w:lineRule="exact"/>
        <w:rPr>
          <w:rFonts w:ascii="Arial" w:cs="Arial" w:eastAsia="Arial" w:hAnsi="Arial"/>
          <w:sz w:val="20"/>
          <w:szCs w:val="20"/>
          <w:color w:val="auto"/>
        </w:rPr>
      </w:pPr>
    </w:p>
    <w:p>
      <w:pPr>
        <w:ind w:left="1680" w:hanging="796"/>
        <w:spacing w:after="0"/>
        <w:tabs>
          <w:tab w:leader="none" w:pos="1680" w:val="left"/>
        </w:tabs>
        <w:numPr>
          <w:ilvl w:val="0"/>
          <w:numId w:val="59"/>
        </w:numPr>
        <w:rPr>
          <w:rFonts w:ascii="Arial" w:cs="Arial" w:eastAsia="Arial" w:hAnsi="Arial"/>
          <w:sz w:val="21"/>
          <w:szCs w:val="21"/>
          <w:color w:val="auto"/>
        </w:rPr>
      </w:pPr>
      <w:r>
        <w:rPr>
          <w:rFonts w:ascii="Arial" w:cs="Arial" w:eastAsia="Arial" w:hAnsi="Arial"/>
          <w:sz w:val="20"/>
          <w:szCs w:val="20"/>
          <w:u w:val="single" w:color="auto"/>
          <w:color w:val="auto"/>
        </w:rPr>
        <w:t>Information Rights</w:t>
      </w:r>
      <w:r>
        <w:rPr>
          <w:rFonts w:ascii="Arial" w:cs="Arial" w:eastAsia="Arial" w:hAnsi="Arial"/>
          <w:sz w:val="20"/>
          <w:szCs w:val="20"/>
          <w:color w:val="auto"/>
        </w:rPr>
        <w:t>.</w:t>
      </w:r>
    </w:p>
    <w:p>
      <w:pPr>
        <w:spacing w:after="0" w:line="19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Delivery of Financial Statements</w:t>
      </w:r>
      <w:r>
        <w:rPr>
          <w:rFonts w:ascii="Arial" w:cs="Arial" w:eastAsia="Arial" w:hAnsi="Arial"/>
          <w:sz w:val="20"/>
          <w:szCs w:val="20"/>
          <w:color w:val="auto"/>
        </w:rPr>
        <w:t>. The Company shall deliver to each Holder (provided that the Company has not reasonably determined that such Holder is a Competitor), as soon as practicable following the end of each fiscal year, (a) a balance sheet as of the end of such fiscal year, (ii) statements of income and of cash flows for such fiscal year, and (iii) a statement of shareholders’ equity as of the end of such fiscal year.</w:t>
      </w:r>
    </w:p>
    <w:p>
      <w:pPr>
        <w:spacing w:after="0" w:line="190"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6.2. If, for any period, the Company has any subsidiary whose accounts are consolidated with those of the Company, then in respect of such period, the financial statements delivered pursuant to </w:t>
      </w:r>
      <w:r>
        <w:rPr>
          <w:rFonts w:ascii="Arial" w:cs="Arial" w:eastAsia="Arial" w:hAnsi="Arial"/>
          <w:sz w:val="20"/>
          <w:szCs w:val="20"/>
          <w:u w:val="single" w:color="auto"/>
          <w:color w:val="auto"/>
        </w:rPr>
        <w:t>Subsection 6.1</w:t>
      </w:r>
      <w:r>
        <w:rPr>
          <w:rFonts w:ascii="Arial" w:cs="Arial" w:eastAsia="Arial" w:hAnsi="Arial"/>
          <w:sz w:val="20"/>
          <w:szCs w:val="20"/>
          <w:color w:val="auto"/>
        </w:rPr>
        <w:t xml:space="preserve"> shall be the consolidated and consolidating financial statements of the Company and all such consolidated subsidiaries.</w:t>
      </w:r>
    </w:p>
    <w:p>
      <w:pPr>
        <w:spacing w:after="0" w:line="187" w:lineRule="exact"/>
        <w:rPr>
          <w:sz w:val="20"/>
          <w:szCs w:val="20"/>
          <w:color w:val="auto"/>
        </w:rPr>
      </w:pPr>
    </w:p>
    <w:p>
      <w:pPr>
        <w:jc w:val="both"/>
        <w:ind w:firstLine="1755"/>
        <w:spacing w:after="0" w:line="241" w:lineRule="auto"/>
        <w:rPr>
          <w:sz w:val="20"/>
          <w:szCs w:val="20"/>
          <w:color w:val="auto"/>
        </w:rPr>
      </w:pPr>
      <w:r>
        <w:rPr>
          <w:rFonts w:ascii="Arial" w:cs="Arial" w:eastAsia="Arial" w:hAnsi="Arial"/>
          <w:sz w:val="20"/>
          <w:szCs w:val="20"/>
          <w:color w:val="auto"/>
        </w:rPr>
        <w:t xml:space="preserve">6.3. Notwithstanding anything else in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to the contrary, the Company may cease providing the information described herein during the period starting with the date ninety (90) days before the Company’s good-faith estimate of the date of filing of a Registration Statement if it reasonably concludes it must do so to comply with the applicable regulations or exchange rules;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Company’s covenants under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shall be reinstated at such time as the Company is no longer actively employing its commercially reasonable efforts to cause such Registration Statement to become effective.</w:t>
      </w:r>
    </w:p>
    <w:p>
      <w:pPr>
        <w:spacing w:after="0" w:line="194"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Subsections 6.1 and 6.2</w:t>
      </w:r>
      <w:r>
        <w:rPr>
          <w:rFonts w:ascii="Arial" w:cs="Arial" w:eastAsia="Arial" w:hAnsi="Arial"/>
          <w:sz w:val="18"/>
          <w:szCs w:val="18"/>
          <w:color w:val="auto"/>
        </w:rPr>
        <w:t xml:space="preserve"> shall terminate and be of no further force or effect: (i) immediately before the consummation of the IPO, or (ii) when the Company first becomes subject to the periodic reporting requirements of Section 12(g) or 15(d) of the Exchange Act (or substantially equivalent requirements in any non-U.S. jurisdiction), or (iii) upon a Reorganization, as such term is defined in the Restated Articles, whichever event occurs first.</w:t>
      </w:r>
    </w:p>
    <w:p>
      <w:pPr>
        <w:spacing w:after="0" w:line="159" w:lineRule="exact"/>
        <w:rPr>
          <w:sz w:val="20"/>
          <w:szCs w:val="20"/>
          <w:color w:val="auto"/>
        </w:rPr>
      </w:pPr>
    </w:p>
    <w:p>
      <w:pPr>
        <w:jc w:val="both"/>
        <w:ind w:firstLine="1755"/>
        <w:spacing w:after="0" w:line="27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Confidentiality</w:t>
      </w:r>
      <w:r>
        <w:rPr>
          <w:rFonts w:ascii="Arial" w:cs="Arial" w:eastAsia="Arial" w:hAnsi="Arial"/>
          <w:sz w:val="18"/>
          <w:szCs w:val="18"/>
          <w:color w:val="auto"/>
        </w:rPr>
        <w:t>. Each Holder agrees that such Holder will keep confidential and will not disclose, divulge, or use for any purpose (other than to monitor its investment in the Company) any confidential information obtained from the Company (pursuant to the terms of this Agreement or otherwise, and including notice of the Company’s intention to file a Registration Statement), unless such confidential information (a) is known or becomes known to the public in general (other than as a result of</w:t>
      </w:r>
    </w:p>
    <w:p>
      <w:pPr>
        <w:spacing w:after="0" w:line="375"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0" w:name="page91"/>
    <w:bookmarkEnd w:id="90"/>
    <w:p>
      <w:pPr>
        <w:jc w:val="both"/>
        <w:spacing w:after="0" w:line="269" w:lineRule="auto"/>
        <w:rPr>
          <w:sz w:val="20"/>
          <w:szCs w:val="20"/>
          <w:color w:val="auto"/>
        </w:rPr>
      </w:pPr>
      <w:r>
        <w:rPr>
          <w:rFonts w:ascii="Arial" w:cs="Arial" w:eastAsia="Arial" w:hAnsi="Arial"/>
          <w:sz w:val="18"/>
          <w:szCs w:val="18"/>
          <w:color w:val="auto"/>
        </w:rPr>
        <w:t xml:space="preserve">a breach of this </w:t>
      </w:r>
      <w:r>
        <w:rPr>
          <w:rFonts w:ascii="Arial" w:cs="Arial" w:eastAsia="Arial" w:hAnsi="Arial"/>
          <w:sz w:val="18"/>
          <w:szCs w:val="18"/>
          <w:u w:val="single" w:color="auto"/>
          <w:color w:val="auto"/>
        </w:rPr>
        <w:t>Subsection 6.5</w:t>
      </w:r>
      <w:r>
        <w:rPr>
          <w:rFonts w:ascii="Arial" w:cs="Arial" w:eastAsia="Arial" w:hAnsi="Arial"/>
          <w:sz w:val="18"/>
          <w:szCs w:val="18"/>
          <w:color w:val="auto"/>
        </w:rPr>
        <w:t xml:space="preserve"> by such Holder), (b) is or has been independently developed or conceived by the Holder without use of the Company’s confidential information, or (c) is or has been made known or disclosed to the Holder by a third party without a breach of any obligation of confidentiality such third party may have to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Holder may disclose confidential information</w:t>
      </w:r>
    </w:p>
    <w:p>
      <w:pPr>
        <w:spacing w:after="0" w:line="1" w:lineRule="exact"/>
        <w:rPr>
          <w:sz w:val="20"/>
          <w:szCs w:val="20"/>
          <w:color w:val="auto"/>
        </w:rPr>
      </w:pPr>
    </w:p>
    <w:p>
      <w:pPr>
        <w:jc w:val="both"/>
        <w:ind w:firstLine="7"/>
        <w:spacing w:after="0" w:line="237" w:lineRule="auto"/>
        <w:tabs>
          <w:tab w:leader="none" w:pos="236"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to its attorneys, accountants, consultants, and other professionals to the extent necessary to obtain their services in connection with monitoring its investment in the Company; (ii) to any prospective purchaser of any Registrable Securities (other than to a Competitor), if such prospective purchaser agrees to be bound by the provisions of this </w:t>
      </w:r>
      <w:r>
        <w:rPr>
          <w:rFonts w:ascii="Arial" w:cs="Arial" w:eastAsia="Arial" w:hAnsi="Arial"/>
          <w:sz w:val="20"/>
          <w:szCs w:val="20"/>
          <w:u w:val="single" w:color="auto"/>
          <w:color w:val="auto"/>
        </w:rPr>
        <w:t>Subsection 6.5</w:t>
      </w:r>
      <w:r>
        <w:rPr>
          <w:rFonts w:ascii="Arial" w:cs="Arial" w:eastAsia="Arial" w:hAnsi="Arial"/>
          <w:sz w:val="20"/>
          <w:szCs w:val="20"/>
          <w:color w:val="auto"/>
        </w:rPr>
        <w:t xml:space="preserve">; (iii) to any existing Affiliate, partner, member, stockholder, or wholly owned subsidiary of such Holder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Holder informs such Person that such information is confidential and directs such Person to maintain the confidentiality of such information; or (iv) as may otherwise be required by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Holder promptly notifies the Company of such disclosure and takes reasonable steps to minimize the extent of any such required disclosure.</w:t>
      </w:r>
    </w:p>
    <w:p>
      <w:pPr>
        <w:spacing w:after="0" w:line="209" w:lineRule="exact"/>
        <w:rPr>
          <w:rFonts w:ascii="Arial" w:cs="Arial" w:eastAsia="Arial" w:hAnsi="Arial"/>
          <w:sz w:val="20"/>
          <w:szCs w:val="20"/>
          <w:color w:val="auto"/>
        </w:rPr>
      </w:pPr>
    </w:p>
    <w:p>
      <w:pPr>
        <w:jc w:val="both"/>
        <w:ind w:firstLine="884"/>
        <w:spacing w:after="0" w:line="252" w:lineRule="auto"/>
        <w:tabs>
          <w:tab w:leader="none" w:pos="1679" w:val="left"/>
        </w:tabs>
        <w:numPr>
          <w:ilvl w:val="1"/>
          <w:numId w:val="60"/>
        </w:numPr>
        <w:rPr>
          <w:rFonts w:ascii="Arial" w:cs="Arial" w:eastAsia="Arial" w:hAnsi="Arial"/>
          <w:sz w:val="20"/>
          <w:szCs w:val="20"/>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xml:space="preserve">. This Agreement shall be effective as of the Effective Date hereof and shall terminate upon the earliest to occur of (a) the consummation of the Company’s IPO (other than pursuant to a Registration Statement relating either to the sale of securities to employees of the Company pursuant to its share option, share purchase or similar plan or an SEC Rule 145 transaction); (b) the consummation of a Sale of the Company and distribution of proceeds to or escrow for the benefit of the Holders in accordance with the Restated Articles, provided that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hereof will continue after the closing of any Sale of the Company to the extent necessary to enforce the provisions of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with respect to such Sale of the Company; (c) termination of this Agreement in accordance with </w:t>
      </w:r>
      <w:r>
        <w:rPr>
          <w:rFonts w:ascii="Arial" w:cs="Arial" w:eastAsia="Arial" w:hAnsi="Arial"/>
          <w:sz w:val="19"/>
          <w:szCs w:val="19"/>
          <w:u w:val="single" w:color="auto"/>
          <w:color w:val="auto"/>
        </w:rPr>
        <w:t>Subsection 8.6</w:t>
      </w:r>
      <w:r>
        <w:rPr>
          <w:rFonts w:ascii="Arial" w:cs="Arial" w:eastAsia="Arial" w:hAnsi="Arial"/>
          <w:sz w:val="19"/>
          <w:szCs w:val="19"/>
          <w:color w:val="auto"/>
        </w:rPr>
        <w:t xml:space="preserve">. Notwithstanding the foregoing, the terms and provisions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all related definitions as set forth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and the terms and provisions of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survive in accordance with the terms of </w:t>
      </w:r>
      <w:r>
        <w:rPr>
          <w:rFonts w:ascii="Arial" w:cs="Arial" w:eastAsia="Arial" w:hAnsi="Arial"/>
          <w:sz w:val="19"/>
          <w:szCs w:val="19"/>
          <w:u w:val="single" w:color="auto"/>
          <w:color w:val="auto"/>
        </w:rPr>
        <w:t>Subsection 2.9</w:t>
      </w:r>
      <w:r>
        <w:rPr>
          <w:rFonts w:ascii="Arial" w:cs="Arial" w:eastAsia="Arial" w:hAnsi="Arial"/>
          <w:sz w:val="19"/>
          <w:szCs w:val="19"/>
          <w:color w:val="auto"/>
        </w:rPr>
        <w:t>.</w:t>
      </w:r>
    </w:p>
    <w:p>
      <w:pPr>
        <w:spacing w:after="0" w:line="195" w:lineRule="exact"/>
        <w:rPr>
          <w:rFonts w:ascii="Arial" w:cs="Arial" w:eastAsia="Arial" w:hAnsi="Arial"/>
          <w:sz w:val="20"/>
          <w:szCs w:val="20"/>
          <w:color w:val="auto"/>
        </w:rPr>
      </w:pPr>
    </w:p>
    <w:p>
      <w:pPr>
        <w:ind w:left="1680" w:hanging="796"/>
        <w:spacing w:after="0"/>
        <w:tabs>
          <w:tab w:leader="none" w:pos="1680" w:val="left"/>
        </w:tabs>
        <w:numPr>
          <w:ilvl w:val="1"/>
          <w:numId w:val="60"/>
        </w:numPr>
        <w:rPr>
          <w:rFonts w:ascii="Arial" w:cs="Arial" w:eastAsia="Arial" w:hAnsi="Arial"/>
          <w:sz w:val="21"/>
          <w:szCs w:val="21"/>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99" w:lineRule="exact"/>
        <w:rPr>
          <w:sz w:val="20"/>
          <w:szCs w:val="20"/>
          <w:color w:val="auto"/>
        </w:rPr>
      </w:pPr>
    </w:p>
    <w:p>
      <w:pPr>
        <w:ind w:left="1760"/>
        <w:spacing w:after="0"/>
        <w:tabs>
          <w:tab w:leader="none" w:pos="268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7"/>
          <w:szCs w:val="17"/>
          <w:u w:val="single" w:color="auto"/>
          <w:color w:val="auto"/>
        </w:rPr>
        <w:t>Successors and Assigns</w:t>
      </w:r>
      <w:r>
        <w:rPr>
          <w:rFonts w:ascii="Arial" w:cs="Arial" w:eastAsia="Arial" w:hAnsi="Arial"/>
          <w:sz w:val="17"/>
          <w:szCs w:val="17"/>
          <w:color w:val="auto"/>
        </w:rPr>
        <w:t>.</w:t>
      </w:r>
    </w:p>
    <w:p>
      <w:pPr>
        <w:spacing w:after="0" w:line="224" w:lineRule="exact"/>
        <w:rPr>
          <w:sz w:val="20"/>
          <w:szCs w:val="20"/>
          <w:color w:val="auto"/>
        </w:rPr>
      </w:pPr>
    </w:p>
    <w:p>
      <w:pPr>
        <w:jc w:val="both"/>
        <w:ind w:firstLine="2641"/>
        <w:spacing w:after="0" w:line="239" w:lineRule="auto"/>
        <w:tabs>
          <w:tab w:leader="none" w:pos="3512" w:val="left"/>
        </w:tabs>
        <w:numPr>
          <w:ilvl w:val="0"/>
          <w:numId w:val="61"/>
        </w:numPr>
        <w:rPr>
          <w:rFonts w:ascii="Arial" w:cs="Arial" w:eastAsia="Arial" w:hAnsi="Arial"/>
          <w:sz w:val="21"/>
          <w:szCs w:val="21"/>
          <w:color w:val="auto"/>
        </w:rPr>
      </w:pPr>
      <w:r>
        <w:rPr>
          <w:rFonts w:ascii="Arial" w:cs="Arial" w:eastAsia="Arial" w:hAnsi="Arial"/>
          <w:sz w:val="20"/>
          <w:szCs w:val="20"/>
          <w:color w:val="auto"/>
        </w:rPr>
        <w:t>The terms and conditions of this Agreement shall inure to the benefit of and be binding upon the respective successors and permitted assigns of the parties.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w:t>
      </w:r>
    </w:p>
    <w:p>
      <w:pPr>
        <w:spacing w:after="0" w:line="207" w:lineRule="exact"/>
        <w:rPr>
          <w:rFonts w:ascii="Arial" w:cs="Arial" w:eastAsia="Arial" w:hAnsi="Arial"/>
          <w:sz w:val="21"/>
          <w:szCs w:val="21"/>
          <w:color w:val="auto"/>
        </w:rPr>
      </w:pPr>
    </w:p>
    <w:p>
      <w:pPr>
        <w:jc w:val="both"/>
        <w:ind w:firstLine="2641"/>
        <w:spacing w:after="0" w:line="238" w:lineRule="auto"/>
        <w:tabs>
          <w:tab w:leader="none" w:pos="3524" w:val="left"/>
        </w:tabs>
        <w:numPr>
          <w:ilvl w:val="0"/>
          <w:numId w:val="61"/>
        </w:numPr>
        <w:rPr>
          <w:rFonts w:ascii="Arial" w:cs="Arial" w:eastAsia="Arial" w:hAnsi="Arial"/>
          <w:sz w:val="21"/>
          <w:szCs w:val="21"/>
          <w:color w:val="auto"/>
        </w:rPr>
      </w:pPr>
      <w:r>
        <w:rPr>
          <w:rFonts w:ascii="Arial" w:cs="Arial" w:eastAsia="Arial" w:hAnsi="Arial"/>
          <w:sz w:val="20"/>
          <w:szCs w:val="20"/>
          <w:color w:val="auto"/>
        </w:rPr>
        <w:t>Any successor or permitted assignee of any Holder, including any Prospective Transferee who purchases shares of Transfer Shares in accordance with the terms hereof, shall deliver to the Company, as a condition to any transfer or assignment, a counterpart signature page hereto pursuant to which such successor or permitted assignee shall confirm their agreement to be subject to and bound by all of the provisions set forth in this Agreement that were applicable to the predecessor or assignor of such successor or permitted assignee.</w:t>
      </w:r>
    </w:p>
    <w:p>
      <w:pPr>
        <w:spacing w:after="0" w:line="210" w:lineRule="exact"/>
        <w:rPr>
          <w:sz w:val="20"/>
          <w:szCs w:val="20"/>
          <w:color w:val="auto"/>
        </w:rPr>
      </w:pPr>
    </w:p>
    <w:p>
      <w:pPr>
        <w:jc w:val="both"/>
        <w:ind w:firstLine="2641"/>
        <w:spacing w:after="0" w:line="238" w:lineRule="auto"/>
        <w:tabs>
          <w:tab w:leader="none" w:pos="3512" w:val="left"/>
        </w:tabs>
        <w:numPr>
          <w:ilvl w:val="0"/>
          <w:numId w:val="62"/>
        </w:numPr>
        <w:rPr>
          <w:rFonts w:ascii="Arial" w:cs="Arial" w:eastAsia="Arial" w:hAnsi="Arial"/>
          <w:sz w:val="21"/>
          <w:szCs w:val="21"/>
          <w:color w:val="auto"/>
        </w:rPr>
      </w:pPr>
      <w:r>
        <w:rPr>
          <w:rFonts w:ascii="Arial" w:cs="Arial" w:eastAsia="Arial" w:hAnsi="Arial"/>
          <w:sz w:val="20"/>
          <w:szCs w:val="20"/>
          <w:color w:val="auto"/>
        </w:rPr>
        <w:t>The rights of the Holders hereunder are not assignable without the Company’s written consent (which shall not be unreasonably withheld, delayed or conditioned), except by a Holder to any Affiliate, it being acknowledged and agreed that any such assignment be subject to and conditioned upon any such assignee’s delivery to the Company of a counterpart signature page hereto pursuant to which such assignee shall confirm their agreement to be subject to and bound by all of the provisions set forth in this Agreement that were applicable to the assignor of such assignee.</w:t>
      </w:r>
    </w:p>
    <w:p>
      <w:pPr>
        <w:spacing w:after="0" w:line="103" w:lineRule="exact"/>
        <w:rPr>
          <w:rFonts w:ascii="Arial" w:cs="Arial" w:eastAsia="Arial" w:hAnsi="Arial"/>
          <w:sz w:val="21"/>
          <w:szCs w:val="21"/>
          <w:color w:val="auto"/>
        </w:rPr>
      </w:pPr>
    </w:p>
    <w:p>
      <w:pPr>
        <w:ind w:firstLine="2641"/>
        <w:spacing w:after="0" w:line="244" w:lineRule="auto"/>
        <w:tabs>
          <w:tab w:leader="none" w:pos="3524" w:val="left"/>
        </w:tabs>
        <w:numPr>
          <w:ilvl w:val="0"/>
          <w:numId w:val="62"/>
        </w:numPr>
        <w:rPr>
          <w:rFonts w:ascii="Arial" w:cs="Arial" w:eastAsia="Arial" w:hAnsi="Arial"/>
          <w:sz w:val="21"/>
          <w:szCs w:val="21"/>
          <w:color w:val="auto"/>
        </w:rPr>
      </w:pPr>
      <w:r>
        <w:rPr>
          <w:rFonts w:ascii="Arial" w:cs="Arial" w:eastAsia="Arial" w:hAnsi="Arial"/>
          <w:sz w:val="20"/>
          <w:szCs w:val="20"/>
          <w:color w:val="auto"/>
        </w:rPr>
        <w:t>Except in connection with a merger, acquisition or sale of assets, the rights and obligations of the Company hereunder may not be assigned under any circumstances.</w:t>
      </w:r>
    </w:p>
    <w:p>
      <w:pPr>
        <w:spacing w:after="0" w:line="297"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1" w:name="page92"/>
    <w:bookmarkEnd w:id="91"/>
    <w:p>
      <w:pPr>
        <w:jc w:val="both"/>
        <w:ind w:firstLine="1755"/>
        <w:spacing w:after="0" w:line="246"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by the internal law of the State of Delaware without giving effect to any choice of law or conflict of law rules or provisions (of the State of Delaware or any other jurisdiction) that would cause the application of the laws of any jurisdiction other than the State of Delaware.</w:t>
      </w:r>
    </w:p>
    <w:p>
      <w:pPr>
        <w:spacing w:after="0" w:line="18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two or more counterparts, each of which shall be deemed an original, but all of which together shall constitute one and the same instrument. Counterparts may be delivered via facsimile, electronic mail (including pdf) or other transmission method and any counterpart so delivered shall be deemed to have been duly and validly delivered and be valid and effective for all purposes</w:t>
      </w:r>
      <w:r>
        <w:rPr>
          <w:rFonts w:ascii="Arial" w:cs="Arial" w:eastAsia="Arial" w:hAnsi="Arial"/>
          <w:sz w:val="20"/>
          <w:szCs w:val="20"/>
          <w:b w:val="1"/>
          <w:bCs w:val="1"/>
          <w:color w:val="auto"/>
        </w:rPr>
        <w:t>.</w:t>
      </w:r>
    </w:p>
    <w:p>
      <w:pPr>
        <w:spacing w:after="0" w:line="190" w:lineRule="exact"/>
        <w:rPr>
          <w:sz w:val="20"/>
          <w:szCs w:val="20"/>
          <w:color w:val="auto"/>
        </w:rPr>
      </w:pPr>
    </w:p>
    <w:p>
      <w:pPr>
        <w:jc w:val="both"/>
        <w:ind w:firstLine="1755"/>
        <w:spacing w:after="0" w:line="256"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Titles and Subtitles</w:t>
      </w:r>
      <w:r>
        <w:rPr>
          <w:rFonts w:ascii="Arial" w:cs="Arial" w:eastAsia="Arial" w:hAnsi="Arial"/>
          <w:sz w:val="20"/>
          <w:szCs w:val="20"/>
          <w:color w:val="auto"/>
        </w:rPr>
        <w:t>. The titles and subtitles used in this Agreement are for convenience only and are not to be considered in construing or interpreting this Agreement.</w:t>
      </w:r>
    </w:p>
    <w:p>
      <w:pPr>
        <w:spacing w:after="0" w:line="177" w:lineRule="exact"/>
        <w:rPr>
          <w:sz w:val="20"/>
          <w:szCs w:val="20"/>
          <w:color w:val="auto"/>
        </w:rPr>
      </w:pPr>
    </w:p>
    <w:p>
      <w:pPr>
        <w:jc w:val="both"/>
        <w:ind w:firstLine="1755"/>
        <w:spacing w:after="0" w:line="26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w:t>
      </w:r>
    </w:p>
    <w:p>
      <w:pPr>
        <w:spacing w:after="0" w:line="3" w:lineRule="exact"/>
        <w:rPr>
          <w:sz w:val="20"/>
          <w:szCs w:val="20"/>
          <w:color w:val="auto"/>
        </w:rPr>
      </w:pPr>
    </w:p>
    <w:p>
      <w:pPr>
        <w:jc w:val="both"/>
        <w:ind w:firstLine="7"/>
        <w:spacing w:after="0" w:line="289" w:lineRule="auto"/>
        <w:tabs>
          <w:tab w:leader="none" w:pos="2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7"/>
          <w:szCs w:val="17"/>
          <w:u w:val="single" w:color="auto"/>
          <w:color w:val="auto"/>
        </w:rPr>
        <w:t>Subsection 8.5</w:t>
      </w:r>
      <w:r>
        <w:rPr>
          <w:rFonts w:ascii="Arial" w:cs="Arial" w:eastAsia="Arial" w:hAnsi="Arial"/>
          <w:sz w:val="17"/>
          <w:szCs w:val="17"/>
          <w:color w:val="auto"/>
        </w:rPr>
        <w:t>. If notice is given to the Company, a copy shall also be sent to FibroGen, Inc., Corporate Legal Department, 409 Illinois St., San Francisco, CA 94158, USA.</w:t>
      </w:r>
    </w:p>
    <w:p>
      <w:pPr>
        <w:spacing w:after="0" w:line="15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Amendments and Waivers</w:t>
      </w:r>
      <w:r>
        <w:rPr>
          <w:rFonts w:ascii="Arial" w:cs="Arial" w:eastAsia="Arial" w:hAnsi="Arial"/>
          <w:sz w:val="20"/>
          <w:szCs w:val="20"/>
          <w:color w:val="auto"/>
        </w:rPr>
        <w:t>. This Agreement may be amended or terminated, and the observance of any term hereof may be waived (either generally or in a particular instance and either retroactively or prospectively) only by a written instrument executed by the Company and Holders representing not less than fifty percent (50%) of Registrable Securities held by the Holders (voting as a single class and on an as-converted basis). Notwithstanding the foregoing:</w:t>
      </w:r>
    </w:p>
    <w:p>
      <w:pPr>
        <w:spacing w:after="0" w:line="203" w:lineRule="exact"/>
        <w:rPr>
          <w:sz w:val="20"/>
          <w:szCs w:val="20"/>
          <w:color w:val="auto"/>
        </w:rPr>
      </w:pPr>
    </w:p>
    <w:p>
      <w:pPr>
        <w:jc w:val="both"/>
        <w:ind w:firstLine="2641"/>
        <w:spacing w:after="0"/>
        <w:tabs>
          <w:tab w:leader="none" w:pos="3512" w:val="left"/>
        </w:tabs>
        <w:numPr>
          <w:ilvl w:val="0"/>
          <w:numId w:val="64"/>
        </w:numPr>
        <w:rPr>
          <w:rFonts w:ascii="Arial" w:cs="Arial" w:eastAsia="Arial" w:hAnsi="Arial"/>
          <w:sz w:val="21"/>
          <w:szCs w:val="21"/>
          <w:color w:val="auto"/>
        </w:rPr>
      </w:pPr>
      <w:r>
        <w:rPr>
          <w:rFonts w:ascii="Arial" w:cs="Arial" w:eastAsia="Arial" w:hAnsi="Arial"/>
          <w:sz w:val="20"/>
          <w:szCs w:val="20"/>
          <w:color w:val="auto"/>
        </w:rPr>
        <w:t>this Agreement may not be amended or terminated and the observance of any term of this Agreement may not be waived with respect to any Holder without the written consent of such Holder unless such amendment, termination or waiver applies to all Holders in the same fashion;</w:t>
      </w:r>
    </w:p>
    <w:p>
      <w:pPr>
        <w:spacing w:after="0" w:line="206" w:lineRule="exact"/>
        <w:rPr>
          <w:rFonts w:ascii="Arial" w:cs="Arial" w:eastAsia="Arial" w:hAnsi="Arial"/>
          <w:sz w:val="21"/>
          <w:szCs w:val="21"/>
          <w:color w:val="auto"/>
        </w:rPr>
      </w:pPr>
    </w:p>
    <w:p>
      <w:pPr>
        <w:jc w:val="both"/>
        <w:ind w:firstLine="2641"/>
        <w:spacing w:after="0"/>
        <w:tabs>
          <w:tab w:leader="none" w:pos="3524" w:val="left"/>
        </w:tabs>
        <w:numPr>
          <w:ilvl w:val="0"/>
          <w:numId w:val="64"/>
        </w:numPr>
        <w:rPr>
          <w:rFonts w:ascii="Arial" w:cs="Arial" w:eastAsia="Arial" w:hAnsi="Arial"/>
          <w:sz w:val="21"/>
          <w:szCs w:val="21"/>
          <w:color w:val="auto"/>
        </w:rPr>
      </w:pPr>
      <w:r>
        <w:rPr>
          <w:rFonts w:ascii="Arial" w:cs="Arial" w:eastAsia="Arial" w:hAnsi="Arial"/>
          <w:sz w:val="20"/>
          <w:szCs w:val="20"/>
          <w:color w:val="auto"/>
        </w:rPr>
        <w:t>the consent of the Holder shall not be required for any amendment or waiver if such amendment or waiver either (i) is not directly applicable to the rights of the Holder hereunder or (ii) does not adversely affect the rights of the Holder in a manner that is different than the effect on the rights of the other Holders party hereto;</w:t>
      </w:r>
    </w:p>
    <w:p>
      <w:pPr>
        <w:spacing w:after="0" w:line="206" w:lineRule="exact"/>
        <w:rPr>
          <w:rFonts w:ascii="Arial" w:cs="Arial" w:eastAsia="Arial" w:hAnsi="Arial"/>
          <w:sz w:val="21"/>
          <w:szCs w:val="21"/>
          <w:color w:val="auto"/>
        </w:rPr>
      </w:pPr>
    </w:p>
    <w:p>
      <w:pPr>
        <w:ind w:right="20" w:firstLine="2641"/>
        <w:spacing w:after="0" w:line="269" w:lineRule="auto"/>
        <w:tabs>
          <w:tab w:leader="none" w:pos="3512" w:val="left"/>
        </w:tabs>
        <w:numPr>
          <w:ilvl w:val="0"/>
          <w:numId w:val="64"/>
        </w:numPr>
        <w:rPr>
          <w:rFonts w:ascii="Arial" w:cs="Arial" w:eastAsia="Arial" w:hAnsi="Arial"/>
          <w:sz w:val="20"/>
          <w:szCs w:val="20"/>
          <w:color w:val="auto"/>
        </w:rPr>
      </w:pP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may be amended by the Company from time to time in accordance with </w:t>
      </w:r>
      <w:r>
        <w:rPr>
          <w:rFonts w:ascii="Arial" w:cs="Arial" w:eastAsia="Arial" w:hAnsi="Arial"/>
          <w:sz w:val="19"/>
          <w:szCs w:val="19"/>
          <w:u w:val="single" w:color="auto"/>
          <w:color w:val="auto"/>
        </w:rPr>
        <w:t>Subsection 8.8</w:t>
      </w:r>
      <w:r>
        <w:rPr>
          <w:rFonts w:ascii="Arial" w:cs="Arial" w:eastAsia="Arial" w:hAnsi="Arial"/>
          <w:sz w:val="19"/>
          <w:szCs w:val="19"/>
          <w:color w:val="auto"/>
        </w:rPr>
        <w:t xml:space="preserve"> of this Agreement to add information regarding additional Holders without the consent of the other parties hereto; and</w:t>
      </w:r>
    </w:p>
    <w:p>
      <w:pPr>
        <w:spacing w:after="0" w:line="178" w:lineRule="exact"/>
        <w:rPr>
          <w:rFonts w:ascii="Arial" w:cs="Arial" w:eastAsia="Arial" w:hAnsi="Arial"/>
          <w:sz w:val="20"/>
          <w:szCs w:val="20"/>
          <w:color w:val="auto"/>
        </w:rPr>
      </w:pPr>
    </w:p>
    <w:p>
      <w:pPr>
        <w:ind w:left="3540" w:hanging="899"/>
        <w:spacing w:after="0"/>
        <w:tabs>
          <w:tab w:leader="none" w:pos="3540" w:val="left"/>
        </w:tabs>
        <w:numPr>
          <w:ilvl w:val="0"/>
          <w:numId w:val="64"/>
        </w:numPr>
        <w:rPr>
          <w:rFonts w:ascii="Arial" w:cs="Arial" w:eastAsia="Arial" w:hAnsi="Arial"/>
          <w:sz w:val="19"/>
          <w:szCs w:val="19"/>
          <w:color w:val="auto"/>
        </w:rPr>
      </w:pPr>
      <w:r>
        <w:rPr>
          <w:rFonts w:ascii="Arial" w:cs="Arial" w:eastAsia="Arial" w:hAnsi="Arial"/>
          <w:sz w:val="18"/>
          <w:szCs w:val="18"/>
          <w:color w:val="auto"/>
        </w:rPr>
        <w:t>any provision hereof may be waived by the waiving party on such party’s own behalf, without the</w:t>
      </w:r>
    </w:p>
    <w:p>
      <w:pPr>
        <w:spacing w:after="0" w:line="24"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consent of any other party.</w:t>
      </w: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2" w:name="page93"/>
    <w:bookmarkEnd w:id="92"/>
    <w:p>
      <w:pPr>
        <w:jc w:val="both"/>
        <w:ind w:firstLine="878"/>
        <w:spacing w:after="0"/>
        <w:rPr>
          <w:sz w:val="20"/>
          <w:szCs w:val="20"/>
          <w:color w:val="auto"/>
        </w:rPr>
      </w:pPr>
      <w:r>
        <w:rPr>
          <w:rFonts w:ascii="Arial" w:cs="Arial" w:eastAsia="Arial" w:hAnsi="Arial"/>
          <w:sz w:val="20"/>
          <w:szCs w:val="20"/>
          <w:color w:val="auto"/>
        </w:rPr>
        <w:t xml:space="preserve">The Company shall give prompt written notice of any amendment, termination or waiver hereunder to any party that did not consent in writing thereto. Any amendment, termination or waiver effected in accordance with this </w:t>
      </w:r>
      <w:r>
        <w:rPr>
          <w:rFonts w:ascii="Arial" w:cs="Arial" w:eastAsia="Arial" w:hAnsi="Arial"/>
          <w:sz w:val="20"/>
          <w:szCs w:val="20"/>
          <w:u w:val="single" w:color="auto"/>
          <w:color w:val="auto"/>
        </w:rPr>
        <w:t>Subsection 8.6</w:t>
      </w:r>
      <w:r>
        <w:rPr>
          <w:rFonts w:ascii="Arial" w:cs="Arial" w:eastAsia="Arial" w:hAnsi="Arial"/>
          <w:sz w:val="20"/>
          <w:szCs w:val="20"/>
          <w:color w:val="auto"/>
        </w:rPr>
        <w:t xml:space="preserve"> shall be binding on each party and all of such party’s successors and permitted assigns, whether or not any such party, successor or assignee entered into or approved such amendment or waiver. For purposes of this </w:t>
      </w:r>
      <w:r>
        <w:rPr>
          <w:rFonts w:ascii="Arial" w:cs="Arial" w:eastAsia="Arial" w:hAnsi="Arial"/>
          <w:sz w:val="20"/>
          <w:szCs w:val="20"/>
          <w:u w:val="single" w:color="auto"/>
          <w:color w:val="auto"/>
        </w:rPr>
        <w:t>Subsection 8.6</w:t>
      </w:r>
      <w:r>
        <w:rPr>
          <w:rFonts w:ascii="Arial" w:cs="Arial" w:eastAsia="Arial" w:hAnsi="Arial"/>
          <w:sz w:val="20"/>
          <w:szCs w:val="20"/>
          <w:color w:val="auto"/>
        </w:rPr>
        <w:t>, the requirement of a written instrument may be satisfied in the form of an action by written consent circulated by the Company and executed by the Investor parties specified, whether or not such action by written consent makes explicit reference to the terms of this Agreement.</w:t>
      </w:r>
    </w:p>
    <w:p>
      <w:pPr>
        <w:spacing w:after="0" w:line="19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Severability</w:t>
      </w:r>
      <w:r>
        <w:rPr>
          <w:rFonts w:ascii="Arial" w:cs="Arial" w:eastAsia="Arial" w:hAnsi="Arial"/>
          <w:sz w:val="20"/>
          <w:szCs w:val="20"/>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90" w:lineRule="exact"/>
        <w:rPr>
          <w:sz w:val="20"/>
          <w:szCs w:val="20"/>
          <w:color w:val="auto"/>
        </w:rPr>
      </w:pPr>
    </w:p>
    <w:p>
      <w:pPr>
        <w:jc w:val="both"/>
        <w:ind w:firstLine="1755"/>
        <w:spacing w:after="0"/>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Additional Holders</w:t>
      </w:r>
      <w:r>
        <w:rPr>
          <w:rFonts w:ascii="Arial" w:cs="Arial" w:eastAsia="Arial" w:hAnsi="Arial"/>
          <w:sz w:val="20"/>
          <w:szCs w:val="20"/>
          <w:color w:val="auto"/>
        </w:rPr>
        <w:t xml:space="preserve">. Notwithstanding anything to the contrary contained herein, if the Company issues additional shares of the Series A Preference Shares after the date hereof, whether pursuant to the Offer Letter or otherwise, any purchaser of such shares of Series A Preference Shares shall become a party to this Agreement by executing and delivering a Joinder to this Agreement substantially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and thereafter shall be deemed a “Holder” for all purposes hereunder. No action or consent by the Holders shall be required for such Joinder to this Agreement by such additional Holder, so long as such additional Holder has agreed in writing to be bound by all of the obligations as an “Holder” hereunder.</w:t>
      </w:r>
    </w:p>
    <w:p>
      <w:pPr>
        <w:spacing w:after="0" w:line="195"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7"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7"/>
          <w:szCs w:val="17"/>
          <w:u w:val="single" w:color="auto"/>
          <w:color w:val="auto"/>
        </w:rPr>
        <w:t>Dispute Resolution</w:t>
      </w:r>
      <w:r>
        <w:rPr>
          <w:rFonts w:ascii="Arial" w:cs="Arial" w:eastAsia="Arial" w:hAnsi="Arial"/>
          <w:sz w:val="17"/>
          <w:szCs w:val="17"/>
          <w:color w:val="auto"/>
        </w:rPr>
        <w:t>.</w:t>
      </w:r>
    </w:p>
    <w:p>
      <w:pPr>
        <w:spacing w:after="0" w:line="224" w:lineRule="exact"/>
        <w:rPr>
          <w:sz w:val="20"/>
          <w:szCs w:val="20"/>
          <w:color w:val="auto"/>
        </w:rPr>
      </w:pPr>
    </w:p>
    <w:p>
      <w:pPr>
        <w:jc w:val="both"/>
        <w:ind w:firstLine="2641"/>
        <w:spacing w:after="0" w:line="266" w:lineRule="auto"/>
        <w:tabs>
          <w:tab w:leader="none" w:pos="3512" w:val="left"/>
        </w:tabs>
        <w:numPr>
          <w:ilvl w:val="0"/>
          <w:numId w:val="65"/>
        </w:numPr>
        <w:rPr>
          <w:rFonts w:ascii="Arial" w:cs="Arial" w:eastAsia="Arial" w:hAnsi="Arial"/>
          <w:sz w:val="19"/>
          <w:szCs w:val="19"/>
          <w:color w:val="auto"/>
        </w:rPr>
      </w:pPr>
      <w:r>
        <w:rPr>
          <w:rFonts w:ascii="Arial" w:cs="Arial" w:eastAsia="Arial" w:hAnsi="Arial"/>
          <w:sz w:val="18"/>
          <w:szCs w:val="18"/>
          <w:color w:val="auto"/>
        </w:rPr>
        <w:t>Any unresolved controversy or claim arising out of or relating to this Agreement, except as otherwise provided in this Agreement, shall be submitted to arbitration by one arbitrator mutually agreed upon by the parties, and if no agreement can be reached within thirty (30) days after names of potential arbitrators have been proposed by JAMS, Inc. (“</w:t>
      </w:r>
      <w:r>
        <w:rPr>
          <w:rFonts w:ascii="Arial" w:cs="Arial" w:eastAsia="Arial" w:hAnsi="Arial"/>
          <w:sz w:val="18"/>
          <w:szCs w:val="18"/>
          <w:b w:val="1"/>
          <w:bCs w:val="1"/>
          <w:color w:val="auto"/>
        </w:rPr>
        <w:t>JAMS</w:t>
      </w:r>
      <w:r>
        <w:rPr>
          <w:rFonts w:ascii="Arial" w:cs="Arial" w:eastAsia="Arial" w:hAnsi="Arial"/>
          <w:sz w:val="18"/>
          <w:szCs w:val="18"/>
          <w:color w:val="auto"/>
        </w:rPr>
        <w:t>”), then by one arbitrator having reasonable experience in transactions of the type provided for in this Agreement and who is chosen by JAMS. The arbitration shall take place in San Francisco, California, in accordance with JAMS’ Comprehensive Arbitration Rules and Procedures rules then in effect, and judgment upon any award rendered in such arbitration will be binding and may be entered in any court having jurisdiction thereof. There shall be limited discovery prior to the arbitration hearing as follows: (a) exchange of witness lists and copies of documentary evidence and documents relating to or arising out of the issues to be arbitrated, (b) depositions of all party witnesses and (c) such other depositions as may be allowed by the arbitrators upon a showing of good cause. Depositions shall be conducted in accordance with the California Code of Civil Procedure, the arbitrator shall be required to provide in writing to the parties the basis for the award or order of such arbitrator, and a court reporter shall record all hearings, with such record constituting the official transcript of such proceedings.</w:t>
      </w:r>
    </w:p>
    <w:p>
      <w:pPr>
        <w:spacing w:after="0" w:line="187" w:lineRule="exact"/>
        <w:rPr>
          <w:rFonts w:ascii="Arial" w:cs="Arial" w:eastAsia="Arial" w:hAnsi="Arial"/>
          <w:sz w:val="19"/>
          <w:szCs w:val="19"/>
          <w:color w:val="auto"/>
        </w:rPr>
      </w:pPr>
    </w:p>
    <w:p>
      <w:pPr>
        <w:jc w:val="both"/>
        <w:ind w:firstLine="2641"/>
        <w:spacing w:after="0" w:line="274" w:lineRule="auto"/>
        <w:tabs>
          <w:tab w:leader="none" w:pos="3524" w:val="left"/>
        </w:tabs>
        <w:numPr>
          <w:ilvl w:val="0"/>
          <w:numId w:val="65"/>
        </w:numPr>
        <w:rPr>
          <w:rFonts w:ascii="Arial" w:cs="Arial" w:eastAsia="Arial" w:hAnsi="Arial"/>
          <w:sz w:val="19"/>
          <w:szCs w:val="19"/>
          <w:color w:val="auto"/>
        </w:rPr>
      </w:pPr>
      <w:r>
        <w:rPr>
          <w:rFonts w:ascii="Arial" w:cs="Arial" w:eastAsia="Arial" w:hAnsi="Arial"/>
          <w:sz w:val="18"/>
          <w:szCs w:val="18"/>
          <w:color w:val="auto"/>
        </w:rPr>
        <w:t>Each party will bear its own costs in respect of any disputes arising under this Agreement, provided that 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District of Northern California or any court of the State of California having subject matter jurisdiction.</w:t>
      </w:r>
    </w:p>
    <w:p>
      <w:pPr>
        <w:spacing w:after="0" w:line="379"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3" w:name="page94"/>
    <w:bookmarkEnd w:id="93"/>
    <w:p>
      <w:pPr>
        <w:jc w:val="both"/>
        <w:ind w:firstLine="1755"/>
        <w:spacing w:after="0"/>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Delays or Omissions</w:t>
      </w:r>
      <w:r>
        <w:rPr>
          <w:rFonts w:ascii="Arial" w:cs="Arial" w:eastAsia="Arial" w:hAnsi="Arial"/>
          <w:sz w:val="20"/>
          <w:szCs w:val="20"/>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95"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Share Splits, Share Dividends, etc</w:t>
      </w:r>
      <w:r>
        <w:rPr>
          <w:rFonts w:ascii="Arial" w:cs="Arial" w:eastAsia="Arial" w:hAnsi="Arial"/>
          <w:sz w:val="20"/>
          <w:szCs w:val="20"/>
          <w:color w:val="auto"/>
        </w:rPr>
        <w:t xml:space="preserve">. In the event of any issuance of Series A Preference Shares of the Company’s voting securities hereafter to any of the Holders (including, without limitation, in connection with any share split, share dividend, recapitalization, reorganization, or the like), such Series A Preference Shares shall become subject to this Agreement and shall be endorsed with the legend set forth in </w:t>
      </w:r>
      <w:r>
        <w:rPr>
          <w:rFonts w:ascii="Arial" w:cs="Arial" w:eastAsia="Arial" w:hAnsi="Arial"/>
          <w:sz w:val="20"/>
          <w:szCs w:val="20"/>
          <w:u w:val="single" w:color="auto"/>
          <w:color w:val="auto"/>
        </w:rPr>
        <w:t>Subsection 3.1(b)</w:t>
      </w:r>
      <w:r>
        <w:rPr>
          <w:rFonts w:ascii="Arial" w:cs="Arial" w:eastAsia="Arial" w:hAnsi="Arial"/>
          <w:sz w:val="20"/>
          <w:szCs w:val="20"/>
          <w:color w:val="auto"/>
        </w:rPr>
        <w:t>.</w:t>
      </w:r>
    </w:p>
    <w:p>
      <w:pPr>
        <w:spacing w:after="0" w:line="190"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Manner of Voting</w:t>
      </w:r>
      <w:r>
        <w:rPr>
          <w:rFonts w:ascii="Arial" w:cs="Arial" w:eastAsia="Arial" w:hAnsi="Arial"/>
          <w:sz w:val="20"/>
          <w:szCs w:val="20"/>
          <w:color w:val="auto"/>
        </w:rPr>
        <w:t>. The voting of Series A Preference Shares pursuant to this Agreement may be effected in person, by proxy, by written consent or in any other manner permitted by applicable law. For the avoidance of doubt, voting of the Shares pursuant to the Agreement need not make explicit reference to the terms of this Agreement.</w:t>
      </w:r>
    </w:p>
    <w:p>
      <w:pPr>
        <w:spacing w:after="0" w:line="187" w:lineRule="exact"/>
        <w:rPr>
          <w:sz w:val="20"/>
          <w:szCs w:val="20"/>
          <w:color w:val="auto"/>
        </w:rPr>
      </w:pPr>
    </w:p>
    <w:p>
      <w:pPr>
        <w:jc w:val="both"/>
        <w:ind w:firstLine="1755"/>
        <w:spacing w:after="0" w:line="246" w:lineRule="auto"/>
        <w:rPr>
          <w:sz w:val="20"/>
          <w:szCs w:val="20"/>
          <w:color w:val="auto"/>
        </w:rPr>
      </w:pPr>
      <w:r>
        <w:rPr>
          <w:rFonts w:ascii="Arial" w:cs="Arial" w:eastAsia="Arial" w:hAnsi="Arial"/>
          <w:sz w:val="20"/>
          <w:szCs w:val="20"/>
          <w:color w:val="auto"/>
        </w:rPr>
        <w:t xml:space="preserve">8.14. </w:t>
      </w:r>
      <w:r>
        <w:rPr>
          <w:rFonts w:ascii="Arial" w:cs="Arial" w:eastAsia="Arial" w:hAnsi="Arial"/>
          <w:sz w:val="20"/>
          <w:szCs w:val="20"/>
          <w:u w:val="single" w:color="auto"/>
          <w:color w:val="auto"/>
        </w:rPr>
        <w:t>Aggregation of Shares</w:t>
      </w:r>
      <w:r>
        <w:rPr>
          <w:rFonts w:ascii="Arial" w:cs="Arial" w:eastAsia="Arial" w:hAnsi="Arial"/>
          <w:sz w:val="20"/>
          <w:szCs w:val="20"/>
          <w:color w:val="auto"/>
        </w:rPr>
        <w:t>. All Capital Shares held or acquired by a Holder and/or its Affiliates shall be aggregated together for the purpose of determining the availability of any rights under this Agreement, and such Affiliated persons may apportion such rights as among themselves in any manner they deem appropriate.</w:t>
      </w:r>
    </w:p>
    <w:p>
      <w:pPr>
        <w:spacing w:after="0" w:line="187"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Further Assurances</w:t>
      </w:r>
      <w:r>
        <w:rPr>
          <w:rFonts w:ascii="Arial" w:cs="Arial" w:eastAsia="Arial" w:hAnsi="Arial"/>
          <w:sz w:val="20"/>
          <w:szCs w:val="20"/>
          <w:color w:val="auto"/>
        </w:rPr>
        <w:t>. At any time or from time to time after the date hereof, the parties agree to cooperate with each other, and at the request of any other party, to execute and deliver any further instruments or documents and to take all such further action as the other party may reasonably request in order to evidence or effectuate the consummation of the transactions contemplated hereby and to otherwise carry out the intent of the parties hereunder.</w:t>
      </w:r>
    </w:p>
    <w:p>
      <w:pPr>
        <w:spacing w:after="0" w:line="190" w:lineRule="exact"/>
        <w:rPr>
          <w:sz w:val="20"/>
          <w:szCs w:val="20"/>
          <w:color w:val="auto"/>
        </w:rPr>
      </w:pPr>
    </w:p>
    <w:p>
      <w:pPr>
        <w:jc w:val="both"/>
        <w:ind w:firstLine="1755"/>
        <w:spacing w:after="0" w:line="272"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Specific Enforcement; Remedies Cumulative</w:t>
      </w:r>
      <w:r>
        <w:rPr>
          <w:rFonts w:ascii="Arial" w:cs="Arial" w:eastAsia="Arial" w:hAnsi="Arial"/>
          <w:sz w:val="18"/>
          <w:szCs w:val="18"/>
          <w:color w:val="auto"/>
        </w:rPr>
        <w:t>. Each party hereto acknowledges and agrees that each party hereto will be irreparably damaged in the event any of the provisions of this Agreement are not performed by the parties in accordance with their specific terms or are otherwise breached. Accordingly, it is agreed that each of the Company and each Holder shall be entitled, without the posting of a bond, to an injunction to prevent breaches of this Agreement, and to specific enforcement of this Agreement and its terms and provisions in any action instituted in any court of the United States or any state having subject matter jurisdiction. All remedies, either under this Agreement or by law or otherwise afforded to any party, shall be cumulative and not alternative</w:t>
      </w:r>
    </w:p>
    <w:p>
      <w:pPr>
        <w:spacing w:after="0" w:line="168" w:lineRule="exact"/>
        <w:rPr>
          <w:sz w:val="20"/>
          <w:szCs w:val="20"/>
          <w:color w:val="auto"/>
        </w:rPr>
      </w:pPr>
    </w:p>
    <w:p>
      <w:pPr>
        <w:ind w:left="1760"/>
        <w:spacing w:after="0"/>
        <w:tabs>
          <w:tab w:leader="none" w:pos="2780" w:val="left"/>
        </w:tabs>
        <w:rPr>
          <w:sz w:val="20"/>
          <w:szCs w:val="20"/>
          <w:color w:val="auto"/>
        </w:rPr>
      </w:pPr>
      <w:r>
        <w:rPr>
          <w:rFonts w:ascii="Arial" w:cs="Arial" w:eastAsia="Arial" w:hAnsi="Arial"/>
          <w:sz w:val="20"/>
          <w:szCs w:val="20"/>
          <w:color w:val="auto"/>
        </w:rPr>
        <w:t>8.17.</w:t>
      </w:r>
      <w:r>
        <w:rPr>
          <w:sz w:val="20"/>
          <w:szCs w:val="20"/>
          <w:color w:val="auto"/>
        </w:rPr>
        <w:tab/>
      </w:r>
      <w:r>
        <w:rPr>
          <w:rFonts w:ascii="Arial" w:cs="Arial" w:eastAsia="Arial" w:hAnsi="Arial"/>
          <w:sz w:val="17"/>
          <w:szCs w:val="17"/>
          <w:u w:val="single" w:color="auto"/>
          <w:color w:val="auto"/>
        </w:rPr>
        <w:t>Passive Foreign Investment Company</w:t>
      </w:r>
      <w:r>
        <w:rPr>
          <w:rFonts w:ascii="Arial" w:cs="Arial" w:eastAsia="Arial" w:hAnsi="Arial"/>
          <w:sz w:val="17"/>
          <w:szCs w:val="17"/>
          <w:color w:val="auto"/>
        </w:rPr>
        <w:t>.</w:t>
      </w:r>
    </w:p>
    <w:p>
      <w:pPr>
        <w:spacing w:after="0" w:line="224" w:lineRule="exact"/>
        <w:rPr>
          <w:sz w:val="20"/>
          <w:szCs w:val="20"/>
          <w:color w:val="auto"/>
        </w:rPr>
      </w:pPr>
    </w:p>
    <w:p>
      <w:pPr>
        <w:jc w:val="both"/>
        <w:ind w:firstLine="2641"/>
        <w:spacing w:after="0" w:line="238" w:lineRule="auto"/>
        <w:tabs>
          <w:tab w:leader="none" w:pos="3512" w:val="left"/>
        </w:tabs>
        <w:numPr>
          <w:ilvl w:val="0"/>
          <w:numId w:val="66"/>
        </w:numPr>
        <w:rPr>
          <w:rFonts w:ascii="Arial" w:cs="Arial" w:eastAsia="Arial" w:hAnsi="Arial"/>
          <w:sz w:val="21"/>
          <w:szCs w:val="21"/>
          <w:color w:val="auto"/>
        </w:rPr>
      </w:pPr>
      <w:r>
        <w:rPr>
          <w:rFonts w:ascii="Arial" w:cs="Arial" w:eastAsia="Arial" w:hAnsi="Arial"/>
          <w:sz w:val="20"/>
          <w:szCs w:val="20"/>
          <w:color w:val="auto"/>
        </w:rPr>
        <w:t>The Company shall make due inquiry with its U.S. tax advisors at least annually regarding the Company’s status as a passive foreign investment company (a “</w:t>
      </w:r>
      <w:r>
        <w:rPr>
          <w:rFonts w:ascii="Arial" w:cs="Arial" w:eastAsia="Arial" w:hAnsi="Arial"/>
          <w:sz w:val="20"/>
          <w:szCs w:val="20"/>
          <w:b w:val="1"/>
          <w:bCs w:val="1"/>
          <w:color w:val="auto"/>
        </w:rPr>
        <w:t>PFIC</w:t>
      </w:r>
      <w:r>
        <w:rPr>
          <w:rFonts w:ascii="Arial" w:cs="Arial" w:eastAsia="Arial" w:hAnsi="Arial"/>
          <w:sz w:val="20"/>
          <w:szCs w:val="20"/>
          <w:color w:val="auto"/>
        </w:rPr>
        <w:t>”), as defined in Section 1297 of the United States Internal Revenue Code of 1986, as amended. If the Company becomes a PFIC, the Company shall (i) notify the Holders of such status and (ii) within 75 days following the end of each taxable year, provide the Holders with a PFIC Annual Information Statement in the form required pursuant to the Code. The Company will permit the Holders to inspect and copy the Company’s permanent books of account, records, and such other Company documents as are necessary to establish that the Company’s ordinary earnings and net capital gain are computed in accordance with U.S. income tax principles.</w:t>
      </w:r>
    </w:p>
    <w:p>
      <w:pPr>
        <w:spacing w:after="0" w:line="200" w:lineRule="exact"/>
        <w:rPr>
          <w:sz w:val="20"/>
          <w:szCs w:val="20"/>
          <w:color w:val="auto"/>
        </w:rPr>
      </w:pPr>
    </w:p>
    <w:p>
      <w:pPr>
        <w:spacing w:after="0" w:line="211"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4" w:name="page95"/>
    <w:bookmarkEnd w:id="94"/>
    <w:p>
      <w:pPr>
        <w:jc w:val="both"/>
        <w:ind w:firstLine="2641"/>
        <w:spacing w:after="0" w:line="279" w:lineRule="auto"/>
        <w:tabs>
          <w:tab w:leader="none" w:pos="3524" w:val="left"/>
        </w:tabs>
        <w:numPr>
          <w:ilvl w:val="0"/>
          <w:numId w:val="67"/>
        </w:numPr>
        <w:rPr>
          <w:rFonts w:ascii="Arial" w:cs="Arial" w:eastAsia="Arial" w:hAnsi="Arial"/>
          <w:sz w:val="19"/>
          <w:szCs w:val="19"/>
          <w:color w:val="auto"/>
        </w:rPr>
      </w:pPr>
      <w:r>
        <w:rPr>
          <w:rFonts w:ascii="Arial" w:cs="Arial" w:eastAsia="Arial" w:hAnsi="Arial"/>
          <w:sz w:val="18"/>
          <w:szCs w:val="18"/>
          <w:color w:val="auto"/>
        </w:rPr>
        <w:t>If the Holders are subject to U.S. information and reporting requirements that require the disclosure of information about the Company not readily available to the Holders, the Company agrees to use commercially reasonable efforts to provide such information to the Holders as may be necessary to allow the Holders to fulfill their U.S. tax filing and reporting obligations.</w:t>
      </w:r>
    </w:p>
    <w:p>
      <w:pPr>
        <w:spacing w:after="0" w:line="159" w:lineRule="exact"/>
        <w:rPr>
          <w:sz w:val="20"/>
          <w:szCs w:val="20"/>
          <w:color w:val="auto"/>
        </w:rPr>
      </w:pPr>
    </w:p>
    <w:p>
      <w:pPr>
        <w:jc w:val="both"/>
        <w:ind w:firstLine="1755"/>
        <w:spacing w:after="0" w:line="243" w:lineRule="auto"/>
        <w:rPr>
          <w:sz w:val="20"/>
          <w:szCs w:val="20"/>
          <w:color w:val="auto"/>
        </w:rPr>
      </w:pPr>
      <w:r>
        <w:rPr>
          <w:rFonts w:ascii="Arial" w:cs="Arial" w:eastAsia="Arial" w:hAnsi="Arial"/>
          <w:sz w:val="20"/>
          <w:szCs w:val="20"/>
          <w:color w:val="auto"/>
        </w:rPr>
        <w:t xml:space="preserve">8.18. </w:t>
      </w:r>
      <w:r>
        <w:rPr>
          <w:rFonts w:ascii="Arial" w:cs="Arial" w:eastAsia="Arial" w:hAnsi="Arial"/>
          <w:sz w:val="20"/>
          <w:szCs w:val="20"/>
          <w:u w:val="single" w:color="auto"/>
          <w:color w:val="auto"/>
        </w:rPr>
        <w:t>Termination of FibroGen China Anemia Holdings, Ltd. Shareholder’s Agreement</w:t>
      </w:r>
      <w:r>
        <w:rPr>
          <w:rFonts w:ascii="Arial" w:cs="Arial" w:eastAsia="Arial" w:hAnsi="Arial"/>
          <w:sz w:val="20"/>
          <w:szCs w:val="20"/>
          <w:color w:val="auto"/>
        </w:rPr>
        <w:t>. As of the Effective Date, the parties hereto agree that that certain Shareholders’ Agreement, dated of as July 11, 2012, by and among FibroGen China Anemia Holdings, Ltd. And each of the holders of the Series A Preference Shares of FibroGen China Anemia Holdings, Ltd. listed on Schedule I thereto shall be terminated in its entirety, and shall be null, void and of no further effect.</w:t>
      </w:r>
    </w:p>
    <w:p>
      <w:pPr>
        <w:spacing w:after="0" w:line="190"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27" w:lineRule="exact"/>
        <w:rPr>
          <w:sz w:val="20"/>
          <w:szCs w:val="20"/>
          <w:color w:val="auto"/>
        </w:rPr>
      </w:pPr>
    </w:p>
    <w:p>
      <w:pPr>
        <w:spacing w:after="0"/>
        <w:tabs>
          <w:tab w:leader="none" w:pos="5620" w:val="left"/>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95" w:name="page96"/>
    <w:bookmarkEnd w:id="95"/>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11"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FIBROGEN INTERNATIONAL (CAYMAN) LIMITED</w:t>
      </w:r>
    </w:p>
    <w:p>
      <w:pPr>
        <w:spacing w:after="0" w:line="304" w:lineRule="exact"/>
        <w:rPr>
          <w:sz w:val="20"/>
          <w:szCs w:val="20"/>
          <w:color w:val="auto"/>
        </w:rPr>
      </w:pPr>
    </w:p>
    <w:tbl>
      <w:tblPr>
        <w:tblLayout w:type="fixed"/>
        <w:tblInd w:w="4940" w:type="dxa"/>
        <w:tblCellMar>
          <w:top w:w="0" w:type="dxa"/>
          <w:left w:w="0" w:type="dxa"/>
          <w:bottom w:w="0" w:type="dxa"/>
          <w:right w:w="0" w:type="dxa"/>
        </w:tblCellMar>
      </w:tblPr>
      <w:tr>
        <w:trPr>
          <w:trHeight w:val="244"/>
        </w:trPr>
        <w:tc>
          <w:tcPr>
            <w:tcW w:w="1200" w:type="dxa"/>
            <w:vAlign w:val="bottom"/>
          </w:tcPr>
          <w:p>
            <w:pPr>
              <w:jc w:val="right"/>
              <w:ind w:right="582"/>
              <w:spacing w:after="0"/>
              <w:rPr>
                <w:sz w:val="20"/>
                <w:szCs w:val="20"/>
                <w:color w:val="auto"/>
              </w:rPr>
            </w:pPr>
            <w:r>
              <w:rPr>
                <w:rFonts w:ascii="Arial" w:cs="Arial" w:eastAsia="Arial" w:hAnsi="Arial"/>
                <w:sz w:val="20"/>
                <w:szCs w:val="20"/>
                <w:color w:val="auto"/>
              </w:rPr>
              <w:t>By:</w:t>
            </w:r>
          </w:p>
        </w:tc>
        <w:tc>
          <w:tcPr>
            <w:tcW w:w="5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Graham MacDonald</w:t>
            </w:r>
          </w:p>
        </w:tc>
      </w:tr>
      <w:tr>
        <w:trPr>
          <w:trHeight w:val="247"/>
        </w:trPr>
        <w:tc>
          <w:tcPr>
            <w:tcW w:w="1200" w:type="dxa"/>
            <w:vAlign w:val="bottom"/>
          </w:tcPr>
          <w:p>
            <w:pPr>
              <w:jc w:val="right"/>
              <w:ind w:right="582"/>
              <w:spacing w:after="0"/>
              <w:rPr>
                <w:sz w:val="20"/>
                <w:szCs w:val="20"/>
                <w:color w:val="auto"/>
              </w:rPr>
            </w:pPr>
            <w:r>
              <w:rPr>
                <w:rFonts w:ascii="Arial" w:cs="Arial" w:eastAsia="Arial" w:hAnsi="Arial"/>
                <w:sz w:val="20"/>
                <w:szCs w:val="20"/>
                <w:color w:val="auto"/>
                <w:w w:val="84"/>
              </w:rPr>
              <w:t>Name:</w:t>
            </w:r>
          </w:p>
        </w:tc>
        <w:tc>
          <w:tcPr>
            <w:tcW w:w="5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Graham MacDonald</w:t>
            </w:r>
          </w:p>
        </w:tc>
      </w:tr>
      <w:tr>
        <w:trPr>
          <w:trHeight w:val="247"/>
        </w:trPr>
        <w:tc>
          <w:tcPr>
            <w:tcW w:w="1200" w:type="dxa"/>
            <w:vAlign w:val="bottom"/>
          </w:tcPr>
          <w:p>
            <w:pPr>
              <w:jc w:val="right"/>
              <w:ind w:right="582"/>
              <w:spacing w:after="0"/>
              <w:rPr>
                <w:sz w:val="20"/>
                <w:szCs w:val="20"/>
                <w:color w:val="auto"/>
              </w:rPr>
            </w:pPr>
            <w:r>
              <w:rPr>
                <w:rFonts w:ascii="Arial" w:cs="Arial" w:eastAsia="Arial" w:hAnsi="Arial"/>
                <w:sz w:val="20"/>
                <w:szCs w:val="20"/>
                <w:color w:val="auto"/>
              </w:rPr>
              <w:t>Title:</w:t>
            </w:r>
          </w:p>
        </w:tc>
        <w:tc>
          <w:tcPr>
            <w:tcW w:w="52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General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6" w:name="page97"/>
    <w:bookmarkEnd w:id="96"/>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78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Gary Harmon Anderson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Gary Harmon Anderson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6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7" w:name="page98"/>
    <w:bookmarkEnd w:id="97"/>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78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Charles Antell</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Charles Antell</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6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8" w:name="page99"/>
    <w:bookmarkEnd w:id="98"/>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Maria Teresa Arnal</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Maria Teresa Arnal</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99" w:name="page100"/>
    <w:bookmarkEnd w:id="99"/>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Bradford Thomas Beeson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Bradford Thomas Beeson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0" w:name="page101"/>
    <w:bookmarkEnd w:id="100"/>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Matthew S. Beeson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Matthew S. Beeson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1" w:name="page102"/>
    <w:bookmarkEnd w:id="101"/>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H. Beeson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William H. Beeson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2" w:name="page103"/>
    <w:bookmarkEnd w:id="102"/>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Balbir Singh Bindra</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Balbir Singh Bindra</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3" w:name="page104"/>
    <w:bookmarkEnd w:id="103"/>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Patricio Miguel Madero Blasquez</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Patricio Miguel Madero Blasquez</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4" w:name="page105"/>
    <w:bookmarkEnd w:id="104"/>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Dan Drecher</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Dan Drecher</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5" w:name="page106"/>
    <w:bookmarkEnd w:id="105"/>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Sabin Wyatt Carr Jr.</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Sabin Wyatt Carr Jr.</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6" w:name="page107"/>
    <w:bookmarkEnd w:id="106"/>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Winston Cutshall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Winston Cutshall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Curious Gems,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07" w:name="page108"/>
    <w:bookmarkEnd w:id="107"/>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Robert E. Howard</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Robert E. Howard</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Dallas Mineral Partners LLC</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08" w:name="page109"/>
    <w:bookmarkEnd w:id="108"/>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Name:</w:t>
      </w:r>
    </w:p>
    <w:p>
      <w:pPr>
        <w:spacing w:after="0" w:line="72"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color w:val="auto"/>
        </w:rPr>
        <w:t>/s/ Steven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01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Steven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01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Eli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33401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33401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700"/>
            <w:col w:w="526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09" w:name="page110"/>
    <w:bookmarkEnd w:id="109"/>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Toni A. Evans</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Toni A. Evans</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0" w:name="page111"/>
    <w:bookmarkEnd w:id="110"/>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Steven C. Finegan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Steven C. Finegan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Estate of Robert J. Finegan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Executor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1" w:name="page112"/>
    <w:bookmarkEnd w:id="111"/>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Frederick C. Goggans, M.D.</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Frederick C. Goggans, M.D.</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2" w:name="page113"/>
    <w:bookmarkEnd w:id="112"/>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Gold &amp; Janice Gold</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Mark Gold &amp; Janice Gold</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3" w:name="page114"/>
    <w:bookmarkEnd w:id="113"/>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Gabriela Kalb Gout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Gabriela Kalb Gout</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4" w:name="page115"/>
    <w:bookmarkEnd w:id="114"/>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Jaime Kalb Gout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Jaime Kalb Gout</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5" w:name="page116"/>
    <w:bookmarkEnd w:id="115"/>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Roberto Rosenkranz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Roberto Rosenkranz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Grama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3318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16" w:name="page117"/>
    <w:bookmarkEnd w:id="116"/>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Dahlia W. Grant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Dahlia W. Grant</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7" w:name="page118"/>
    <w:bookmarkEnd w:id="117"/>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Laurie Sands Harrison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Laurie Sands Harrison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8" w:name="page119"/>
    <w:bookmarkEnd w:id="118"/>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Harvey A. Herman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Harvey A. Herman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Harvey A. Herman Living Trust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19" w:name="page120"/>
    <w:bookmarkEnd w:id="119"/>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T.E. Nelson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T.E. Nelson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Lyda Hunt-Herbert Trusts – Lyda Bunker Hunt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0" w:name="page121"/>
    <w:bookmarkEnd w:id="120"/>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Winton A. Jackson, Jr.</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Winton A. Jackson, Jr.</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1" w:name="page122"/>
    <w:bookmarkEnd w:id="121"/>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Joe O. Neuhoff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3318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Joe O. Neuhoff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Joscar Investment,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22" w:name="page123"/>
    <w:bookmarkEnd w:id="122"/>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F. C. Kennedy</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Thomas F. C. Kennedy</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3" w:name="page124"/>
    <w:bookmarkEnd w:id="123"/>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 Michael F.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3318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Michael F. Solomon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Kesef Investment,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3318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24" w:name="page125"/>
    <w:bookmarkEnd w:id="124"/>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George Lai</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George Lai</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Lai Family Trust dated 12/14/1993</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5" w:name="page126"/>
    <w:bookmarkEnd w:id="125"/>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Schuyler B. Marshall</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Schuyler B. Marshall</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6" w:name="page127"/>
    <w:bookmarkEnd w:id="126"/>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Dennis Mensch</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Dennis Mensch</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7" w:name="page128"/>
    <w:bookmarkEnd w:id="127"/>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David Merrylees</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David Merrylees</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8" w:name="page129"/>
    <w:bookmarkEnd w:id="128"/>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Ken D. Mindell</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Ken D. Mindell</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29" w:name="page130"/>
    <w:bookmarkEnd w:id="129"/>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Adam C.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Adam C.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Neo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33318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Sole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30" w:name="page131"/>
    <w:bookmarkEnd w:id="130"/>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Opaleye,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31" w:name="page132"/>
    <w:bookmarkEnd w:id="131"/>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André Perold and Suellen Perold</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André Perold and Suellen Perold</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2" w:name="page133"/>
    <w:bookmarkEnd w:id="132"/>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Matthew J. and Julia R. Pickett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Matthew J. and Julia R. Pickett</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3" w:name="page134"/>
    <w:bookmarkEnd w:id="133"/>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Matthew S. Beeson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Matthew S. Beeson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Primrose Partners,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34" w:name="page135"/>
    <w:bookmarkEnd w:id="134"/>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Mauricio Reynaud</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Mauricio Reynaud</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5" w:name="page136"/>
    <w:bookmarkEnd w:id="135"/>
    <w:p>
      <w:pPr>
        <w:jc w:val="center"/>
        <w:ind w:right="-119"/>
        <w:spacing w:after="0"/>
        <w:rPr>
          <w:sz w:val="20"/>
          <w:szCs w:val="20"/>
          <w:color w:val="auto"/>
        </w:rPr>
      </w:pPr>
      <w:r>
        <w:rPr>
          <w:rFonts w:ascii="Arial" w:cs="Arial" w:eastAsia="Arial" w:hAnsi="Arial"/>
          <w:sz w:val="17"/>
          <w:szCs w:val="17"/>
          <w:color w:val="auto"/>
        </w:rPr>
        <w:t>IN WITNESS WHEREOF, the parties have executed this Agreement as of the date first written above.</w:t>
      </w:r>
    </w:p>
    <w:p>
      <w:pPr>
        <w:sectPr>
          <w:pgSz w:w="11900" w:h="16838" w:orient="portrait"/>
          <w:cols w:equalWidth="0" w:num="1">
            <w:col w:w="11420"/>
          </w:cols>
          <w:pgMar w:left="240" w:top="33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6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Name:</w:t>
      </w:r>
    </w:p>
    <w:p>
      <w:pPr>
        <w:spacing w:after="0" w:line="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Entity (if applicable):</w:t>
      </w:r>
    </w:p>
    <w:p>
      <w:pPr>
        <w:spacing w:after="0" w:line="6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Title (if applicable):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HOLDER:</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wp:posOffset>
            </wp:positionV>
            <wp:extent cx="33318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James Silverman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RJS Virginia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178435</wp:posOffset>
            </wp:positionV>
            <wp:extent cx="33318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333184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8890</wp:posOffset>
            </wp:positionV>
            <wp:extent cx="33318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spacing w:after="0" w:line="444" w:lineRule="exact"/>
        <w:rPr>
          <w:sz w:val="20"/>
          <w:szCs w:val="20"/>
          <w:color w:val="auto"/>
        </w:rPr>
      </w:pPr>
    </w:p>
    <w:p>
      <w:pPr>
        <w:sectPr>
          <w:pgSz w:w="11900" w:h="16838" w:orient="portrait"/>
          <w:cols w:equalWidth="0" w:num="2">
            <w:col w:w="5480" w:space="700"/>
            <w:col w:w="5240"/>
          </w:cols>
          <w:pgMar w:left="240" w:top="33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136" w:name="page137"/>
    <w:bookmarkEnd w:id="136"/>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Benjamin Salinaro</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Benjamin Salinaro</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7" w:name="page138"/>
    <w:bookmarkEnd w:id="137"/>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Jill Salinaro Custodian for Tess Salinaro</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Jill Salinaro Custodian for Tess Salinaro</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8" w:name="page139"/>
    <w:bookmarkEnd w:id="138"/>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Salinaro</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Michael Salinaro</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39" w:name="page140"/>
    <w:bookmarkEnd w:id="139"/>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Nicholas Salinaro</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Nicholas Salinaro</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0" w:name="page141"/>
    <w:bookmarkEnd w:id="140"/>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Patrick B. Sands</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Patrick B. Sands</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1" w:name="page142"/>
    <w:bookmarkEnd w:id="141"/>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 Randolph Scott</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 Randolph Scott</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2" w:name="page143"/>
    <w:bookmarkEnd w:id="142"/>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David J. Shorma</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David J. Shorma</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3" w:name="page144"/>
    <w:bookmarkEnd w:id="143"/>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Anthony F. Sinclair</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Anthony F. Sinclair</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4" w:name="page145"/>
    <w:bookmarkEnd w:id="144"/>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Richard A. Smith</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Richard A. Smith</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5" w:name="page146"/>
    <w:bookmarkEnd w:id="145"/>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Julian N. Stern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Julian N. Stern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6" w:name="page147"/>
    <w:bookmarkEnd w:id="146"/>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Peter &amp; Mary Jane Suzman JTWRS</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Peter &amp; Mary Jane Suzman JTWRS</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7" w:name="page148"/>
    <w:bookmarkEnd w:id="147"/>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 Duncan Kennedy</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W. Duncan Kennedy</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The Ninety-Six Corporation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8" w:name="page149"/>
    <w:bookmarkEnd w:id="148"/>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 Thomas &amp; Carole L. Tull JT TEN</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C. Thomas &amp; Carole L. Tull JT TEN</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49" w:name="page150"/>
    <w:bookmarkEnd w:id="149"/>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Dr. Peter A. Wish</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Dr. Peter A. Wish</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Peter A. Wish Revocable Trust dated 11/21/94</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0" w:name="page151"/>
    <w:bookmarkEnd w:id="150"/>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24"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Dominik E. Zehnder</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Dominik E. Zehnder</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1" w:name="page152"/>
    <w:bookmarkEnd w:id="151"/>
    <w:p>
      <w:pPr>
        <w:jc w:val="center"/>
        <w:ind w:right="-119"/>
        <w:spacing w:after="0"/>
        <w:rPr>
          <w:sz w:val="20"/>
          <w:szCs w:val="20"/>
          <w:color w:val="auto"/>
        </w:rPr>
      </w:pPr>
      <w:r>
        <w:rPr>
          <w:rFonts w:ascii="Arial" w:cs="Arial" w:eastAsia="Arial" w:hAnsi="Arial"/>
          <w:sz w:val="20"/>
          <w:szCs w:val="20"/>
          <w:color w:val="auto"/>
        </w:rPr>
        <w:t>IN WITNESS WHEREOF, the parties have executed this Agreement as of the date first written above.</w:t>
      </w:r>
    </w:p>
    <w:p>
      <w:pPr>
        <w:spacing w:after="0" w:line="211" w:lineRule="exact"/>
        <w:rPr>
          <w:sz w:val="20"/>
          <w:szCs w:val="20"/>
          <w:color w:val="auto"/>
        </w:rPr>
      </w:pPr>
    </w:p>
    <w:tbl>
      <w:tblPr>
        <w:tblLayout w:type="fixed"/>
        <w:tblInd w:w="3800" w:type="dxa"/>
        <w:tblCellMar>
          <w:top w:w="0" w:type="dxa"/>
          <w:left w:w="0" w:type="dxa"/>
          <w:bottom w:w="0" w:type="dxa"/>
          <w:right w:w="0" w:type="dxa"/>
        </w:tblCellMar>
      </w:tblPr>
      <w:tr>
        <w:trPr>
          <w:trHeight w:val="248"/>
        </w:trPr>
        <w:tc>
          <w:tcPr>
            <w:tcW w:w="2380" w:type="dxa"/>
            <w:vAlign w:val="bottom"/>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20"/>
                <w:szCs w:val="20"/>
                <w:color w:val="auto"/>
              </w:rPr>
              <w:t>HOLDER:</w:t>
            </w:r>
          </w:p>
        </w:tc>
      </w:tr>
      <w:tr>
        <w:trPr>
          <w:trHeight w:val="529"/>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Eric Zwisler</w:t>
            </w:r>
          </w:p>
        </w:tc>
      </w:tr>
      <w:tr>
        <w:trPr>
          <w:trHeight w:val="247"/>
        </w:trPr>
        <w:tc>
          <w:tcPr>
            <w:tcW w:w="2380" w:type="dxa"/>
            <w:vAlign w:val="bottom"/>
          </w:tcPr>
          <w:p>
            <w:pPr>
              <w:jc w:val="right"/>
              <w:ind w:right="602"/>
              <w:spacing w:after="0"/>
              <w:rPr>
                <w:sz w:val="20"/>
                <w:szCs w:val="20"/>
                <w:color w:val="auto"/>
              </w:rPr>
            </w:pPr>
            <w:r>
              <w:rPr>
                <w:rFonts w:ascii="Arial" w:cs="Arial" w:eastAsia="Arial" w:hAnsi="Arial"/>
                <w:sz w:val="20"/>
                <w:szCs w:val="20"/>
                <w:color w:val="auto"/>
              </w:rPr>
              <w:t>Name:</w:t>
            </w:r>
          </w:p>
        </w:tc>
        <w:tc>
          <w:tcPr>
            <w:tcW w:w="5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Eric Zwisler</w:t>
            </w:r>
          </w:p>
        </w:tc>
      </w:tr>
      <w:tr>
        <w:trPr>
          <w:trHeight w:val="252"/>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2"/>
              </w:rPr>
              <w:t>Entity (if applicable):</w:t>
            </w:r>
          </w:p>
        </w:tc>
        <w:tc>
          <w:tcPr>
            <w:tcW w:w="5240" w:type="dxa"/>
            <w:vAlign w:val="bottom"/>
          </w:tcPr>
          <w:p>
            <w:pPr>
              <w:spacing w:after="0"/>
              <w:rPr>
                <w:sz w:val="21"/>
                <w:szCs w:val="21"/>
                <w:color w:val="auto"/>
              </w:rPr>
            </w:pPr>
          </w:p>
        </w:tc>
      </w:tr>
      <w:tr>
        <w:trPr>
          <w:trHeight w:val="267"/>
        </w:trPr>
        <w:tc>
          <w:tcPr>
            <w:tcW w:w="2380" w:type="dxa"/>
            <w:vAlign w:val="bottom"/>
          </w:tcPr>
          <w:p>
            <w:pPr>
              <w:jc w:val="right"/>
              <w:ind w:right="602"/>
              <w:spacing w:after="0"/>
              <w:rPr>
                <w:sz w:val="20"/>
                <w:szCs w:val="20"/>
                <w:color w:val="auto"/>
              </w:rPr>
            </w:pPr>
            <w:r>
              <w:rPr>
                <w:rFonts w:ascii="Arial" w:cs="Arial" w:eastAsia="Arial" w:hAnsi="Arial"/>
                <w:sz w:val="20"/>
                <w:szCs w:val="20"/>
                <w:color w:val="auto"/>
                <w:w w:val="98"/>
              </w:rPr>
              <w:t>Title (if applicable):</w:t>
            </w:r>
          </w:p>
        </w:tc>
        <w:tc>
          <w:tcPr>
            <w:tcW w:w="5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TO SHAREHOLDERS’ AGREEMENT</w:t>
      </w:r>
    </w:p>
    <w:p>
      <w:pPr>
        <w:spacing w:after="0" w:line="200" w:lineRule="exact"/>
        <w:rPr>
          <w:sz w:val="20"/>
          <w:szCs w:val="20"/>
          <w:color w:val="auto"/>
        </w:rPr>
      </w:pPr>
    </w:p>
    <w:p>
      <w:pPr>
        <w:spacing w:after="0" w:line="233" w:lineRule="exact"/>
        <w:rPr>
          <w:sz w:val="20"/>
          <w:szCs w:val="20"/>
          <w:color w:val="auto"/>
        </w:rPr>
      </w:pPr>
    </w:p>
    <w:p>
      <w:pPr>
        <w:spacing w:after="0"/>
        <w:tabs>
          <w:tab w:leader="none" w:pos="10520" w:val="left"/>
        </w:tabs>
        <w:rPr>
          <w:sz w:val="20"/>
          <w:szCs w:val="20"/>
          <w:color w:val="auto"/>
        </w:rPr>
      </w:pPr>
      <w:r>
        <w:rPr>
          <w:rFonts w:ascii="Arial" w:cs="Arial" w:eastAsia="Arial" w:hAnsi="Arial"/>
          <w:sz w:val="18"/>
          <w:szCs w:val="18"/>
          <w:color w:val="auto"/>
        </w:rPr>
        <w:t>Shareholders’ Agreement</w:t>
      </w:r>
      <w:r>
        <w:rPr>
          <w:sz w:val="20"/>
          <w:szCs w:val="20"/>
          <w:color w:val="auto"/>
        </w:rPr>
        <w:tab/>
      </w:r>
      <w:r>
        <w:rPr>
          <w:rFonts w:ascii="Arial" w:cs="Arial" w:eastAsia="Arial" w:hAnsi="Arial"/>
          <w:sz w:val="16"/>
          <w:szCs w:val="16"/>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271780</wp:posOffset>
            </wp:positionV>
            <wp:extent cx="729043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54"/>
        </w:trPr>
        <w:tc>
          <w:tcPr>
            <w:tcW w:w="4320" w:type="dxa"/>
            <w:vAlign w:val="bottom"/>
          </w:tcPr>
          <w:p>
            <w:pPr>
              <w:spacing w:after="0"/>
              <w:rPr>
                <w:sz w:val="22"/>
                <w:szCs w:val="22"/>
                <w:color w:val="auto"/>
              </w:rPr>
            </w:pPr>
          </w:p>
        </w:tc>
        <w:tc>
          <w:tcPr>
            <w:tcW w:w="7120" w:type="dxa"/>
            <w:vAlign w:val="bottom"/>
          </w:tcPr>
          <w:p>
            <w:pPr>
              <w:ind w:left="800"/>
              <w:spacing w:after="0"/>
              <w:rPr>
                <w:sz w:val="20"/>
                <w:szCs w:val="20"/>
                <w:color w:val="auto"/>
              </w:rPr>
            </w:pPr>
            <w:r>
              <w:rPr>
                <w:rFonts w:ascii="Arial" w:cs="Arial" w:eastAsia="Arial" w:hAnsi="Arial"/>
                <w:sz w:val="20"/>
                <w:szCs w:val="20"/>
                <w:b w:val="1"/>
                <w:bCs w:val="1"/>
                <w:color w:val="auto"/>
              </w:rPr>
              <w:t>SCHEDULE I</w:t>
            </w:r>
          </w:p>
        </w:tc>
      </w:tr>
      <w:tr>
        <w:trPr>
          <w:trHeight w:val="441"/>
        </w:trPr>
        <w:tc>
          <w:tcPr>
            <w:tcW w:w="4320" w:type="dxa"/>
            <w:vAlign w:val="bottom"/>
          </w:tcPr>
          <w:p>
            <w:pPr>
              <w:spacing w:after="0"/>
              <w:rPr>
                <w:sz w:val="24"/>
                <w:szCs w:val="24"/>
                <w:color w:val="auto"/>
              </w:rPr>
            </w:pPr>
          </w:p>
        </w:tc>
        <w:tc>
          <w:tcPr>
            <w:tcW w:w="7120" w:type="dxa"/>
            <w:vAlign w:val="bottom"/>
          </w:tcPr>
          <w:p>
            <w:pPr>
              <w:ind w:left="200"/>
              <w:spacing w:after="0"/>
              <w:rPr>
                <w:sz w:val="20"/>
                <w:szCs w:val="20"/>
                <w:color w:val="auto"/>
              </w:rPr>
            </w:pPr>
            <w:r>
              <w:rPr>
                <w:rFonts w:ascii="Arial" w:cs="Arial" w:eastAsia="Arial" w:hAnsi="Arial"/>
                <w:sz w:val="20"/>
                <w:szCs w:val="20"/>
                <w:b w:val="1"/>
                <w:bCs w:val="1"/>
                <w:color w:val="auto"/>
              </w:rPr>
              <w:t>SCHEDULE OF HOLDERS</w:t>
            </w:r>
          </w:p>
        </w:tc>
      </w:tr>
      <w:tr>
        <w:trPr>
          <w:trHeight w:val="481"/>
        </w:trPr>
        <w:tc>
          <w:tcPr>
            <w:tcW w:w="4320" w:type="dxa"/>
            <w:vAlign w:val="bottom"/>
          </w:tcPr>
          <w:p>
            <w:pPr>
              <w:spacing w:after="0"/>
              <w:rPr>
                <w:sz w:val="20"/>
                <w:szCs w:val="20"/>
                <w:color w:val="auto"/>
              </w:rPr>
            </w:pPr>
            <w:r>
              <w:rPr>
                <w:rFonts w:ascii="Arial" w:cs="Arial" w:eastAsia="Arial" w:hAnsi="Arial"/>
                <w:sz w:val="20"/>
                <w:szCs w:val="20"/>
                <w:color w:val="auto"/>
              </w:rPr>
              <w:t>Anderson, Gary Harmon</w:t>
            </w:r>
          </w:p>
        </w:tc>
        <w:tc>
          <w:tcPr>
            <w:tcW w:w="7120" w:type="dxa"/>
            <w:vAlign w:val="bottom"/>
          </w:tcPr>
          <w:p>
            <w:pPr>
              <w:ind w:left="1980"/>
              <w:spacing w:after="0"/>
              <w:rPr>
                <w:sz w:val="20"/>
                <w:szCs w:val="20"/>
                <w:color w:val="auto"/>
              </w:rPr>
            </w:pPr>
            <w:r>
              <w:rPr>
                <w:rFonts w:ascii="Arial" w:cs="Arial" w:eastAsia="Arial" w:hAnsi="Arial"/>
                <w:sz w:val="20"/>
                <w:szCs w:val="20"/>
                <w:color w:val="auto"/>
              </w:rPr>
              <w:t>Marshall, Schuyler B.</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Antell, Charles</w:t>
            </w:r>
          </w:p>
        </w:tc>
        <w:tc>
          <w:tcPr>
            <w:tcW w:w="7120" w:type="dxa"/>
            <w:vAlign w:val="bottom"/>
          </w:tcPr>
          <w:p>
            <w:pPr>
              <w:ind w:left="1980"/>
              <w:spacing w:after="0"/>
              <w:rPr>
                <w:sz w:val="20"/>
                <w:szCs w:val="20"/>
                <w:color w:val="auto"/>
              </w:rPr>
            </w:pPr>
            <w:r>
              <w:rPr>
                <w:rFonts w:ascii="Arial" w:cs="Arial" w:eastAsia="Arial" w:hAnsi="Arial"/>
                <w:sz w:val="20"/>
                <w:szCs w:val="20"/>
                <w:color w:val="auto"/>
              </w:rPr>
              <w:t>Mensch, Dennis</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Arnal, Maria Teresa</w:t>
            </w:r>
          </w:p>
        </w:tc>
        <w:tc>
          <w:tcPr>
            <w:tcW w:w="7120" w:type="dxa"/>
            <w:vAlign w:val="bottom"/>
          </w:tcPr>
          <w:p>
            <w:pPr>
              <w:ind w:left="1980"/>
              <w:spacing w:after="0"/>
              <w:rPr>
                <w:sz w:val="20"/>
                <w:szCs w:val="20"/>
                <w:color w:val="auto"/>
              </w:rPr>
            </w:pPr>
            <w:r>
              <w:rPr>
                <w:rFonts w:ascii="Arial" w:cs="Arial" w:eastAsia="Arial" w:hAnsi="Arial"/>
                <w:sz w:val="20"/>
                <w:szCs w:val="20"/>
                <w:color w:val="auto"/>
              </w:rPr>
              <w:t>Merrylees, David</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Beeson, Bradford T.</w:t>
            </w:r>
          </w:p>
        </w:tc>
        <w:tc>
          <w:tcPr>
            <w:tcW w:w="7120" w:type="dxa"/>
            <w:vAlign w:val="bottom"/>
          </w:tcPr>
          <w:p>
            <w:pPr>
              <w:ind w:left="1980"/>
              <w:spacing w:after="0"/>
              <w:rPr>
                <w:sz w:val="20"/>
                <w:szCs w:val="20"/>
                <w:color w:val="auto"/>
              </w:rPr>
            </w:pPr>
            <w:r>
              <w:rPr>
                <w:rFonts w:ascii="Arial" w:cs="Arial" w:eastAsia="Arial" w:hAnsi="Arial"/>
                <w:sz w:val="20"/>
                <w:szCs w:val="20"/>
                <w:color w:val="auto"/>
              </w:rPr>
              <w:t>Mindell, Ken D.</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Beeson, Matthew S.</w:t>
            </w:r>
          </w:p>
        </w:tc>
        <w:tc>
          <w:tcPr>
            <w:tcW w:w="7120" w:type="dxa"/>
            <w:vAlign w:val="bottom"/>
          </w:tcPr>
          <w:p>
            <w:pPr>
              <w:ind w:left="1980"/>
              <w:spacing w:after="0"/>
              <w:rPr>
                <w:sz w:val="20"/>
                <w:szCs w:val="20"/>
                <w:color w:val="auto"/>
              </w:rPr>
            </w:pPr>
            <w:r>
              <w:rPr>
                <w:rFonts w:ascii="Arial" w:cs="Arial" w:eastAsia="Arial" w:hAnsi="Arial"/>
                <w:sz w:val="20"/>
                <w:szCs w:val="20"/>
                <w:color w:val="auto"/>
              </w:rPr>
              <w:t>Neo Ventures, LLC</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Beeson, William H.</w:t>
            </w:r>
          </w:p>
        </w:tc>
        <w:tc>
          <w:tcPr>
            <w:tcW w:w="7120" w:type="dxa"/>
            <w:vAlign w:val="bottom"/>
          </w:tcPr>
          <w:p>
            <w:pPr>
              <w:ind w:left="1980"/>
              <w:spacing w:after="0"/>
              <w:rPr>
                <w:sz w:val="20"/>
                <w:szCs w:val="20"/>
                <w:color w:val="auto"/>
              </w:rPr>
            </w:pPr>
            <w:r>
              <w:rPr>
                <w:rFonts w:ascii="Arial" w:cs="Arial" w:eastAsia="Arial" w:hAnsi="Arial"/>
                <w:sz w:val="20"/>
                <w:szCs w:val="20"/>
                <w:color w:val="auto"/>
              </w:rPr>
              <w:t>Opaleye, L.P.</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Bindra, Balbir Singh</w:t>
            </w:r>
          </w:p>
        </w:tc>
        <w:tc>
          <w:tcPr>
            <w:tcW w:w="7120" w:type="dxa"/>
            <w:vAlign w:val="bottom"/>
          </w:tcPr>
          <w:p>
            <w:pPr>
              <w:ind w:left="1980"/>
              <w:spacing w:after="0"/>
              <w:rPr>
                <w:sz w:val="20"/>
                <w:szCs w:val="20"/>
                <w:color w:val="auto"/>
              </w:rPr>
            </w:pPr>
            <w:r>
              <w:rPr>
                <w:rFonts w:ascii="Arial" w:cs="Arial" w:eastAsia="Arial" w:hAnsi="Arial"/>
                <w:sz w:val="20"/>
                <w:szCs w:val="20"/>
                <w:color w:val="auto"/>
              </w:rPr>
              <w:t>Perold, André F. And Suellen S.</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Blasquez, Patricio Miguel Madero</w:t>
            </w:r>
          </w:p>
        </w:tc>
        <w:tc>
          <w:tcPr>
            <w:tcW w:w="7120" w:type="dxa"/>
            <w:vAlign w:val="bottom"/>
          </w:tcPr>
          <w:p>
            <w:pPr>
              <w:ind w:left="1980"/>
              <w:spacing w:after="0"/>
              <w:rPr>
                <w:sz w:val="20"/>
                <w:szCs w:val="20"/>
                <w:color w:val="auto"/>
              </w:rPr>
            </w:pPr>
            <w:r>
              <w:rPr>
                <w:rFonts w:ascii="Arial" w:cs="Arial" w:eastAsia="Arial" w:hAnsi="Arial"/>
                <w:sz w:val="20"/>
                <w:szCs w:val="20"/>
                <w:color w:val="auto"/>
              </w:rPr>
              <w:t>Pickett, Matthew J. &amp; Julia R.</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Brecher, Dan</w:t>
            </w:r>
          </w:p>
        </w:tc>
        <w:tc>
          <w:tcPr>
            <w:tcW w:w="7120" w:type="dxa"/>
            <w:vAlign w:val="bottom"/>
          </w:tcPr>
          <w:p>
            <w:pPr>
              <w:ind w:left="1980"/>
              <w:spacing w:after="0"/>
              <w:rPr>
                <w:sz w:val="20"/>
                <w:szCs w:val="20"/>
                <w:color w:val="auto"/>
              </w:rPr>
            </w:pPr>
            <w:r>
              <w:rPr>
                <w:rFonts w:ascii="Arial" w:cs="Arial" w:eastAsia="Arial" w:hAnsi="Arial"/>
                <w:sz w:val="20"/>
                <w:szCs w:val="20"/>
                <w:color w:val="auto"/>
              </w:rPr>
              <w:t>Primrose Partners, Ltd.</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Carr, Jr., Sabin Wyatt</w:t>
            </w:r>
          </w:p>
        </w:tc>
        <w:tc>
          <w:tcPr>
            <w:tcW w:w="7120" w:type="dxa"/>
            <w:vAlign w:val="bottom"/>
          </w:tcPr>
          <w:p>
            <w:pPr>
              <w:ind w:left="1980"/>
              <w:spacing w:after="0"/>
              <w:rPr>
                <w:sz w:val="20"/>
                <w:szCs w:val="20"/>
                <w:color w:val="auto"/>
              </w:rPr>
            </w:pPr>
            <w:r>
              <w:rPr>
                <w:rFonts w:ascii="Arial" w:cs="Arial" w:eastAsia="Arial" w:hAnsi="Arial"/>
                <w:sz w:val="20"/>
                <w:szCs w:val="20"/>
                <w:color w:val="auto"/>
              </w:rPr>
              <w:t>Reynaud de la Lama, Mauricio</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Curious Gems, LLC</w:t>
            </w:r>
          </w:p>
        </w:tc>
        <w:tc>
          <w:tcPr>
            <w:tcW w:w="7120" w:type="dxa"/>
            <w:vAlign w:val="bottom"/>
          </w:tcPr>
          <w:p>
            <w:pPr>
              <w:ind w:left="1980"/>
              <w:spacing w:after="0"/>
              <w:rPr>
                <w:sz w:val="20"/>
                <w:szCs w:val="20"/>
                <w:color w:val="auto"/>
              </w:rPr>
            </w:pPr>
            <w:r>
              <w:rPr>
                <w:rFonts w:ascii="Arial" w:cs="Arial" w:eastAsia="Arial" w:hAnsi="Arial"/>
                <w:sz w:val="20"/>
                <w:szCs w:val="20"/>
                <w:color w:val="auto"/>
              </w:rPr>
              <w:t>RJS Virginia LLC</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Dallas Mineral Partners</w:t>
            </w:r>
          </w:p>
        </w:tc>
        <w:tc>
          <w:tcPr>
            <w:tcW w:w="7120" w:type="dxa"/>
            <w:vAlign w:val="bottom"/>
          </w:tcPr>
          <w:p>
            <w:pPr>
              <w:ind w:left="1980"/>
              <w:spacing w:after="0"/>
              <w:rPr>
                <w:sz w:val="20"/>
                <w:szCs w:val="20"/>
                <w:color w:val="auto"/>
              </w:rPr>
            </w:pPr>
            <w:r>
              <w:rPr>
                <w:rFonts w:ascii="Arial" w:cs="Arial" w:eastAsia="Arial" w:hAnsi="Arial"/>
                <w:sz w:val="20"/>
                <w:szCs w:val="20"/>
                <w:color w:val="auto"/>
              </w:rPr>
              <w:t>Salinaro, Benjamin</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Eli Investments, Inc.</w:t>
            </w:r>
          </w:p>
        </w:tc>
        <w:tc>
          <w:tcPr>
            <w:tcW w:w="7120" w:type="dxa"/>
            <w:vAlign w:val="bottom"/>
          </w:tcPr>
          <w:p>
            <w:pPr>
              <w:ind w:left="1980"/>
              <w:spacing w:after="0"/>
              <w:rPr>
                <w:sz w:val="20"/>
                <w:szCs w:val="20"/>
                <w:color w:val="auto"/>
              </w:rPr>
            </w:pPr>
            <w:r>
              <w:rPr>
                <w:rFonts w:ascii="Arial" w:cs="Arial" w:eastAsia="Arial" w:hAnsi="Arial"/>
                <w:sz w:val="20"/>
                <w:szCs w:val="20"/>
                <w:color w:val="auto"/>
              </w:rPr>
              <w:t>Salinaro, Jill as Custodian for Tess Salinaro</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Evans, Toni A.</w:t>
            </w:r>
          </w:p>
        </w:tc>
        <w:tc>
          <w:tcPr>
            <w:tcW w:w="7120" w:type="dxa"/>
            <w:vAlign w:val="bottom"/>
          </w:tcPr>
          <w:p>
            <w:pPr>
              <w:ind w:left="1980"/>
              <w:spacing w:after="0"/>
              <w:rPr>
                <w:sz w:val="20"/>
                <w:szCs w:val="20"/>
                <w:color w:val="auto"/>
              </w:rPr>
            </w:pPr>
            <w:r>
              <w:rPr>
                <w:rFonts w:ascii="Arial" w:cs="Arial" w:eastAsia="Arial" w:hAnsi="Arial"/>
                <w:sz w:val="20"/>
                <w:szCs w:val="20"/>
                <w:color w:val="auto"/>
              </w:rPr>
              <w:t>Salinaro, Michael</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Finegan, Robert J.</w:t>
            </w:r>
          </w:p>
        </w:tc>
        <w:tc>
          <w:tcPr>
            <w:tcW w:w="7120" w:type="dxa"/>
            <w:vAlign w:val="bottom"/>
          </w:tcPr>
          <w:p>
            <w:pPr>
              <w:ind w:left="1980"/>
              <w:spacing w:after="0"/>
              <w:rPr>
                <w:sz w:val="20"/>
                <w:szCs w:val="20"/>
                <w:color w:val="auto"/>
              </w:rPr>
            </w:pPr>
            <w:r>
              <w:rPr>
                <w:rFonts w:ascii="Arial" w:cs="Arial" w:eastAsia="Arial" w:hAnsi="Arial"/>
                <w:sz w:val="20"/>
                <w:szCs w:val="20"/>
                <w:color w:val="auto"/>
              </w:rPr>
              <w:t>Salinaro, Nicholas</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Goggans, Frederick Crawford</w:t>
            </w:r>
          </w:p>
        </w:tc>
        <w:tc>
          <w:tcPr>
            <w:tcW w:w="7120" w:type="dxa"/>
            <w:vAlign w:val="bottom"/>
          </w:tcPr>
          <w:p>
            <w:pPr>
              <w:ind w:left="1980"/>
              <w:spacing w:after="0"/>
              <w:rPr>
                <w:sz w:val="20"/>
                <w:szCs w:val="20"/>
                <w:color w:val="auto"/>
              </w:rPr>
            </w:pPr>
            <w:r>
              <w:rPr>
                <w:rFonts w:ascii="Arial" w:cs="Arial" w:eastAsia="Arial" w:hAnsi="Arial"/>
                <w:sz w:val="20"/>
                <w:szCs w:val="20"/>
                <w:color w:val="auto"/>
              </w:rPr>
              <w:t>Sands, Patrick B.</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Gold, Mark &amp; Janice</w:t>
            </w:r>
          </w:p>
        </w:tc>
        <w:tc>
          <w:tcPr>
            <w:tcW w:w="7120" w:type="dxa"/>
            <w:vAlign w:val="bottom"/>
          </w:tcPr>
          <w:p>
            <w:pPr>
              <w:ind w:left="1980"/>
              <w:spacing w:after="0"/>
              <w:rPr>
                <w:sz w:val="20"/>
                <w:szCs w:val="20"/>
                <w:color w:val="auto"/>
              </w:rPr>
            </w:pPr>
            <w:r>
              <w:rPr>
                <w:rFonts w:ascii="Arial" w:cs="Arial" w:eastAsia="Arial" w:hAnsi="Arial"/>
                <w:sz w:val="20"/>
                <w:szCs w:val="20"/>
                <w:color w:val="auto"/>
              </w:rPr>
              <w:t>Scott, R. Randolph</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Gout, Gabriela Kalb</w:t>
            </w:r>
          </w:p>
        </w:tc>
        <w:tc>
          <w:tcPr>
            <w:tcW w:w="7120" w:type="dxa"/>
            <w:vAlign w:val="bottom"/>
          </w:tcPr>
          <w:p>
            <w:pPr>
              <w:ind w:left="1980"/>
              <w:spacing w:after="0"/>
              <w:rPr>
                <w:sz w:val="20"/>
                <w:szCs w:val="20"/>
                <w:color w:val="auto"/>
              </w:rPr>
            </w:pPr>
            <w:r>
              <w:rPr>
                <w:rFonts w:ascii="Arial" w:cs="Arial" w:eastAsia="Arial" w:hAnsi="Arial"/>
                <w:sz w:val="20"/>
                <w:szCs w:val="20"/>
                <w:color w:val="auto"/>
              </w:rPr>
              <w:t>Shorma, David J.</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Gout, Jaime Kalb</w:t>
            </w:r>
          </w:p>
        </w:tc>
        <w:tc>
          <w:tcPr>
            <w:tcW w:w="7120" w:type="dxa"/>
            <w:vAlign w:val="bottom"/>
          </w:tcPr>
          <w:p>
            <w:pPr>
              <w:ind w:left="1980"/>
              <w:spacing w:after="0"/>
              <w:rPr>
                <w:sz w:val="20"/>
                <w:szCs w:val="20"/>
                <w:color w:val="auto"/>
              </w:rPr>
            </w:pPr>
            <w:r>
              <w:rPr>
                <w:rFonts w:ascii="Arial" w:cs="Arial" w:eastAsia="Arial" w:hAnsi="Arial"/>
                <w:sz w:val="20"/>
                <w:szCs w:val="20"/>
                <w:color w:val="auto"/>
              </w:rPr>
              <w:t>Sinclair, Anthony F.</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Grama Ventures, LLC</w:t>
            </w:r>
          </w:p>
        </w:tc>
        <w:tc>
          <w:tcPr>
            <w:tcW w:w="7120" w:type="dxa"/>
            <w:vAlign w:val="bottom"/>
          </w:tcPr>
          <w:p>
            <w:pPr>
              <w:ind w:left="1980"/>
              <w:spacing w:after="0"/>
              <w:rPr>
                <w:sz w:val="20"/>
                <w:szCs w:val="20"/>
                <w:color w:val="auto"/>
              </w:rPr>
            </w:pPr>
            <w:r>
              <w:rPr>
                <w:rFonts w:ascii="Arial" w:cs="Arial" w:eastAsia="Arial" w:hAnsi="Arial"/>
                <w:sz w:val="20"/>
                <w:szCs w:val="20"/>
                <w:color w:val="auto"/>
              </w:rPr>
              <w:t>Smith, Richard A.</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Grant IRA, Dahlia W.</w:t>
            </w:r>
          </w:p>
        </w:tc>
        <w:tc>
          <w:tcPr>
            <w:tcW w:w="7120" w:type="dxa"/>
            <w:vAlign w:val="bottom"/>
          </w:tcPr>
          <w:p>
            <w:pPr>
              <w:ind w:left="1980"/>
              <w:spacing w:after="0"/>
              <w:rPr>
                <w:sz w:val="20"/>
                <w:szCs w:val="20"/>
                <w:color w:val="auto"/>
              </w:rPr>
            </w:pPr>
            <w:r>
              <w:rPr>
                <w:rFonts w:ascii="Arial" w:cs="Arial" w:eastAsia="Arial" w:hAnsi="Arial"/>
                <w:sz w:val="20"/>
                <w:szCs w:val="20"/>
                <w:color w:val="auto"/>
              </w:rPr>
              <w:t>Stern Family Trust</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Harrison, Laurie Sands</w:t>
            </w:r>
          </w:p>
        </w:tc>
        <w:tc>
          <w:tcPr>
            <w:tcW w:w="7120" w:type="dxa"/>
            <w:vAlign w:val="bottom"/>
          </w:tcPr>
          <w:p>
            <w:pPr>
              <w:ind w:left="1980"/>
              <w:spacing w:after="0"/>
              <w:rPr>
                <w:sz w:val="20"/>
                <w:szCs w:val="20"/>
                <w:color w:val="auto"/>
              </w:rPr>
            </w:pPr>
            <w:r>
              <w:rPr>
                <w:rFonts w:ascii="Arial" w:cs="Arial" w:eastAsia="Arial" w:hAnsi="Arial"/>
                <w:sz w:val="20"/>
                <w:szCs w:val="20"/>
                <w:color w:val="auto"/>
              </w:rPr>
              <w:t>Suzman JTWRS, Peter &amp; Mary Jane</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Herman Living Trust, Harvey A.</w:t>
            </w:r>
          </w:p>
        </w:tc>
        <w:tc>
          <w:tcPr>
            <w:tcW w:w="7120" w:type="dxa"/>
            <w:vAlign w:val="bottom"/>
          </w:tcPr>
          <w:p>
            <w:pPr>
              <w:ind w:left="1980"/>
              <w:spacing w:after="0"/>
              <w:rPr>
                <w:sz w:val="20"/>
                <w:szCs w:val="20"/>
                <w:color w:val="auto"/>
              </w:rPr>
            </w:pPr>
            <w:r>
              <w:rPr>
                <w:rFonts w:ascii="Arial" w:cs="Arial" w:eastAsia="Arial" w:hAnsi="Arial"/>
                <w:sz w:val="20"/>
                <w:szCs w:val="20"/>
                <w:color w:val="auto"/>
              </w:rPr>
              <w:t>The Ninety-Six Corporation</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w w:val="94"/>
              </w:rPr>
              <w:t>Hunt, Lyda Hunt-Herbert Trusts - Lyda Bunker Hunt</w:t>
            </w:r>
          </w:p>
        </w:tc>
        <w:tc>
          <w:tcPr>
            <w:tcW w:w="7120" w:type="dxa"/>
            <w:vAlign w:val="bottom"/>
          </w:tcPr>
          <w:p>
            <w:pPr>
              <w:ind w:left="1980"/>
              <w:spacing w:after="0"/>
              <w:rPr>
                <w:sz w:val="20"/>
                <w:szCs w:val="20"/>
                <w:color w:val="auto"/>
              </w:rPr>
            </w:pPr>
            <w:r>
              <w:rPr>
                <w:rFonts w:ascii="Arial" w:cs="Arial" w:eastAsia="Arial" w:hAnsi="Arial"/>
                <w:sz w:val="20"/>
                <w:szCs w:val="20"/>
                <w:color w:val="auto"/>
              </w:rPr>
              <w:t>Tull JT TEN, C. Thomas &amp; Carole L.</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Jackson, Jr., Winton A.</w:t>
            </w:r>
          </w:p>
        </w:tc>
        <w:tc>
          <w:tcPr>
            <w:tcW w:w="7120" w:type="dxa"/>
            <w:vAlign w:val="bottom"/>
          </w:tcPr>
          <w:p>
            <w:pPr>
              <w:ind w:left="1980"/>
              <w:spacing w:after="0"/>
              <w:rPr>
                <w:sz w:val="20"/>
                <w:szCs w:val="20"/>
                <w:color w:val="auto"/>
              </w:rPr>
            </w:pPr>
            <w:r>
              <w:rPr>
                <w:rFonts w:ascii="Arial" w:cs="Arial" w:eastAsia="Arial" w:hAnsi="Arial"/>
                <w:sz w:val="20"/>
                <w:szCs w:val="20"/>
                <w:color w:val="auto"/>
              </w:rPr>
              <w:t>Wish Revocable Trust dated 11/21/94, Peter A.</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Joscar Investment, Ltd.</w:t>
            </w:r>
          </w:p>
        </w:tc>
        <w:tc>
          <w:tcPr>
            <w:tcW w:w="7120" w:type="dxa"/>
            <w:vAlign w:val="bottom"/>
          </w:tcPr>
          <w:p>
            <w:pPr>
              <w:ind w:left="1980"/>
              <w:spacing w:after="0"/>
              <w:rPr>
                <w:sz w:val="20"/>
                <w:szCs w:val="20"/>
                <w:color w:val="auto"/>
              </w:rPr>
            </w:pPr>
            <w:r>
              <w:rPr>
                <w:rFonts w:ascii="Arial" w:cs="Arial" w:eastAsia="Arial" w:hAnsi="Arial"/>
                <w:sz w:val="20"/>
                <w:szCs w:val="20"/>
                <w:color w:val="auto"/>
              </w:rPr>
              <w:t>Zehnder, Dominik E.</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Kennedy, Fred C.</w:t>
            </w:r>
          </w:p>
        </w:tc>
        <w:tc>
          <w:tcPr>
            <w:tcW w:w="7120" w:type="dxa"/>
            <w:vAlign w:val="bottom"/>
          </w:tcPr>
          <w:p>
            <w:pPr>
              <w:ind w:left="1980"/>
              <w:spacing w:after="0"/>
              <w:rPr>
                <w:sz w:val="20"/>
                <w:szCs w:val="20"/>
                <w:color w:val="auto"/>
              </w:rPr>
            </w:pPr>
            <w:r>
              <w:rPr>
                <w:rFonts w:ascii="Arial" w:cs="Arial" w:eastAsia="Arial" w:hAnsi="Arial"/>
                <w:sz w:val="20"/>
                <w:szCs w:val="20"/>
                <w:color w:val="auto"/>
              </w:rPr>
              <w:t>Zwisler, Eric</w:t>
            </w: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Kesef Investment, LLC - Class V</w:t>
            </w:r>
          </w:p>
        </w:tc>
        <w:tc>
          <w:tcPr>
            <w:tcW w:w="7120" w:type="dxa"/>
            <w:vAlign w:val="bottom"/>
          </w:tcPr>
          <w:p>
            <w:pPr>
              <w:spacing w:after="0"/>
              <w:rPr>
                <w:sz w:val="23"/>
                <w:szCs w:val="23"/>
                <w:color w:val="auto"/>
              </w:rPr>
            </w:pPr>
          </w:p>
        </w:tc>
      </w:tr>
      <w:tr>
        <w:trPr>
          <w:trHeight w:val="267"/>
        </w:trPr>
        <w:tc>
          <w:tcPr>
            <w:tcW w:w="4320" w:type="dxa"/>
            <w:vAlign w:val="bottom"/>
          </w:tcPr>
          <w:p>
            <w:pPr>
              <w:spacing w:after="0"/>
              <w:rPr>
                <w:sz w:val="20"/>
                <w:szCs w:val="20"/>
                <w:color w:val="auto"/>
              </w:rPr>
            </w:pPr>
            <w:r>
              <w:rPr>
                <w:rFonts w:ascii="Arial" w:cs="Arial" w:eastAsia="Arial" w:hAnsi="Arial"/>
                <w:sz w:val="20"/>
                <w:szCs w:val="20"/>
                <w:color w:val="auto"/>
              </w:rPr>
              <w:t>Lai Family Trust dated December 14, 1993</w:t>
            </w:r>
          </w:p>
        </w:tc>
        <w:tc>
          <w:tcPr>
            <w:tcW w:w="7120" w:type="dxa"/>
            <w:vAlign w:val="bottom"/>
          </w:tcPr>
          <w:p>
            <w:pPr>
              <w:spacing w:after="0"/>
              <w:rPr>
                <w:sz w:val="23"/>
                <w:szCs w:val="23"/>
                <w:color w:val="auto"/>
              </w:rPr>
            </w:pPr>
          </w:p>
        </w:tc>
      </w:tr>
      <w:tr>
        <w:trPr>
          <w:trHeight w:val="870"/>
        </w:trPr>
        <w:tc>
          <w:tcPr>
            <w:tcW w:w="43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544" w:right="2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JOINDER AGREEMENT</w:t>
      </w:r>
    </w:p>
    <w:p>
      <w:pPr>
        <w:spacing w:after="0" w:line="22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b w:val="1"/>
          <w:bCs w:val="1"/>
          <w:color w:val="auto"/>
        </w:rPr>
        <w:t>Joinder Agreement</w:t>
      </w:r>
      <w:r>
        <w:rPr>
          <w:rFonts w:ascii="Arial" w:cs="Arial" w:eastAsia="Arial" w:hAnsi="Arial"/>
          <w:sz w:val="18"/>
          <w:szCs w:val="18"/>
          <w:color w:val="auto"/>
        </w:rPr>
        <w:t>”) is executed on _______________, by the undersigned (the “</w:t>
      </w:r>
      <w:r>
        <w:rPr>
          <w:rFonts w:ascii="Arial" w:cs="Arial" w:eastAsia="Arial" w:hAnsi="Arial"/>
          <w:sz w:val="18"/>
          <w:szCs w:val="18"/>
          <w:b w:val="1"/>
          <w:bCs w:val="1"/>
          <w:color w:val="auto"/>
        </w:rPr>
        <w:t>Holder</w:t>
      </w:r>
      <w:r>
        <w:rPr>
          <w:rFonts w:ascii="Arial" w:cs="Arial" w:eastAsia="Arial" w:hAnsi="Arial"/>
          <w:sz w:val="18"/>
          <w:szCs w:val="18"/>
          <w:color w:val="auto"/>
        </w:rPr>
        <w:t>”) pursuant to</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that certain Shareholders’ Agreement dated as of _________ __, 2017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FibroGen International</w:t>
      </w:r>
    </w:p>
    <w:p>
      <w:pPr>
        <w:spacing w:after="0" w:line="2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b w:val="1"/>
          <w:bCs w:val="1"/>
          <w:color w:val="auto"/>
        </w:rPr>
        <w:t xml:space="preserve">(Cayman) Limited </w:t>
      </w:r>
      <w:r>
        <w:rPr>
          <w:rFonts w:ascii="Arial" w:cs="Arial" w:eastAsia="Arial" w:hAnsi="Arial"/>
          <w:sz w:val="20"/>
          <w:szCs w:val="20"/>
          <w:color w:val="auto"/>
        </w:rPr>
        <w:t>(the “</w:t>
      </w:r>
      <w:r>
        <w:rPr>
          <w:rFonts w:ascii="Arial" w:cs="Arial" w:eastAsia="Arial" w:hAnsi="Arial"/>
          <w:sz w:val="20"/>
          <w:szCs w:val="20"/>
          <w:b w:val="1"/>
          <w:bCs w:val="1"/>
          <w:color w:val="auto"/>
        </w:rPr>
        <w:t>Company</w:t>
      </w:r>
      <w:r>
        <w:rPr>
          <w:rFonts w:ascii="Arial" w:cs="Arial" w:eastAsia="Arial" w:hAnsi="Arial"/>
          <w:sz w:val="20"/>
          <w:szCs w:val="20"/>
          <w:color w:val="auto"/>
        </w:rPr>
        <w:t>”) and certain of its shareholders, as such Agreement may be amended or amended and restated</w:t>
      </w:r>
      <w:r>
        <w:rPr>
          <w:rFonts w:ascii="Arial" w:cs="Arial" w:eastAsia="Arial" w:hAnsi="Arial"/>
          <w:sz w:val="20"/>
          <w:szCs w:val="20"/>
          <w:b w:val="1"/>
          <w:bCs w:val="1"/>
          <w:color w:val="auto"/>
        </w:rPr>
        <w:t xml:space="preserve"> </w:t>
      </w:r>
      <w:r>
        <w:rPr>
          <w:rFonts w:ascii="Arial" w:cs="Arial" w:eastAsia="Arial" w:hAnsi="Arial"/>
          <w:sz w:val="20"/>
          <w:szCs w:val="20"/>
          <w:color w:val="auto"/>
        </w:rPr>
        <w:t>hereafter. Capitalized terms used but not defined in this Joinder Agreement shall have the respective meanings ascribed to such terms in the Agreement. By the execution of this Joinder Agreement, the Holder agrees as follows:</w:t>
      </w:r>
    </w:p>
    <w:p>
      <w:pPr>
        <w:spacing w:after="0" w:line="208"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Acknowledgement</w:t>
      </w:r>
      <w:r>
        <w:rPr>
          <w:rFonts w:ascii="Arial" w:cs="Arial" w:eastAsia="Arial" w:hAnsi="Arial"/>
          <w:sz w:val="20"/>
          <w:szCs w:val="20"/>
          <w:color w:val="auto"/>
        </w:rPr>
        <w:t>. Holder acknowledges that Holder is acquiring certain shares of the capital shares of the Company (the “</w:t>
      </w:r>
      <w:r>
        <w:rPr>
          <w:rFonts w:ascii="Arial" w:cs="Arial" w:eastAsia="Arial" w:hAnsi="Arial"/>
          <w:sz w:val="20"/>
          <w:szCs w:val="20"/>
          <w:b w:val="1"/>
          <w:bCs w:val="1"/>
          <w:color w:val="auto"/>
        </w:rPr>
        <w:t>Shares</w:t>
      </w:r>
      <w:r>
        <w:rPr>
          <w:rFonts w:ascii="Arial" w:cs="Arial" w:eastAsia="Arial" w:hAnsi="Arial"/>
          <w:sz w:val="20"/>
          <w:szCs w:val="20"/>
          <w:color w:val="auto"/>
        </w:rPr>
        <w:t>”), for one of the following reasons (Check the correct box):</w:t>
      </w:r>
    </w:p>
    <w:p>
      <w:pPr>
        <w:spacing w:after="0" w:line="204" w:lineRule="exact"/>
        <w:rPr>
          <w:sz w:val="20"/>
          <w:szCs w:val="20"/>
          <w:color w:val="auto"/>
        </w:rPr>
      </w:pPr>
    </w:p>
    <w:p>
      <w:pPr>
        <w:ind w:right="20" w:firstLine="884"/>
        <w:spacing w:after="0" w:line="256" w:lineRule="auto"/>
        <w:tabs>
          <w:tab w:leader="none" w:pos="1692" w:val="left"/>
        </w:tabs>
        <w:numPr>
          <w:ilvl w:val="0"/>
          <w:numId w:val="68"/>
        </w:numPr>
        <w:rPr>
          <w:rFonts w:ascii="MS PGothic" w:cs="MS PGothic" w:eastAsia="MS PGothic" w:hAnsi="MS PGothic"/>
          <w:sz w:val="20"/>
          <w:szCs w:val="20"/>
          <w:color w:val="auto"/>
        </w:rPr>
      </w:pPr>
      <w:r>
        <w:rPr>
          <w:rFonts w:ascii="Arial" w:cs="Arial" w:eastAsia="Arial" w:hAnsi="Arial"/>
          <w:sz w:val="20"/>
          <w:szCs w:val="20"/>
          <w:color w:val="auto"/>
        </w:rPr>
        <w:t>as a transferee of Shares from a party in such party’s capacity as an “Holder” bound by the Agreement, and after such transfer, Holder shall be considered an “Holder” for all purposes of the Agreement.</w:t>
      </w:r>
    </w:p>
    <w:p>
      <w:pPr>
        <w:spacing w:after="0" w:line="203" w:lineRule="exact"/>
        <w:rPr>
          <w:rFonts w:ascii="MS PGothic" w:cs="MS PGothic" w:eastAsia="MS PGothic" w:hAnsi="MS PGothic"/>
          <w:sz w:val="20"/>
          <w:szCs w:val="20"/>
          <w:color w:val="auto"/>
        </w:rPr>
      </w:pPr>
    </w:p>
    <w:p>
      <w:pPr>
        <w:ind w:left="1700" w:hanging="816"/>
        <w:spacing w:after="0"/>
        <w:tabs>
          <w:tab w:leader="none" w:pos="1700" w:val="left"/>
        </w:tabs>
        <w:numPr>
          <w:ilvl w:val="0"/>
          <w:numId w:val="68"/>
        </w:numPr>
        <w:rPr>
          <w:rFonts w:ascii="MS PGothic" w:cs="MS PGothic" w:eastAsia="MS PGothic" w:hAnsi="MS PGothic"/>
          <w:sz w:val="20"/>
          <w:szCs w:val="20"/>
          <w:color w:val="auto"/>
        </w:rPr>
      </w:pPr>
      <w:r>
        <w:rPr>
          <w:rFonts w:ascii="Arial" w:cs="Arial" w:eastAsia="Arial" w:hAnsi="Arial"/>
          <w:sz w:val="20"/>
          <w:szCs w:val="20"/>
          <w:color w:val="auto"/>
        </w:rPr>
        <w:t>as a new investor, in which case Holder will be an “Holder” for all purposes of the Agreement.</w:t>
      </w:r>
    </w:p>
    <w:p>
      <w:pPr>
        <w:spacing w:after="0" w:line="104"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Agreement</w:t>
      </w:r>
      <w:r>
        <w:rPr>
          <w:rFonts w:ascii="Arial" w:cs="Arial" w:eastAsia="Arial" w:hAnsi="Arial"/>
          <w:sz w:val="20"/>
          <w:szCs w:val="20"/>
          <w:color w:val="auto"/>
        </w:rPr>
        <w:t>. Holder hereby (a) agrees that the Shares, and any other shares of capital shares or securities required by the Agreement to be bound thereby, shall be bound by and subject to the terms of the Agreement and (b) adopts the Agreement with the same force and effect as if Holder were originally a party thereto.</w:t>
      </w:r>
    </w:p>
    <w:p>
      <w:pPr>
        <w:spacing w:after="0" w:line="20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Notice</w:t>
      </w:r>
      <w:r>
        <w:rPr>
          <w:rFonts w:ascii="Arial" w:cs="Arial" w:eastAsia="Arial" w:hAnsi="Arial"/>
          <w:sz w:val="20"/>
          <w:szCs w:val="20"/>
          <w:color w:val="auto"/>
        </w:rPr>
        <w:t>. Any notice required or permitted by the Agreement shall be given to Holder at the address or facsimile number listed below Holder’s signature hereto.</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HOLDER:</w:t>
            </w:r>
          </w:p>
        </w:tc>
        <w:tc>
          <w:tcPr>
            <w:tcW w:w="6240" w:type="dxa"/>
            <w:vAlign w:val="bottom"/>
            <w:gridSpan w:val="3"/>
          </w:tcPr>
          <w:p>
            <w:pPr>
              <w:ind w:left="580"/>
              <w:spacing w:after="0"/>
              <w:rPr>
                <w:sz w:val="20"/>
                <w:szCs w:val="20"/>
                <w:color w:val="auto"/>
              </w:rPr>
            </w:pPr>
            <w:r>
              <w:rPr>
                <w:rFonts w:ascii="Arial" w:cs="Arial" w:eastAsia="Arial" w:hAnsi="Arial"/>
                <w:sz w:val="20"/>
                <w:szCs w:val="20"/>
                <w:color w:val="auto"/>
              </w:rPr>
              <w:t>ACCEPTED AND AGREED:</w:t>
            </w:r>
          </w:p>
        </w:tc>
        <w:tc>
          <w:tcPr>
            <w:tcW w:w="0" w:type="dxa"/>
            <w:vAlign w:val="bottom"/>
          </w:tcPr>
          <w:p>
            <w:pPr>
              <w:spacing w:after="0"/>
              <w:rPr>
                <w:sz w:val="1"/>
                <w:szCs w:val="1"/>
                <w:color w:val="auto"/>
              </w:rPr>
            </w:pPr>
          </w:p>
        </w:tc>
      </w:tr>
      <w:tr>
        <w:trPr>
          <w:trHeight w:val="220"/>
        </w:trPr>
        <w:tc>
          <w:tcPr>
            <w:tcW w:w="1340" w:type="dxa"/>
            <w:vAlign w:val="bottom"/>
          </w:tcPr>
          <w:p>
            <w:pPr>
              <w:spacing w:after="0" w:line="220" w:lineRule="exact"/>
              <w:rPr>
                <w:sz w:val="20"/>
                <w:szCs w:val="20"/>
                <w:color w:val="auto"/>
              </w:rPr>
            </w:pPr>
            <w:r>
              <w:rPr>
                <w:rFonts w:ascii="Arial" w:cs="Arial" w:eastAsia="Arial" w:hAnsi="Arial"/>
                <w:sz w:val="20"/>
                <w:szCs w:val="20"/>
                <w:color w:val="auto"/>
              </w:rPr>
              <w:t>By:</w:t>
            </w:r>
          </w:p>
        </w:tc>
        <w:tc>
          <w:tcPr>
            <w:tcW w:w="3820" w:type="dxa"/>
            <w:vAlign w:val="bottom"/>
            <w:tcBorders>
              <w:top w:val="single" w:sz="8" w:color="auto"/>
              <w:bottom w:val="single" w:sz="8" w:color="auto"/>
            </w:tcBorders>
          </w:tcPr>
          <w:p>
            <w:pPr>
              <w:spacing w:after="0"/>
              <w:rPr>
                <w:sz w:val="19"/>
                <w:szCs w:val="19"/>
                <w:color w:val="auto"/>
              </w:rPr>
            </w:pPr>
          </w:p>
        </w:tc>
        <w:tc>
          <w:tcPr>
            <w:tcW w:w="6240" w:type="dxa"/>
            <w:vAlign w:val="bottom"/>
            <w:gridSpan w:val="3"/>
          </w:tcPr>
          <w:p>
            <w:pPr>
              <w:ind w:left="580"/>
              <w:spacing w:after="0" w:line="220" w:lineRule="exact"/>
              <w:rPr>
                <w:sz w:val="20"/>
                <w:szCs w:val="20"/>
                <w:color w:val="auto"/>
              </w:rPr>
            </w:pPr>
            <w:r>
              <w:rPr>
                <w:rFonts w:ascii="Arial" w:cs="Arial" w:eastAsia="Arial" w:hAnsi="Arial"/>
                <w:sz w:val="20"/>
                <w:szCs w:val="20"/>
                <w:b w:val="1"/>
                <w:bCs w:val="1"/>
                <w:color w:val="auto"/>
              </w:rPr>
              <w:t>COMPANY</w:t>
            </w:r>
          </w:p>
        </w:tc>
        <w:tc>
          <w:tcPr>
            <w:tcW w:w="0" w:type="dxa"/>
            <w:vAlign w:val="bottom"/>
          </w:tcPr>
          <w:p>
            <w:pPr>
              <w:spacing w:after="0"/>
              <w:rPr>
                <w:sz w:val="1"/>
                <w:szCs w:val="1"/>
                <w:color w:val="auto"/>
              </w:rPr>
            </w:pPr>
          </w:p>
        </w:tc>
      </w:tr>
      <w:tr>
        <w:trPr>
          <w:trHeight w:val="242"/>
        </w:trPr>
        <w:tc>
          <w:tcPr>
            <w:tcW w:w="5160" w:type="dxa"/>
            <w:vAlign w:val="bottom"/>
            <w:gridSpan w:val="2"/>
          </w:tcPr>
          <w:p>
            <w:pPr>
              <w:spacing w:after="0"/>
              <w:rPr>
                <w:sz w:val="20"/>
                <w:szCs w:val="20"/>
                <w:color w:val="auto"/>
              </w:rPr>
            </w:pPr>
            <w:r>
              <w:rPr>
                <w:rFonts w:ascii="Arial" w:cs="Arial" w:eastAsia="Arial" w:hAnsi="Arial"/>
                <w:sz w:val="20"/>
                <w:szCs w:val="20"/>
                <w:color w:val="auto"/>
              </w:rPr>
              <w:t>Name and Title of Signatory:</w:t>
            </w:r>
          </w:p>
        </w:tc>
        <w:tc>
          <w:tcPr>
            <w:tcW w:w="118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160" w:type="dxa"/>
            <w:vAlign w:val="bottom"/>
            <w:tcBorders>
              <w:bottom w:val="single" w:sz="8" w:color="auto"/>
            </w:tcBorders>
            <w:gridSpan w:val="2"/>
          </w:tcPr>
          <w:p>
            <w:pPr>
              <w:spacing w:after="0"/>
              <w:rPr>
                <w:sz w:val="17"/>
                <w:szCs w:val="17"/>
                <w:color w:val="auto"/>
              </w:rPr>
            </w:pPr>
          </w:p>
        </w:tc>
        <w:tc>
          <w:tcPr>
            <w:tcW w:w="6240" w:type="dxa"/>
            <w:vAlign w:val="bottom"/>
            <w:gridSpan w:val="3"/>
            <w:vMerge w:val="restart"/>
          </w:tcPr>
          <w:p>
            <w:pPr>
              <w:ind w:left="580"/>
              <w:spacing w:after="0"/>
              <w:rPr>
                <w:sz w:val="20"/>
                <w:szCs w:val="20"/>
                <w:color w:val="auto"/>
              </w:rPr>
            </w:pPr>
            <w:r>
              <w:rPr>
                <w:rFonts w:ascii="Arial" w:cs="Arial" w:eastAsia="Arial" w:hAnsi="Arial"/>
                <w:sz w:val="20"/>
                <w:szCs w:val="20"/>
                <w:color w:val="auto"/>
              </w:rPr>
              <w:t>By:</w:t>
            </w:r>
          </w:p>
        </w:tc>
        <w:tc>
          <w:tcPr>
            <w:tcW w:w="0" w:type="dxa"/>
            <w:vAlign w:val="bottom"/>
          </w:tcPr>
          <w:p>
            <w:pPr>
              <w:spacing w:after="0"/>
              <w:rPr>
                <w:sz w:val="1"/>
                <w:szCs w:val="1"/>
                <w:color w:val="auto"/>
              </w:rPr>
            </w:pPr>
          </w:p>
        </w:tc>
      </w:tr>
      <w:tr>
        <w:trPr>
          <w:trHeight w:val="220"/>
        </w:trPr>
        <w:tc>
          <w:tcPr>
            <w:tcW w:w="5160" w:type="dxa"/>
            <w:vAlign w:val="bottom"/>
            <w:gridSpan w:val="2"/>
          </w:tcPr>
          <w:p>
            <w:pPr>
              <w:spacing w:after="0" w:line="220" w:lineRule="exact"/>
              <w:rPr>
                <w:sz w:val="20"/>
                <w:szCs w:val="20"/>
                <w:color w:val="auto"/>
              </w:rPr>
            </w:pPr>
            <w:r>
              <w:rPr>
                <w:rFonts w:ascii="Arial" w:cs="Arial" w:eastAsia="Arial" w:hAnsi="Arial"/>
                <w:sz w:val="20"/>
                <w:szCs w:val="20"/>
                <w:color w:val="auto"/>
              </w:rPr>
              <w:t>Address:</w:t>
            </w:r>
          </w:p>
        </w:tc>
        <w:tc>
          <w:tcPr>
            <w:tcW w:w="62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340" w:type="dxa"/>
            <w:vAlign w:val="bottom"/>
            <w:tcBorders>
              <w:bottom w:val="single" w:sz="8" w:color="auto"/>
            </w:tcBorders>
          </w:tcPr>
          <w:p>
            <w:pPr>
              <w:spacing w:after="0"/>
              <w:rPr>
                <w:sz w:val="19"/>
                <w:szCs w:val="19"/>
                <w:color w:val="auto"/>
              </w:rPr>
            </w:pPr>
          </w:p>
        </w:tc>
        <w:tc>
          <w:tcPr>
            <w:tcW w:w="3820" w:type="dxa"/>
            <w:vAlign w:val="bottom"/>
            <w:tcBorders>
              <w:top w:val="single" w:sz="8" w:color="auto"/>
              <w:bottom w:val="single" w:sz="8" w:color="auto"/>
            </w:tcBorders>
          </w:tcPr>
          <w:p>
            <w:pPr>
              <w:spacing w:after="0"/>
              <w:rPr>
                <w:sz w:val="19"/>
                <w:szCs w:val="19"/>
                <w:color w:val="auto"/>
              </w:rPr>
            </w:pPr>
          </w:p>
        </w:tc>
        <w:tc>
          <w:tcPr>
            <w:tcW w:w="1180" w:type="dxa"/>
            <w:vAlign w:val="bottom"/>
          </w:tcPr>
          <w:p>
            <w:pPr>
              <w:ind w:left="580"/>
              <w:spacing w:after="0" w:line="220" w:lineRule="exact"/>
              <w:rPr>
                <w:sz w:val="20"/>
                <w:szCs w:val="20"/>
                <w:color w:val="auto"/>
              </w:rPr>
            </w:pPr>
            <w:r>
              <w:rPr>
                <w:rFonts w:ascii="Arial" w:cs="Arial" w:eastAsia="Arial" w:hAnsi="Arial"/>
                <w:sz w:val="20"/>
                <w:szCs w:val="20"/>
                <w:color w:val="auto"/>
              </w:rPr>
              <w:t>Title:</w:t>
            </w:r>
          </w:p>
        </w:tc>
        <w:tc>
          <w:tcPr>
            <w:tcW w:w="49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auto"/>
              </w:rPr>
              <w:t>CEO</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6"/>
        </w:trPr>
        <w:tc>
          <w:tcPr>
            <w:tcW w:w="5160" w:type="dxa"/>
            <w:vAlign w:val="bottom"/>
            <w:gridSpan w:val="2"/>
          </w:tcPr>
          <w:p>
            <w:pPr>
              <w:spacing w:after="0"/>
              <w:rPr>
                <w:sz w:val="20"/>
                <w:szCs w:val="20"/>
                <w:color w:val="auto"/>
              </w:rPr>
            </w:pPr>
            <w:r>
              <w:rPr>
                <w:rFonts w:ascii="Arial" w:cs="Arial" w:eastAsia="Arial" w:hAnsi="Arial"/>
                <w:sz w:val="18"/>
                <w:szCs w:val="18"/>
                <w:color w:val="auto"/>
              </w:rPr>
              <w:t>Shareholders’ Agreement</w:t>
            </w:r>
          </w:p>
        </w:tc>
        <w:tc>
          <w:tcPr>
            <w:tcW w:w="1180" w:type="dxa"/>
            <w:vAlign w:val="bottom"/>
          </w:tcPr>
          <w:p>
            <w:pPr>
              <w:spacing w:after="0"/>
              <w:rPr>
                <w:sz w:val="24"/>
                <w:szCs w:val="24"/>
                <w:color w:val="auto"/>
              </w:rPr>
            </w:pPr>
          </w:p>
        </w:tc>
        <w:tc>
          <w:tcPr>
            <w:tcW w:w="5060" w:type="dxa"/>
            <w:vAlign w:val="bottom"/>
            <w:gridSpan w:val="2"/>
          </w:tcPr>
          <w:p>
            <w:pPr>
              <w:ind w:left="4180"/>
              <w:spacing w:after="0"/>
              <w:rPr>
                <w:sz w:val="20"/>
                <w:szCs w:val="20"/>
                <w:color w:val="auto"/>
              </w:rPr>
            </w:pPr>
            <w:r>
              <w:rPr>
                <w:rFonts w:ascii="Arial" w:cs="Arial" w:eastAsia="Arial" w:hAnsi="Arial"/>
                <w:sz w:val="18"/>
                <w:szCs w:val="18"/>
                <w:color w:val="auto"/>
                <w:w w:val="90"/>
              </w:rPr>
              <w:t>Confidential</w:t>
            </w: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154" w:name="page155"/>
    <w:bookmarkEnd w:id="154"/>
    <w:p>
      <w:pPr>
        <w:ind w:right="20" w:firstLine="7"/>
        <w:spacing w:after="0" w:line="275" w:lineRule="auto"/>
        <w:tabs>
          <w:tab w:leader="none" w:pos="25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78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Exhibit 10.9</w:t>
            </w:r>
          </w:p>
        </w:tc>
        <w:tc>
          <w:tcPr>
            <w:tcW w:w="0" w:type="dxa"/>
            <w:vAlign w:val="bottom"/>
          </w:tcPr>
          <w:p>
            <w:pPr>
              <w:spacing w:after="0"/>
              <w:rPr>
                <w:sz w:val="1"/>
                <w:szCs w:val="1"/>
                <w:color w:val="auto"/>
              </w:rPr>
            </w:pPr>
          </w:p>
        </w:tc>
      </w:tr>
      <w:tr>
        <w:trPr>
          <w:trHeight w:val="466"/>
        </w:trPr>
        <w:tc>
          <w:tcPr>
            <w:tcW w:w="1780" w:type="dxa"/>
            <w:vAlign w:val="bottom"/>
          </w:tcPr>
          <w:p>
            <w:pPr>
              <w:spacing w:after="0"/>
              <w:rPr>
                <w:sz w:val="20"/>
                <w:szCs w:val="20"/>
                <w:color w:val="auto"/>
              </w:rPr>
            </w:pPr>
            <w:r>
              <w:rPr>
                <w:rFonts w:ascii="Arial" w:cs="Arial" w:eastAsia="Arial" w:hAnsi="Arial"/>
                <w:sz w:val="21"/>
                <w:szCs w:val="21"/>
                <w:color w:val="auto"/>
              </w:rPr>
              <w:t>CONFIDENTIAL</w:t>
            </w:r>
          </w:p>
        </w:tc>
        <w:tc>
          <w:tcPr>
            <w:tcW w:w="644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21"/>
                <w:szCs w:val="21"/>
                <w:color w:val="auto"/>
              </w:rPr>
              <w:t>EXECUTION COPY</w:t>
            </w:r>
          </w:p>
        </w:tc>
        <w:tc>
          <w:tcPr>
            <w:tcW w:w="0" w:type="dxa"/>
            <w:vAlign w:val="bottom"/>
          </w:tcPr>
          <w:p>
            <w:pPr>
              <w:spacing w:after="0"/>
              <w:rPr>
                <w:sz w:val="1"/>
                <w:szCs w:val="1"/>
                <w:color w:val="auto"/>
              </w:rPr>
            </w:pPr>
          </w:p>
        </w:tc>
      </w:tr>
      <w:tr>
        <w:trPr>
          <w:trHeight w:val="454"/>
        </w:trPr>
        <w:tc>
          <w:tcPr>
            <w:tcW w:w="1780" w:type="dxa"/>
            <w:vAlign w:val="bottom"/>
          </w:tcPr>
          <w:p>
            <w:pPr>
              <w:spacing w:after="0"/>
              <w:rPr>
                <w:sz w:val="24"/>
                <w:szCs w:val="24"/>
                <w:color w:val="auto"/>
              </w:rPr>
            </w:pPr>
          </w:p>
        </w:tc>
        <w:tc>
          <w:tcPr>
            <w:tcW w:w="6440" w:type="dxa"/>
            <w:vAlign w:val="bottom"/>
          </w:tcPr>
          <w:p>
            <w:pPr>
              <w:ind w:left="2800"/>
              <w:spacing w:after="0"/>
              <w:rPr>
                <w:sz w:val="20"/>
                <w:szCs w:val="20"/>
                <w:color w:val="auto"/>
              </w:rPr>
            </w:pPr>
            <w:r>
              <w:rPr>
                <w:rFonts w:ascii="Arial" w:cs="Arial" w:eastAsia="Arial" w:hAnsi="Arial"/>
                <w:sz w:val="21"/>
                <w:szCs w:val="21"/>
                <w:b w:val="1"/>
                <w:bCs w:val="1"/>
                <w:color w:val="auto"/>
              </w:rPr>
              <w:t>TABLE OF CONTENTS</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78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220" w:type="dxa"/>
            <w:vAlign w:val="bottom"/>
          </w:tcPr>
          <w:p>
            <w:pPr>
              <w:jc w:val="right"/>
              <w:ind w:right="34"/>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272"/>
        </w:trPr>
        <w:tc>
          <w:tcPr>
            <w:tcW w:w="8220" w:type="dxa"/>
            <w:vAlign w:val="bottom"/>
            <w:gridSpan w:val="2"/>
          </w:tcPr>
          <w:p>
            <w:pPr>
              <w:spacing w:after="0"/>
              <w:rPr>
                <w:sz w:val="20"/>
                <w:szCs w:val="20"/>
                <w:color w:val="auto"/>
              </w:rPr>
            </w:pPr>
            <w:r>
              <w:rPr>
                <w:rFonts w:ascii="Arial" w:cs="Arial" w:eastAsia="Arial" w:hAnsi="Arial"/>
                <w:sz w:val="21"/>
                <w:szCs w:val="21"/>
                <w:color w:val="auto"/>
              </w:rPr>
              <w:t>ARTICLE 1DEFINITIONS</w:t>
            </w:r>
          </w:p>
        </w:tc>
        <w:tc>
          <w:tcPr>
            <w:tcW w:w="322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328"/>
        </w:trPr>
        <w:tc>
          <w:tcPr>
            <w:tcW w:w="1780" w:type="dxa"/>
            <w:vAlign w:val="bottom"/>
          </w:tcPr>
          <w:p>
            <w:pPr>
              <w:ind w:left="740"/>
              <w:spacing w:after="0"/>
              <w:rPr>
                <w:sz w:val="20"/>
                <w:szCs w:val="20"/>
                <w:color w:val="auto"/>
              </w:rPr>
            </w:pPr>
            <w:r>
              <w:rPr>
                <w:rFonts w:ascii="Arial" w:cs="Arial" w:eastAsia="Arial" w:hAnsi="Arial"/>
                <w:sz w:val="21"/>
                <w:szCs w:val="21"/>
                <w:color w:val="auto"/>
              </w:rPr>
              <w:t>1.1</w:t>
            </w:r>
          </w:p>
        </w:tc>
        <w:tc>
          <w:tcPr>
            <w:tcW w:w="6440" w:type="dxa"/>
            <w:vAlign w:val="bottom"/>
          </w:tcPr>
          <w:p>
            <w:pPr>
              <w:ind w:left="200"/>
              <w:spacing w:after="0"/>
              <w:rPr>
                <w:sz w:val="20"/>
                <w:szCs w:val="20"/>
                <w:color w:val="auto"/>
              </w:rPr>
            </w:pPr>
            <w:r>
              <w:rPr>
                <w:rFonts w:ascii="Arial" w:cs="Arial" w:eastAsia="Arial" w:hAnsi="Arial"/>
                <w:sz w:val="21"/>
                <w:szCs w:val="21"/>
                <w:color w:val="auto"/>
              </w:rPr>
              <w:t>“Actions”</w:t>
            </w:r>
          </w:p>
        </w:tc>
        <w:tc>
          <w:tcPr>
            <w:tcW w:w="3220" w:type="dxa"/>
            <w:vAlign w:val="bottom"/>
          </w:tcPr>
          <w:p>
            <w:pPr>
              <w:jc w:val="right"/>
              <w:spacing w:after="0"/>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“Affiliate”</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“Astellas Indemnitees”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1.4</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“Astellas Territory”</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1.5</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“Authorized Designee”</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1</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1.6</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“Bridging Strategy”</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1.7</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“Bulk Product”</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1.8</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“Commercialize”</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1.9</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“Completion”</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1.10</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“Confidential Information”</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1.11</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“Control” or “Controlled”</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1.12</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“Controlling Party”</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1.13</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“Data”</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1.14</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“Delivery” or “Delivered”</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1.15</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“Development Plan”</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1.16</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“Development Program”</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1.17</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“Enforcement Action”</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1.18</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“Event”</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1.19</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“Expanded Field”</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1.20</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“Expenses”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1.21</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“FDA”</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1.22</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Acquired Patents”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1.23</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Development Program”</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1.24</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Indemnitees”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1.25</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Technology”</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1.26</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Patents”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1.27</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Technical Information”</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1.28</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“FG Territory”</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1.29</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“Field”</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1.30</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“First Commercial Sale”</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1.31</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“Force Majeure Event”</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1.32</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“Fully Burdened Costs”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1.33</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“Future Third Party Intellectual Property”</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1.34</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“GMP Guidelines”</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1.35</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1.36</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 Percentage”</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780" w:type="dxa"/>
            <w:vAlign w:val="bottom"/>
          </w:tcPr>
          <w:p>
            <w:pPr>
              <w:ind w:left="740"/>
              <w:spacing w:after="0" w:line="240" w:lineRule="exact"/>
              <w:rPr>
                <w:sz w:val="20"/>
                <w:szCs w:val="20"/>
                <w:color w:val="auto"/>
              </w:rPr>
            </w:pPr>
            <w:r>
              <w:rPr>
                <w:rFonts w:ascii="Arial" w:cs="Arial" w:eastAsia="Arial" w:hAnsi="Arial"/>
                <w:sz w:val="21"/>
                <w:szCs w:val="21"/>
                <w:color w:val="auto"/>
              </w:rPr>
              <w:t>1.37</w:t>
            </w:r>
          </w:p>
        </w:tc>
        <w:tc>
          <w:tcPr>
            <w:tcW w:w="6440" w:type="dxa"/>
            <w:vAlign w:val="bottom"/>
          </w:tcPr>
          <w:p>
            <w:pPr>
              <w:ind w:left="200"/>
              <w:spacing w:after="0" w:line="240" w:lineRule="exact"/>
              <w:rPr>
                <w:sz w:val="20"/>
                <w:szCs w:val="20"/>
                <w:color w:val="auto"/>
              </w:rPr>
            </w:pPr>
            <w:r>
              <w:rPr>
                <w:rFonts w:ascii="Arial" w:cs="Arial" w:eastAsia="Arial" w:hAnsi="Arial"/>
                <w:sz w:val="21"/>
                <w:szCs w:val="21"/>
                <w:color w:val="auto"/>
              </w:rPr>
              <w:t>“HIF”</w:t>
            </w:r>
          </w:p>
        </w:tc>
        <w:tc>
          <w:tcPr>
            <w:tcW w:w="322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72"/>
        </w:trPr>
        <w:tc>
          <w:tcPr>
            <w:tcW w:w="1780" w:type="dxa"/>
            <w:vAlign w:val="bottom"/>
            <w:vMerge w:val="restart"/>
          </w:tcPr>
          <w:p>
            <w:pPr>
              <w:spacing w:after="0"/>
              <w:rPr>
                <w:sz w:val="20"/>
                <w:szCs w:val="20"/>
                <w:color w:val="auto"/>
              </w:rPr>
            </w:pPr>
            <w:r>
              <w:rPr>
                <w:rFonts w:ascii="Arial" w:cs="Arial" w:eastAsia="Arial" w:hAnsi="Arial"/>
                <w:sz w:val="14"/>
                <w:szCs w:val="14"/>
                <w:color w:val="auto"/>
              </w:rPr>
              <w:t>106280201 v6</w:t>
            </w:r>
          </w:p>
        </w:tc>
        <w:tc>
          <w:tcPr>
            <w:tcW w:w="6440" w:type="dxa"/>
            <w:vAlign w:val="bottom"/>
          </w:tcPr>
          <w:p>
            <w:pPr>
              <w:ind w:left="3840"/>
              <w:spacing w:after="0"/>
              <w:rPr>
                <w:sz w:val="20"/>
                <w:szCs w:val="20"/>
                <w:color w:val="auto"/>
              </w:rPr>
            </w:pPr>
            <w:r>
              <w:rPr>
                <w:rFonts w:ascii="Arial" w:cs="Arial" w:eastAsia="Arial" w:hAnsi="Arial"/>
                <w:sz w:val="21"/>
                <w:szCs w:val="21"/>
                <w:color w:val="auto"/>
              </w:rPr>
              <w:t>-i-</w:t>
            </w:r>
          </w:p>
        </w:tc>
        <w:tc>
          <w:tcPr>
            <w:tcW w:w="3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1780" w:type="dxa"/>
            <w:vAlign w:val="bottom"/>
            <w:vMerge w:val="continue"/>
          </w:tcPr>
          <w:p>
            <w:pPr>
              <w:spacing w:after="0"/>
              <w:rPr>
                <w:sz w:val="14"/>
                <w:szCs w:val="14"/>
                <w:color w:val="auto"/>
              </w:rPr>
            </w:pPr>
          </w:p>
        </w:tc>
        <w:tc>
          <w:tcPr>
            <w:tcW w:w="64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780" w:type="dxa"/>
            <w:vAlign w:val="bottom"/>
            <w:tcBorders>
              <w:bottom w:val="single" w:sz="8" w:color="9A9A9A"/>
            </w:tcBorders>
          </w:tcPr>
          <w:p>
            <w:pPr>
              <w:spacing w:after="0"/>
              <w:rPr>
                <w:sz w:val="9"/>
                <w:szCs w:val="9"/>
                <w:color w:val="auto"/>
              </w:rPr>
            </w:pPr>
          </w:p>
        </w:tc>
        <w:tc>
          <w:tcPr>
            <w:tcW w:w="644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41"/>
        </w:trPr>
        <w:tc>
          <w:tcPr>
            <w:tcW w:w="1560" w:type="dxa"/>
            <w:vAlign w:val="bottom"/>
          </w:tcPr>
          <w:p>
            <w:pPr>
              <w:spacing w:after="0"/>
              <w:rPr>
                <w:sz w:val="21"/>
                <w:szCs w:val="21"/>
                <w:color w:val="auto"/>
              </w:rPr>
            </w:pPr>
          </w:p>
        </w:tc>
        <w:tc>
          <w:tcPr>
            <w:tcW w:w="9200" w:type="dxa"/>
            <w:vAlign w:val="bottom"/>
          </w:tcPr>
          <w:p>
            <w:pPr>
              <w:ind w:left="3020"/>
              <w:spacing w:after="0"/>
              <w:rPr>
                <w:sz w:val="20"/>
                <w:szCs w:val="20"/>
                <w:color w:val="auto"/>
              </w:rPr>
            </w:pPr>
            <w:r>
              <w:rPr>
                <w:rFonts w:ascii="Arial" w:cs="Arial" w:eastAsia="Arial" w:hAnsi="Arial"/>
                <w:sz w:val="21"/>
                <w:szCs w:val="21"/>
                <w:b w:val="1"/>
                <w:bCs w:val="1"/>
                <w:color w:val="auto"/>
              </w:rPr>
              <w:t>TABLE OF CONTENTS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560" w:type="dxa"/>
            <w:vAlign w:val="bottom"/>
          </w:tcPr>
          <w:p>
            <w:pPr>
              <w:spacing w:after="0"/>
              <w:rPr>
                <w:sz w:val="24"/>
                <w:szCs w:val="24"/>
                <w:color w:val="auto"/>
              </w:rPr>
            </w:pPr>
          </w:p>
        </w:tc>
        <w:tc>
          <w:tcPr>
            <w:tcW w:w="9200" w:type="dxa"/>
            <w:vAlign w:val="bottom"/>
          </w:tcPr>
          <w:p>
            <w:pPr>
              <w:ind w:left="3640"/>
              <w:spacing w:after="0"/>
              <w:rPr>
                <w:sz w:val="20"/>
                <w:szCs w:val="20"/>
                <w:color w:val="auto"/>
              </w:rPr>
            </w:pPr>
            <w:r>
              <w:rPr>
                <w:rFonts w:ascii="Arial" w:cs="Arial" w:eastAsia="Arial" w:hAnsi="Arial"/>
                <w:sz w:val="21"/>
                <w:szCs w:val="21"/>
                <w:b w:val="1"/>
                <w:bCs w:val="1"/>
                <w:color w:val="auto"/>
              </w:rPr>
              <w:t>(continued)</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56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660" w:type="dxa"/>
            <w:vAlign w:val="bottom"/>
          </w:tcPr>
          <w:p>
            <w:pPr>
              <w:jc w:val="right"/>
              <w:ind w:right="13"/>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1.38</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“IND”</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1"/>
        </w:trPr>
        <w:tc>
          <w:tcPr>
            <w:tcW w:w="1560" w:type="dxa"/>
            <w:vAlign w:val="bottom"/>
            <w:vMerge w:val="restart"/>
          </w:tcPr>
          <w:p>
            <w:pPr>
              <w:ind w:left="740"/>
              <w:spacing w:after="0"/>
              <w:rPr>
                <w:sz w:val="20"/>
                <w:szCs w:val="20"/>
                <w:color w:val="auto"/>
              </w:rPr>
            </w:pPr>
            <w:r>
              <w:rPr>
                <w:rFonts w:ascii="Arial" w:cs="Arial" w:eastAsia="Arial" w:hAnsi="Arial"/>
                <w:sz w:val="21"/>
                <w:szCs w:val="21"/>
                <w:color w:val="auto"/>
              </w:rPr>
              <w:t>1.39</w:t>
            </w:r>
          </w:p>
        </w:tc>
        <w:tc>
          <w:tcPr>
            <w:tcW w:w="9200" w:type="dxa"/>
            <w:vAlign w:val="bottom"/>
            <w:vMerge w:val="restart"/>
          </w:tcPr>
          <w:p>
            <w:pPr>
              <w:ind w:left="420"/>
              <w:spacing w:after="0"/>
              <w:rPr>
                <w:sz w:val="20"/>
                <w:szCs w:val="20"/>
                <w:color w:val="auto"/>
              </w:rPr>
            </w:pPr>
            <w:r>
              <w:rPr>
                <w:rFonts w:ascii="Arial" w:cs="Arial" w:eastAsia="Arial" w:hAnsi="Arial"/>
                <w:sz w:val="21"/>
                <w:szCs w:val="21"/>
                <w:color w:val="auto"/>
              </w:rPr>
              <w:t>“Indemnitee”</w:t>
            </w: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1560" w:type="dxa"/>
            <w:vAlign w:val="bottom"/>
            <w:vMerge w:val="continue"/>
          </w:tcPr>
          <w:p>
            <w:pPr>
              <w:spacing w:after="0"/>
              <w:rPr>
                <w:sz w:val="18"/>
                <w:szCs w:val="18"/>
                <w:color w:val="auto"/>
              </w:rPr>
            </w:pPr>
          </w:p>
        </w:tc>
        <w:tc>
          <w:tcPr>
            <w:tcW w:w="9200" w:type="dxa"/>
            <w:vAlign w:val="bottom"/>
            <w:vMerge w:val="continue"/>
          </w:tcPr>
          <w:p>
            <w:pPr>
              <w:spacing w:after="0"/>
              <w:rPr>
                <w:sz w:val="18"/>
                <w:szCs w:val="18"/>
                <w:color w:val="auto"/>
              </w:rPr>
            </w:pPr>
          </w:p>
        </w:tc>
        <w:tc>
          <w:tcPr>
            <w:tcW w:w="660" w:type="dxa"/>
            <w:vAlign w:val="bottom"/>
          </w:tcPr>
          <w:p>
            <w:pPr>
              <w:jc w:val="right"/>
              <w:spacing w:after="0" w:line="212"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1.40</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“Indemnitor”</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1.41</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“Indications”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1.42</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“Initial Development Plan”</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1.43</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“Initiate” or Initiation”</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1.44</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“Inspected Party” and “Inspecting Party”</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1.45</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“Joint Development Committee” or “JDC”</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1.46</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“Lead Compound”</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1.47</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“Listed Price”</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1.48</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“Litigation Agreement”</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1.49</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“Major Indication”</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1.50</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“Marketing Approval”</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1.51</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“Marketing Approval Application” or “MAA”</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1.52</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“Net Sales”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1.53</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“Phase I”</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1.54</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“Phase II”</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6</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1.55</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“Phase III”</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1.56</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“Product Specification”</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1.57</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“Preexisting Third Party Intellectual Property”</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1.58</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“Proof of Concept”</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1.59</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“Prosecution and Interference Activities”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1.60</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“Protected Field”</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1.61</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“Reference Materials”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1.62</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“Relevant Standards”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1.63</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“Sales Price”</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7</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1.64</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“Standard Materials”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1.65</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“Sublicensee”</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1.66</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“Technical Product Failure”</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1.67</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“Third Party Agreements”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1.68</w:t>
            </w:r>
          </w:p>
        </w:tc>
        <w:tc>
          <w:tcPr>
            <w:tcW w:w="9200" w:type="dxa"/>
            <w:vAlign w:val="bottom"/>
          </w:tcPr>
          <w:p>
            <w:pPr>
              <w:ind w:left="420"/>
              <w:spacing w:after="0"/>
              <w:rPr>
                <w:sz w:val="20"/>
                <w:szCs w:val="20"/>
                <w:color w:val="auto"/>
              </w:rPr>
            </w:pPr>
            <w:r>
              <w:rPr>
                <w:rFonts w:ascii="Arial" w:cs="Arial" w:eastAsia="Arial" w:hAnsi="Arial"/>
                <w:sz w:val="21"/>
                <w:szCs w:val="21"/>
                <w:color w:val="auto"/>
              </w:rPr>
              <w:t>“Third Party Licensor”</w:t>
            </w:r>
          </w:p>
        </w:tc>
        <w:tc>
          <w:tcPr>
            <w:tcW w:w="660" w:type="dxa"/>
            <w:vAlign w:val="bottom"/>
          </w:tcPr>
          <w:p>
            <w:pPr>
              <w:jc w:val="right"/>
              <w:spacing w:after="0"/>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360"/>
        </w:trPr>
        <w:tc>
          <w:tcPr>
            <w:tcW w:w="10760" w:type="dxa"/>
            <w:vAlign w:val="bottom"/>
            <w:gridSpan w:val="2"/>
          </w:tcPr>
          <w:p>
            <w:pPr>
              <w:spacing w:after="0"/>
              <w:rPr>
                <w:sz w:val="20"/>
                <w:szCs w:val="20"/>
                <w:color w:val="auto"/>
              </w:rPr>
            </w:pPr>
            <w:r>
              <w:rPr>
                <w:rFonts w:ascii="Arial" w:cs="Arial" w:eastAsia="Arial" w:hAnsi="Arial"/>
                <w:sz w:val="21"/>
                <w:szCs w:val="21"/>
                <w:color w:val="auto"/>
              </w:rPr>
              <w:t>ARTICLE 2JOINT DEVELOPMENT COMMITTEE</w:t>
            </w:r>
          </w:p>
        </w:tc>
        <w:tc>
          <w:tcPr>
            <w:tcW w:w="660" w:type="dxa"/>
            <w:vAlign w:val="bottom"/>
          </w:tcPr>
          <w:p>
            <w:pPr>
              <w:jc w:val="right"/>
              <w:spacing w:after="0"/>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2.1</w:t>
            </w:r>
          </w:p>
        </w:tc>
        <w:tc>
          <w:tcPr>
            <w:tcW w:w="9200" w:type="dxa"/>
            <w:vAlign w:val="bottom"/>
          </w:tcPr>
          <w:p>
            <w:pPr>
              <w:ind w:left="420"/>
              <w:spacing w:after="0"/>
              <w:rPr>
                <w:sz w:val="20"/>
                <w:szCs w:val="20"/>
                <w:color w:val="auto"/>
              </w:rPr>
            </w:pPr>
            <w:r>
              <w:rPr>
                <w:rFonts w:ascii="Arial" w:cs="Arial" w:eastAsia="Arial" w:hAnsi="Arial"/>
                <w:sz w:val="21"/>
                <w:szCs w:val="21"/>
                <w:color w:val="auto"/>
              </w:rPr>
              <w:t>Joint Development Committee</w:t>
            </w:r>
          </w:p>
        </w:tc>
        <w:tc>
          <w:tcPr>
            <w:tcW w:w="660" w:type="dxa"/>
            <w:vAlign w:val="bottom"/>
          </w:tcPr>
          <w:p>
            <w:pPr>
              <w:jc w:val="right"/>
              <w:spacing w:after="0"/>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2.2</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Membership</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2.3</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JDC Meetings</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8</w:t>
            </w:r>
          </w:p>
        </w:tc>
        <w:tc>
          <w:tcPr>
            <w:tcW w:w="0" w:type="dxa"/>
            <w:vAlign w:val="bottom"/>
          </w:tcPr>
          <w:p>
            <w:pPr>
              <w:spacing w:after="0"/>
              <w:rPr>
                <w:sz w:val="1"/>
                <w:szCs w:val="1"/>
                <w:color w:val="auto"/>
              </w:rPr>
            </w:pP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2.4</w:t>
            </w:r>
          </w:p>
        </w:tc>
        <w:tc>
          <w:tcPr>
            <w:tcW w:w="9200" w:type="dxa"/>
            <w:vAlign w:val="bottom"/>
          </w:tcPr>
          <w:p>
            <w:pPr>
              <w:ind w:left="420"/>
              <w:spacing w:after="0"/>
              <w:rPr>
                <w:sz w:val="20"/>
                <w:szCs w:val="20"/>
                <w:color w:val="auto"/>
              </w:rPr>
            </w:pPr>
            <w:r>
              <w:rPr>
                <w:rFonts w:ascii="Arial" w:cs="Arial" w:eastAsia="Arial" w:hAnsi="Arial"/>
                <w:sz w:val="21"/>
                <w:szCs w:val="21"/>
                <w:color w:val="auto"/>
              </w:rPr>
              <w:t>Decisions</w:t>
            </w:r>
          </w:p>
        </w:tc>
        <w:tc>
          <w:tcPr>
            <w:tcW w:w="660" w:type="dxa"/>
            <w:vAlign w:val="bottom"/>
          </w:tcPr>
          <w:p>
            <w:pPr>
              <w:jc w:val="right"/>
              <w:spacing w:after="0"/>
              <w:rPr>
                <w:sz w:val="20"/>
                <w:szCs w:val="20"/>
                <w:color w:val="auto"/>
              </w:rPr>
            </w:pPr>
            <w:r>
              <w:rPr>
                <w:rFonts w:ascii="Arial" w:cs="Arial" w:eastAsia="Arial" w:hAnsi="Arial"/>
                <w:sz w:val="21"/>
                <w:szCs w:val="21"/>
                <w:color w:val="auto"/>
              </w:rPr>
              <w:t>9</w:t>
            </w:r>
          </w:p>
        </w:tc>
        <w:tc>
          <w:tcPr>
            <w:tcW w:w="0" w:type="dxa"/>
            <w:vAlign w:val="bottom"/>
          </w:tcPr>
          <w:p>
            <w:pPr>
              <w:spacing w:after="0"/>
              <w:rPr>
                <w:sz w:val="1"/>
                <w:szCs w:val="1"/>
                <w:color w:val="auto"/>
              </w:rPr>
            </w:pPr>
          </w:p>
        </w:tc>
      </w:tr>
      <w:tr>
        <w:trPr>
          <w:trHeight w:val="360"/>
        </w:trPr>
        <w:tc>
          <w:tcPr>
            <w:tcW w:w="10760" w:type="dxa"/>
            <w:vAlign w:val="bottom"/>
            <w:gridSpan w:val="2"/>
          </w:tcPr>
          <w:p>
            <w:pPr>
              <w:spacing w:after="0"/>
              <w:rPr>
                <w:sz w:val="20"/>
                <w:szCs w:val="20"/>
                <w:color w:val="auto"/>
              </w:rPr>
            </w:pPr>
            <w:r>
              <w:rPr>
                <w:rFonts w:ascii="Arial" w:cs="Arial" w:eastAsia="Arial" w:hAnsi="Arial"/>
                <w:sz w:val="21"/>
                <w:szCs w:val="21"/>
                <w:color w:val="auto"/>
              </w:rPr>
              <w:t>ARTICLE 3DEVELOPMENT PLANS</w:t>
            </w:r>
          </w:p>
        </w:tc>
        <w:tc>
          <w:tcPr>
            <w:tcW w:w="660" w:type="dxa"/>
            <w:vAlign w:val="bottom"/>
          </w:tcPr>
          <w:p>
            <w:pPr>
              <w:jc w:val="right"/>
              <w:spacing w:after="0"/>
              <w:rPr>
                <w:sz w:val="20"/>
                <w:szCs w:val="20"/>
                <w:color w:val="auto"/>
              </w:rPr>
            </w:pPr>
            <w:r>
              <w:rPr>
                <w:rFonts w:ascii="Arial" w:cs="Arial" w:eastAsia="Arial" w:hAnsi="Arial"/>
                <w:sz w:val="21"/>
                <w:szCs w:val="21"/>
                <w:color w:val="auto"/>
              </w:rPr>
              <w:t>9</w:t>
            </w:r>
          </w:p>
        </w:tc>
        <w:tc>
          <w:tcPr>
            <w:tcW w:w="0" w:type="dxa"/>
            <w:vAlign w:val="bottom"/>
          </w:tcPr>
          <w:p>
            <w:pPr>
              <w:spacing w:after="0"/>
              <w:rPr>
                <w:sz w:val="1"/>
                <w:szCs w:val="1"/>
                <w:color w:val="auto"/>
              </w:rPr>
            </w:pP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3.1</w:t>
            </w:r>
          </w:p>
        </w:tc>
        <w:tc>
          <w:tcPr>
            <w:tcW w:w="9200" w:type="dxa"/>
            <w:vAlign w:val="bottom"/>
          </w:tcPr>
          <w:p>
            <w:pPr>
              <w:ind w:left="420"/>
              <w:spacing w:after="0"/>
              <w:rPr>
                <w:sz w:val="20"/>
                <w:szCs w:val="20"/>
                <w:color w:val="auto"/>
              </w:rPr>
            </w:pPr>
            <w:r>
              <w:rPr>
                <w:rFonts w:ascii="Arial" w:cs="Arial" w:eastAsia="Arial" w:hAnsi="Arial"/>
                <w:sz w:val="21"/>
                <w:szCs w:val="21"/>
                <w:color w:val="auto"/>
              </w:rPr>
              <w:t>General</w:t>
            </w:r>
          </w:p>
        </w:tc>
        <w:tc>
          <w:tcPr>
            <w:tcW w:w="660" w:type="dxa"/>
            <w:vAlign w:val="bottom"/>
          </w:tcPr>
          <w:p>
            <w:pPr>
              <w:jc w:val="right"/>
              <w:spacing w:after="0"/>
              <w:rPr>
                <w:sz w:val="20"/>
                <w:szCs w:val="20"/>
                <w:color w:val="auto"/>
              </w:rPr>
            </w:pPr>
            <w:r>
              <w:rPr>
                <w:rFonts w:ascii="Arial" w:cs="Arial" w:eastAsia="Arial" w:hAnsi="Arial"/>
                <w:sz w:val="21"/>
                <w:szCs w:val="21"/>
                <w:color w:val="auto"/>
              </w:rPr>
              <w:t>9</w:t>
            </w:r>
          </w:p>
        </w:tc>
        <w:tc>
          <w:tcPr>
            <w:tcW w:w="0" w:type="dxa"/>
            <w:vAlign w:val="bottom"/>
          </w:tcPr>
          <w:p>
            <w:pPr>
              <w:spacing w:after="0"/>
              <w:rPr>
                <w:sz w:val="1"/>
                <w:szCs w:val="1"/>
                <w:color w:val="auto"/>
              </w:rPr>
            </w:pP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3.2</w:t>
            </w:r>
          </w:p>
        </w:tc>
        <w:tc>
          <w:tcPr>
            <w:tcW w:w="9200" w:type="dxa"/>
            <w:vAlign w:val="bottom"/>
          </w:tcPr>
          <w:p>
            <w:pPr>
              <w:ind w:left="420"/>
              <w:spacing w:after="0" w:line="240" w:lineRule="exact"/>
              <w:rPr>
                <w:sz w:val="20"/>
                <w:szCs w:val="20"/>
                <w:color w:val="auto"/>
              </w:rPr>
            </w:pPr>
            <w:r>
              <w:rPr>
                <w:rFonts w:ascii="Arial" w:cs="Arial" w:eastAsia="Arial" w:hAnsi="Arial"/>
                <w:sz w:val="21"/>
                <w:szCs w:val="21"/>
                <w:color w:val="auto"/>
              </w:rPr>
              <w:t>Annual Review</w:t>
            </w:r>
          </w:p>
        </w:tc>
        <w:tc>
          <w:tcPr>
            <w:tcW w:w="660" w:type="dxa"/>
            <w:vAlign w:val="bottom"/>
          </w:tcPr>
          <w:p>
            <w:pPr>
              <w:jc w:val="right"/>
              <w:spacing w:after="0" w:line="240" w:lineRule="exact"/>
              <w:rPr>
                <w:sz w:val="20"/>
                <w:szCs w:val="20"/>
                <w:color w:val="auto"/>
              </w:rPr>
            </w:pPr>
            <w:r>
              <w:rPr>
                <w:rFonts w:ascii="Arial" w:cs="Arial" w:eastAsia="Arial" w:hAnsi="Arial"/>
                <w:sz w:val="21"/>
                <w:szCs w:val="21"/>
                <w:color w:val="auto"/>
              </w:rPr>
              <w:t>9</w:t>
            </w:r>
          </w:p>
        </w:tc>
        <w:tc>
          <w:tcPr>
            <w:tcW w:w="0" w:type="dxa"/>
            <w:vAlign w:val="bottom"/>
          </w:tcPr>
          <w:p>
            <w:pPr>
              <w:spacing w:after="0"/>
              <w:rPr>
                <w:sz w:val="1"/>
                <w:szCs w:val="1"/>
                <w:color w:val="auto"/>
              </w:rPr>
            </w:pP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3.3</w:t>
            </w:r>
          </w:p>
        </w:tc>
        <w:tc>
          <w:tcPr>
            <w:tcW w:w="9200" w:type="dxa"/>
            <w:vAlign w:val="bottom"/>
          </w:tcPr>
          <w:p>
            <w:pPr>
              <w:ind w:left="420"/>
              <w:spacing w:after="0"/>
              <w:rPr>
                <w:sz w:val="20"/>
                <w:szCs w:val="20"/>
                <w:color w:val="auto"/>
              </w:rPr>
            </w:pPr>
            <w:r>
              <w:rPr>
                <w:rFonts w:ascii="Arial" w:cs="Arial" w:eastAsia="Arial" w:hAnsi="Arial"/>
                <w:sz w:val="21"/>
                <w:szCs w:val="21"/>
                <w:color w:val="auto"/>
              </w:rPr>
              <w:t>Periodic Reviews</w:t>
            </w:r>
          </w:p>
        </w:tc>
        <w:tc>
          <w:tcPr>
            <w:tcW w:w="660" w:type="dxa"/>
            <w:vAlign w:val="bottom"/>
          </w:tcPr>
          <w:p>
            <w:pPr>
              <w:jc w:val="right"/>
              <w:spacing w:after="0"/>
              <w:rPr>
                <w:sz w:val="20"/>
                <w:szCs w:val="20"/>
                <w:color w:val="auto"/>
              </w:rPr>
            </w:pPr>
            <w:r>
              <w:rPr>
                <w:rFonts w:ascii="Arial" w:cs="Arial" w:eastAsia="Arial" w:hAnsi="Arial"/>
                <w:sz w:val="21"/>
                <w:szCs w:val="21"/>
                <w:color w:val="auto"/>
              </w:rPr>
              <w:t>10</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w:t>
      </w:r>
    </w:p>
    <w:p>
      <w:pPr>
        <w:spacing w:after="0" w:line="22" w:lineRule="exact"/>
        <w:rPr>
          <w:sz w:val="20"/>
          <w:szCs w:val="20"/>
          <w:color w:val="auto"/>
        </w:rPr>
      </w:pPr>
    </w:p>
    <w:p>
      <w:pPr>
        <w:ind w:firstLine="7"/>
        <w:spacing w:after="0" w:line="251" w:lineRule="auto"/>
        <w:tabs>
          <w:tab w:leader="none" w:pos="25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729043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60" w:type="dxa"/>
            <w:vAlign w:val="bottom"/>
          </w:tcPr>
          <w:p>
            <w:pPr>
              <w:spacing w:after="0"/>
              <w:rPr>
                <w:sz w:val="21"/>
                <w:szCs w:val="21"/>
                <w:color w:val="auto"/>
              </w:rPr>
            </w:pPr>
          </w:p>
        </w:tc>
        <w:tc>
          <w:tcPr>
            <w:tcW w:w="6920" w:type="dxa"/>
            <w:vAlign w:val="bottom"/>
          </w:tcPr>
          <w:p>
            <w:pPr>
              <w:spacing w:after="0"/>
              <w:rPr>
                <w:sz w:val="21"/>
                <w:szCs w:val="21"/>
                <w:color w:val="auto"/>
              </w:rPr>
            </w:pPr>
          </w:p>
        </w:tc>
        <w:tc>
          <w:tcPr>
            <w:tcW w:w="2940" w:type="dxa"/>
            <w:vAlign w:val="bottom"/>
          </w:tcPr>
          <w:p>
            <w:pPr>
              <w:jc w:val="right"/>
              <w:ind w:right="13"/>
              <w:spacing w:after="0"/>
              <w:rPr>
                <w:sz w:val="20"/>
                <w:szCs w:val="20"/>
                <w:color w:val="auto"/>
              </w:rPr>
            </w:pPr>
            <w:r>
              <w:rPr>
                <w:rFonts w:ascii="Arial" w:cs="Arial" w:eastAsia="Arial" w:hAnsi="Arial"/>
                <w:sz w:val="21"/>
                <w:szCs w:val="21"/>
                <w:b w:val="1"/>
                <w:bCs w:val="1"/>
                <w:color w:val="auto"/>
              </w:rPr>
              <w:t>Page</w:t>
            </w:r>
          </w:p>
        </w:tc>
      </w:tr>
      <w:tr>
        <w:trPr>
          <w:trHeight w:val="272"/>
        </w:trPr>
        <w:tc>
          <w:tcPr>
            <w:tcW w:w="8480" w:type="dxa"/>
            <w:vAlign w:val="bottom"/>
            <w:gridSpan w:val="2"/>
          </w:tcPr>
          <w:p>
            <w:pPr>
              <w:spacing w:after="0"/>
              <w:rPr>
                <w:sz w:val="20"/>
                <w:szCs w:val="20"/>
                <w:color w:val="auto"/>
              </w:rPr>
            </w:pPr>
            <w:r>
              <w:rPr>
                <w:rFonts w:ascii="Arial" w:cs="Arial" w:eastAsia="Arial" w:hAnsi="Arial"/>
                <w:sz w:val="21"/>
                <w:szCs w:val="21"/>
                <w:color w:val="auto"/>
              </w:rPr>
              <w:t>ARTICLE 4DEVELOPMENT PROGRAM</w:t>
            </w:r>
          </w:p>
        </w:tc>
        <w:tc>
          <w:tcPr>
            <w:tcW w:w="29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4.1</w:t>
            </w:r>
          </w:p>
        </w:tc>
        <w:tc>
          <w:tcPr>
            <w:tcW w:w="6920" w:type="dxa"/>
            <w:vAlign w:val="bottom"/>
          </w:tcPr>
          <w:p>
            <w:pPr>
              <w:ind w:left="420"/>
              <w:spacing w:after="0"/>
              <w:rPr>
                <w:sz w:val="20"/>
                <w:szCs w:val="20"/>
                <w:color w:val="auto"/>
              </w:rPr>
            </w:pPr>
            <w:r>
              <w:rPr>
                <w:rFonts w:ascii="Arial" w:cs="Arial" w:eastAsia="Arial" w:hAnsi="Arial"/>
                <w:sz w:val="21"/>
                <w:szCs w:val="21"/>
                <w:color w:val="auto"/>
              </w:rPr>
              <w:t>Development Program for the Astellas Territory</w:t>
            </w:r>
          </w:p>
        </w:tc>
        <w:tc>
          <w:tcPr>
            <w:tcW w:w="2940" w:type="dxa"/>
            <w:vAlign w:val="bottom"/>
          </w:tcPr>
          <w:p>
            <w:pPr>
              <w:jc w:val="right"/>
              <w:spacing w:after="0"/>
              <w:rPr>
                <w:sz w:val="20"/>
                <w:szCs w:val="20"/>
                <w:color w:val="auto"/>
              </w:rPr>
            </w:pPr>
            <w:r>
              <w:rPr>
                <w:rFonts w:ascii="Arial" w:cs="Arial" w:eastAsia="Arial" w:hAnsi="Arial"/>
                <w:sz w:val="21"/>
                <w:szCs w:val="21"/>
                <w:color w:val="auto"/>
              </w:rPr>
              <w:t>10</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4.2</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Global Harmonization</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10</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4.3</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Selection of Lead Compounds</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11</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4.4</w:t>
            </w:r>
          </w:p>
        </w:tc>
        <w:tc>
          <w:tcPr>
            <w:tcW w:w="6920" w:type="dxa"/>
            <w:vAlign w:val="bottom"/>
          </w:tcPr>
          <w:p>
            <w:pPr>
              <w:ind w:left="420"/>
              <w:spacing w:after="0"/>
              <w:rPr>
                <w:sz w:val="20"/>
                <w:szCs w:val="20"/>
                <w:color w:val="auto"/>
              </w:rPr>
            </w:pPr>
            <w:r>
              <w:rPr>
                <w:rFonts w:ascii="Arial" w:cs="Arial" w:eastAsia="Arial" w:hAnsi="Arial"/>
                <w:sz w:val="21"/>
                <w:szCs w:val="21"/>
                <w:color w:val="auto"/>
              </w:rPr>
              <w:t>Regulatory Matters</w:t>
            </w:r>
          </w:p>
        </w:tc>
        <w:tc>
          <w:tcPr>
            <w:tcW w:w="2940" w:type="dxa"/>
            <w:vAlign w:val="bottom"/>
          </w:tcPr>
          <w:p>
            <w:pPr>
              <w:jc w:val="right"/>
              <w:spacing w:after="0"/>
              <w:rPr>
                <w:sz w:val="20"/>
                <w:szCs w:val="20"/>
                <w:color w:val="auto"/>
              </w:rPr>
            </w:pPr>
            <w:r>
              <w:rPr>
                <w:rFonts w:ascii="Arial" w:cs="Arial" w:eastAsia="Arial" w:hAnsi="Arial"/>
                <w:sz w:val="21"/>
                <w:szCs w:val="21"/>
                <w:color w:val="auto"/>
              </w:rPr>
              <w:t>11</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5RECORDKEEPING; PUBLICATION</w:t>
            </w:r>
          </w:p>
        </w:tc>
        <w:tc>
          <w:tcPr>
            <w:tcW w:w="294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5.1</w:t>
            </w:r>
          </w:p>
        </w:tc>
        <w:tc>
          <w:tcPr>
            <w:tcW w:w="6920" w:type="dxa"/>
            <w:vAlign w:val="bottom"/>
          </w:tcPr>
          <w:p>
            <w:pPr>
              <w:ind w:left="420"/>
              <w:spacing w:after="0"/>
              <w:rPr>
                <w:sz w:val="20"/>
                <w:szCs w:val="20"/>
                <w:color w:val="auto"/>
              </w:rPr>
            </w:pPr>
            <w:r>
              <w:rPr>
                <w:rFonts w:ascii="Arial" w:cs="Arial" w:eastAsia="Arial" w:hAnsi="Arial"/>
                <w:sz w:val="21"/>
                <w:szCs w:val="21"/>
                <w:color w:val="auto"/>
              </w:rPr>
              <w:t>Reports and Records</w:t>
            </w:r>
          </w:p>
        </w:tc>
        <w:tc>
          <w:tcPr>
            <w:tcW w:w="2940" w:type="dxa"/>
            <w:vAlign w:val="bottom"/>
          </w:tcPr>
          <w:p>
            <w:pPr>
              <w:jc w:val="right"/>
              <w:spacing w:after="0"/>
              <w:rPr>
                <w:sz w:val="20"/>
                <w:szCs w:val="20"/>
                <w:color w:val="auto"/>
              </w:rPr>
            </w:pPr>
            <w:r>
              <w:rPr>
                <w:rFonts w:ascii="Arial" w:cs="Arial" w:eastAsia="Arial" w:hAnsi="Arial"/>
                <w:sz w:val="21"/>
                <w:szCs w:val="21"/>
                <w:color w:val="auto"/>
              </w:rPr>
              <w:t>13</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5.2</w:t>
            </w:r>
          </w:p>
        </w:tc>
        <w:tc>
          <w:tcPr>
            <w:tcW w:w="6920" w:type="dxa"/>
            <w:vAlign w:val="bottom"/>
          </w:tcPr>
          <w:p>
            <w:pPr>
              <w:ind w:left="420"/>
              <w:spacing w:after="0"/>
              <w:rPr>
                <w:sz w:val="20"/>
                <w:szCs w:val="20"/>
                <w:color w:val="auto"/>
              </w:rPr>
            </w:pPr>
            <w:r>
              <w:rPr>
                <w:rFonts w:ascii="Arial" w:cs="Arial" w:eastAsia="Arial" w:hAnsi="Arial"/>
                <w:sz w:val="21"/>
                <w:szCs w:val="21"/>
                <w:color w:val="auto"/>
              </w:rPr>
              <w:t>Review of Publications</w:t>
            </w:r>
          </w:p>
        </w:tc>
        <w:tc>
          <w:tcPr>
            <w:tcW w:w="2940" w:type="dxa"/>
            <w:vAlign w:val="bottom"/>
          </w:tcPr>
          <w:p>
            <w:pPr>
              <w:jc w:val="right"/>
              <w:spacing w:after="0"/>
              <w:rPr>
                <w:sz w:val="20"/>
                <w:szCs w:val="20"/>
                <w:color w:val="auto"/>
              </w:rPr>
            </w:pPr>
            <w:r>
              <w:rPr>
                <w:rFonts w:ascii="Arial" w:cs="Arial" w:eastAsia="Arial" w:hAnsi="Arial"/>
                <w:sz w:val="21"/>
                <w:szCs w:val="21"/>
                <w:color w:val="auto"/>
              </w:rPr>
              <w:t>14</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6DEVELOPMENT PROGRAM FUNDING</w:t>
            </w:r>
          </w:p>
        </w:tc>
        <w:tc>
          <w:tcPr>
            <w:tcW w:w="294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60"/>
        </w:trPr>
        <w:tc>
          <w:tcPr>
            <w:tcW w:w="1560" w:type="dxa"/>
            <w:vAlign w:val="bottom"/>
          </w:tcPr>
          <w:p>
            <w:pPr>
              <w:ind w:left="740"/>
              <w:spacing w:after="0"/>
              <w:rPr>
                <w:sz w:val="20"/>
                <w:szCs w:val="20"/>
                <w:color w:val="auto"/>
              </w:rPr>
            </w:pPr>
            <w:r>
              <w:rPr>
                <w:rFonts w:ascii="Arial" w:cs="Arial" w:eastAsia="Arial" w:hAnsi="Arial"/>
                <w:sz w:val="21"/>
                <w:szCs w:val="21"/>
                <w:color w:val="auto"/>
              </w:rPr>
              <w:t>6.1</w:t>
            </w:r>
          </w:p>
        </w:tc>
        <w:tc>
          <w:tcPr>
            <w:tcW w:w="6920" w:type="dxa"/>
            <w:vAlign w:val="bottom"/>
          </w:tcPr>
          <w:p>
            <w:pPr>
              <w:ind w:left="420"/>
              <w:spacing w:after="0"/>
              <w:rPr>
                <w:sz w:val="20"/>
                <w:szCs w:val="20"/>
                <w:color w:val="auto"/>
              </w:rPr>
            </w:pPr>
            <w:r>
              <w:rPr>
                <w:rFonts w:ascii="Arial" w:cs="Arial" w:eastAsia="Arial" w:hAnsi="Arial"/>
                <w:sz w:val="21"/>
                <w:szCs w:val="21"/>
                <w:color w:val="auto"/>
              </w:rPr>
              <w:t>Payments for Reimbursement; Net Payments</w:t>
            </w:r>
          </w:p>
        </w:tc>
        <w:tc>
          <w:tcPr>
            <w:tcW w:w="294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7USE OF PRECLINICAL AND CLINICAL DATA</w:t>
            </w:r>
          </w:p>
        </w:tc>
        <w:tc>
          <w:tcPr>
            <w:tcW w:w="294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7.1</w:t>
            </w:r>
          </w:p>
        </w:tc>
        <w:tc>
          <w:tcPr>
            <w:tcW w:w="6920" w:type="dxa"/>
            <w:vAlign w:val="bottom"/>
          </w:tcPr>
          <w:p>
            <w:pPr>
              <w:ind w:left="420"/>
              <w:spacing w:after="0"/>
              <w:rPr>
                <w:sz w:val="20"/>
                <w:szCs w:val="20"/>
                <w:color w:val="auto"/>
              </w:rPr>
            </w:pPr>
            <w:r>
              <w:rPr>
                <w:rFonts w:ascii="Arial" w:cs="Arial" w:eastAsia="Arial" w:hAnsi="Arial"/>
                <w:sz w:val="21"/>
                <w:szCs w:val="21"/>
                <w:color w:val="auto"/>
              </w:rPr>
              <w:t>Exchange</w:t>
            </w:r>
          </w:p>
        </w:tc>
        <w:tc>
          <w:tcPr>
            <w:tcW w:w="2940" w:type="dxa"/>
            <w:vAlign w:val="bottom"/>
          </w:tcPr>
          <w:p>
            <w:pPr>
              <w:jc w:val="right"/>
              <w:spacing w:after="0"/>
              <w:rPr>
                <w:sz w:val="20"/>
                <w:szCs w:val="20"/>
                <w:color w:val="auto"/>
              </w:rPr>
            </w:pPr>
            <w:r>
              <w:rPr>
                <w:rFonts w:ascii="Arial" w:cs="Arial" w:eastAsia="Arial" w:hAnsi="Arial"/>
                <w:sz w:val="21"/>
                <w:szCs w:val="21"/>
                <w:color w:val="auto"/>
              </w:rPr>
              <w:t>17</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7.2</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Disclosure</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18</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7.3</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Regulatory Requirements</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18</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7.4</w:t>
            </w:r>
          </w:p>
        </w:tc>
        <w:tc>
          <w:tcPr>
            <w:tcW w:w="6920" w:type="dxa"/>
            <w:vAlign w:val="bottom"/>
          </w:tcPr>
          <w:p>
            <w:pPr>
              <w:ind w:left="420"/>
              <w:spacing w:after="0"/>
              <w:rPr>
                <w:sz w:val="20"/>
                <w:szCs w:val="20"/>
                <w:color w:val="auto"/>
              </w:rPr>
            </w:pPr>
            <w:r>
              <w:rPr>
                <w:rFonts w:ascii="Arial" w:cs="Arial" w:eastAsia="Arial" w:hAnsi="Arial"/>
                <w:sz w:val="21"/>
                <w:szCs w:val="21"/>
                <w:color w:val="auto"/>
              </w:rPr>
              <w:t>Review of Protocols</w:t>
            </w:r>
          </w:p>
        </w:tc>
        <w:tc>
          <w:tcPr>
            <w:tcW w:w="294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8MARKETING RIGHTS</w:t>
            </w:r>
          </w:p>
        </w:tc>
        <w:tc>
          <w:tcPr>
            <w:tcW w:w="294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8.1</w:t>
            </w:r>
          </w:p>
        </w:tc>
        <w:tc>
          <w:tcPr>
            <w:tcW w:w="6920" w:type="dxa"/>
            <w:vAlign w:val="bottom"/>
          </w:tcPr>
          <w:p>
            <w:pPr>
              <w:ind w:left="420"/>
              <w:spacing w:after="0"/>
              <w:rPr>
                <w:sz w:val="20"/>
                <w:szCs w:val="20"/>
                <w:color w:val="auto"/>
              </w:rPr>
            </w:pPr>
            <w:r>
              <w:rPr>
                <w:rFonts w:ascii="Arial" w:cs="Arial" w:eastAsia="Arial" w:hAnsi="Arial"/>
                <w:sz w:val="21"/>
                <w:szCs w:val="21"/>
                <w:color w:val="auto"/>
              </w:rPr>
              <w:t>Astellas</w:t>
            </w:r>
          </w:p>
        </w:tc>
        <w:tc>
          <w:tcPr>
            <w:tcW w:w="2940" w:type="dxa"/>
            <w:vAlign w:val="bottom"/>
          </w:tcPr>
          <w:p>
            <w:pPr>
              <w:jc w:val="right"/>
              <w:spacing w:after="0"/>
              <w:rPr>
                <w:sz w:val="20"/>
                <w:szCs w:val="20"/>
                <w:color w:val="auto"/>
              </w:rPr>
            </w:pPr>
            <w:r>
              <w:rPr>
                <w:rFonts w:ascii="Arial" w:cs="Arial" w:eastAsia="Arial" w:hAnsi="Arial"/>
                <w:sz w:val="21"/>
                <w:szCs w:val="21"/>
                <w:color w:val="auto"/>
              </w:rPr>
              <w:t>18</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8.2</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FibroGen</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19</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8.3</w:t>
            </w:r>
          </w:p>
        </w:tc>
        <w:tc>
          <w:tcPr>
            <w:tcW w:w="6920" w:type="dxa"/>
            <w:vAlign w:val="bottom"/>
          </w:tcPr>
          <w:p>
            <w:pPr>
              <w:ind w:left="420"/>
              <w:spacing w:after="0"/>
              <w:rPr>
                <w:sz w:val="20"/>
                <w:szCs w:val="20"/>
                <w:color w:val="auto"/>
              </w:rPr>
            </w:pPr>
            <w:r>
              <w:rPr>
                <w:rFonts w:ascii="Arial" w:cs="Arial" w:eastAsia="Arial" w:hAnsi="Arial"/>
                <w:sz w:val="21"/>
                <w:szCs w:val="21"/>
                <w:color w:val="auto"/>
              </w:rPr>
              <w:t>Covenants</w:t>
            </w:r>
          </w:p>
        </w:tc>
        <w:tc>
          <w:tcPr>
            <w:tcW w:w="2940" w:type="dxa"/>
            <w:vAlign w:val="bottom"/>
          </w:tcPr>
          <w:p>
            <w:pPr>
              <w:jc w:val="right"/>
              <w:spacing w:after="0"/>
              <w:rPr>
                <w:sz w:val="20"/>
                <w:szCs w:val="20"/>
                <w:color w:val="auto"/>
              </w:rPr>
            </w:pPr>
            <w:r>
              <w:rPr>
                <w:rFonts w:ascii="Arial" w:cs="Arial" w:eastAsia="Arial" w:hAnsi="Arial"/>
                <w:sz w:val="21"/>
                <w:szCs w:val="21"/>
                <w:color w:val="auto"/>
              </w:rPr>
              <w:t>19</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9TRANSFER PRICING</w:t>
            </w:r>
          </w:p>
        </w:tc>
        <w:tc>
          <w:tcPr>
            <w:tcW w:w="29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9.1</w:t>
            </w:r>
          </w:p>
        </w:tc>
        <w:tc>
          <w:tcPr>
            <w:tcW w:w="6920" w:type="dxa"/>
            <w:vAlign w:val="bottom"/>
          </w:tcPr>
          <w:p>
            <w:pPr>
              <w:ind w:left="420"/>
              <w:spacing w:after="0"/>
              <w:rPr>
                <w:sz w:val="20"/>
                <w:szCs w:val="20"/>
                <w:color w:val="auto"/>
              </w:rPr>
            </w:pPr>
            <w:r>
              <w:rPr>
                <w:rFonts w:ascii="Arial" w:cs="Arial" w:eastAsia="Arial" w:hAnsi="Arial"/>
                <w:sz w:val="21"/>
                <w:szCs w:val="21"/>
                <w:color w:val="auto"/>
              </w:rPr>
              <w:t>Transfer for Non-Commercial Purpose</w:t>
            </w:r>
          </w:p>
        </w:tc>
        <w:tc>
          <w:tcPr>
            <w:tcW w:w="2940" w:type="dxa"/>
            <w:vAlign w:val="bottom"/>
          </w:tcPr>
          <w:p>
            <w:pPr>
              <w:jc w:val="right"/>
              <w:spacing w:after="0"/>
              <w:rPr>
                <w:sz w:val="20"/>
                <w:szCs w:val="20"/>
                <w:color w:val="auto"/>
              </w:rPr>
            </w:pPr>
            <w:r>
              <w:rPr>
                <w:rFonts w:ascii="Arial" w:cs="Arial" w:eastAsia="Arial" w:hAnsi="Arial"/>
                <w:sz w:val="21"/>
                <w:szCs w:val="21"/>
                <w:color w:val="auto"/>
              </w:rPr>
              <w:t>20</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9.2</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Transfer for Commercial Purpose</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20</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9.3</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Payment</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21</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9.4</w:t>
            </w:r>
          </w:p>
        </w:tc>
        <w:tc>
          <w:tcPr>
            <w:tcW w:w="6920" w:type="dxa"/>
            <w:vAlign w:val="bottom"/>
          </w:tcPr>
          <w:p>
            <w:pPr>
              <w:ind w:left="420"/>
              <w:spacing w:after="0"/>
              <w:rPr>
                <w:sz w:val="20"/>
                <w:szCs w:val="20"/>
                <w:color w:val="auto"/>
              </w:rPr>
            </w:pPr>
            <w:r>
              <w:rPr>
                <w:rFonts w:ascii="Arial" w:cs="Arial" w:eastAsia="Arial" w:hAnsi="Arial"/>
                <w:sz w:val="21"/>
                <w:szCs w:val="21"/>
                <w:color w:val="auto"/>
              </w:rPr>
              <w:t>Reference Materials; Standard Materials</w:t>
            </w:r>
          </w:p>
        </w:tc>
        <w:tc>
          <w:tcPr>
            <w:tcW w:w="294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10ADDITIONAL PAYMENTS; BOOKS AND RECORDS</w:t>
            </w:r>
          </w:p>
        </w:tc>
        <w:tc>
          <w:tcPr>
            <w:tcW w:w="294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10.1</w:t>
            </w:r>
          </w:p>
        </w:tc>
        <w:tc>
          <w:tcPr>
            <w:tcW w:w="6920" w:type="dxa"/>
            <w:vAlign w:val="bottom"/>
          </w:tcPr>
          <w:p>
            <w:pPr>
              <w:ind w:left="420"/>
              <w:spacing w:after="0"/>
              <w:rPr>
                <w:sz w:val="20"/>
                <w:szCs w:val="20"/>
                <w:color w:val="auto"/>
              </w:rPr>
            </w:pPr>
            <w:r>
              <w:rPr>
                <w:rFonts w:ascii="Arial" w:cs="Arial" w:eastAsia="Arial" w:hAnsi="Arial"/>
                <w:sz w:val="21"/>
                <w:szCs w:val="21"/>
                <w:color w:val="auto"/>
              </w:rPr>
              <w:t>Quarterly Reports</w:t>
            </w:r>
          </w:p>
        </w:tc>
        <w:tc>
          <w:tcPr>
            <w:tcW w:w="2940" w:type="dxa"/>
            <w:vAlign w:val="bottom"/>
          </w:tcPr>
          <w:p>
            <w:pPr>
              <w:jc w:val="right"/>
              <w:spacing w:after="0"/>
              <w:rPr>
                <w:sz w:val="20"/>
                <w:szCs w:val="20"/>
                <w:color w:val="auto"/>
              </w:rPr>
            </w:pPr>
            <w:r>
              <w:rPr>
                <w:rFonts w:ascii="Arial" w:cs="Arial" w:eastAsia="Arial" w:hAnsi="Arial"/>
                <w:sz w:val="21"/>
                <w:szCs w:val="21"/>
                <w:color w:val="auto"/>
              </w:rPr>
              <w:t>22</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10.2</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Payment Method</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22</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10.3</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Currency Conversion</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23</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10.4</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Taxes</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23</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10.5</w:t>
            </w:r>
          </w:p>
        </w:tc>
        <w:tc>
          <w:tcPr>
            <w:tcW w:w="6920" w:type="dxa"/>
            <w:vAlign w:val="bottom"/>
          </w:tcPr>
          <w:p>
            <w:pPr>
              <w:ind w:left="420"/>
              <w:spacing w:after="0"/>
              <w:rPr>
                <w:sz w:val="20"/>
                <w:szCs w:val="20"/>
                <w:color w:val="auto"/>
              </w:rPr>
            </w:pPr>
            <w:r>
              <w:rPr>
                <w:rFonts w:ascii="Arial" w:cs="Arial" w:eastAsia="Arial" w:hAnsi="Arial"/>
                <w:sz w:val="21"/>
                <w:szCs w:val="21"/>
                <w:color w:val="auto"/>
              </w:rPr>
              <w:t>Records; Inspections</w:t>
            </w:r>
          </w:p>
        </w:tc>
        <w:tc>
          <w:tcPr>
            <w:tcW w:w="29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60"/>
        </w:trPr>
        <w:tc>
          <w:tcPr>
            <w:tcW w:w="8480" w:type="dxa"/>
            <w:vAlign w:val="bottom"/>
            <w:gridSpan w:val="2"/>
          </w:tcPr>
          <w:p>
            <w:pPr>
              <w:spacing w:after="0"/>
              <w:rPr>
                <w:sz w:val="20"/>
                <w:szCs w:val="20"/>
                <w:color w:val="auto"/>
              </w:rPr>
            </w:pPr>
            <w:r>
              <w:rPr>
                <w:rFonts w:ascii="Arial" w:cs="Arial" w:eastAsia="Arial" w:hAnsi="Arial"/>
                <w:sz w:val="21"/>
                <w:szCs w:val="21"/>
                <w:color w:val="auto"/>
              </w:rPr>
              <w:t>ARTICLE 11DUE DILIGENCE</w:t>
            </w:r>
          </w:p>
        </w:tc>
        <w:tc>
          <w:tcPr>
            <w:tcW w:w="29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328"/>
        </w:trPr>
        <w:tc>
          <w:tcPr>
            <w:tcW w:w="1560" w:type="dxa"/>
            <w:vAlign w:val="bottom"/>
          </w:tcPr>
          <w:p>
            <w:pPr>
              <w:ind w:left="740"/>
              <w:spacing w:after="0"/>
              <w:rPr>
                <w:sz w:val="20"/>
                <w:szCs w:val="20"/>
                <w:color w:val="auto"/>
              </w:rPr>
            </w:pPr>
            <w:r>
              <w:rPr>
                <w:rFonts w:ascii="Arial" w:cs="Arial" w:eastAsia="Arial" w:hAnsi="Arial"/>
                <w:sz w:val="21"/>
                <w:szCs w:val="21"/>
                <w:color w:val="auto"/>
              </w:rPr>
              <w:t>11.1</w:t>
            </w:r>
          </w:p>
        </w:tc>
        <w:tc>
          <w:tcPr>
            <w:tcW w:w="6920" w:type="dxa"/>
            <w:vAlign w:val="bottom"/>
          </w:tcPr>
          <w:p>
            <w:pPr>
              <w:ind w:left="420"/>
              <w:spacing w:after="0"/>
              <w:rPr>
                <w:sz w:val="20"/>
                <w:szCs w:val="20"/>
                <w:color w:val="auto"/>
              </w:rPr>
            </w:pPr>
            <w:r>
              <w:rPr>
                <w:rFonts w:ascii="Arial" w:cs="Arial" w:eastAsia="Arial" w:hAnsi="Arial"/>
                <w:sz w:val="21"/>
                <w:szCs w:val="21"/>
                <w:color w:val="auto"/>
              </w:rPr>
              <w:t>Astellas’ Due Diligence</w:t>
            </w:r>
          </w:p>
        </w:tc>
        <w:tc>
          <w:tcPr>
            <w:tcW w:w="2940" w:type="dxa"/>
            <w:vAlign w:val="bottom"/>
          </w:tcPr>
          <w:p>
            <w:pPr>
              <w:jc w:val="right"/>
              <w:spacing w:after="0"/>
              <w:rPr>
                <w:sz w:val="20"/>
                <w:szCs w:val="20"/>
                <w:color w:val="auto"/>
              </w:rPr>
            </w:pPr>
            <w:r>
              <w:rPr>
                <w:rFonts w:ascii="Arial" w:cs="Arial" w:eastAsia="Arial" w:hAnsi="Arial"/>
                <w:sz w:val="21"/>
                <w:szCs w:val="21"/>
                <w:color w:val="auto"/>
              </w:rPr>
              <w:t>24</w:t>
            </w:r>
          </w:p>
        </w:tc>
      </w:tr>
      <w:tr>
        <w:trPr>
          <w:trHeight w:val="240"/>
        </w:trPr>
        <w:tc>
          <w:tcPr>
            <w:tcW w:w="1560" w:type="dxa"/>
            <w:vAlign w:val="bottom"/>
          </w:tcPr>
          <w:p>
            <w:pPr>
              <w:ind w:left="740"/>
              <w:spacing w:after="0" w:line="240" w:lineRule="exact"/>
              <w:rPr>
                <w:sz w:val="20"/>
                <w:szCs w:val="20"/>
                <w:color w:val="auto"/>
              </w:rPr>
            </w:pPr>
            <w:r>
              <w:rPr>
                <w:rFonts w:ascii="Arial" w:cs="Arial" w:eastAsia="Arial" w:hAnsi="Arial"/>
                <w:sz w:val="21"/>
                <w:szCs w:val="21"/>
                <w:color w:val="auto"/>
              </w:rPr>
              <w:t>11.2</w:t>
            </w:r>
          </w:p>
        </w:tc>
        <w:tc>
          <w:tcPr>
            <w:tcW w:w="6920" w:type="dxa"/>
            <w:vAlign w:val="bottom"/>
          </w:tcPr>
          <w:p>
            <w:pPr>
              <w:ind w:left="420"/>
              <w:spacing w:after="0" w:line="240" w:lineRule="exact"/>
              <w:rPr>
                <w:sz w:val="20"/>
                <w:szCs w:val="20"/>
                <w:color w:val="auto"/>
              </w:rPr>
            </w:pPr>
            <w:r>
              <w:rPr>
                <w:rFonts w:ascii="Arial" w:cs="Arial" w:eastAsia="Arial" w:hAnsi="Arial"/>
                <w:sz w:val="21"/>
                <w:szCs w:val="21"/>
                <w:color w:val="auto"/>
              </w:rPr>
              <w:t>FG’s Due Diligence</w:t>
            </w:r>
          </w:p>
        </w:tc>
        <w:tc>
          <w:tcPr>
            <w:tcW w:w="2940" w:type="dxa"/>
            <w:vAlign w:val="bottom"/>
          </w:tcPr>
          <w:p>
            <w:pPr>
              <w:jc w:val="right"/>
              <w:spacing w:after="0" w:line="240" w:lineRule="exact"/>
              <w:rPr>
                <w:sz w:val="20"/>
                <w:szCs w:val="20"/>
                <w:color w:val="auto"/>
              </w:rPr>
            </w:pPr>
            <w:r>
              <w:rPr>
                <w:rFonts w:ascii="Arial" w:cs="Arial" w:eastAsia="Arial" w:hAnsi="Arial"/>
                <w:sz w:val="21"/>
                <w:szCs w:val="21"/>
                <w:color w:val="auto"/>
              </w:rPr>
              <w:t>24</w:t>
            </w:r>
          </w:p>
        </w:tc>
      </w:tr>
      <w:tr>
        <w:trPr>
          <w:trHeight w:val="272"/>
        </w:trPr>
        <w:tc>
          <w:tcPr>
            <w:tcW w:w="1560" w:type="dxa"/>
            <w:vAlign w:val="bottom"/>
          </w:tcPr>
          <w:p>
            <w:pPr>
              <w:ind w:left="740"/>
              <w:spacing w:after="0"/>
              <w:rPr>
                <w:sz w:val="20"/>
                <w:szCs w:val="20"/>
                <w:color w:val="auto"/>
              </w:rPr>
            </w:pPr>
            <w:r>
              <w:rPr>
                <w:rFonts w:ascii="Arial" w:cs="Arial" w:eastAsia="Arial" w:hAnsi="Arial"/>
                <w:sz w:val="21"/>
                <w:szCs w:val="21"/>
                <w:color w:val="auto"/>
              </w:rPr>
              <w:t>11.3</w:t>
            </w:r>
          </w:p>
        </w:tc>
        <w:tc>
          <w:tcPr>
            <w:tcW w:w="6920" w:type="dxa"/>
            <w:vAlign w:val="bottom"/>
          </w:tcPr>
          <w:p>
            <w:pPr>
              <w:ind w:left="420"/>
              <w:spacing w:after="0"/>
              <w:rPr>
                <w:sz w:val="20"/>
                <w:szCs w:val="20"/>
                <w:color w:val="auto"/>
              </w:rPr>
            </w:pPr>
            <w:r>
              <w:rPr>
                <w:rFonts w:ascii="Arial" w:cs="Arial" w:eastAsia="Arial" w:hAnsi="Arial"/>
                <w:sz w:val="21"/>
                <w:szCs w:val="21"/>
                <w:color w:val="auto"/>
              </w:rPr>
              <w:t>Development Diligence</w:t>
            </w:r>
          </w:p>
        </w:tc>
        <w:tc>
          <w:tcPr>
            <w:tcW w:w="2940" w:type="dxa"/>
            <w:vAlign w:val="bottom"/>
          </w:tcPr>
          <w:p>
            <w:pPr>
              <w:jc w:val="right"/>
              <w:spacing w:after="0"/>
              <w:rPr>
                <w:sz w:val="20"/>
                <w:szCs w:val="20"/>
                <w:color w:val="auto"/>
              </w:rPr>
            </w:pPr>
            <w:r>
              <w:rPr>
                <w:rFonts w:ascii="Arial" w:cs="Arial" w:eastAsia="Arial" w:hAnsi="Arial"/>
                <w:sz w:val="21"/>
                <w:szCs w:val="21"/>
                <w:color w:val="auto"/>
              </w:rPr>
              <w:t>25</w:t>
            </w:r>
          </w:p>
        </w:tc>
      </w:tr>
    </w:tbl>
    <w:p>
      <w:pPr>
        <w:spacing w:after="0" w:line="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iii</w:t>
      </w:r>
    </w:p>
    <w:p>
      <w:pPr>
        <w:spacing w:after="0" w:line="22" w:lineRule="exact"/>
        <w:rPr>
          <w:sz w:val="20"/>
          <w:szCs w:val="20"/>
          <w:color w:val="auto"/>
        </w:rPr>
      </w:pPr>
    </w:p>
    <w:p>
      <w:pPr>
        <w:ind w:firstLine="7"/>
        <w:spacing w:after="0" w:line="251" w:lineRule="auto"/>
        <w:tabs>
          <w:tab w:leader="none" w:pos="25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729043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41"/>
        </w:trPr>
        <w:tc>
          <w:tcPr>
            <w:tcW w:w="1600" w:type="dxa"/>
            <w:vAlign w:val="bottom"/>
          </w:tcPr>
          <w:p>
            <w:pPr>
              <w:spacing w:after="0"/>
              <w:rPr>
                <w:sz w:val="21"/>
                <w:szCs w:val="21"/>
                <w:color w:val="auto"/>
              </w:rPr>
            </w:pPr>
          </w:p>
        </w:tc>
        <w:tc>
          <w:tcPr>
            <w:tcW w:w="7260" w:type="dxa"/>
            <w:vAlign w:val="bottom"/>
          </w:tcPr>
          <w:p>
            <w:pPr>
              <w:jc w:val="center"/>
              <w:ind w:left="873"/>
              <w:spacing w:after="0"/>
              <w:rPr>
                <w:sz w:val="20"/>
                <w:szCs w:val="20"/>
                <w:color w:val="auto"/>
              </w:rPr>
            </w:pPr>
            <w:r>
              <w:rPr>
                <w:rFonts w:ascii="Arial" w:cs="Arial" w:eastAsia="Arial" w:hAnsi="Arial"/>
                <w:sz w:val="21"/>
                <w:szCs w:val="21"/>
                <w:b w:val="1"/>
                <w:bCs w:val="1"/>
                <w:color w:val="auto"/>
              </w:rPr>
              <w:t>TABLE OF CONTENTS</w:t>
            </w:r>
          </w:p>
        </w:tc>
        <w:tc>
          <w:tcPr>
            <w:tcW w:w="2560" w:type="dxa"/>
            <w:vAlign w:val="bottom"/>
          </w:tcPr>
          <w:p>
            <w:pPr>
              <w:spacing w:after="0"/>
              <w:rPr>
                <w:sz w:val="21"/>
                <w:szCs w:val="21"/>
                <w:color w:val="auto"/>
              </w:rPr>
            </w:pPr>
          </w:p>
        </w:tc>
      </w:tr>
      <w:tr>
        <w:trPr>
          <w:trHeight w:val="278"/>
        </w:trPr>
        <w:tc>
          <w:tcPr>
            <w:tcW w:w="1600" w:type="dxa"/>
            <w:vAlign w:val="bottom"/>
          </w:tcPr>
          <w:p>
            <w:pPr>
              <w:spacing w:after="0"/>
              <w:rPr>
                <w:sz w:val="24"/>
                <w:szCs w:val="24"/>
                <w:color w:val="auto"/>
              </w:rPr>
            </w:pPr>
          </w:p>
        </w:tc>
        <w:tc>
          <w:tcPr>
            <w:tcW w:w="7260" w:type="dxa"/>
            <w:vAlign w:val="bottom"/>
          </w:tcPr>
          <w:p>
            <w:pPr>
              <w:jc w:val="center"/>
              <w:ind w:left="873"/>
              <w:spacing w:after="0"/>
              <w:rPr>
                <w:sz w:val="20"/>
                <w:szCs w:val="20"/>
                <w:color w:val="auto"/>
              </w:rPr>
            </w:pPr>
            <w:r>
              <w:rPr>
                <w:rFonts w:ascii="Arial" w:cs="Arial" w:eastAsia="Arial" w:hAnsi="Arial"/>
                <w:sz w:val="21"/>
                <w:szCs w:val="21"/>
                <w:b w:val="1"/>
                <w:bCs w:val="1"/>
                <w:color w:val="auto"/>
                <w:w w:val="90"/>
              </w:rPr>
              <w:t>(continued)</w:t>
            </w:r>
          </w:p>
        </w:tc>
        <w:tc>
          <w:tcPr>
            <w:tcW w:w="2560" w:type="dxa"/>
            <w:vAlign w:val="bottom"/>
          </w:tcPr>
          <w:p>
            <w:pPr>
              <w:spacing w:after="0"/>
              <w:rPr>
                <w:sz w:val="24"/>
                <w:szCs w:val="24"/>
                <w:color w:val="auto"/>
              </w:rPr>
            </w:pPr>
          </w:p>
        </w:tc>
      </w:tr>
      <w:tr>
        <w:trPr>
          <w:trHeight w:val="422"/>
        </w:trPr>
        <w:tc>
          <w:tcPr>
            <w:tcW w:w="16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560" w:type="dxa"/>
            <w:vAlign w:val="bottom"/>
          </w:tcPr>
          <w:p>
            <w:pPr>
              <w:jc w:val="right"/>
              <w:ind w:right="13"/>
              <w:spacing w:after="0"/>
              <w:rPr>
                <w:sz w:val="20"/>
                <w:szCs w:val="20"/>
                <w:color w:val="auto"/>
              </w:rPr>
            </w:pPr>
            <w:r>
              <w:rPr>
                <w:rFonts w:ascii="Arial" w:cs="Arial" w:eastAsia="Arial" w:hAnsi="Arial"/>
                <w:sz w:val="21"/>
                <w:szCs w:val="21"/>
                <w:b w:val="1"/>
                <w:bCs w:val="1"/>
                <w:color w:val="auto"/>
              </w:rPr>
              <w:t>Page</w:t>
            </w:r>
          </w:p>
        </w:tc>
      </w:tr>
      <w:tr>
        <w:trPr>
          <w:trHeight w:val="272"/>
        </w:trPr>
        <w:tc>
          <w:tcPr>
            <w:tcW w:w="8860" w:type="dxa"/>
            <w:vAlign w:val="bottom"/>
            <w:gridSpan w:val="2"/>
          </w:tcPr>
          <w:p>
            <w:pPr>
              <w:spacing w:after="0"/>
              <w:rPr>
                <w:sz w:val="20"/>
                <w:szCs w:val="20"/>
                <w:color w:val="auto"/>
              </w:rPr>
            </w:pPr>
            <w:r>
              <w:rPr>
                <w:rFonts w:ascii="Arial" w:cs="Arial" w:eastAsia="Arial" w:hAnsi="Arial"/>
                <w:sz w:val="21"/>
                <w:szCs w:val="21"/>
                <w:color w:val="auto"/>
              </w:rPr>
              <w:t>ARTICLE 12MANUFACTURING RIGHTS</w:t>
            </w:r>
          </w:p>
        </w:tc>
        <w:tc>
          <w:tcPr>
            <w:tcW w:w="25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328"/>
        </w:trPr>
        <w:tc>
          <w:tcPr>
            <w:tcW w:w="1600" w:type="dxa"/>
            <w:vAlign w:val="bottom"/>
          </w:tcPr>
          <w:p>
            <w:pPr>
              <w:ind w:left="740"/>
              <w:spacing w:after="0"/>
              <w:rPr>
                <w:sz w:val="20"/>
                <w:szCs w:val="20"/>
                <w:color w:val="auto"/>
              </w:rPr>
            </w:pPr>
            <w:r>
              <w:rPr>
                <w:rFonts w:ascii="Arial" w:cs="Arial" w:eastAsia="Arial" w:hAnsi="Arial"/>
                <w:sz w:val="21"/>
                <w:szCs w:val="21"/>
                <w:color w:val="auto"/>
              </w:rPr>
              <w:t>12.1</w:t>
            </w:r>
          </w:p>
        </w:tc>
        <w:tc>
          <w:tcPr>
            <w:tcW w:w="7260" w:type="dxa"/>
            <w:vAlign w:val="bottom"/>
          </w:tcPr>
          <w:p>
            <w:pPr>
              <w:ind w:left="380"/>
              <w:spacing w:after="0"/>
              <w:rPr>
                <w:sz w:val="20"/>
                <w:szCs w:val="20"/>
                <w:color w:val="auto"/>
              </w:rPr>
            </w:pPr>
            <w:r>
              <w:rPr>
                <w:rFonts w:ascii="Arial" w:cs="Arial" w:eastAsia="Arial" w:hAnsi="Arial"/>
                <w:sz w:val="21"/>
                <w:szCs w:val="21"/>
                <w:color w:val="auto"/>
              </w:rPr>
              <w:t>Procedures</w:t>
            </w:r>
          </w:p>
        </w:tc>
        <w:tc>
          <w:tcPr>
            <w:tcW w:w="2560" w:type="dxa"/>
            <w:vAlign w:val="bottom"/>
          </w:tcPr>
          <w:p>
            <w:pPr>
              <w:jc w:val="right"/>
              <w:spacing w:after="0"/>
              <w:rPr>
                <w:sz w:val="20"/>
                <w:szCs w:val="20"/>
                <w:color w:val="auto"/>
              </w:rPr>
            </w:pPr>
            <w:r>
              <w:rPr>
                <w:rFonts w:ascii="Arial" w:cs="Arial" w:eastAsia="Arial" w:hAnsi="Arial"/>
                <w:sz w:val="21"/>
                <w:szCs w:val="21"/>
                <w:color w:val="auto"/>
              </w:rPr>
              <w:t>26</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12.2</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FG Right</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27</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12.3</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Manufacture and Supply</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27</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12.4</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Product Specifications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27</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12.5</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Orders Forecast</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27</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12.6</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Shipment</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28</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12.7</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Inspection of Shipment/Right to Reject</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28</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12.8</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Inspection of Facilities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28</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12.9</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Recall</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29</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12.10</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Warranty</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29</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12.11</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Interruption in Supply</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29</w:t>
            </w:r>
          </w:p>
        </w:tc>
      </w:tr>
      <w:tr>
        <w:trPr>
          <w:trHeight w:val="272"/>
        </w:trPr>
        <w:tc>
          <w:tcPr>
            <w:tcW w:w="1600" w:type="dxa"/>
            <w:vAlign w:val="bottom"/>
          </w:tcPr>
          <w:p>
            <w:pPr>
              <w:ind w:left="740"/>
              <w:spacing w:after="0"/>
              <w:rPr>
                <w:sz w:val="20"/>
                <w:szCs w:val="20"/>
                <w:color w:val="auto"/>
              </w:rPr>
            </w:pPr>
            <w:r>
              <w:rPr>
                <w:rFonts w:ascii="Arial" w:cs="Arial" w:eastAsia="Arial" w:hAnsi="Arial"/>
                <w:sz w:val="21"/>
                <w:szCs w:val="21"/>
                <w:color w:val="auto"/>
              </w:rPr>
              <w:t>12.12</w:t>
            </w:r>
          </w:p>
        </w:tc>
        <w:tc>
          <w:tcPr>
            <w:tcW w:w="7260" w:type="dxa"/>
            <w:vAlign w:val="bottom"/>
          </w:tcPr>
          <w:p>
            <w:pPr>
              <w:ind w:left="380"/>
              <w:spacing w:after="0"/>
              <w:rPr>
                <w:sz w:val="20"/>
                <w:szCs w:val="20"/>
                <w:color w:val="auto"/>
              </w:rPr>
            </w:pPr>
            <w:r>
              <w:rPr>
                <w:rFonts w:ascii="Arial" w:cs="Arial" w:eastAsia="Arial" w:hAnsi="Arial"/>
                <w:sz w:val="21"/>
                <w:szCs w:val="21"/>
                <w:color w:val="auto"/>
              </w:rPr>
              <w:t>Reference and Standard Materials</w:t>
            </w:r>
          </w:p>
        </w:tc>
        <w:tc>
          <w:tcPr>
            <w:tcW w:w="256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60"/>
        </w:trPr>
        <w:tc>
          <w:tcPr>
            <w:tcW w:w="8860" w:type="dxa"/>
            <w:vAlign w:val="bottom"/>
            <w:gridSpan w:val="2"/>
          </w:tcPr>
          <w:p>
            <w:pPr>
              <w:spacing w:after="0"/>
              <w:rPr>
                <w:sz w:val="20"/>
                <w:szCs w:val="20"/>
                <w:color w:val="auto"/>
              </w:rPr>
            </w:pPr>
            <w:r>
              <w:rPr>
                <w:rFonts w:ascii="Arial" w:cs="Arial" w:eastAsia="Arial" w:hAnsi="Arial"/>
                <w:sz w:val="21"/>
                <w:szCs w:val="21"/>
                <w:color w:val="auto"/>
              </w:rPr>
              <w:t>ARTICLE 13LICENSE GRANTS</w:t>
            </w:r>
          </w:p>
        </w:tc>
        <w:tc>
          <w:tcPr>
            <w:tcW w:w="256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328"/>
        </w:trPr>
        <w:tc>
          <w:tcPr>
            <w:tcW w:w="1600" w:type="dxa"/>
            <w:vAlign w:val="bottom"/>
          </w:tcPr>
          <w:p>
            <w:pPr>
              <w:ind w:left="740"/>
              <w:spacing w:after="0"/>
              <w:rPr>
                <w:sz w:val="20"/>
                <w:szCs w:val="20"/>
                <w:color w:val="auto"/>
              </w:rPr>
            </w:pPr>
            <w:r>
              <w:rPr>
                <w:rFonts w:ascii="Arial" w:cs="Arial" w:eastAsia="Arial" w:hAnsi="Arial"/>
                <w:sz w:val="21"/>
                <w:szCs w:val="21"/>
                <w:color w:val="auto"/>
              </w:rPr>
              <w:t>13.1</w:t>
            </w:r>
          </w:p>
        </w:tc>
        <w:tc>
          <w:tcPr>
            <w:tcW w:w="7260" w:type="dxa"/>
            <w:vAlign w:val="bottom"/>
          </w:tcPr>
          <w:p>
            <w:pPr>
              <w:ind w:left="380"/>
              <w:spacing w:after="0"/>
              <w:rPr>
                <w:sz w:val="20"/>
                <w:szCs w:val="20"/>
                <w:color w:val="auto"/>
              </w:rPr>
            </w:pPr>
            <w:r>
              <w:rPr>
                <w:rFonts w:ascii="Arial" w:cs="Arial" w:eastAsia="Arial" w:hAnsi="Arial"/>
                <w:sz w:val="21"/>
                <w:szCs w:val="21"/>
                <w:color w:val="auto"/>
              </w:rPr>
              <w:t>Grant to Astellas</w:t>
            </w:r>
          </w:p>
        </w:tc>
        <w:tc>
          <w:tcPr>
            <w:tcW w:w="2560" w:type="dxa"/>
            <w:vAlign w:val="bottom"/>
          </w:tcPr>
          <w:p>
            <w:pPr>
              <w:jc w:val="right"/>
              <w:spacing w:after="0"/>
              <w:rPr>
                <w:sz w:val="20"/>
                <w:szCs w:val="20"/>
                <w:color w:val="auto"/>
              </w:rPr>
            </w:pPr>
            <w:r>
              <w:rPr>
                <w:rFonts w:ascii="Arial" w:cs="Arial" w:eastAsia="Arial" w:hAnsi="Arial"/>
                <w:sz w:val="21"/>
                <w:szCs w:val="21"/>
                <w:color w:val="auto"/>
              </w:rPr>
              <w:t>29</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13.2</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Sublicenses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29</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13.3</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No Rights Beyond Lead Compounds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30</w:t>
            </w:r>
          </w:p>
        </w:tc>
      </w:tr>
      <w:tr>
        <w:trPr>
          <w:trHeight w:val="272"/>
        </w:trPr>
        <w:tc>
          <w:tcPr>
            <w:tcW w:w="1600" w:type="dxa"/>
            <w:vAlign w:val="bottom"/>
          </w:tcPr>
          <w:p>
            <w:pPr>
              <w:ind w:left="740"/>
              <w:spacing w:after="0"/>
              <w:rPr>
                <w:sz w:val="20"/>
                <w:szCs w:val="20"/>
                <w:color w:val="auto"/>
              </w:rPr>
            </w:pPr>
            <w:r>
              <w:rPr>
                <w:rFonts w:ascii="Arial" w:cs="Arial" w:eastAsia="Arial" w:hAnsi="Arial"/>
                <w:sz w:val="21"/>
                <w:szCs w:val="21"/>
                <w:color w:val="auto"/>
              </w:rPr>
              <w:t>13.4</w:t>
            </w:r>
          </w:p>
        </w:tc>
        <w:tc>
          <w:tcPr>
            <w:tcW w:w="7260" w:type="dxa"/>
            <w:vAlign w:val="bottom"/>
          </w:tcPr>
          <w:p>
            <w:pPr>
              <w:ind w:left="380"/>
              <w:spacing w:after="0"/>
              <w:rPr>
                <w:sz w:val="20"/>
                <w:szCs w:val="20"/>
                <w:color w:val="auto"/>
              </w:rPr>
            </w:pPr>
            <w:r>
              <w:rPr>
                <w:rFonts w:ascii="Arial" w:cs="Arial" w:eastAsia="Arial" w:hAnsi="Arial"/>
                <w:sz w:val="21"/>
                <w:szCs w:val="21"/>
                <w:color w:val="auto"/>
              </w:rPr>
              <w:t>Expanded Field Negotiation</w:t>
            </w:r>
          </w:p>
        </w:tc>
        <w:tc>
          <w:tcPr>
            <w:tcW w:w="256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60"/>
        </w:trPr>
        <w:tc>
          <w:tcPr>
            <w:tcW w:w="8860" w:type="dxa"/>
            <w:vAlign w:val="bottom"/>
            <w:gridSpan w:val="2"/>
          </w:tcPr>
          <w:p>
            <w:pPr>
              <w:spacing w:after="0"/>
              <w:rPr>
                <w:sz w:val="20"/>
                <w:szCs w:val="20"/>
                <w:color w:val="auto"/>
              </w:rPr>
            </w:pPr>
            <w:r>
              <w:rPr>
                <w:rFonts w:ascii="Arial" w:cs="Arial" w:eastAsia="Arial" w:hAnsi="Arial"/>
                <w:sz w:val="21"/>
                <w:szCs w:val="21"/>
                <w:color w:val="auto"/>
              </w:rPr>
              <w:t>ARTICLE 14INTELLECTUAL PROPERTY</w:t>
            </w:r>
          </w:p>
        </w:tc>
        <w:tc>
          <w:tcPr>
            <w:tcW w:w="256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328"/>
        </w:trPr>
        <w:tc>
          <w:tcPr>
            <w:tcW w:w="1600" w:type="dxa"/>
            <w:vAlign w:val="bottom"/>
          </w:tcPr>
          <w:p>
            <w:pPr>
              <w:ind w:left="740"/>
              <w:spacing w:after="0"/>
              <w:rPr>
                <w:sz w:val="20"/>
                <w:szCs w:val="20"/>
                <w:color w:val="auto"/>
              </w:rPr>
            </w:pPr>
            <w:r>
              <w:rPr>
                <w:rFonts w:ascii="Arial" w:cs="Arial" w:eastAsia="Arial" w:hAnsi="Arial"/>
                <w:sz w:val="21"/>
                <w:szCs w:val="21"/>
                <w:color w:val="auto"/>
              </w:rPr>
              <w:t>14.1</w:t>
            </w:r>
          </w:p>
        </w:tc>
        <w:tc>
          <w:tcPr>
            <w:tcW w:w="7260" w:type="dxa"/>
            <w:vAlign w:val="bottom"/>
          </w:tcPr>
          <w:p>
            <w:pPr>
              <w:ind w:left="380"/>
              <w:spacing w:after="0"/>
              <w:rPr>
                <w:sz w:val="20"/>
                <w:szCs w:val="20"/>
                <w:color w:val="auto"/>
              </w:rPr>
            </w:pPr>
            <w:r>
              <w:rPr>
                <w:rFonts w:ascii="Arial" w:cs="Arial" w:eastAsia="Arial" w:hAnsi="Arial"/>
                <w:sz w:val="21"/>
                <w:szCs w:val="21"/>
                <w:color w:val="auto"/>
              </w:rPr>
              <w:t>Ownership of Inventions</w:t>
            </w:r>
          </w:p>
        </w:tc>
        <w:tc>
          <w:tcPr>
            <w:tcW w:w="2560" w:type="dxa"/>
            <w:vAlign w:val="bottom"/>
          </w:tcPr>
          <w:p>
            <w:pPr>
              <w:jc w:val="right"/>
              <w:spacing w:after="0"/>
              <w:rPr>
                <w:sz w:val="20"/>
                <w:szCs w:val="20"/>
                <w:color w:val="auto"/>
              </w:rPr>
            </w:pPr>
            <w:r>
              <w:rPr>
                <w:rFonts w:ascii="Arial" w:cs="Arial" w:eastAsia="Arial" w:hAnsi="Arial"/>
                <w:sz w:val="21"/>
                <w:szCs w:val="21"/>
                <w:color w:val="auto"/>
              </w:rPr>
              <w:t>30</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14.2</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Patent Prosecution</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31</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14.3</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Defense of Third Party Infringement Claims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31</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14.4</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Enforcement</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32</w:t>
            </w:r>
          </w:p>
        </w:tc>
      </w:tr>
      <w:tr>
        <w:trPr>
          <w:trHeight w:val="272"/>
        </w:trPr>
        <w:tc>
          <w:tcPr>
            <w:tcW w:w="1600" w:type="dxa"/>
            <w:vAlign w:val="bottom"/>
          </w:tcPr>
          <w:p>
            <w:pPr>
              <w:ind w:left="740"/>
              <w:spacing w:after="0"/>
              <w:rPr>
                <w:sz w:val="20"/>
                <w:szCs w:val="20"/>
                <w:color w:val="auto"/>
              </w:rPr>
            </w:pPr>
            <w:r>
              <w:rPr>
                <w:rFonts w:ascii="Arial" w:cs="Arial" w:eastAsia="Arial" w:hAnsi="Arial"/>
                <w:sz w:val="21"/>
                <w:szCs w:val="21"/>
                <w:color w:val="auto"/>
              </w:rPr>
              <w:t>14.5</w:t>
            </w:r>
          </w:p>
        </w:tc>
        <w:tc>
          <w:tcPr>
            <w:tcW w:w="7260" w:type="dxa"/>
            <w:vAlign w:val="bottom"/>
          </w:tcPr>
          <w:p>
            <w:pPr>
              <w:ind w:left="380"/>
              <w:spacing w:after="0"/>
              <w:rPr>
                <w:sz w:val="20"/>
                <w:szCs w:val="20"/>
                <w:color w:val="auto"/>
              </w:rPr>
            </w:pPr>
            <w:r>
              <w:rPr>
                <w:rFonts w:ascii="Arial" w:cs="Arial" w:eastAsia="Arial" w:hAnsi="Arial"/>
                <w:sz w:val="21"/>
                <w:szCs w:val="21"/>
                <w:color w:val="auto"/>
              </w:rPr>
              <w:t>Third Party Agreements</w:t>
            </w:r>
          </w:p>
        </w:tc>
        <w:tc>
          <w:tcPr>
            <w:tcW w:w="2560" w:type="dxa"/>
            <w:vAlign w:val="bottom"/>
          </w:tcPr>
          <w:p>
            <w:pPr>
              <w:jc w:val="right"/>
              <w:spacing w:after="0"/>
              <w:rPr>
                <w:sz w:val="20"/>
                <w:szCs w:val="20"/>
                <w:color w:val="auto"/>
              </w:rPr>
            </w:pPr>
            <w:r>
              <w:rPr>
                <w:rFonts w:ascii="Arial" w:cs="Arial" w:eastAsia="Arial" w:hAnsi="Arial"/>
                <w:sz w:val="21"/>
                <w:szCs w:val="21"/>
                <w:color w:val="auto"/>
              </w:rPr>
              <w:t>33</w:t>
            </w:r>
          </w:p>
        </w:tc>
      </w:tr>
      <w:tr>
        <w:trPr>
          <w:trHeight w:val="360"/>
        </w:trPr>
        <w:tc>
          <w:tcPr>
            <w:tcW w:w="8860" w:type="dxa"/>
            <w:vAlign w:val="bottom"/>
            <w:gridSpan w:val="2"/>
          </w:tcPr>
          <w:p>
            <w:pPr>
              <w:spacing w:after="0"/>
              <w:rPr>
                <w:sz w:val="20"/>
                <w:szCs w:val="20"/>
                <w:color w:val="auto"/>
              </w:rPr>
            </w:pPr>
            <w:r>
              <w:rPr>
                <w:rFonts w:ascii="Arial" w:cs="Arial" w:eastAsia="Arial" w:hAnsi="Arial"/>
                <w:sz w:val="21"/>
                <w:szCs w:val="21"/>
                <w:color w:val="auto"/>
              </w:rPr>
              <w:t>ARTICLE 15REPRESENTATIONS AND WARRANTIES</w:t>
            </w:r>
          </w:p>
        </w:tc>
        <w:tc>
          <w:tcPr>
            <w:tcW w:w="256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328"/>
        </w:trPr>
        <w:tc>
          <w:tcPr>
            <w:tcW w:w="1600" w:type="dxa"/>
            <w:vAlign w:val="bottom"/>
          </w:tcPr>
          <w:p>
            <w:pPr>
              <w:ind w:left="740"/>
              <w:spacing w:after="0"/>
              <w:rPr>
                <w:sz w:val="20"/>
                <w:szCs w:val="20"/>
                <w:color w:val="auto"/>
              </w:rPr>
            </w:pPr>
            <w:r>
              <w:rPr>
                <w:rFonts w:ascii="Arial" w:cs="Arial" w:eastAsia="Arial" w:hAnsi="Arial"/>
                <w:sz w:val="21"/>
                <w:szCs w:val="21"/>
                <w:color w:val="auto"/>
              </w:rPr>
              <w:t>15.1</w:t>
            </w:r>
          </w:p>
        </w:tc>
        <w:tc>
          <w:tcPr>
            <w:tcW w:w="7260" w:type="dxa"/>
            <w:vAlign w:val="bottom"/>
          </w:tcPr>
          <w:p>
            <w:pPr>
              <w:ind w:left="380"/>
              <w:spacing w:after="0"/>
              <w:rPr>
                <w:sz w:val="20"/>
                <w:szCs w:val="20"/>
                <w:color w:val="auto"/>
              </w:rPr>
            </w:pPr>
            <w:r>
              <w:rPr>
                <w:rFonts w:ascii="Arial" w:cs="Arial" w:eastAsia="Arial" w:hAnsi="Arial"/>
                <w:sz w:val="21"/>
                <w:szCs w:val="21"/>
                <w:color w:val="auto"/>
              </w:rPr>
              <w:t>FG Warranties</w:t>
            </w:r>
          </w:p>
        </w:tc>
        <w:tc>
          <w:tcPr>
            <w:tcW w:w="2560" w:type="dxa"/>
            <w:vAlign w:val="bottom"/>
          </w:tcPr>
          <w:p>
            <w:pPr>
              <w:jc w:val="right"/>
              <w:spacing w:after="0"/>
              <w:rPr>
                <w:sz w:val="20"/>
                <w:szCs w:val="20"/>
                <w:color w:val="auto"/>
              </w:rPr>
            </w:pPr>
            <w:r>
              <w:rPr>
                <w:rFonts w:ascii="Arial" w:cs="Arial" w:eastAsia="Arial" w:hAnsi="Arial"/>
                <w:sz w:val="21"/>
                <w:szCs w:val="21"/>
                <w:color w:val="auto"/>
              </w:rPr>
              <w:t>34</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15.2</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Astellas Warranties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35</w:t>
            </w:r>
          </w:p>
        </w:tc>
      </w:tr>
      <w:tr>
        <w:trPr>
          <w:trHeight w:val="272"/>
        </w:trPr>
        <w:tc>
          <w:tcPr>
            <w:tcW w:w="1600" w:type="dxa"/>
            <w:vAlign w:val="bottom"/>
          </w:tcPr>
          <w:p>
            <w:pPr>
              <w:ind w:left="740"/>
              <w:spacing w:after="0"/>
              <w:rPr>
                <w:sz w:val="20"/>
                <w:szCs w:val="20"/>
                <w:color w:val="auto"/>
              </w:rPr>
            </w:pPr>
            <w:r>
              <w:rPr>
                <w:rFonts w:ascii="Arial" w:cs="Arial" w:eastAsia="Arial" w:hAnsi="Arial"/>
                <w:sz w:val="21"/>
                <w:szCs w:val="21"/>
                <w:color w:val="auto"/>
              </w:rPr>
              <w:t>15.3</w:t>
            </w:r>
          </w:p>
        </w:tc>
        <w:tc>
          <w:tcPr>
            <w:tcW w:w="7260" w:type="dxa"/>
            <w:vAlign w:val="bottom"/>
          </w:tcPr>
          <w:p>
            <w:pPr>
              <w:ind w:left="380"/>
              <w:spacing w:after="0"/>
              <w:rPr>
                <w:sz w:val="20"/>
                <w:szCs w:val="20"/>
                <w:color w:val="auto"/>
              </w:rPr>
            </w:pPr>
            <w:r>
              <w:rPr>
                <w:rFonts w:ascii="Arial" w:cs="Arial" w:eastAsia="Arial" w:hAnsi="Arial"/>
                <w:sz w:val="21"/>
                <w:szCs w:val="21"/>
                <w:color w:val="auto"/>
              </w:rPr>
              <w:t>Disclaimer of Warranties</w:t>
            </w:r>
          </w:p>
        </w:tc>
        <w:tc>
          <w:tcPr>
            <w:tcW w:w="256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60"/>
        </w:trPr>
        <w:tc>
          <w:tcPr>
            <w:tcW w:w="8860" w:type="dxa"/>
            <w:vAlign w:val="bottom"/>
            <w:gridSpan w:val="2"/>
          </w:tcPr>
          <w:p>
            <w:pPr>
              <w:spacing w:after="0"/>
              <w:rPr>
                <w:sz w:val="20"/>
                <w:szCs w:val="20"/>
                <w:color w:val="auto"/>
              </w:rPr>
            </w:pPr>
            <w:r>
              <w:rPr>
                <w:rFonts w:ascii="Arial" w:cs="Arial" w:eastAsia="Arial" w:hAnsi="Arial"/>
                <w:sz w:val="21"/>
                <w:szCs w:val="21"/>
                <w:color w:val="auto"/>
              </w:rPr>
              <w:t>ARTICLE 16CONFIDENTIALITY</w:t>
            </w:r>
          </w:p>
        </w:tc>
        <w:tc>
          <w:tcPr>
            <w:tcW w:w="256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328"/>
        </w:trPr>
        <w:tc>
          <w:tcPr>
            <w:tcW w:w="1600" w:type="dxa"/>
            <w:vAlign w:val="bottom"/>
          </w:tcPr>
          <w:p>
            <w:pPr>
              <w:ind w:left="740"/>
              <w:spacing w:after="0"/>
              <w:rPr>
                <w:sz w:val="20"/>
                <w:szCs w:val="20"/>
                <w:color w:val="auto"/>
              </w:rPr>
            </w:pPr>
            <w:r>
              <w:rPr>
                <w:rFonts w:ascii="Arial" w:cs="Arial" w:eastAsia="Arial" w:hAnsi="Arial"/>
                <w:sz w:val="21"/>
                <w:szCs w:val="21"/>
                <w:color w:val="auto"/>
              </w:rPr>
              <w:t>16.1</w:t>
            </w:r>
          </w:p>
        </w:tc>
        <w:tc>
          <w:tcPr>
            <w:tcW w:w="7260" w:type="dxa"/>
            <w:vAlign w:val="bottom"/>
          </w:tcPr>
          <w:p>
            <w:pPr>
              <w:ind w:left="380"/>
              <w:spacing w:after="0"/>
              <w:rPr>
                <w:sz w:val="20"/>
                <w:szCs w:val="20"/>
                <w:color w:val="auto"/>
              </w:rPr>
            </w:pPr>
            <w:r>
              <w:rPr>
                <w:rFonts w:ascii="Arial" w:cs="Arial" w:eastAsia="Arial" w:hAnsi="Arial"/>
                <w:sz w:val="21"/>
                <w:szCs w:val="21"/>
                <w:color w:val="auto"/>
              </w:rPr>
              <w:t>Confidential Information</w:t>
            </w:r>
          </w:p>
        </w:tc>
        <w:tc>
          <w:tcPr>
            <w:tcW w:w="2560" w:type="dxa"/>
            <w:vAlign w:val="bottom"/>
          </w:tcPr>
          <w:p>
            <w:pPr>
              <w:jc w:val="right"/>
              <w:spacing w:after="0"/>
              <w:rPr>
                <w:sz w:val="20"/>
                <w:szCs w:val="20"/>
                <w:color w:val="auto"/>
              </w:rPr>
            </w:pPr>
            <w:r>
              <w:rPr>
                <w:rFonts w:ascii="Arial" w:cs="Arial" w:eastAsia="Arial" w:hAnsi="Arial"/>
                <w:sz w:val="21"/>
                <w:szCs w:val="21"/>
                <w:color w:val="auto"/>
              </w:rPr>
              <w:t>35</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16.2</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Permitted Disclosures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36</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16.3</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Clinical Data</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36</w:t>
            </w:r>
          </w:p>
        </w:tc>
      </w:tr>
      <w:tr>
        <w:trPr>
          <w:trHeight w:val="272"/>
        </w:trPr>
        <w:tc>
          <w:tcPr>
            <w:tcW w:w="1600" w:type="dxa"/>
            <w:vAlign w:val="bottom"/>
          </w:tcPr>
          <w:p>
            <w:pPr>
              <w:ind w:left="740"/>
              <w:spacing w:after="0"/>
              <w:rPr>
                <w:sz w:val="20"/>
                <w:szCs w:val="20"/>
                <w:color w:val="auto"/>
              </w:rPr>
            </w:pPr>
            <w:r>
              <w:rPr>
                <w:rFonts w:ascii="Arial" w:cs="Arial" w:eastAsia="Arial" w:hAnsi="Arial"/>
                <w:sz w:val="21"/>
                <w:szCs w:val="21"/>
                <w:color w:val="auto"/>
              </w:rPr>
              <w:t>16.4</w:t>
            </w:r>
          </w:p>
        </w:tc>
        <w:tc>
          <w:tcPr>
            <w:tcW w:w="7260" w:type="dxa"/>
            <w:vAlign w:val="bottom"/>
          </w:tcPr>
          <w:p>
            <w:pPr>
              <w:ind w:left="380"/>
              <w:spacing w:after="0"/>
              <w:rPr>
                <w:sz w:val="20"/>
                <w:szCs w:val="20"/>
                <w:color w:val="auto"/>
              </w:rPr>
            </w:pPr>
            <w:r>
              <w:rPr>
                <w:rFonts w:ascii="Arial" w:cs="Arial" w:eastAsia="Arial" w:hAnsi="Arial"/>
                <w:sz w:val="21"/>
                <w:szCs w:val="21"/>
                <w:color w:val="auto"/>
              </w:rPr>
              <w:t>Press Releases</w:t>
            </w:r>
          </w:p>
        </w:tc>
        <w:tc>
          <w:tcPr>
            <w:tcW w:w="256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60"/>
        </w:trPr>
        <w:tc>
          <w:tcPr>
            <w:tcW w:w="8860" w:type="dxa"/>
            <w:vAlign w:val="bottom"/>
            <w:gridSpan w:val="2"/>
          </w:tcPr>
          <w:p>
            <w:pPr>
              <w:spacing w:after="0"/>
              <w:rPr>
                <w:sz w:val="20"/>
                <w:szCs w:val="20"/>
                <w:color w:val="auto"/>
              </w:rPr>
            </w:pPr>
            <w:r>
              <w:rPr>
                <w:rFonts w:ascii="Arial" w:cs="Arial" w:eastAsia="Arial" w:hAnsi="Arial"/>
                <w:sz w:val="21"/>
                <w:szCs w:val="21"/>
                <w:color w:val="auto"/>
              </w:rPr>
              <w:t>ARTICLE 17INSURANCE; INDEMNIFICATION</w:t>
            </w:r>
          </w:p>
        </w:tc>
        <w:tc>
          <w:tcPr>
            <w:tcW w:w="256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328"/>
        </w:trPr>
        <w:tc>
          <w:tcPr>
            <w:tcW w:w="1600" w:type="dxa"/>
            <w:vAlign w:val="bottom"/>
          </w:tcPr>
          <w:p>
            <w:pPr>
              <w:ind w:left="740"/>
              <w:spacing w:after="0"/>
              <w:rPr>
                <w:sz w:val="20"/>
                <w:szCs w:val="20"/>
                <w:color w:val="auto"/>
              </w:rPr>
            </w:pPr>
            <w:r>
              <w:rPr>
                <w:rFonts w:ascii="Arial" w:cs="Arial" w:eastAsia="Arial" w:hAnsi="Arial"/>
                <w:sz w:val="21"/>
                <w:szCs w:val="21"/>
                <w:color w:val="auto"/>
              </w:rPr>
              <w:t>17.1</w:t>
            </w:r>
          </w:p>
        </w:tc>
        <w:tc>
          <w:tcPr>
            <w:tcW w:w="7260" w:type="dxa"/>
            <w:vAlign w:val="bottom"/>
          </w:tcPr>
          <w:p>
            <w:pPr>
              <w:ind w:left="380"/>
              <w:spacing w:after="0"/>
              <w:rPr>
                <w:sz w:val="20"/>
                <w:szCs w:val="20"/>
                <w:color w:val="auto"/>
              </w:rPr>
            </w:pPr>
            <w:r>
              <w:rPr>
                <w:rFonts w:ascii="Arial" w:cs="Arial" w:eastAsia="Arial" w:hAnsi="Arial"/>
                <w:sz w:val="21"/>
                <w:szCs w:val="21"/>
                <w:color w:val="auto"/>
              </w:rPr>
              <w:t>Insurance</w:t>
            </w:r>
          </w:p>
        </w:tc>
        <w:tc>
          <w:tcPr>
            <w:tcW w:w="2560" w:type="dxa"/>
            <w:vAlign w:val="bottom"/>
          </w:tcPr>
          <w:p>
            <w:pPr>
              <w:jc w:val="right"/>
              <w:spacing w:after="0"/>
              <w:rPr>
                <w:sz w:val="20"/>
                <w:szCs w:val="20"/>
                <w:color w:val="auto"/>
              </w:rPr>
            </w:pPr>
            <w:r>
              <w:rPr>
                <w:rFonts w:ascii="Arial" w:cs="Arial" w:eastAsia="Arial" w:hAnsi="Arial"/>
                <w:sz w:val="21"/>
                <w:szCs w:val="21"/>
                <w:color w:val="auto"/>
              </w:rPr>
              <w:t>36</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17.2</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Indemnification of FG</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37</w:t>
            </w:r>
          </w:p>
        </w:tc>
      </w:tr>
      <w:tr>
        <w:trPr>
          <w:trHeight w:val="240"/>
        </w:trPr>
        <w:tc>
          <w:tcPr>
            <w:tcW w:w="1600" w:type="dxa"/>
            <w:vAlign w:val="bottom"/>
          </w:tcPr>
          <w:p>
            <w:pPr>
              <w:ind w:left="740"/>
              <w:spacing w:after="0" w:line="240" w:lineRule="exact"/>
              <w:rPr>
                <w:sz w:val="20"/>
                <w:szCs w:val="20"/>
                <w:color w:val="auto"/>
              </w:rPr>
            </w:pPr>
            <w:r>
              <w:rPr>
                <w:rFonts w:ascii="Arial" w:cs="Arial" w:eastAsia="Arial" w:hAnsi="Arial"/>
                <w:sz w:val="21"/>
                <w:szCs w:val="21"/>
                <w:color w:val="auto"/>
              </w:rPr>
              <w:t>17.3</w:t>
            </w:r>
          </w:p>
        </w:tc>
        <w:tc>
          <w:tcPr>
            <w:tcW w:w="7260" w:type="dxa"/>
            <w:vAlign w:val="bottom"/>
          </w:tcPr>
          <w:p>
            <w:pPr>
              <w:ind w:left="380"/>
              <w:spacing w:after="0" w:line="240" w:lineRule="exact"/>
              <w:rPr>
                <w:sz w:val="20"/>
                <w:szCs w:val="20"/>
                <w:color w:val="auto"/>
              </w:rPr>
            </w:pPr>
            <w:r>
              <w:rPr>
                <w:rFonts w:ascii="Arial" w:cs="Arial" w:eastAsia="Arial" w:hAnsi="Arial"/>
                <w:sz w:val="21"/>
                <w:szCs w:val="21"/>
                <w:color w:val="auto"/>
              </w:rPr>
              <w:t>Indemnification of Astellas</w:t>
            </w:r>
          </w:p>
        </w:tc>
        <w:tc>
          <w:tcPr>
            <w:tcW w:w="2560" w:type="dxa"/>
            <w:vAlign w:val="bottom"/>
          </w:tcPr>
          <w:p>
            <w:pPr>
              <w:jc w:val="right"/>
              <w:spacing w:after="0" w:line="240" w:lineRule="exact"/>
              <w:rPr>
                <w:sz w:val="20"/>
                <w:szCs w:val="20"/>
                <w:color w:val="auto"/>
              </w:rPr>
            </w:pPr>
            <w:r>
              <w:rPr>
                <w:rFonts w:ascii="Arial" w:cs="Arial" w:eastAsia="Arial" w:hAnsi="Arial"/>
                <w:sz w:val="21"/>
                <w:szCs w:val="21"/>
                <w:color w:val="auto"/>
              </w:rPr>
              <w:t>37</w:t>
            </w:r>
          </w:p>
        </w:tc>
      </w:tr>
      <w:tr>
        <w:trPr>
          <w:trHeight w:val="263"/>
        </w:trPr>
        <w:tc>
          <w:tcPr>
            <w:tcW w:w="1600" w:type="dxa"/>
            <w:vAlign w:val="bottom"/>
          </w:tcPr>
          <w:p>
            <w:pPr>
              <w:spacing w:after="0"/>
              <w:rPr>
                <w:sz w:val="22"/>
                <w:szCs w:val="22"/>
                <w:color w:val="auto"/>
              </w:rPr>
            </w:pPr>
          </w:p>
        </w:tc>
        <w:tc>
          <w:tcPr>
            <w:tcW w:w="7260" w:type="dxa"/>
            <w:vAlign w:val="bottom"/>
          </w:tcPr>
          <w:p>
            <w:pPr>
              <w:jc w:val="center"/>
              <w:ind w:left="873"/>
              <w:spacing w:after="0"/>
              <w:rPr>
                <w:sz w:val="20"/>
                <w:szCs w:val="20"/>
                <w:color w:val="auto"/>
              </w:rPr>
            </w:pPr>
            <w:r>
              <w:rPr>
                <w:rFonts w:ascii="Arial" w:cs="Arial" w:eastAsia="Arial" w:hAnsi="Arial"/>
                <w:sz w:val="21"/>
                <w:szCs w:val="21"/>
                <w:color w:val="auto"/>
              </w:rPr>
              <w:t>iv</w:t>
            </w:r>
          </w:p>
        </w:tc>
        <w:tc>
          <w:tcPr>
            <w:tcW w:w="2560" w:type="dxa"/>
            <w:vAlign w:val="bottom"/>
          </w:tcPr>
          <w:p>
            <w:pPr>
              <w:spacing w:after="0"/>
              <w:rPr>
                <w:sz w:val="22"/>
                <w:szCs w:val="22"/>
                <w:color w:val="auto"/>
              </w:rPr>
            </w:pPr>
          </w:p>
        </w:tc>
      </w:tr>
    </w:tbl>
    <w:p>
      <w:pPr>
        <w:ind w:firstLine="7"/>
        <w:spacing w:after="0" w:line="251" w:lineRule="auto"/>
        <w:tabs>
          <w:tab w:leader="none" w:pos="25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729043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(continued)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2540" w:type="dxa"/>
            <w:vAlign w:val="bottom"/>
          </w:tcPr>
          <w:p>
            <w:pPr>
              <w:jc w:val="right"/>
              <w:ind w:right="13"/>
              <w:spacing w:after="0"/>
              <w:rPr>
                <w:sz w:val="20"/>
                <w:szCs w:val="20"/>
                <w:color w:val="auto"/>
              </w:rPr>
            </w:pPr>
            <w:r>
              <w:rPr>
                <w:rFonts w:ascii="Arial" w:cs="Arial" w:eastAsia="Arial" w:hAnsi="Arial"/>
                <w:sz w:val="21"/>
                <w:szCs w:val="21"/>
                <w:b w:val="1"/>
                <w:bCs w:val="1"/>
                <w:color w:val="auto"/>
              </w:rPr>
              <w:t>Page</w:t>
            </w:r>
          </w:p>
        </w:tc>
      </w:tr>
      <w:tr>
        <w:trPr>
          <w:trHeight w:val="272"/>
        </w:trPr>
        <w:tc>
          <w:tcPr>
            <w:tcW w:w="1160" w:type="dxa"/>
            <w:vAlign w:val="bottom"/>
          </w:tcPr>
          <w:p>
            <w:pPr>
              <w:ind w:left="740"/>
              <w:spacing w:after="0"/>
              <w:rPr>
                <w:sz w:val="20"/>
                <w:szCs w:val="20"/>
                <w:color w:val="auto"/>
              </w:rPr>
            </w:pPr>
            <w:r>
              <w:rPr>
                <w:rFonts w:ascii="Arial" w:cs="Arial" w:eastAsia="Arial" w:hAnsi="Arial"/>
                <w:sz w:val="21"/>
                <w:szCs w:val="21"/>
                <w:color w:val="auto"/>
                <w:w w:val="97"/>
              </w:rPr>
              <w:t>17.4</w:t>
            </w:r>
          </w:p>
        </w:tc>
        <w:tc>
          <w:tcPr>
            <w:tcW w:w="440" w:type="dxa"/>
            <w:vAlign w:val="bottom"/>
          </w:tcPr>
          <w:p>
            <w:pPr>
              <w:spacing w:after="0"/>
              <w:rPr>
                <w:sz w:val="23"/>
                <w:szCs w:val="23"/>
                <w:color w:val="auto"/>
              </w:rPr>
            </w:pPr>
          </w:p>
        </w:tc>
        <w:tc>
          <w:tcPr>
            <w:tcW w:w="7280" w:type="dxa"/>
            <w:vAlign w:val="bottom"/>
          </w:tcPr>
          <w:p>
            <w:pPr>
              <w:ind w:left="380"/>
              <w:spacing w:after="0"/>
              <w:rPr>
                <w:sz w:val="20"/>
                <w:szCs w:val="20"/>
                <w:color w:val="auto"/>
              </w:rPr>
            </w:pPr>
            <w:r>
              <w:rPr>
                <w:rFonts w:ascii="Arial" w:cs="Arial" w:eastAsia="Arial" w:hAnsi="Arial"/>
                <w:sz w:val="21"/>
                <w:szCs w:val="21"/>
                <w:color w:val="auto"/>
              </w:rPr>
              <w:t>Procedure</w:t>
            </w:r>
          </w:p>
        </w:tc>
        <w:tc>
          <w:tcPr>
            <w:tcW w:w="2540" w:type="dxa"/>
            <w:vAlign w:val="bottom"/>
          </w:tcPr>
          <w:p>
            <w:pPr>
              <w:jc w:val="right"/>
              <w:spacing w:after="0"/>
              <w:rPr>
                <w:sz w:val="20"/>
                <w:szCs w:val="20"/>
                <w:color w:val="auto"/>
              </w:rPr>
            </w:pPr>
            <w:r>
              <w:rPr>
                <w:rFonts w:ascii="Arial" w:cs="Arial" w:eastAsia="Arial" w:hAnsi="Arial"/>
                <w:sz w:val="21"/>
                <w:szCs w:val="21"/>
                <w:color w:val="auto"/>
              </w:rPr>
              <w:t>37</w:t>
            </w:r>
          </w:p>
        </w:tc>
      </w:tr>
      <w:tr>
        <w:trPr>
          <w:trHeight w:val="360"/>
        </w:trPr>
        <w:tc>
          <w:tcPr>
            <w:tcW w:w="8880" w:type="dxa"/>
            <w:vAlign w:val="bottom"/>
            <w:gridSpan w:val="3"/>
          </w:tcPr>
          <w:p>
            <w:pPr>
              <w:spacing w:after="0"/>
              <w:rPr>
                <w:sz w:val="20"/>
                <w:szCs w:val="20"/>
                <w:color w:val="auto"/>
              </w:rPr>
            </w:pPr>
            <w:r>
              <w:rPr>
                <w:rFonts w:ascii="Arial" w:cs="Arial" w:eastAsia="Arial" w:hAnsi="Arial"/>
                <w:sz w:val="21"/>
                <w:szCs w:val="21"/>
                <w:color w:val="auto"/>
              </w:rPr>
              <w:t>ARTICLE 18TERM AND TERMINATION</w:t>
            </w:r>
          </w:p>
        </w:tc>
        <w:tc>
          <w:tcPr>
            <w:tcW w:w="254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328"/>
        </w:trPr>
        <w:tc>
          <w:tcPr>
            <w:tcW w:w="1160" w:type="dxa"/>
            <w:vAlign w:val="bottom"/>
          </w:tcPr>
          <w:p>
            <w:pPr>
              <w:ind w:left="740"/>
              <w:spacing w:after="0"/>
              <w:rPr>
                <w:sz w:val="20"/>
                <w:szCs w:val="20"/>
                <w:color w:val="auto"/>
              </w:rPr>
            </w:pPr>
            <w:r>
              <w:rPr>
                <w:rFonts w:ascii="Arial" w:cs="Arial" w:eastAsia="Arial" w:hAnsi="Arial"/>
                <w:sz w:val="21"/>
                <w:szCs w:val="21"/>
                <w:color w:val="auto"/>
                <w:w w:val="97"/>
              </w:rPr>
              <w:t>18.1</w:t>
            </w:r>
          </w:p>
        </w:tc>
        <w:tc>
          <w:tcPr>
            <w:tcW w:w="4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Arial" w:cs="Arial" w:eastAsia="Arial" w:hAnsi="Arial"/>
                <w:sz w:val="21"/>
                <w:szCs w:val="21"/>
                <w:color w:val="auto"/>
              </w:rPr>
              <w:t>Term</w:t>
            </w:r>
          </w:p>
        </w:tc>
        <w:tc>
          <w:tcPr>
            <w:tcW w:w="2540" w:type="dxa"/>
            <w:vAlign w:val="bottom"/>
          </w:tcPr>
          <w:p>
            <w:pPr>
              <w:jc w:val="right"/>
              <w:spacing w:after="0"/>
              <w:rPr>
                <w:sz w:val="20"/>
                <w:szCs w:val="20"/>
                <w:color w:val="auto"/>
              </w:rPr>
            </w:pPr>
            <w:r>
              <w:rPr>
                <w:rFonts w:ascii="Arial" w:cs="Arial" w:eastAsia="Arial" w:hAnsi="Arial"/>
                <w:sz w:val="21"/>
                <w:szCs w:val="21"/>
                <w:color w:val="auto"/>
              </w:rPr>
              <w:t>38</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18.2</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Termination for Cause or Technical Product Failure</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38</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18.3</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Termination in case of Generic Competition</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39</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18.4</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Negative Advice from Authorities</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39</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18.5</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Admission of Invalidity or Unenforceability of FG Patent</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39</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18.6</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Termination upon Notice</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39</w:t>
            </w:r>
          </w:p>
        </w:tc>
      </w:tr>
      <w:tr>
        <w:trPr>
          <w:trHeight w:val="272"/>
        </w:trPr>
        <w:tc>
          <w:tcPr>
            <w:tcW w:w="1160" w:type="dxa"/>
            <w:vAlign w:val="bottom"/>
          </w:tcPr>
          <w:p>
            <w:pPr>
              <w:ind w:left="740"/>
              <w:spacing w:after="0"/>
              <w:rPr>
                <w:sz w:val="20"/>
                <w:szCs w:val="20"/>
                <w:color w:val="auto"/>
              </w:rPr>
            </w:pPr>
            <w:r>
              <w:rPr>
                <w:rFonts w:ascii="Arial" w:cs="Arial" w:eastAsia="Arial" w:hAnsi="Arial"/>
                <w:sz w:val="21"/>
                <w:szCs w:val="21"/>
                <w:color w:val="auto"/>
                <w:w w:val="97"/>
              </w:rPr>
              <w:t>18.7</w:t>
            </w:r>
          </w:p>
        </w:tc>
        <w:tc>
          <w:tcPr>
            <w:tcW w:w="440" w:type="dxa"/>
            <w:vAlign w:val="bottom"/>
          </w:tcPr>
          <w:p>
            <w:pPr>
              <w:spacing w:after="0"/>
              <w:rPr>
                <w:sz w:val="23"/>
                <w:szCs w:val="23"/>
                <w:color w:val="auto"/>
              </w:rPr>
            </w:pPr>
          </w:p>
        </w:tc>
        <w:tc>
          <w:tcPr>
            <w:tcW w:w="7280" w:type="dxa"/>
            <w:vAlign w:val="bottom"/>
          </w:tcPr>
          <w:p>
            <w:pPr>
              <w:ind w:left="380"/>
              <w:spacing w:after="0"/>
              <w:rPr>
                <w:sz w:val="20"/>
                <w:szCs w:val="20"/>
                <w:color w:val="auto"/>
              </w:rPr>
            </w:pPr>
            <w:r>
              <w:rPr>
                <w:rFonts w:ascii="Arial" w:cs="Arial" w:eastAsia="Arial" w:hAnsi="Arial"/>
                <w:sz w:val="21"/>
                <w:szCs w:val="21"/>
                <w:color w:val="auto"/>
              </w:rPr>
              <w:t>Effect of Termination</w:t>
            </w:r>
          </w:p>
        </w:tc>
        <w:tc>
          <w:tcPr>
            <w:tcW w:w="2540" w:type="dxa"/>
            <w:vAlign w:val="bottom"/>
          </w:tcPr>
          <w:p>
            <w:pPr>
              <w:jc w:val="right"/>
              <w:spacing w:after="0"/>
              <w:rPr>
                <w:sz w:val="20"/>
                <w:szCs w:val="20"/>
                <w:color w:val="auto"/>
              </w:rPr>
            </w:pPr>
            <w:r>
              <w:rPr>
                <w:rFonts w:ascii="Arial" w:cs="Arial" w:eastAsia="Arial" w:hAnsi="Arial"/>
                <w:sz w:val="21"/>
                <w:szCs w:val="21"/>
                <w:color w:val="auto"/>
              </w:rPr>
              <w:t>39</w:t>
            </w:r>
          </w:p>
        </w:tc>
      </w:tr>
      <w:tr>
        <w:trPr>
          <w:trHeight w:val="360"/>
        </w:trPr>
        <w:tc>
          <w:tcPr>
            <w:tcW w:w="8880" w:type="dxa"/>
            <w:vAlign w:val="bottom"/>
            <w:gridSpan w:val="3"/>
          </w:tcPr>
          <w:p>
            <w:pPr>
              <w:spacing w:after="0"/>
              <w:rPr>
                <w:sz w:val="20"/>
                <w:szCs w:val="20"/>
                <w:color w:val="auto"/>
              </w:rPr>
            </w:pPr>
            <w:r>
              <w:rPr>
                <w:rFonts w:ascii="Arial" w:cs="Arial" w:eastAsia="Arial" w:hAnsi="Arial"/>
                <w:sz w:val="21"/>
                <w:szCs w:val="21"/>
                <w:color w:val="auto"/>
              </w:rPr>
              <w:t>ARTICLE 19DISPUTE RESOLUTION</w:t>
            </w:r>
          </w:p>
        </w:tc>
        <w:tc>
          <w:tcPr>
            <w:tcW w:w="2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28"/>
        </w:trPr>
        <w:tc>
          <w:tcPr>
            <w:tcW w:w="1160" w:type="dxa"/>
            <w:vAlign w:val="bottom"/>
          </w:tcPr>
          <w:p>
            <w:pPr>
              <w:ind w:left="740"/>
              <w:spacing w:after="0"/>
              <w:rPr>
                <w:sz w:val="20"/>
                <w:szCs w:val="20"/>
                <w:color w:val="auto"/>
              </w:rPr>
            </w:pPr>
            <w:r>
              <w:rPr>
                <w:rFonts w:ascii="Arial" w:cs="Arial" w:eastAsia="Arial" w:hAnsi="Arial"/>
                <w:sz w:val="21"/>
                <w:szCs w:val="21"/>
                <w:color w:val="auto"/>
                <w:w w:val="97"/>
              </w:rPr>
              <w:t>19.1</w:t>
            </w:r>
          </w:p>
        </w:tc>
        <w:tc>
          <w:tcPr>
            <w:tcW w:w="4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Arial" w:cs="Arial" w:eastAsia="Arial" w:hAnsi="Arial"/>
                <w:sz w:val="21"/>
                <w:szCs w:val="21"/>
                <w:color w:val="auto"/>
              </w:rPr>
              <w:t>Disputes</w:t>
            </w:r>
          </w:p>
        </w:tc>
        <w:tc>
          <w:tcPr>
            <w:tcW w:w="2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272"/>
        </w:trPr>
        <w:tc>
          <w:tcPr>
            <w:tcW w:w="1160" w:type="dxa"/>
            <w:vAlign w:val="bottom"/>
          </w:tcPr>
          <w:p>
            <w:pPr>
              <w:ind w:left="740"/>
              <w:spacing w:after="0"/>
              <w:rPr>
                <w:sz w:val="20"/>
                <w:szCs w:val="20"/>
                <w:color w:val="auto"/>
              </w:rPr>
            </w:pPr>
            <w:r>
              <w:rPr>
                <w:rFonts w:ascii="Arial" w:cs="Arial" w:eastAsia="Arial" w:hAnsi="Arial"/>
                <w:sz w:val="21"/>
                <w:szCs w:val="21"/>
                <w:color w:val="auto"/>
                <w:w w:val="97"/>
              </w:rPr>
              <w:t>19.2</w:t>
            </w:r>
          </w:p>
        </w:tc>
        <w:tc>
          <w:tcPr>
            <w:tcW w:w="440" w:type="dxa"/>
            <w:vAlign w:val="bottom"/>
          </w:tcPr>
          <w:p>
            <w:pPr>
              <w:spacing w:after="0"/>
              <w:rPr>
                <w:sz w:val="23"/>
                <w:szCs w:val="23"/>
                <w:color w:val="auto"/>
              </w:rPr>
            </w:pPr>
          </w:p>
        </w:tc>
        <w:tc>
          <w:tcPr>
            <w:tcW w:w="7280" w:type="dxa"/>
            <w:vAlign w:val="bottom"/>
          </w:tcPr>
          <w:p>
            <w:pPr>
              <w:ind w:left="380"/>
              <w:spacing w:after="0"/>
              <w:rPr>
                <w:sz w:val="20"/>
                <w:szCs w:val="20"/>
                <w:color w:val="auto"/>
              </w:rPr>
            </w:pPr>
            <w:r>
              <w:rPr>
                <w:rFonts w:ascii="Arial" w:cs="Arial" w:eastAsia="Arial" w:hAnsi="Arial"/>
                <w:sz w:val="21"/>
                <w:szCs w:val="21"/>
                <w:color w:val="auto"/>
              </w:rPr>
              <w:t>Full Arbitration</w:t>
            </w:r>
          </w:p>
        </w:tc>
        <w:tc>
          <w:tcPr>
            <w:tcW w:w="2540" w:type="dxa"/>
            <w:vAlign w:val="bottom"/>
          </w:tcPr>
          <w:p>
            <w:pPr>
              <w:jc w:val="right"/>
              <w:spacing w:after="0"/>
              <w:rPr>
                <w:sz w:val="20"/>
                <w:szCs w:val="20"/>
                <w:color w:val="auto"/>
              </w:rPr>
            </w:pPr>
            <w:r>
              <w:rPr>
                <w:rFonts w:ascii="Arial" w:cs="Arial" w:eastAsia="Arial" w:hAnsi="Arial"/>
                <w:sz w:val="21"/>
                <w:szCs w:val="21"/>
                <w:color w:val="auto"/>
              </w:rPr>
              <w:t>41</w:t>
            </w:r>
          </w:p>
        </w:tc>
      </w:tr>
      <w:tr>
        <w:trPr>
          <w:trHeight w:val="360"/>
        </w:trPr>
        <w:tc>
          <w:tcPr>
            <w:tcW w:w="8880" w:type="dxa"/>
            <w:vAlign w:val="bottom"/>
            <w:gridSpan w:val="3"/>
          </w:tcPr>
          <w:p>
            <w:pPr>
              <w:spacing w:after="0"/>
              <w:rPr>
                <w:sz w:val="20"/>
                <w:szCs w:val="20"/>
                <w:color w:val="auto"/>
              </w:rPr>
            </w:pPr>
            <w:r>
              <w:rPr>
                <w:rFonts w:ascii="Arial" w:cs="Arial" w:eastAsia="Arial" w:hAnsi="Arial"/>
                <w:sz w:val="21"/>
                <w:szCs w:val="21"/>
                <w:color w:val="auto"/>
              </w:rPr>
              <w:t>ARTICLE 20MISCELLANEOUS</w:t>
            </w:r>
          </w:p>
        </w:tc>
        <w:tc>
          <w:tcPr>
            <w:tcW w:w="254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328"/>
        </w:trPr>
        <w:tc>
          <w:tcPr>
            <w:tcW w:w="1160" w:type="dxa"/>
            <w:vAlign w:val="bottom"/>
          </w:tcPr>
          <w:p>
            <w:pPr>
              <w:ind w:left="740"/>
              <w:spacing w:after="0"/>
              <w:rPr>
                <w:sz w:val="20"/>
                <w:szCs w:val="20"/>
                <w:color w:val="auto"/>
              </w:rPr>
            </w:pPr>
            <w:r>
              <w:rPr>
                <w:rFonts w:ascii="Arial" w:cs="Arial" w:eastAsia="Arial" w:hAnsi="Arial"/>
                <w:sz w:val="21"/>
                <w:szCs w:val="21"/>
                <w:color w:val="auto"/>
                <w:w w:val="97"/>
              </w:rPr>
              <w:t>20.1</w:t>
            </w:r>
          </w:p>
        </w:tc>
        <w:tc>
          <w:tcPr>
            <w:tcW w:w="440" w:type="dxa"/>
            <w:vAlign w:val="bottom"/>
          </w:tcPr>
          <w:p>
            <w:pPr>
              <w:spacing w:after="0"/>
              <w:rPr>
                <w:sz w:val="24"/>
                <w:szCs w:val="24"/>
                <w:color w:val="auto"/>
              </w:rPr>
            </w:pPr>
          </w:p>
        </w:tc>
        <w:tc>
          <w:tcPr>
            <w:tcW w:w="7280" w:type="dxa"/>
            <w:vAlign w:val="bottom"/>
          </w:tcPr>
          <w:p>
            <w:pPr>
              <w:ind w:left="380"/>
              <w:spacing w:after="0"/>
              <w:rPr>
                <w:sz w:val="20"/>
                <w:szCs w:val="20"/>
                <w:color w:val="auto"/>
              </w:rPr>
            </w:pPr>
            <w:r>
              <w:rPr>
                <w:rFonts w:ascii="Arial" w:cs="Arial" w:eastAsia="Arial" w:hAnsi="Arial"/>
                <w:sz w:val="21"/>
                <w:szCs w:val="21"/>
                <w:color w:val="auto"/>
              </w:rPr>
              <w:t>Confidential Terms</w:t>
            </w:r>
          </w:p>
        </w:tc>
        <w:tc>
          <w:tcPr>
            <w:tcW w:w="2540" w:type="dxa"/>
            <w:vAlign w:val="bottom"/>
          </w:tcPr>
          <w:p>
            <w:pPr>
              <w:jc w:val="right"/>
              <w:spacing w:after="0"/>
              <w:rPr>
                <w:sz w:val="20"/>
                <w:szCs w:val="20"/>
                <w:color w:val="auto"/>
              </w:rPr>
            </w:pPr>
            <w:r>
              <w:rPr>
                <w:rFonts w:ascii="Arial" w:cs="Arial" w:eastAsia="Arial" w:hAnsi="Arial"/>
                <w:sz w:val="21"/>
                <w:szCs w:val="21"/>
                <w:color w:val="auto"/>
              </w:rPr>
              <w:t>42</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20.2</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Governing Law</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42</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20.3</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Force Majeure</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42</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20.4</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No Implied Waivers; Rights Cumulative</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42</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20.5</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Independent Contractors</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42</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20.6</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Notices</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43</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20.7</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Assignment</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43</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20.8</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Modification</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43</w:t>
            </w:r>
          </w:p>
        </w:tc>
      </w:tr>
      <w:tr>
        <w:trPr>
          <w:trHeight w:val="240"/>
        </w:trPr>
        <w:tc>
          <w:tcPr>
            <w:tcW w:w="1160" w:type="dxa"/>
            <w:vAlign w:val="bottom"/>
          </w:tcPr>
          <w:p>
            <w:pPr>
              <w:ind w:left="740"/>
              <w:spacing w:after="0" w:line="240" w:lineRule="exact"/>
              <w:rPr>
                <w:sz w:val="20"/>
                <w:szCs w:val="20"/>
                <w:color w:val="auto"/>
              </w:rPr>
            </w:pPr>
            <w:r>
              <w:rPr>
                <w:rFonts w:ascii="Arial" w:cs="Arial" w:eastAsia="Arial" w:hAnsi="Arial"/>
                <w:sz w:val="21"/>
                <w:szCs w:val="21"/>
                <w:color w:val="auto"/>
                <w:w w:val="97"/>
              </w:rPr>
              <w:t>20.9</w:t>
            </w:r>
          </w:p>
        </w:tc>
        <w:tc>
          <w:tcPr>
            <w:tcW w:w="440" w:type="dxa"/>
            <w:vAlign w:val="bottom"/>
          </w:tcPr>
          <w:p>
            <w:pPr>
              <w:spacing w:after="0"/>
              <w:rPr>
                <w:sz w:val="20"/>
                <w:szCs w:val="20"/>
                <w:color w:val="auto"/>
              </w:rPr>
            </w:pP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Severability</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43</w:t>
            </w:r>
          </w:p>
        </w:tc>
      </w:tr>
      <w:tr>
        <w:trPr>
          <w:trHeight w:val="240"/>
        </w:trPr>
        <w:tc>
          <w:tcPr>
            <w:tcW w:w="1600" w:type="dxa"/>
            <w:vAlign w:val="bottom"/>
            <w:gridSpan w:val="2"/>
          </w:tcPr>
          <w:p>
            <w:pPr>
              <w:ind w:left="740"/>
              <w:spacing w:after="0" w:line="240" w:lineRule="exact"/>
              <w:rPr>
                <w:sz w:val="20"/>
                <w:szCs w:val="20"/>
                <w:color w:val="auto"/>
              </w:rPr>
            </w:pPr>
            <w:r>
              <w:rPr>
                <w:rFonts w:ascii="Arial" w:cs="Arial" w:eastAsia="Arial" w:hAnsi="Arial"/>
                <w:sz w:val="21"/>
                <w:szCs w:val="21"/>
                <w:color w:val="auto"/>
              </w:rPr>
              <w:t>20.10</w:t>
            </w: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Counterparts</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44</w:t>
            </w:r>
          </w:p>
        </w:tc>
      </w:tr>
      <w:tr>
        <w:trPr>
          <w:trHeight w:val="240"/>
        </w:trPr>
        <w:tc>
          <w:tcPr>
            <w:tcW w:w="1600" w:type="dxa"/>
            <w:vAlign w:val="bottom"/>
            <w:gridSpan w:val="2"/>
          </w:tcPr>
          <w:p>
            <w:pPr>
              <w:ind w:left="740"/>
              <w:spacing w:after="0" w:line="240" w:lineRule="exact"/>
              <w:rPr>
                <w:sz w:val="20"/>
                <w:szCs w:val="20"/>
                <w:color w:val="auto"/>
              </w:rPr>
            </w:pPr>
            <w:r>
              <w:rPr>
                <w:rFonts w:ascii="Arial" w:cs="Arial" w:eastAsia="Arial" w:hAnsi="Arial"/>
                <w:sz w:val="21"/>
                <w:szCs w:val="21"/>
                <w:color w:val="auto"/>
              </w:rPr>
              <w:t>20.11</w:t>
            </w: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Headings</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44</w:t>
            </w:r>
          </w:p>
        </w:tc>
      </w:tr>
      <w:tr>
        <w:trPr>
          <w:trHeight w:val="240"/>
        </w:trPr>
        <w:tc>
          <w:tcPr>
            <w:tcW w:w="1600" w:type="dxa"/>
            <w:vAlign w:val="bottom"/>
            <w:gridSpan w:val="2"/>
          </w:tcPr>
          <w:p>
            <w:pPr>
              <w:ind w:left="740"/>
              <w:spacing w:after="0" w:line="240" w:lineRule="exact"/>
              <w:rPr>
                <w:sz w:val="20"/>
                <w:szCs w:val="20"/>
                <w:color w:val="auto"/>
              </w:rPr>
            </w:pPr>
            <w:r>
              <w:rPr>
                <w:rFonts w:ascii="Arial" w:cs="Arial" w:eastAsia="Arial" w:hAnsi="Arial"/>
                <w:sz w:val="21"/>
                <w:szCs w:val="21"/>
                <w:color w:val="auto"/>
              </w:rPr>
              <w:t>20.12</w:t>
            </w: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Export Laws</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44</w:t>
            </w:r>
          </w:p>
        </w:tc>
      </w:tr>
      <w:tr>
        <w:trPr>
          <w:trHeight w:val="240"/>
        </w:trPr>
        <w:tc>
          <w:tcPr>
            <w:tcW w:w="1600" w:type="dxa"/>
            <w:vAlign w:val="bottom"/>
            <w:gridSpan w:val="2"/>
          </w:tcPr>
          <w:p>
            <w:pPr>
              <w:ind w:left="740"/>
              <w:spacing w:after="0" w:line="240" w:lineRule="exact"/>
              <w:rPr>
                <w:sz w:val="20"/>
                <w:szCs w:val="20"/>
                <w:color w:val="auto"/>
              </w:rPr>
            </w:pPr>
            <w:r>
              <w:rPr>
                <w:rFonts w:ascii="Arial" w:cs="Arial" w:eastAsia="Arial" w:hAnsi="Arial"/>
                <w:sz w:val="21"/>
                <w:szCs w:val="21"/>
                <w:color w:val="auto"/>
              </w:rPr>
              <w:t>20.13</w:t>
            </w:r>
          </w:p>
        </w:tc>
        <w:tc>
          <w:tcPr>
            <w:tcW w:w="7280" w:type="dxa"/>
            <w:vAlign w:val="bottom"/>
          </w:tcPr>
          <w:p>
            <w:pPr>
              <w:ind w:left="380"/>
              <w:spacing w:after="0" w:line="240" w:lineRule="exact"/>
              <w:rPr>
                <w:sz w:val="20"/>
                <w:szCs w:val="20"/>
                <w:color w:val="auto"/>
              </w:rPr>
            </w:pPr>
            <w:r>
              <w:rPr>
                <w:rFonts w:ascii="Arial" w:cs="Arial" w:eastAsia="Arial" w:hAnsi="Arial"/>
                <w:sz w:val="21"/>
                <w:szCs w:val="21"/>
                <w:color w:val="auto"/>
              </w:rPr>
              <w:t>Language</w:t>
            </w:r>
          </w:p>
        </w:tc>
        <w:tc>
          <w:tcPr>
            <w:tcW w:w="2540" w:type="dxa"/>
            <w:vAlign w:val="bottom"/>
          </w:tcPr>
          <w:p>
            <w:pPr>
              <w:jc w:val="right"/>
              <w:spacing w:after="0" w:line="240" w:lineRule="exact"/>
              <w:rPr>
                <w:sz w:val="20"/>
                <w:szCs w:val="20"/>
                <w:color w:val="auto"/>
              </w:rPr>
            </w:pPr>
            <w:r>
              <w:rPr>
                <w:rFonts w:ascii="Arial" w:cs="Arial" w:eastAsia="Arial" w:hAnsi="Arial"/>
                <w:sz w:val="21"/>
                <w:szCs w:val="21"/>
                <w:color w:val="auto"/>
              </w:rPr>
              <w:t>44</w:t>
            </w:r>
          </w:p>
        </w:tc>
      </w:tr>
      <w:tr>
        <w:trPr>
          <w:trHeight w:val="272"/>
        </w:trPr>
        <w:tc>
          <w:tcPr>
            <w:tcW w:w="1600" w:type="dxa"/>
            <w:vAlign w:val="bottom"/>
            <w:gridSpan w:val="2"/>
          </w:tcPr>
          <w:p>
            <w:pPr>
              <w:ind w:left="740"/>
              <w:spacing w:after="0"/>
              <w:rPr>
                <w:sz w:val="20"/>
                <w:szCs w:val="20"/>
                <w:color w:val="auto"/>
              </w:rPr>
            </w:pPr>
            <w:r>
              <w:rPr>
                <w:rFonts w:ascii="Arial" w:cs="Arial" w:eastAsia="Arial" w:hAnsi="Arial"/>
                <w:sz w:val="21"/>
                <w:szCs w:val="21"/>
                <w:color w:val="auto"/>
              </w:rPr>
              <w:t>20.14</w:t>
            </w:r>
          </w:p>
        </w:tc>
        <w:tc>
          <w:tcPr>
            <w:tcW w:w="7280" w:type="dxa"/>
            <w:vAlign w:val="bottom"/>
          </w:tcPr>
          <w:p>
            <w:pPr>
              <w:ind w:left="380"/>
              <w:spacing w:after="0"/>
              <w:rPr>
                <w:sz w:val="20"/>
                <w:szCs w:val="20"/>
                <w:color w:val="auto"/>
              </w:rPr>
            </w:pPr>
            <w:r>
              <w:rPr>
                <w:rFonts w:ascii="Arial" w:cs="Arial" w:eastAsia="Arial" w:hAnsi="Arial"/>
                <w:sz w:val="21"/>
                <w:szCs w:val="21"/>
                <w:color w:val="auto"/>
              </w:rPr>
              <w:t>Entire Agreement</w:t>
            </w:r>
          </w:p>
        </w:tc>
        <w:tc>
          <w:tcPr>
            <w:tcW w:w="2540" w:type="dxa"/>
            <w:vAlign w:val="bottom"/>
          </w:tcPr>
          <w:p>
            <w:pPr>
              <w:jc w:val="right"/>
              <w:spacing w:after="0"/>
              <w:rPr>
                <w:sz w:val="20"/>
                <w:szCs w:val="20"/>
                <w:color w:val="auto"/>
              </w:rPr>
            </w:pPr>
            <w:r>
              <w:rPr>
                <w:rFonts w:ascii="Arial" w:cs="Arial" w:eastAsia="Arial" w:hAnsi="Arial"/>
                <w:sz w:val="21"/>
                <w:szCs w:val="21"/>
                <w:color w:val="auto"/>
              </w:rPr>
              <w:t>44</w:t>
            </w:r>
          </w:p>
        </w:tc>
      </w:tr>
      <w:tr>
        <w:trPr>
          <w:trHeight w:val="310"/>
        </w:trPr>
        <w:tc>
          <w:tcPr>
            <w:tcW w:w="8880" w:type="dxa"/>
            <w:vAlign w:val="bottom"/>
            <w:gridSpan w:val="3"/>
          </w:tcPr>
          <w:p>
            <w:pPr>
              <w:spacing w:after="0"/>
              <w:rPr>
                <w:sz w:val="20"/>
                <w:szCs w:val="20"/>
                <w:color w:val="auto"/>
              </w:rPr>
            </w:pPr>
            <w:r>
              <w:rPr>
                <w:rFonts w:ascii="Arial" w:cs="Arial" w:eastAsia="Arial" w:hAnsi="Arial"/>
                <w:sz w:val="21"/>
                <w:szCs w:val="21"/>
                <w:color w:val="auto"/>
              </w:rPr>
              <w:t>EXHIBIT A LIST OF PATENTS</w:t>
            </w:r>
          </w:p>
        </w:tc>
        <w:tc>
          <w:tcPr>
            <w:tcW w:w="2540" w:type="dxa"/>
            <w:vAlign w:val="bottom"/>
          </w:tcPr>
          <w:p>
            <w:pPr>
              <w:jc w:val="right"/>
              <w:spacing w:after="0"/>
              <w:rPr>
                <w:sz w:val="20"/>
                <w:szCs w:val="20"/>
                <w:color w:val="auto"/>
              </w:rPr>
            </w:pPr>
            <w:r>
              <w:rPr>
                <w:rFonts w:ascii="Arial" w:cs="Arial" w:eastAsia="Arial" w:hAnsi="Arial"/>
                <w:sz w:val="21"/>
                <w:szCs w:val="21"/>
                <w:color w:val="auto"/>
              </w:rPr>
              <w:t>46</w:t>
            </w:r>
          </w:p>
        </w:tc>
      </w:tr>
      <w:tr>
        <w:trPr>
          <w:trHeight w:val="20"/>
        </w:trPr>
        <w:tc>
          <w:tcPr>
            <w:tcW w:w="1160" w:type="dxa"/>
            <w:vAlign w:val="bottom"/>
            <w:shd w:val="clear" w:color="auto" w:fill="000000"/>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40"/>
        </w:trPr>
        <w:tc>
          <w:tcPr>
            <w:tcW w:w="8880" w:type="dxa"/>
            <w:vAlign w:val="bottom"/>
            <w:gridSpan w:val="3"/>
          </w:tcPr>
          <w:p>
            <w:pPr>
              <w:spacing w:after="0"/>
              <w:rPr>
                <w:sz w:val="20"/>
                <w:szCs w:val="20"/>
                <w:color w:val="auto"/>
              </w:rPr>
            </w:pPr>
            <w:r>
              <w:rPr>
                <w:rFonts w:ascii="Arial" w:cs="Arial" w:eastAsia="Arial" w:hAnsi="Arial"/>
                <w:sz w:val="21"/>
                <w:szCs w:val="21"/>
                <w:color w:val="auto"/>
              </w:rPr>
              <w:t>EXHIBIT B INDICATIONS</w:t>
            </w:r>
          </w:p>
        </w:tc>
        <w:tc>
          <w:tcPr>
            <w:tcW w:w="2540" w:type="dxa"/>
            <w:vAlign w:val="bottom"/>
          </w:tcPr>
          <w:p>
            <w:pPr>
              <w:jc w:val="right"/>
              <w:spacing w:after="0"/>
              <w:rPr>
                <w:sz w:val="20"/>
                <w:szCs w:val="20"/>
                <w:color w:val="auto"/>
              </w:rPr>
            </w:pPr>
            <w:r>
              <w:rPr>
                <w:rFonts w:ascii="Arial" w:cs="Arial" w:eastAsia="Arial" w:hAnsi="Arial"/>
                <w:sz w:val="21"/>
                <w:szCs w:val="21"/>
                <w:color w:val="auto"/>
              </w:rPr>
              <w:t>47</w:t>
            </w:r>
          </w:p>
        </w:tc>
      </w:tr>
      <w:tr>
        <w:trPr>
          <w:trHeight w:val="20"/>
        </w:trPr>
        <w:tc>
          <w:tcPr>
            <w:tcW w:w="1160" w:type="dxa"/>
            <w:vAlign w:val="bottom"/>
            <w:shd w:val="clear" w:color="auto" w:fill="000000"/>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340"/>
        </w:trPr>
        <w:tc>
          <w:tcPr>
            <w:tcW w:w="8880" w:type="dxa"/>
            <w:vAlign w:val="bottom"/>
            <w:gridSpan w:val="3"/>
          </w:tcPr>
          <w:p>
            <w:pPr>
              <w:spacing w:after="0"/>
              <w:rPr>
                <w:sz w:val="20"/>
                <w:szCs w:val="20"/>
                <w:color w:val="auto"/>
              </w:rPr>
            </w:pPr>
            <w:r>
              <w:rPr>
                <w:rFonts w:ascii="Arial" w:cs="Arial" w:eastAsia="Arial" w:hAnsi="Arial"/>
                <w:sz w:val="21"/>
                <w:szCs w:val="21"/>
                <w:color w:val="auto"/>
              </w:rPr>
              <w:t>EXHIBIT C INITIAL DEVELOPMENT PLAN</w:t>
            </w:r>
          </w:p>
        </w:tc>
        <w:tc>
          <w:tcPr>
            <w:tcW w:w="2540" w:type="dxa"/>
            <w:vAlign w:val="bottom"/>
          </w:tcPr>
          <w:p>
            <w:pPr>
              <w:jc w:val="right"/>
              <w:spacing w:after="0"/>
              <w:rPr>
                <w:sz w:val="20"/>
                <w:szCs w:val="20"/>
                <w:color w:val="auto"/>
              </w:rPr>
            </w:pPr>
            <w:r>
              <w:rPr>
                <w:rFonts w:ascii="Arial" w:cs="Arial" w:eastAsia="Arial" w:hAnsi="Arial"/>
                <w:sz w:val="21"/>
                <w:szCs w:val="21"/>
                <w:color w:val="auto"/>
              </w:rPr>
              <w:t>48</w:t>
            </w:r>
          </w:p>
        </w:tc>
      </w:tr>
      <w:tr>
        <w:trPr>
          <w:trHeight w:val="20"/>
        </w:trPr>
        <w:tc>
          <w:tcPr>
            <w:tcW w:w="11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w:t>
      </w:r>
    </w:p>
    <w:p>
      <w:pPr>
        <w:spacing w:after="0" w:line="22" w:lineRule="exact"/>
        <w:rPr>
          <w:sz w:val="20"/>
          <w:szCs w:val="20"/>
          <w:color w:val="auto"/>
        </w:rPr>
      </w:pPr>
    </w:p>
    <w:p>
      <w:pPr>
        <w:ind w:firstLine="7"/>
        <w:spacing w:after="0" w:line="251" w:lineRule="auto"/>
        <w:tabs>
          <w:tab w:leader="none" w:pos="25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50165</wp:posOffset>
            </wp:positionV>
            <wp:extent cx="729043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59" w:name="page160"/>
    <w:bookmarkEnd w:id="159"/>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COLLABORATION AGREEMENT</w:t>
      </w:r>
    </w:p>
    <w:p>
      <w:pPr>
        <w:spacing w:after="0" w:line="218"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This COLLABORATION AGREEMENT (“Agreement”), effective as of June 1, 2005 (the “Effective Date”), is made by and between FibroGen, Inc., a Delaware corporation having offices at 225 Gateway Boulevard, South San Francisco, California 94080 (“FG” or “FibroGen”), and Astellas Pharma Inc., a Japanese corporation having offices at 3-11 Nihonbashi-Honcho, 2-Chome, Chuo-ku, Tokyo, 103-8411 Japan (“Astellas”).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BACKGROUND</w:t>
      </w:r>
    </w:p>
    <w:p>
      <w:pPr>
        <w:spacing w:after="0" w:line="218" w:lineRule="exact"/>
        <w:rPr>
          <w:sz w:val="20"/>
          <w:szCs w:val="20"/>
          <w:color w:val="auto"/>
        </w:rPr>
      </w:pPr>
    </w:p>
    <w:p>
      <w:pPr>
        <w:ind w:firstLine="884"/>
        <w:spacing w:after="0" w:line="269" w:lineRule="auto"/>
        <w:tabs>
          <w:tab w:leader="none" w:pos="1726" w:val="left"/>
        </w:tabs>
        <w:numPr>
          <w:ilvl w:val="0"/>
          <w:numId w:val="74"/>
        </w:numPr>
        <w:rPr>
          <w:rFonts w:ascii="Arial" w:cs="Arial" w:eastAsia="Arial" w:hAnsi="Arial"/>
          <w:sz w:val="21"/>
          <w:szCs w:val="21"/>
          <w:color w:val="auto"/>
        </w:rPr>
      </w:pPr>
      <w:r>
        <w:rPr>
          <w:rFonts w:ascii="Arial" w:cs="Arial" w:eastAsia="Arial" w:hAnsi="Arial"/>
          <w:sz w:val="21"/>
          <w:szCs w:val="21"/>
          <w:color w:val="auto"/>
        </w:rPr>
        <w:t>FG has a research and development program focused on the development of small molecule prolyl hydroxylase inhibitors which stabilize hypoxia inducible factor (“HIF”), for the treatment of anemia.</w:t>
      </w:r>
    </w:p>
    <w:p>
      <w:pPr>
        <w:spacing w:after="0" w:line="152" w:lineRule="exact"/>
        <w:rPr>
          <w:rFonts w:ascii="Arial" w:cs="Arial" w:eastAsia="Arial" w:hAnsi="Arial"/>
          <w:sz w:val="21"/>
          <w:szCs w:val="21"/>
          <w:color w:val="auto"/>
        </w:rPr>
      </w:pPr>
    </w:p>
    <w:p>
      <w:pPr>
        <w:jc w:val="both"/>
        <w:ind w:firstLine="884"/>
        <w:spacing w:after="0" w:line="254" w:lineRule="auto"/>
        <w:tabs>
          <w:tab w:leader="none" w:pos="1714" w:val="left"/>
        </w:tabs>
        <w:numPr>
          <w:ilvl w:val="0"/>
          <w:numId w:val="74"/>
        </w:numPr>
        <w:rPr>
          <w:rFonts w:ascii="Arial" w:cs="Arial" w:eastAsia="Arial" w:hAnsi="Arial"/>
          <w:sz w:val="21"/>
          <w:szCs w:val="21"/>
          <w:color w:val="auto"/>
        </w:rPr>
      </w:pPr>
      <w:r>
        <w:rPr>
          <w:rFonts w:ascii="Arial" w:cs="Arial" w:eastAsia="Arial" w:hAnsi="Arial"/>
          <w:sz w:val="21"/>
          <w:szCs w:val="21"/>
          <w:color w:val="auto"/>
        </w:rPr>
        <w:t>Astellas desires to collaborate with FG on the development and commercialization of, and license the rights to use as therapeutics, certain small molecule prolyl hydroxylase inhibitors on the terms and conditions set forth below for use in the Astellas Territory (as defined below).</w:t>
      </w:r>
    </w:p>
    <w:p>
      <w:pPr>
        <w:spacing w:after="0" w:line="16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NOW THEREFORE, for and in consideration of the covenants, conditions, and undertakings hereinafter set forth, it is agreed by and between the parties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94"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u w:val="single" w:color="auto"/>
          <w:color w:val="auto"/>
        </w:rPr>
        <w:t xml:space="preserve">“Actions” </w:t>
      </w:r>
      <w:r>
        <w:rPr>
          <w:rFonts w:ascii="Arial" w:cs="Arial" w:eastAsia="Arial" w:hAnsi="Arial"/>
          <w:sz w:val="19"/>
          <w:szCs w:val="19"/>
          <w:color w:val="auto"/>
        </w:rPr>
        <w:t>shall have the meaning as set forth in Section 14.3 below.</w:t>
      </w:r>
    </w:p>
    <w:p>
      <w:pPr>
        <w:spacing w:after="0" w:line="21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“Affiliate”</w:t>
      </w:r>
      <w:r>
        <w:rPr>
          <w:rFonts w:ascii="Arial" w:cs="Arial" w:eastAsia="Arial" w:hAnsi="Arial"/>
          <w:sz w:val="21"/>
          <w:szCs w:val="21"/>
          <w:color w:val="auto"/>
        </w:rPr>
        <w:t xml:space="preserve"> shall mean any entity which controls, is controlled by or is under common control with Astellas or FG. For purposes of this definition only, “control” shall mean beneficial ownership (direct or indirect) of at least fifty percent (50%) of the shares of the subject entity entitled to vote in the election of directors (or, in the case of an entity that is not a corporation, for the election of the corresponding managing authority).</w:t>
      </w:r>
    </w:p>
    <w:p>
      <w:pPr>
        <w:spacing w:after="0" w:line="17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u w:val="single" w:color="auto"/>
          <w:color w:val="auto"/>
        </w:rPr>
        <w:t xml:space="preserve">“Astellas Indemnitees” </w:t>
      </w:r>
      <w:r>
        <w:rPr>
          <w:rFonts w:ascii="Arial" w:cs="Arial" w:eastAsia="Arial" w:hAnsi="Arial"/>
          <w:sz w:val="19"/>
          <w:szCs w:val="19"/>
          <w:color w:val="auto"/>
        </w:rPr>
        <w:t>shall have the meaning as set forth in Section 17.3 below.</w:t>
      </w:r>
    </w:p>
    <w:p>
      <w:pPr>
        <w:spacing w:after="0" w:line="212"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u w:val="single" w:color="auto"/>
          <w:color w:val="auto"/>
        </w:rPr>
        <w:t xml:space="preserve">“Astellas Territory” </w:t>
      </w:r>
      <w:r>
        <w:rPr>
          <w:rFonts w:ascii="Arial" w:cs="Arial" w:eastAsia="Arial" w:hAnsi="Arial"/>
          <w:sz w:val="19"/>
          <w:szCs w:val="19"/>
          <w:color w:val="auto"/>
        </w:rPr>
        <w:t>shall mean the country of Japan.</w:t>
      </w:r>
    </w:p>
    <w:p>
      <w:pPr>
        <w:spacing w:after="0" w:line="21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1.5 </w:t>
      </w:r>
      <w:r>
        <w:rPr>
          <w:rFonts w:ascii="Arial" w:cs="Arial" w:eastAsia="Arial" w:hAnsi="Arial"/>
          <w:sz w:val="21"/>
          <w:szCs w:val="21"/>
          <w:u w:val="single" w:color="auto"/>
          <w:color w:val="auto"/>
        </w:rPr>
        <w:t>“Authorized Designee”</w:t>
      </w:r>
      <w:r>
        <w:rPr>
          <w:rFonts w:ascii="Arial" w:cs="Arial" w:eastAsia="Arial" w:hAnsi="Arial"/>
          <w:sz w:val="21"/>
          <w:szCs w:val="21"/>
          <w:color w:val="auto"/>
        </w:rPr>
        <w:t xml:space="preserve"> shall mean an officer of FG or Astellas, as the case may be, designated by the Chief Executive Officer of the respective corporation, that has been granted full authority to resolve a dispute arising between FG and Astellas as required under Section 2.4 or Section 19.1 hereof.</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15" w:lineRule="exact"/>
        <w:rPr>
          <w:sz w:val="20"/>
          <w:szCs w:val="20"/>
          <w:color w:val="auto"/>
        </w:rPr>
      </w:pPr>
    </w:p>
    <w:p>
      <w:pPr>
        <w:ind w:firstLine="7"/>
        <w:spacing w:after="0" w:line="275" w:lineRule="auto"/>
        <w:tabs>
          <w:tab w:leader="none" w:pos="25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0" w:name="page161"/>
    <w:bookmarkEnd w:id="160"/>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1.6 </w:t>
      </w:r>
      <w:r>
        <w:rPr>
          <w:rFonts w:ascii="Arial" w:cs="Arial" w:eastAsia="Arial" w:hAnsi="Arial"/>
          <w:sz w:val="21"/>
          <w:szCs w:val="21"/>
          <w:u w:val="single" w:color="auto"/>
          <w:color w:val="auto"/>
        </w:rPr>
        <w:t>“Bridging Strategy”</w:t>
      </w:r>
      <w:r>
        <w:rPr>
          <w:rFonts w:ascii="Arial" w:cs="Arial" w:eastAsia="Arial" w:hAnsi="Arial"/>
          <w:sz w:val="21"/>
          <w:szCs w:val="21"/>
          <w:color w:val="auto"/>
        </w:rPr>
        <w:t xml:space="preserve"> shall mean the decision by Astellas to file an MAA in the Astellas Territory by submitting the data from the Phase III clinical trial of FG or its Affiliate or Sublicensee.</w:t>
      </w:r>
    </w:p>
    <w:p>
      <w:pPr>
        <w:spacing w:after="0" w:line="153"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1.7 </w:t>
      </w:r>
      <w:r>
        <w:rPr>
          <w:rFonts w:ascii="Arial" w:cs="Arial" w:eastAsia="Arial" w:hAnsi="Arial"/>
          <w:sz w:val="21"/>
          <w:szCs w:val="21"/>
          <w:u w:val="single" w:color="auto"/>
          <w:color w:val="auto"/>
        </w:rPr>
        <w:t>“Bulk Product”</w:t>
      </w:r>
      <w:r>
        <w:rPr>
          <w:rFonts w:ascii="Arial" w:cs="Arial" w:eastAsia="Arial" w:hAnsi="Arial"/>
          <w:sz w:val="21"/>
          <w:szCs w:val="21"/>
          <w:color w:val="auto"/>
        </w:rPr>
        <w:t xml:space="preserve"> shall mean a Lead Compound supplied by FG to Astellas as a bulk formulated drug (such as in a form, including, but not limited, to a capsule, tablet or caplet formulation) without packaging.</w:t>
      </w:r>
    </w:p>
    <w:p>
      <w:pPr>
        <w:spacing w:after="0" w:line="153" w:lineRule="exact"/>
        <w:rPr>
          <w:sz w:val="20"/>
          <w:szCs w:val="20"/>
          <w:color w:val="auto"/>
        </w:rPr>
      </w:pPr>
    </w:p>
    <w:p>
      <w:pPr>
        <w:ind w:left="880"/>
        <w:spacing w:after="0"/>
        <w:tabs>
          <w:tab w:leader="none" w:pos="178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u w:val="single" w:color="auto"/>
          <w:color w:val="auto"/>
        </w:rPr>
        <w:t xml:space="preserve">“Commercialize” </w:t>
      </w:r>
      <w:r>
        <w:rPr>
          <w:rFonts w:ascii="Arial" w:cs="Arial" w:eastAsia="Arial" w:hAnsi="Arial"/>
          <w:sz w:val="19"/>
          <w:szCs w:val="19"/>
          <w:color w:val="auto"/>
        </w:rPr>
        <w:t>shall mean directly or indirectly develop, manufacture, sell, market or distribute.</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1.9 </w:t>
      </w:r>
      <w:r>
        <w:rPr>
          <w:rFonts w:ascii="Arial" w:cs="Arial" w:eastAsia="Arial" w:hAnsi="Arial"/>
          <w:sz w:val="21"/>
          <w:szCs w:val="21"/>
          <w:u w:val="single" w:color="auto"/>
          <w:color w:val="auto"/>
        </w:rPr>
        <w:t>“Completion”</w:t>
      </w:r>
      <w:r>
        <w:rPr>
          <w:rFonts w:ascii="Arial" w:cs="Arial" w:eastAsia="Arial" w:hAnsi="Arial"/>
          <w:sz w:val="21"/>
          <w:szCs w:val="21"/>
          <w:color w:val="auto"/>
        </w:rPr>
        <w:t xml:space="preserve"> shall be deemed to occur, with respect to a particular clinical trial for a Lead Compound, upon clinical database lock for such trial.</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u w:val="single" w:color="auto"/>
          <w:color w:val="auto"/>
        </w:rPr>
        <w:t xml:space="preserve">“Confidential Information” </w:t>
      </w:r>
      <w:r>
        <w:rPr>
          <w:rFonts w:ascii="Arial" w:cs="Arial" w:eastAsia="Arial" w:hAnsi="Arial"/>
          <w:sz w:val="19"/>
          <w:szCs w:val="19"/>
          <w:color w:val="auto"/>
        </w:rPr>
        <w:t>shall have the meaning as set forth in Section 16.1 below.</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“Control” or “Controlled”</w:t>
      </w:r>
      <w:r>
        <w:rPr>
          <w:rFonts w:ascii="Arial" w:cs="Arial" w:eastAsia="Arial" w:hAnsi="Arial"/>
          <w:sz w:val="21"/>
          <w:szCs w:val="21"/>
          <w:color w:val="auto"/>
        </w:rPr>
        <w:t xml:space="preserve"> shall mean possession of the ability to grant a license or sublicense as provided for herein without violating the terms of an agreement with a third party.</w:t>
      </w:r>
    </w:p>
    <w:p>
      <w:pPr>
        <w:spacing w:after="0" w:line="133" w:lineRule="exact"/>
        <w:rPr>
          <w:sz w:val="20"/>
          <w:szCs w:val="20"/>
          <w:color w:val="auto"/>
        </w:rPr>
      </w:pPr>
    </w:p>
    <w:tbl>
      <w:tblPr>
        <w:tblLayout w:type="fixed"/>
        <w:tblInd w:w="880" w:type="dxa"/>
        <w:tblCellMar>
          <w:top w:w="0" w:type="dxa"/>
          <w:left w:w="0" w:type="dxa"/>
          <w:bottom w:w="0" w:type="dxa"/>
          <w:right w:w="0" w:type="dxa"/>
        </w:tblCellMar>
      </w:tblPr>
      <w:tr>
        <w:trPr>
          <w:trHeight w:val="241"/>
        </w:trPr>
        <w:tc>
          <w:tcPr>
            <w:tcW w:w="1080" w:type="dxa"/>
            <w:vAlign w:val="bottom"/>
          </w:tcPr>
          <w:p>
            <w:pPr>
              <w:jc w:val="right"/>
              <w:ind w:right="593"/>
              <w:spacing w:after="0"/>
              <w:rPr>
                <w:sz w:val="20"/>
                <w:szCs w:val="20"/>
                <w:color w:val="auto"/>
              </w:rPr>
            </w:pPr>
            <w:r>
              <w:rPr>
                <w:rFonts w:ascii="Arial" w:cs="Arial" w:eastAsia="Arial" w:hAnsi="Arial"/>
                <w:sz w:val="21"/>
                <w:szCs w:val="21"/>
                <w:color w:val="auto"/>
                <w:w w:val="87"/>
              </w:rPr>
              <w:t>1.12</w:t>
            </w:r>
          </w:p>
        </w:tc>
        <w:tc>
          <w:tcPr>
            <w:tcW w:w="9460" w:type="dxa"/>
            <w:vAlign w:val="bottom"/>
            <w:gridSpan w:val="4"/>
          </w:tcPr>
          <w:p>
            <w:pPr>
              <w:spacing w:after="0"/>
              <w:rPr>
                <w:sz w:val="20"/>
                <w:szCs w:val="20"/>
                <w:color w:val="auto"/>
              </w:rPr>
            </w:pPr>
            <w:r>
              <w:rPr>
                <w:rFonts w:ascii="Arial" w:cs="Arial" w:eastAsia="Arial" w:hAnsi="Arial"/>
                <w:sz w:val="21"/>
                <w:szCs w:val="21"/>
                <w:color w:val="auto"/>
              </w:rPr>
              <w:t>“Controlling Party” shall have the meaning as set forth in Section 14.3 below.</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434"/>
        </w:trPr>
        <w:tc>
          <w:tcPr>
            <w:tcW w:w="1080" w:type="dxa"/>
            <w:vAlign w:val="bottom"/>
          </w:tcPr>
          <w:p>
            <w:pPr>
              <w:jc w:val="right"/>
              <w:ind w:right="593"/>
              <w:spacing w:after="0"/>
              <w:rPr>
                <w:sz w:val="20"/>
                <w:szCs w:val="20"/>
                <w:color w:val="auto"/>
              </w:rPr>
            </w:pPr>
            <w:r>
              <w:rPr>
                <w:rFonts w:ascii="Arial" w:cs="Arial" w:eastAsia="Arial" w:hAnsi="Arial"/>
                <w:sz w:val="21"/>
                <w:szCs w:val="21"/>
                <w:color w:val="auto"/>
                <w:w w:val="87"/>
              </w:rPr>
              <w:t>1.13</w:t>
            </w:r>
          </w:p>
        </w:tc>
        <w:tc>
          <w:tcPr>
            <w:tcW w:w="9460" w:type="dxa"/>
            <w:vAlign w:val="bottom"/>
            <w:gridSpan w:val="4"/>
          </w:tcPr>
          <w:p>
            <w:pPr>
              <w:spacing w:after="0"/>
              <w:rPr>
                <w:sz w:val="20"/>
                <w:szCs w:val="20"/>
                <w:color w:val="auto"/>
              </w:rPr>
            </w:pPr>
            <w:r>
              <w:rPr>
                <w:rFonts w:ascii="Arial" w:cs="Arial" w:eastAsia="Arial" w:hAnsi="Arial"/>
                <w:sz w:val="21"/>
                <w:szCs w:val="21"/>
                <w:color w:val="auto"/>
              </w:rPr>
              <w:t>“Data” shall have the meaning as set forth in Section 7.1 below.</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434"/>
        </w:trPr>
        <w:tc>
          <w:tcPr>
            <w:tcW w:w="1080" w:type="dxa"/>
            <w:vAlign w:val="bottom"/>
          </w:tcPr>
          <w:p>
            <w:pPr>
              <w:jc w:val="right"/>
              <w:ind w:right="593"/>
              <w:spacing w:after="0"/>
              <w:rPr>
                <w:sz w:val="20"/>
                <w:szCs w:val="20"/>
                <w:color w:val="auto"/>
              </w:rPr>
            </w:pPr>
            <w:r>
              <w:rPr>
                <w:rFonts w:ascii="Arial" w:cs="Arial" w:eastAsia="Arial" w:hAnsi="Arial"/>
                <w:sz w:val="21"/>
                <w:szCs w:val="21"/>
                <w:color w:val="auto"/>
                <w:w w:val="87"/>
              </w:rPr>
              <w:t>1.14</w:t>
            </w:r>
          </w:p>
        </w:tc>
        <w:tc>
          <w:tcPr>
            <w:tcW w:w="9460" w:type="dxa"/>
            <w:vAlign w:val="bottom"/>
            <w:gridSpan w:val="4"/>
          </w:tcPr>
          <w:p>
            <w:pPr>
              <w:spacing w:after="0"/>
              <w:rPr>
                <w:sz w:val="20"/>
                <w:szCs w:val="20"/>
                <w:color w:val="auto"/>
              </w:rPr>
            </w:pPr>
            <w:r>
              <w:rPr>
                <w:rFonts w:ascii="Arial" w:cs="Arial" w:eastAsia="Arial" w:hAnsi="Arial"/>
                <w:sz w:val="21"/>
                <w:szCs w:val="21"/>
                <w:color w:val="auto"/>
                <w:w w:val="97"/>
              </w:rPr>
              <w:t>“Delivery” or “Delivered” shall mean when Lead Compound is made available by FG to Astellas at the Ex</w:t>
            </w:r>
          </w:p>
        </w:tc>
      </w:tr>
      <w:tr>
        <w:trPr>
          <w:trHeight w:val="20"/>
        </w:trPr>
        <w:tc>
          <w:tcPr>
            <w:tcW w:w="10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rPr>
        <w:t>Works location.</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1.15 </w:t>
      </w:r>
      <w:r>
        <w:rPr>
          <w:rFonts w:ascii="Arial" w:cs="Arial" w:eastAsia="Arial" w:hAnsi="Arial"/>
          <w:sz w:val="21"/>
          <w:szCs w:val="21"/>
          <w:u w:val="single" w:color="auto"/>
          <w:color w:val="auto"/>
        </w:rPr>
        <w:t>“Development Plan”</w:t>
      </w:r>
      <w:r>
        <w:rPr>
          <w:rFonts w:ascii="Arial" w:cs="Arial" w:eastAsia="Arial" w:hAnsi="Arial"/>
          <w:sz w:val="21"/>
          <w:szCs w:val="21"/>
          <w:color w:val="auto"/>
        </w:rPr>
        <w:t xml:space="preserve"> shall mean the plan for the Development Program in effect from time to time, as established in accordance with Article 3 below.</w:t>
      </w:r>
    </w:p>
    <w:p>
      <w:pPr>
        <w:spacing w:after="0" w:line="15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“Development Program”</w:t>
      </w:r>
      <w:r>
        <w:rPr>
          <w:rFonts w:ascii="Arial" w:cs="Arial" w:eastAsia="Arial" w:hAnsi="Arial"/>
          <w:sz w:val="21"/>
          <w:szCs w:val="21"/>
          <w:color w:val="auto"/>
        </w:rPr>
        <w:t xml:space="preserve"> shall mean all Astellas activities with respect to the development and commercialization of Lead Compounds for applications within the Field in the Astellas Territory, in accordance with the Development Plan in effect at that time.</w:t>
      </w:r>
    </w:p>
    <w:p>
      <w:pPr>
        <w:spacing w:after="0" w:line="16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19"/>
          <w:szCs w:val="19"/>
          <w:u w:val="single" w:color="auto"/>
          <w:color w:val="auto"/>
        </w:rPr>
        <w:t xml:space="preserve">“Enforcement Action” </w:t>
      </w:r>
      <w:r>
        <w:rPr>
          <w:rFonts w:ascii="Arial" w:cs="Arial" w:eastAsia="Arial" w:hAnsi="Arial"/>
          <w:sz w:val="19"/>
          <w:szCs w:val="19"/>
          <w:color w:val="auto"/>
        </w:rPr>
        <w:t>shall have the meaning as set forth in Section 14.4 below.</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1.18</w:t>
      </w:r>
      <w:r>
        <w:rPr>
          <w:sz w:val="20"/>
          <w:szCs w:val="20"/>
          <w:color w:val="auto"/>
        </w:rPr>
        <w:tab/>
      </w:r>
      <w:r>
        <w:rPr>
          <w:rFonts w:ascii="Arial" w:cs="Arial" w:eastAsia="Arial" w:hAnsi="Arial"/>
          <w:sz w:val="19"/>
          <w:szCs w:val="19"/>
          <w:u w:val="single" w:color="auto"/>
          <w:color w:val="auto"/>
        </w:rPr>
        <w:t xml:space="preserve">“Event” </w:t>
      </w:r>
      <w:r>
        <w:rPr>
          <w:rFonts w:ascii="Arial" w:cs="Arial" w:eastAsia="Arial" w:hAnsi="Arial"/>
          <w:sz w:val="19"/>
          <w:szCs w:val="19"/>
          <w:color w:val="auto"/>
        </w:rPr>
        <w:t>shall have the meaning as set forth in Article 6 below.</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1.19 </w:t>
      </w:r>
      <w:r>
        <w:rPr>
          <w:rFonts w:ascii="Arial" w:cs="Arial" w:eastAsia="Arial" w:hAnsi="Arial"/>
          <w:sz w:val="21"/>
          <w:szCs w:val="21"/>
          <w:u w:val="single" w:color="auto"/>
          <w:color w:val="auto"/>
        </w:rPr>
        <w:t>“Expanded Field”</w:t>
      </w:r>
      <w:r>
        <w:rPr>
          <w:rFonts w:ascii="Arial" w:cs="Arial" w:eastAsia="Arial" w:hAnsi="Arial"/>
          <w:sz w:val="21"/>
          <w:szCs w:val="21"/>
          <w:color w:val="auto"/>
        </w:rPr>
        <w:t xml:space="preserve"> shall mean the treatment of any indications in which therapeutic utility is derived from [*], including, without limitation, [*]. The Expanded Field shall not include the Field.</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19"/>
          <w:szCs w:val="19"/>
          <w:u w:val="single" w:color="auto"/>
          <w:color w:val="auto"/>
        </w:rPr>
        <w:t xml:space="preserve">“Expenses” </w:t>
      </w:r>
      <w:r>
        <w:rPr>
          <w:rFonts w:ascii="Arial" w:cs="Arial" w:eastAsia="Arial" w:hAnsi="Arial"/>
          <w:sz w:val="19"/>
          <w:szCs w:val="19"/>
          <w:color w:val="auto"/>
        </w:rPr>
        <w:t>shall have the meaning as set forth in Section 14.3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15" w:lineRule="exact"/>
        <w:rPr>
          <w:sz w:val="20"/>
          <w:szCs w:val="20"/>
          <w:color w:val="auto"/>
        </w:rPr>
      </w:pPr>
    </w:p>
    <w:p>
      <w:pPr>
        <w:ind w:firstLine="7"/>
        <w:spacing w:after="0" w:line="275" w:lineRule="auto"/>
        <w:tabs>
          <w:tab w:leader="none" w:pos="258"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1" w:name="page162"/>
    <w:bookmarkEnd w:id="161"/>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9"/>
          <w:szCs w:val="19"/>
          <w:u w:val="single" w:color="auto"/>
          <w:color w:val="auto"/>
        </w:rPr>
        <w:t xml:space="preserve">“FDA” </w:t>
      </w:r>
      <w:r>
        <w:rPr>
          <w:rFonts w:ascii="Arial" w:cs="Arial" w:eastAsia="Arial" w:hAnsi="Arial"/>
          <w:sz w:val="19"/>
          <w:szCs w:val="19"/>
          <w:color w:val="auto"/>
        </w:rPr>
        <w:t>shall mean the U.S. Food and Drug Administration, or any successor agency.</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9"/>
          <w:szCs w:val="19"/>
          <w:u w:val="single" w:color="auto"/>
          <w:color w:val="auto"/>
        </w:rPr>
        <w:t xml:space="preserve">“FG Acquired Patents” </w:t>
      </w:r>
      <w:r>
        <w:rPr>
          <w:rFonts w:ascii="Arial" w:cs="Arial" w:eastAsia="Arial" w:hAnsi="Arial"/>
          <w:sz w:val="19"/>
          <w:szCs w:val="19"/>
          <w:color w:val="auto"/>
        </w:rPr>
        <w:t>shall mean those FG Patents that are in-licensed or otherwise acquired by FG.</w:t>
      </w:r>
    </w:p>
    <w:p>
      <w:pPr>
        <w:spacing w:after="0" w:line="21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“FG Development Program”</w:t>
      </w:r>
      <w:r>
        <w:rPr>
          <w:rFonts w:ascii="Arial" w:cs="Arial" w:eastAsia="Arial" w:hAnsi="Arial"/>
          <w:sz w:val="21"/>
          <w:szCs w:val="21"/>
          <w:color w:val="auto"/>
        </w:rPr>
        <w:t xml:space="preserve"> shall mean those activities by or on behalf of FG directly related to the development and commercialization of Lead Compounds for applications within the Field in the FG Territory that are directly useful or necessary for Commercialization in the Astellas Territory.</w:t>
      </w:r>
    </w:p>
    <w:p>
      <w:pPr>
        <w:spacing w:after="0" w:line="16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u w:val="single" w:color="auto"/>
          <w:color w:val="auto"/>
        </w:rPr>
        <w:t xml:space="preserve">“FG Indemnitees” </w:t>
      </w:r>
      <w:r>
        <w:rPr>
          <w:rFonts w:ascii="Arial" w:cs="Arial" w:eastAsia="Arial" w:hAnsi="Arial"/>
          <w:sz w:val="19"/>
          <w:szCs w:val="19"/>
          <w:color w:val="auto"/>
        </w:rPr>
        <w:t>shall have the meaning as set forth in Section 17.2 below.</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9"/>
          <w:szCs w:val="19"/>
          <w:u w:val="single" w:color="auto"/>
          <w:color w:val="auto"/>
        </w:rPr>
        <w:t xml:space="preserve">“FG Technology” </w:t>
      </w:r>
      <w:r>
        <w:rPr>
          <w:rFonts w:ascii="Arial" w:cs="Arial" w:eastAsia="Arial" w:hAnsi="Arial"/>
          <w:sz w:val="19"/>
          <w:szCs w:val="19"/>
          <w:color w:val="auto"/>
        </w:rPr>
        <w:t>shall mean FG Patents and FG Technical Information.</w:t>
      </w:r>
    </w:p>
    <w:p>
      <w:pPr>
        <w:spacing w:after="0" w:line="21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“FG Patents”</w:t>
      </w:r>
      <w:r>
        <w:rPr>
          <w:rFonts w:ascii="Arial" w:cs="Arial" w:eastAsia="Arial" w:hAnsi="Arial"/>
          <w:sz w:val="20"/>
          <w:szCs w:val="20"/>
          <w:color w:val="auto"/>
        </w:rPr>
        <w:t xml:space="preserve"> shall mean all patents including all reissues, renewals, re-examinations and extensions thereof, and any patent applications therefor, including all divisionals or continuations, in whole or in part, thereof, which claim or otherwise cover the composition, manufacture, sale or use of a Lead Compound and that are Controlled by FG or its Affiliates during the term of this Agreement, subject to Section 14.5.1. For purposes of this definition, a patent or patent application shall be deemed to “cover” a Lead Compound if the manufacture, use or sale of such Lead Compound would, but for the license granted herein, infringe, contributorily infringe or constitute inducement to infringement of such patent or patent application, if issued or granted as pending. All patents and patent applications listed on Exhibit A, as revised from time to time to remove patents and/or patent applications by mutual agreement or to add patents and/or patent applications by FG, shall be within the scope of definition of the FG Patents, provided, however, that in the event FG designates any additional Lead Compounds, FG shall add to the list on Exhibit A patents and patent applications which claim or otherwise cover the composition, or manufacture, sale or use of the additional Lead Compounds within the Field and the Astellas Territory, and upon the cessation of the designation as any compound as Lead Compound and Astellas’ cessation of development of such Lead Compound, FG shall remove at its sole discretion the related patent or patent application from Exhibit A.</w:t>
      </w:r>
    </w:p>
    <w:p>
      <w:pPr>
        <w:spacing w:after="0" w:line="173"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1.27 </w:t>
      </w:r>
      <w:r>
        <w:rPr>
          <w:rFonts w:ascii="Arial" w:cs="Arial" w:eastAsia="Arial" w:hAnsi="Arial"/>
          <w:sz w:val="21"/>
          <w:szCs w:val="21"/>
          <w:u w:val="single" w:color="auto"/>
          <w:color w:val="auto"/>
        </w:rPr>
        <w:t>“FG Technical Information”</w:t>
      </w:r>
      <w:r>
        <w:rPr>
          <w:rFonts w:ascii="Arial" w:cs="Arial" w:eastAsia="Arial" w:hAnsi="Arial"/>
          <w:sz w:val="21"/>
          <w:szCs w:val="21"/>
          <w:color w:val="auto"/>
        </w:rPr>
        <w:t xml:space="preserve"> shall mean confidential information, tangible and intangible, and materials, including, but not limited to: trade secrets and know how, pharmaceutical, chemical, biological and biochemical compositions; and technical and non-technical data and information, and/or the results of tests, assays, methods and processes; and plans, specifications and/or other documents containing said information and data; in each case that is possessed by FG as of the Effective Date or discovered, developed or Controlled by FG or its Affiliates during the term of this Agreement, to the extent such relates to the development, manufacture, sale or use of a Lead Compound subject to Section 14.5.1, and such information related to a candidate for use as a Lead Compound provided by FG to Astellas in connection with the Lead Compound selection decision consultation process described in Section 4.3.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15" w:lineRule="exact"/>
        <w:rPr>
          <w:sz w:val="20"/>
          <w:szCs w:val="20"/>
          <w:color w:val="auto"/>
        </w:rPr>
      </w:pPr>
    </w:p>
    <w:p>
      <w:pPr>
        <w:ind w:firstLine="7"/>
        <w:spacing w:after="0" w:line="275" w:lineRule="auto"/>
        <w:tabs>
          <w:tab w:leader="none" w:pos="25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2" w:name="page163"/>
    <w:bookmarkEnd w:id="162"/>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1.28</w:t>
      </w:r>
      <w:r>
        <w:rPr>
          <w:sz w:val="20"/>
          <w:szCs w:val="20"/>
          <w:color w:val="auto"/>
        </w:rPr>
        <w:tab/>
      </w:r>
      <w:r>
        <w:rPr>
          <w:rFonts w:ascii="Arial" w:cs="Arial" w:eastAsia="Arial" w:hAnsi="Arial"/>
          <w:sz w:val="19"/>
          <w:szCs w:val="19"/>
          <w:u w:val="single" w:color="auto"/>
          <w:color w:val="auto"/>
        </w:rPr>
        <w:t xml:space="preserve">“FG Territory” </w:t>
      </w:r>
      <w:r>
        <w:rPr>
          <w:rFonts w:ascii="Arial" w:cs="Arial" w:eastAsia="Arial" w:hAnsi="Arial"/>
          <w:sz w:val="19"/>
          <w:szCs w:val="19"/>
          <w:color w:val="auto"/>
        </w:rPr>
        <w:t>shall mean all areas of the world outside of the Astellas Territory.</w:t>
      </w:r>
    </w:p>
    <w:p>
      <w:pPr>
        <w:spacing w:after="0" w:line="21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1.29 </w:t>
      </w:r>
      <w:r>
        <w:rPr>
          <w:rFonts w:ascii="Arial" w:cs="Arial" w:eastAsia="Arial" w:hAnsi="Arial"/>
          <w:sz w:val="21"/>
          <w:szCs w:val="21"/>
          <w:u w:val="single" w:color="auto"/>
          <w:color w:val="auto"/>
        </w:rPr>
        <w:t>“Field”</w:t>
      </w:r>
      <w:r>
        <w:rPr>
          <w:rFonts w:ascii="Arial" w:cs="Arial" w:eastAsia="Arial" w:hAnsi="Arial"/>
          <w:sz w:val="21"/>
          <w:szCs w:val="21"/>
          <w:color w:val="auto"/>
        </w:rPr>
        <w:t xml:space="preserve"> shall mean the treatment of anemia solely in the Indications, by means of the stabilization of HIF causing the stimulation of erythropoiesis (including an increase in endogenous erythropoietin production) and/or a subsequent increase in hematocrit through modulation of prolyl hydroxylase and/or asparaginyl hydroxylase. For purposes of clarity, FG and Astellas agree and acknowledge that the Field and the Indications exclude [*].</w:t>
      </w:r>
    </w:p>
    <w:p>
      <w:pPr>
        <w:spacing w:after="0" w:line="17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1.30 </w:t>
      </w:r>
      <w:r>
        <w:rPr>
          <w:rFonts w:ascii="Arial" w:cs="Arial" w:eastAsia="Arial" w:hAnsi="Arial"/>
          <w:sz w:val="21"/>
          <w:szCs w:val="21"/>
          <w:u w:val="single" w:color="auto"/>
          <w:color w:val="auto"/>
        </w:rPr>
        <w:t>“First Commercial Sale”</w:t>
      </w:r>
      <w:r>
        <w:rPr>
          <w:rFonts w:ascii="Arial" w:cs="Arial" w:eastAsia="Arial" w:hAnsi="Arial"/>
          <w:sz w:val="21"/>
          <w:szCs w:val="21"/>
          <w:color w:val="auto"/>
        </w:rPr>
        <w:t xml:space="preserve"> shall mean, with respect to each Lead Compound, the first bona fide commercial sale of such Lead Compound to a non-Affiliate third party by or under authority of Astellas or FG, or their Affiliates or Sublicensees, as the case may be, in the FG Territory or the Astellas Territory, respectively.</w:t>
      </w:r>
    </w:p>
    <w:p>
      <w:pPr>
        <w:spacing w:after="0" w:line="16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“Force Majeure Event”</w:t>
      </w:r>
      <w:r>
        <w:rPr>
          <w:rFonts w:ascii="Arial" w:cs="Arial" w:eastAsia="Arial" w:hAnsi="Arial"/>
          <w:sz w:val="21"/>
          <w:szCs w:val="21"/>
          <w:color w:val="auto"/>
        </w:rPr>
        <w:t xml:space="preserve"> shall mean the occurrence of any event causing a failure to perform where failure to perform is beyond the reasonable control of the non-performing party, as described in Section 20.3.</w:t>
      </w:r>
    </w:p>
    <w:p>
      <w:pPr>
        <w:spacing w:after="0" w:line="153"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“Fully Burdened Costs”</w:t>
      </w:r>
      <w:r>
        <w:rPr>
          <w:rFonts w:ascii="Arial" w:cs="Arial" w:eastAsia="Arial" w:hAnsi="Arial"/>
          <w:sz w:val="21"/>
          <w:szCs w:val="21"/>
          <w:color w:val="auto"/>
        </w:rPr>
        <w:t xml:space="preserve"> with respect to a Lead Compound shall mean all costs to produce, package and distribute the product to Astellas or its carrier at the Ex Works location (in compliance with Section 12.6) and any royalties or other consideration (not reimbursed by Astellas) paid to third parties related to the acquisition or sale of product, with costs to produce and package the product to include the direct material, labor and indirect costs that are incurred by FG or its Affiliate(s) associated with the manufacture, filling, packaging, labeling, preparation of product for shipment and/or other preparation of such Lead Compound, as applicable, including, but not limited to taxes, fees, and customs incurred, as applicable. Costs will be determined in accordance with U.S. Generally Accepted Accounting Principles (U.S. GAAP) and will include but not be limited to the costs of facilities, labor, purchasing, depreciation of equipment, materials, payments to third parties for any necessary contract work related to the manufacture or testing of the product, the validation studies, quality assurance, quality control and other testing, storage, shipping (if requested by Astellas), costs related to distribution and a reasonable allocation of general and administrative overhead. Costs related to distribution include the labor, materials and overhead necessary to prepare and package the final product for shipment to the Ex Works location.</w:t>
      </w:r>
    </w:p>
    <w:p>
      <w:pPr>
        <w:spacing w:after="0" w:line="187"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1.33 </w:t>
      </w:r>
      <w:r>
        <w:rPr>
          <w:rFonts w:ascii="Arial" w:cs="Arial" w:eastAsia="Arial" w:hAnsi="Arial"/>
          <w:sz w:val="21"/>
          <w:szCs w:val="21"/>
          <w:u w:val="single" w:color="auto"/>
          <w:color w:val="auto"/>
        </w:rPr>
        <w:t>“Future Third Party Intellectual Property”</w:t>
      </w:r>
      <w:r>
        <w:rPr>
          <w:rFonts w:ascii="Arial" w:cs="Arial" w:eastAsia="Arial" w:hAnsi="Arial"/>
          <w:sz w:val="21"/>
          <w:szCs w:val="21"/>
          <w:color w:val="auto"/>
        </w:rPr>
        <w:t xml:space="preserve"> shall mean any intellectual property rights, including without limitation all patents, trademarks, or copyrights, and any applications therefor, including any applications for registration, issuance, or grant thereof, owned or Controlled by a third party that are necessary for the practice of the license granted hereunder that were not owned or Controlled by FG as of the Effective Date and that do not qualify as Pre-existing Third Party Intellectual Property under Section 1.56.</w:t>
      </w:r>
    </w:p>
    <w:p>
      <w:pPr>
        <w:spacing w:after="0" w:line="17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“GMP Guidelines”</w:t>
      </w:r>
      <w:r>
        <w:rPr>
          <w:rFonts w:ascii="Arial" w:cs="Arial" w:eastAsia="Arial" w:hAnsi="Arial"/>
          <w:sz w:val="21"/>
          <w:szCs w:val="21"/>
          <w:color w:val="auto"/>
        </w:rPr>
        <w:t xml:space="preserve"> shall mean then-current applicable Good Manufacturing Practices guidelines and regulations of the FDA.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15" w:lineRule="exact"/>
        <w:rPr>
          <w:sz w:val="20"/>
          <w:szCs w:val="20"/>
          <w:color w:val="auto"/>
        </w:rPr>
      </w:pPr>
    </w:p>
    <w:p>
      <w:pPr>
        <w:ind w:firstLine="7"/>
        <w:spacing w:after="0" w:line="275" w:lineRule="auto"/>
        <w:tabs>
          <w:tab w:leader="none" w:pos="258"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3" w:name="page164"/>
    <w:bookmarkEnd w:id="163"/>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1.35</w:t>
      </w:r>
      <w:r>
        <w:rPr>
          <w:sz w:val="20"/>
          <w:szCs w:val="20"/>
          <w:color w:val="auto"/>
        </w:rPr>
        <w:tab/>
      </w:r>
      <w:r>
        <w:rPr>
          <w:rFonts w:ascii="Arial" w:cs="Arial" w:eastAsia="Arial" w:hAnsi="Arial"/>
          <w:sz w:val="19"/>
          <w:szCs w:val="19"/>
          <w:u w:val="single" w:color="auto"/>
          <w:color w:val="auto"/>
        </w:rPr>
        <w:t xml:space="preserve">“[*]” </w:t>
      </w:r>
      <w:r>
        <w:rPr>
          <w:rFonts w:ascii="Arial" w:cs="Arial" w:eastAsia="Arial" w:hAnsi="Arial"/>
          <w:sz w:val="19"/>
          <w:szCs w:val="19"/>
          <w:color w:val="auto"/>
        </w:rPr>
        <w:t>shall have the meaning as set forth in Section 1.36 below.</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1.36 </w:t>
      </w:r>
      <w:r>
        <w:rPr>
          <w:rFonts w:ascii="Arial" w:cs="Arial" w:eastAsia="Arial" w:hAnsi="Arial"/>
          <w:sz w:val="21"/>
          <w:szCs w:val="21"/>
          <w:u w:val="single" w:color="auto"/>
          <w:color w:val="auto"/>
        </w:rPr>
        <w:t>“[*] Percentage”</w:t>
      </w:r>
      <w:r>
        <w:rPr>
          <w:rFonts w:ascii="Arial" w:cs="Arial" w:eastAsia="Arial" w:hAnsi="Arial"/>
          <w:sz w:val="21"/>
          <w:szCs w:val="21"/>
          <w:color w:val="auto"/>
        </w:rPr>
        <w:t xml:space="preserve"> shall be determined, for any Lead Compound, (i) by dividing (a) the [*], which shall be defined as the difference between (x) the [*], and (y) the [*], by (b) the [*]; and (ii) multiplying the result of (i) above by 100.</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1.37</w:t>
      </w:r>
      <w:r>
        <w:rPr>
          <w:sz w:val="20"/>
          <w:szCs w:val="20"/>
          <w:color w:val="auto"/>
        </w:rPr>
        <w:tab/>
      </w:r>
      <w:r>
        <w:rPr>
          <w:rFonts w:ascii="Arial" w:cs="Arial" w:eastAsia="Arial" w:hAnsi="Arial"/>
          <w:sz w:val="20"/>
          <w:szCs w:val="20"/>
          <w:u w:val="single" w:color="auto"/>
          <w:color w:val="auto"/>
        </w:rPr>
        <w:t xml:space="preserve">“HIF” </w:t>
      </w:r>
      <w:r>
        <w:rPr>
          <w:rFonts w:ascii="Arial" w:cs="Arial" w:eastAsia="Arial" w:hAnsi="Arial"/>
          <w:sz w:val="20"/>
          <w:szCs w:val="20"/>
          <w:color w:val="auto"/>
        </w:rPr>
        <w:t>shall mean hypoxia inducible factor.</w:t>
      </w:r>
    </w:p>
    <w:p>
      <w:pPr>
        <w:spacing w:after="0" w:line="21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1.38 </w:t>
      </w:r>
      <w:r>
        <w:rPr>
          <w:rFonts w:ascii="Arial" w:cs="Arial" w:eastAsia="Arial" w:hAnsi="Arial"/>
          <w:sz w:val="21"/>
          <w:szCs w:val="21"/>
          <w:u w:val="single" w:color="auto"/>
          <w:color w:val="auto"/>
        </w:rPr>
        <w:t>“IND”</w:t>
      </w:r>
      <w:r>
        <w:rPr>
          <w:rFonts w:ascii="Arial" w:cs="Arial" w:eastAsia="Arial" w:hAnsi="Arial"/>
          <w:sz w:val="21"/>
          <w:szCs w:val="21"/>
          <w:color w:val="auto"/>
        </w:rPr>
        <w:t xml:space="preserve"> shall mean an Investigational New Drug application, as defined in the U.S. Federal Food, Drug and Cosmetic Act and the regulations promulgated thereunder, or comparable filing in a foreign jurisdiction, in each case with respect to a Lead Compound for use within the Field.</w:t>
      </w:r>
    </w:p>
    <w:p>
      <w:pPr>
        <w:spacing w:after="0" w:line="16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1.39</w:t>
      </w:r>
      <w:r>
        <w:rPr>
          <w:sz w:val="20"/>
          <w:szCs w:val="20"/>
          <w:color w:val="auto"/>
        </w:rPr>
        <w:tab/>
      </w:r>
      <w:r>
        <w:rPr>
          <w:rFonts w:ascii="Arial" w:cs="Arial" w:eastAsia="Arial" w:hAnsi="Arial"/>
          <w:sz w:val="19"/>
          <w:szCs w:val="19"/>
          <w:u w:val="single" w:color="auto"/>
          <w:color w:val="auto"/>
        </w:rPr>
        <w:t xml:space="preserve">“Indemnitee” </w:t>
      </w:r>
      <w:r>
        <w:rPr>
          <w:rFonts w:ascii="Arial" w:cs="Arial" w:eastAsia="Arial" w:hAnsi="Arial"/>
          <w:sz w:val="19"/>
          <w:szCs w:val="19"/>
          <w:color w:val="auto"/>
        </w:rPr>
        <w:t>shall have the meaning as set forth in Section 17.4 below.</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1.40</w:t>
      </w:r>
      <w:r>
        <w:rPr>
          <w:sz w:val="20"/>
          <w:szCs w:val="20"/>
          <w:color w:val="auto"/>
        </w:rPr>
        <w:tab/>
      </w:r>
      <w:r>
        <w:rPr>
          <w:rFonts w:ascii="Arial" w:cs="Arial" w:eastAsia="Arial" w:hAnsi="Arial"/>
          <w:sz w:val="19"/>
          <w:szCs w:val="19"/>
          <w:u w:val="single" w:color="auto"/>
          <w:color w:val="auto"/>
        </w:rPr>
        <w:t xml:space="preserve">“Indemnitor” </w:t>
      </w:r>
      <w:r>
        <w:rPr>
          <w:rFonts w:ascii="Arial" w:cs="Arial" w:eastAsia="Arial" w:hAnsi="Arial"/>
          <w:sz w:val="19"/>
          <w:szCs w:val="19"/>
          <w:color w:val="auto"/>
        </w:rPr>
        <w:t>shall have the meaning as set forth in Section 17.4 below.</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“Indications”</w:t>
      </w:r>
      <w:r>
        <w:rPr>
          <w:rFonts w:ascii="Arial" w:cs="Arial" w:eastAsia="Arial" w:hAnsi="Arial"/>
          <w:sz w:val="21"/>
          <w:szCs w:val="21"/>
          <w:color w:val="auto"/>
        </w:rPr>
        <w:t xml:space="preserve"> shall mean those indications listed on Exhibit B and any other indications to be agreed upon hereafter between FG and Astellas, each of which shall be referred to as an Indication.</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19"/>
          <w:szCs w:val="19"/>
          <w:u w:val="single" w:color="auto"/>
          <w:color w:val="auto"/>
        </w:rPr>
        <w:t xml:space="preserve">“Initial Development Plan” </w:t>
      </w:r>
      <w:r>
        <w:rPr>
          <w:rFonts w:ascii="Arial" w:cs="Arial" w:eastAsia="Arial" w:hAnsi="Arial"/>
          <w:sz w:val="19"/>
          <w:szCs w:val="19"/>
          <w:color w:val="auto"/>
        </w:rPr>
        <w:t>shall mean the Initial Development Plan as described in Section 3.2.1 hereof.</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u w:val="single" w:color="auto"/>
          <w:color w:val="auto"/>
        </w:rPr>
        <w:t>“Initiate” or Initiation”</w:t>
      </w:r>
      <w:r>
        <w:rPr>
          <w:rFonts w:ascii="Arial" w:cs="Arial" w:eastAsia="Arial" w:hAnsi="Arial"/>
          <w:sz w:val="21"/>
          <w:szCs w:val="21"/>
          <w:color w:val="auto"/>
        </w:rPr>
        <w:t xml:space="preserve"> shall mean with respect to a particular clinical trial for a Lead Compound, the initial dosing of the first patient in such trial in accordance with the protocol therefor.</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19"/>
          <w:szCs w:val="19"/>
          <w:u w:val="single" w:color="auto"/>
          <w:color w:val="auto"/>
        </w:rPr>
        <w:t>“Inspected Party” and “</w:t>
      </w:r>
      <w:r>
        <w:rPr>
          <w:rFonts w:ascii="Arial" w:cs="Arial" w:eastAsia="Arial" w:hAnsi="Arial"/>
          <w:sz w:val="19"/>
          <w:szCs w:val="19"/>
          <w:color w:val="auto"/>
        </w:rPr>
        <w:t>Inspecting Party” shall have the meanings as set forth in Section 10.5 below.</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19"/>
          <w:szCs w:val="19"/>
          <w:u w:val="single" w:color="auto"/>
          <w:color w:val="auto"/>
        </w:rPr>
        <w:t xml:space="preserve">“Joint Development Committee” </w:t>
      </w:r>
      <w:r>
        <w:rPr>
          <w:rFonts w:ascii="Arial" w:cs="Arial" w:eastAsia="Arial" w:hAnsi="Arial"/>
          <w:sz w:val="19"/>
          <w:szCs w:val="19"/>
          <w:color w:val="auto"/>
        </w:rPr>
        <w:t>or “JDC” shall have the meaning as set forth in Section 2.1 below.</w:t>
      </w:r>
    </w:p>
    <w:p>
      <w:pPr>
        <w:spacing w:after="0" w:line="21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1.46 </w:t>
      </w:r>
      <w:r>
        <w:rPr>
          <w:rFonts w:ascii="Arial" w:cs="Arial" w:eastAsia="Arial" w:hAnsi="Arial"/>
          <w:sz w:val="21"/>
          <w:szCs w:val="21"/>
          <w:u w:val="single" w:color="auto"/>
          <w:color w:val="auto"/>
        </w:rPr>
        <w:t>“Lead Compound”</w:t>
      </w:r>
      <w:r>
        <w:rPr>
          <w:rFonts w:ascii="Arial" w:cs="Arial" w:eastAsia="Arial" w:hAnsi="Arial"/>
          <w:sz w:val="21"/>
          <w:szCs w:val="21"/>
          <w:color w:val="auto"/>
        </w:rPr>
        <w:t xml:space="preserve"> shall mean any compound Controlled by FG that is designated by FG as a lead compound for clinical development in an Indication in accordance with Section 4.3 for the duration of such designation. Any Lead Compound which receives a Marketing Approval in the Astellas Territory shall remain a Lead Compound for the duration of such Marketing Approval. As of the Effective Date, FG-2216 shall be deemed to be a Lead Compound.</w:t>
      </w:r>
    </w:p>
    <w:p>
      <w:pPr>
        <w:spacing w:after="0" w:line="17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1.47</w:t>
      </w:r>
      <w:r>
        <w:rPr>
          <w:sz w:val="20"/>
          <w:szCs w:val="20"/>
          <w:color w:val="auto"/>
        </w:rPr>
        <w:tab/>
      </w:r>
      <w:r>
        <w:rPr>
          <w:rFonts w:ascii="Arial" w:cs="Arial" w:eastAsia="Arial" w:hAnsi="Arial"/>
          <w:sz w:val="19"/>
          <w:szCs w:val="19"/>
          <w:u w:val="single" w:color="auto"/>
          <w:color w:val="auto"/>
        </w:rPr>
        <w:t xml:space="preserve">“Listed Price” </w:t>
      </w:r>
      <w:r>
        <w:rPr>
          <w:rFonts w:ascii="Arial" w:cs="Arial" w:eastAsia="Arial" w:hAnsi="Arial"/>
          <w:sz w:val="19"/>
          <w:szCs w:val="19"/>
          <w:color w:val="auto"/>
        </w:rPr>
        <w:t>shall have the meaning as set forth in Section 9.2.</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1.48</w:t>
      </w:r>
      <w:r>
        <w:rPr>
          <w:sz w:val="20"/>
          <w:szCs w:val="20"/>
          <w:color w:val="auto"/>
        </w:rPr>
        <w:tab/>
      </w:r>
      <w:r>
        <w:rPr>
          <w:rFonts w:ascii="Arial" w:cs="Arial" w:eastAsia="Arial" w:hAnsi="Arial"/>
          <w:sz w:val="19"/>
          <w:szCs w:val="19"/>
          <w:u w:val="single" w:color="auto"/>
          <w:color w:val="auto"/>
        </w:rPr>
        <w:t xml:space="preserve">“Litigation Agreement” </w:t>
      </w:r>
      <w:r>
        <w:rPr>
          <w:rFonts w:ascii="Arial" w:cs="Arial" w:eastAsia="Arial" w:hAnsi="Arial"/>
          <w:sz w:val="19"/>
          <w:szCs w:val="19"/>
          <w:color w:val="auto"/>
        </w:rPr>
        <w:t>shall have the meaning as set forth in Section 14.4 below.</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15" w:lineRule="exact"/>
        <w:rPr>
          <w:sz w:val="20"/>
          <w:szCs w:val="20"/>
          <w:color w:val="auto"/>
        </w:rPr>
      </w:pPr>
    </w:p>
    <w:p>
      <w:pPr>
        <w:ind w:firstLine="7"/>
        <w:spacing w:after="0" w:line="275" w:lineRule="auto"/>
        <w:tabs>
          <w:tab w:leader="none" w:pos="258"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4" w:name="page165"/>
    <w:bookmarkEnd w:id="164"/>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1.49</w:t>
      </w:r>
      <w:r>
        <w:rPr>
          <w:sz w:val="20"/>
          <w:szCs w:val="20"/>
          <w:color w:val="auto"/>
        </w:rPr>
        <w:tab/>
      </w:r>
      <w:r>
        <w:rPr>
          <w:rFonts w:ascii="Arial" w:cs="Arial" w:eastAsia="Arial" w:hAnsi="Arial"/>
          <w:sz w:val="19"/>
          <w:szCs w:val="19"/>
          <w:u w:val="single" w:color="auto"/>
          <w:color w:val="auto"/>
        </w:rPr>
        <w:t xml:space="preserve">“Major Indication” </w:t>
      </w:r>
      <w:r>
        <w:rPr>
          <w:rFonts w:ascii="Arial" w:cs="Arial" w:eastAsia="Arial" w:hAnsi="Arial"/>
          <w:sz w:val="19"/>
          <w:szCs w:val="19"/>
          <w:color w:val="auto"/>
        </w:rPr>
        <w:t>shall have the meaning set forth in Section 11.3.1 below.</w:t>
      </w:r>
    </w:p>
    <w:p>
      <w:pPr>
        <w:spacing w:after="0" w:line="212"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1.50 </w:t>
      </w:r>
      <w:r>
        <w:rPr>
          <w:rFonts w:ascii="Arial" w:cs="Arial" w:eastAsia="Arial" w:hAnsi="Arial"/>
          <w:sz w:val="21"/>
          <w:szCs w:val="21"/>
          <w:u w:val="single" w:color="auto"/>
          <w:color w:val="auto"/>
        </w:rPr>
        <w:t>“Marketing Approval”</w:t>
      </w:r>
      <w:r>
        <w:rPr>
          <w:rFonts w:ascii="Arial" w:cs="Arial" w:eastAsia="Arial" w:hAnsi="Arial"/>
          <w:sz w:val="21"/>
          <w:szCs w:val="21"/>
          <w:color w:val="auto"/>
        </w:rPr>
        <w:t xml:space="preserve"> shall mean, with respect to each Lead Compound, approval in the Astellas Territory by the Japanese Ministry of Health, Labour and Welfare, or in the FG Territory by U.S. or European regulatory authorities, as the case may be, to market such Lead Compound for an indication within the Field. It is understood that pricing or reimbursement approval shall constitute a part of the Marketing Approval. In any event, Marketing Approval shall be deemed to have occurred with respect to a Lead Compound no later than the date of the First Commercial Sale of such Lead Compound in the FG Territory or the Astellas Territory as the case may be, by or under authority of FG or Astellas respectively, or their Affiliate or Sublicensee, as the case may be, whether or not formal approval by the relevant health regulatory authority is required for the First Commercial Sale of such Lead Compound.</w:t>
      </w:r>
    </w:p>
    <w:p>
      <w:pPr>
        <w:spacing w:after="0" w:line="180"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“Marketing Approval Application”</w:t>
      </w:r>
      <w:r>
        <w:rPr>
          <w:rFonts w:ascii="Arial" w:cs="Arial" w:eastAsia="Arial" w:hAnsi="Arial"/>
          <w:sz w:val="21"/>
          <w:szCs w:val="21"/>
          <w:color w:val="auto"/>
        </w:rPr>
        <w:t xml:space="preserve"> or “MAA” shall mean, within the FG Territory, a New Drug Application or similar application as required under the U.S. Federal Food, Drug and Cosmetics Act and the regulations promulgated thereunder, or such similar filing in Europe, or a comparable filing for Marketing Approval in the Astellas Territory, in each case with respect to a Lead Compound for use within the Field.</w:t>
      </w:r>
    </w:p>
    <w:p>
      <w:pPr>
        <w:spacing w:after="0" w:line="173"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1.52 </w:t>
      </w:r>
      <w:r>
        <w:rPr>
          <w:rFonts w:ascii="Arial" w:cs="Arial" w:eastAsia="Arial" w:hAnsi="Arial"/>
          <w:sz w:val="21"/>
          <w:szCs w:val="21"/>
          <w:u w:val="single" w:color="auto"/>
          <w:color w:val="auto"/>
        </w:rPr>
        <w:t>“Net Sales”</w:t>
      </w:r>
      <w:r>
        <w:rPr>
          <w:rFonts w:ascii="Arial" w:cs="Arial" w:eastAsia="Arial" w:hAnsi="Arial"/>
          <w:sz w:val="21"/>
          <w:szCs w:val="21"/>
          <w:color w:val="auto"/>
        </w:rPr>
        <w:t xml:space="preserve"> shall mean the gross amount billed or invoiced by Astellas, its Affiliates and its Sublicensees to unaffiliated third parties for the Lead Compound(s) in bona fide arm’s length transaction, less the following deductions:</w:t>
      </w:r>
    </w:p>
    <w:p>
      <w:pPr>
        <w:spacing w:after="0" w:line="153" w:lineRule="exact"/>
        <w:rPr>
          <w:sz w:val="20"/>
          <w:szCs w:val="20"/>
          <w:color w:val="auto"/>
        </w:rPr>
      </w:pPr>
    </w:p>
    <w:p>
      <w:pPr>
        <w:ind w:left="1500" w:hanging="625"/>
        <w:spacing w:after="0"/>
        <w:tabs>
          <w:tab w:leader="none" w:pos="15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credits or allowances, if any, given or made on account of rejection or return of the Lead Compound(s);</w:t>
      </w:r>
    </w:p>
    <w:p>
      <w:pPr>
        <w:spacing w:after="0" w:line="212" w:lineRule="exact"/>
        <w:rPr>
          <w:rFonts w:ascii="Arial" w:cs="Arial" w:eastAsia="Arial" w:hAnsi="Arial"/>
          <w:sz w:val="21"/>
          <w:szCs w:val="21"/>
          <w:color w:val="auto"/>
        </w:rPr>
      </w:pPr>
    </w:p>
    <w:p>
      <w:pPr>
        <w:ind w:left="1500" w:hanging="625"/>
        <w:spacing w:after="0"/>
        <w:tabs>
          <w:tab w:leader="none" w:pos="15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trade and quantity discounts actually allowed and taken in such amounts as are customary in the trade;</w:t>
      </w:r>
    </w:p>
    <w:p>
      <w:pPr>
        <w:spacing w:after="0" w:line="212" w:lineRule="exact"/>
        <w:rPr>
          <w:rFonts w:ascii="Arial" w:cs="Arial" w:eastAsia="Arial" w:hAnsi="Arial"/>
          <w:sz w:val="21"/>
          <w:szCs w:val="21"/>
          <w:color w:val="auto"/>
        </w:rPr>
      </w:pPr>
    </w:p>
    <w:p>
      <w:pPr>
        <w:ind w:left="1500" w:hanging="625"/>
        <w:spacing w:after="0"/>
        <w:tabs>
          <w:tab w:leader="none" w:pos="15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duties, sales taxes, excise taxes, insurance and transportation charges actually paid; and</w:t>
      </w:r>
    </w:p>
    <w:p>
      <w:pPr>
        <w:spacing w:after="0" w:line="212" w:lineRule="exact"/>
        <w:rPr>
          <w:rFonts w:ascii="Arial" w:cs="Arial" w:eastAsia="Arial" w:hAnsi="Arial"/>
          <w:sz w:val="21"/>
          <w:szCs w:val="21"/>
          <w:color w:val="auto"/>
        </w:rPr>
      </w:pPr>
    </w:p>
    <w:p>
      <w:pPr>
        <w:ind w:left="1500" w:hanging="625"/>
        <w:spacing w:after="0"/>
        <w:tabs>
          <w:tab w:leader="none" w:pos="15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charge back payments or rebates actually paid to wholesalers.</w:t>
      </w:r>
    </w:p>
    <w:p>
      <w:pPr>
        <w:spacing w:after="0" w:line="21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1.53 </w:t>
      </w:r>
      <w:r>
        <w:rPr>
          <w:rFonts w:ascii="Arial" w:cs="Arial" w:eastAsia="Arial" w:hAnsi="Arial"/>
          <w:sz w:val="21"/>
          <w:szCs w:val="21"/>
          <w:u w:val="single" w:color="auto"/>
          <w:color w:val="auto"/>
        </w:rPr>
        <w:t>“Phase I”</w:t>
      </w:r>
      <w:r>
        <w:rPr>
          <w:rFonts w:ascii="Arial" w:cs="Arial" w:eastAsia="Arial" w:hAnsi="Arial"/>
          <w:sz w:val="21"/>
          <w:szCs w:val="21"/>
          <w:color w:val="auto"/>
        </w:rPr>
        <w:t xml:space="preserve"> shall mean human clinical trials, the principal purpose of which is preliminary determination of safety in healthy individuals or patients as required in 21 C.F.R. §312.21, or similar clinical study in a country other than the United States, and for which there are no primary endpoints relating to efficacy included in the protocol.</w:t>
      </w:r>
    </w:p>
    <w:p>
      <w:pPr>
        <w:spacing w:after="0" w:line="16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1.54 </w:t>
      </w:r>
      <w:r>
        <w:rPr>
          <w:rFonts w:ascii="Arial" w:cs="Arial" w:eastAsia="Arial" w:hAnsi="Arial"/>
          <w:sz w:val="21"/>
          <w:szCs w:val="21"/>
          <w:u w:val="single" w:color="auto"/>
          <w:color w:val="auto"/>
        </w:rPr>
        <w:t>“Phase II”</w:t>
      </w:r>
      <w:r>
        <w:rPr>
          <w:rFonts w:ascii="Arial" w:cs="Arial" w:eastAsia="Arial" w:hAnsi="Arial"/>
          <w:sz w:val="21"/>
          <w:szCs w:val="21"/>
          <w:color w:val="auto"/>
        </w:rPr>
        <w:t xml:space="preserve"> shall mean human clinical trials, for which the primary endpoints include a determination of dose ranges and/or a preliminary determination of efficacy in patients with the Indication being studied as required in 21 C.F.R. §312.21, or similar clinical study in a country other than the United States.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15" w:lineRule="exact"/>
        <w:rPr>
          <w:sz w:val="20"/>
          <w:szCs w:val="20"/>
          <w:color w:val="auto"/>
        </w:rPr>
      </w:pPr>
    </w:p>
    <w:p>
      <w:pPr>
        <w:ind w:firstLine="7"/>
        <w:spacing w:after="0" w:line="275" w:lineRule="auto"/>
        <w:tabs>
          <w:tab w:leader="none" w:pos="258"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5" w:name="page166"/>
    <w:bookmarkEnd w:id="165"/>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1.55 </w:t>
      </w:r>
      <w:r>
        <w:rPr>
          <w:rFonts w:ascii="Arial" w:cs="Arial" w:eastAsia="Arial" w:hAnsi="Arial"/>
          <w:sz w:val="21"/>
          <w:szCs w:val="21"/>
          <w:u w:val="single" w:color="auto"/>
          <w:color w:val="auto"/>
        </w:rPr>
        <w:t>“Phase III”</w:t>
      </w:r>
      <w:r>
        <w:rPr>
          <w:rFonts w:ascii="Arial" w:cs="Arial" w:eastAsia="Arial" w:hAnsi="Arial"/>
          <w:sz w:val="21"/>
          <w:szCs w:val="21"/>
          <w:color w:val="auto"/>
        </w:rPr>
        <w:t xml:space="preserve"> shall mean human clinical trials, the principal purpose of which is to establish safety and efficacy of one or more particular doses in patients with the Indication being studied as required in 21 C.F.R. §312.21, or similar clinical study in a country other than the United States. For purposes of this Section 1.55, and Sections 1.53 and 1.54 above, a particular trial that (i) is intended to overlap two phases of trials, (ii) combines the elements of two phases of trials, or (iii) is treated by the FDA or comparable foreign agency as two phases of trials, such as a Phase I/II trial or a Phase II/III trial, shall be deemed a trial of the later, as well as the earlier, phase (</w:t>
      </w:r>
      <w:r>
        <w:rPr>
          <w:rFonts w:ascii="Arial" w:cs="Arial" w:eastAsia="Arial" w:hAnsi="Arial"/>
          <w:sz w:val="21"/>
          <w:szCs w:val="21"/>
          <w:i w:val="1"/>
          <w:iCs w:val="1"/>
          <w:color w:val="auto"/>
        </w:rPr>
        <w:t>i.e.</w:t>
      </w:r>
      <w:r>
        <w:rPr>
          <w:rFonts w:ascii="Arial" w:cs="Arial" w:eastAsia="Arial" w:hAnsi="Arial"/>
          <w:sz w:val="21"/>
          <w:szCs w:val="21"/>
          <w:color w:val="auto"/>
        </w:rPr>
        <w:t>, a Phase II and a Phase III, respectively).</w:t>
      </w:r>
    </w:p>
    <w:p>
      <w:pPr>
        <w:spacing w:after="0" w:line="182"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1.56 </w:t>
      </w:r>
      <w:r>
        <w:rPr>
          <w:rFonts w:ascii="Arial" w:cs="Arial" w:eastAsia="Arial" w:hAnsi="Arial"/>
          <w:sz w:val="21"/>
          <w:szCs w:val="21"/>
          <w:u w:val="single" w:color="auto"/>
          <w:color w:val="auto"/>
        </w:rPr>
        <w:t>“Product Specification”</w:t>
      </w:r>
      <w:r>
        <w:rPr>
          <w:rFonts w:ascii="Arial" w:cs="Arial" w:eastAsia="Arial" w:hAnsi="Arial"/>
          <w:sz w:val="21"/>
          <w:szCs w:val="21"/>
          <w:color w:val="auto"/>
        </w:rPr>
        <w:t xml:space="preserve"> shall mean, with respect to a Bulk Product, the written document describing, the testing procedures and results required to determine compliance with release specifications, including, and quality control testing procedures to be determined, and be amended from time to time, by mutual agreement of both parties. The release specifications of such Product Specifications shall be determined taking into account and shall be designed to meet the shelf life requirements of the Japanese Ministry of Health, Labor and Welfare for the Lead Compound, provided, that the Product Specifications shall not require compliance with such shelf life requirements.</w:t>
      </w:r>
    </w:p>
    <w:p>
      <w:pPr>
        <w:spacing w:after="0" w:line="182"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1.57 </w:t>
      </w:r>
      <w:r>
        <w:rPr>
          <w:rFonts w:ascii="Arial" w:cs="Arial" w:eastAsia="Arial" w:hAnsi="Arial"/>
          <w:sz w:val="21"/>
          <w:szCs w:val="21"/>
          <w:u w:val="single" w:color="auto"/>
          <w:color w:val="auto"/>
        </w:rPr>
        <w:t>“Preexisting Third Party Intellectual Property”</w:t>
      </w:r>
      <w:r>
        <w:rPr>
          <w:rFonts w:ascii="Arial" w:cs="Arial" w:eastAsia="Arial" w:hAnsi="Arial"/>
          <w:sz w:val="21"/>
          <w:szCs w:val="21"/>
          <w:color w:val="auto"/>
        </w:rPr>
        <w:t xml:space="preserve"> shall mean any intellectual property rights, including without limitation all patents, trademarks, copyrights, and any applications therefor, including any applications for registration, issuance, or grant thereof, owned or Controlled by a third party that are necessary for the practice of the license granted hereunder and that the existence of which was discoverable or otherwise could have been known on or prior to the Effective Date and were not owned or Controlled by FG as of the Effective Date.</w:t>
      </w:r>
    </w:p>
    <w:p>
      <w:pPr>
        <w:spacing w:after="0" w:line="17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1.58 </w:t>
      </w:r>
      <w:r>
        <w:rPr>
          <w:rFonts w:ascii="Arial" w:cs="Arial" w:eastAsia="Arial" w:hAnsi="Arial"/>
          <w:sz w:val="21"/>
          <w:szCs w:val="21"/>
          <w:u w:val="single" w:color="auto"/>
          <w:color w:val="auto"/>
        </w:rPr>
        <w:t>“Proof of Concept”</w:t>
      </w:r>
      <w:r>
        <w:rPr>
          <w:rFonts w:ascii="Arial" w:cs="Arial" w:eastAsia="Arial" w:hAnsi="Arial"/>
          <w:sz w:val="21"/>
          <w:szCs w:val="21"/>
          <w:color w:val="auto"/>
        </w:rPr>
        <w:t xml:space="preserve"> shall mean for any Indication, a demonstration of correction of anemia in relevant patients in a human clinical study.</w:t>
      </w:r>
    </w:p>
    <w:p>
      <w:pPr>
        <w:spacing w:after="0" w:line="153"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20"/>
          <w:szCs w:val="20"/>
          <w:color w:val="auto"/>
        </w:rPr>
        <w:t xml:space="preserve">1.59 </w:t>
      </w:r>
      <w:r>
        <w:rPr>
          <w:rFonts w:ascii="Arial" w:cs="Arial" w:eastAsia="Arial" w:hAnsi="Arial"/>
          <w:sz w:val="20"/>
          <w:szCs w:val="20"/>
          <w:u w:val="single" w:color="auto"/>
          <w:color w:val="auto"/>
        </w:rPr>
        <w:t>“Prosecution and Interference Activities”</w:t>
      </w:r>
      <w:r>
        <w:rPr>
          <w:rFonts w:ascii="Arial" w:cs="Arial" w:eastAsia="Arial" w:hAnsi="Arial"/>
          <w:sz w:val="20"/>
          <w:szCs w:val="20"/>
          <w:color w:val="auto"/>
        </w:rPr>
        <w:t xml:space="preserve"> shall mean the preparation, filing, prosecution and maintenance of patent applications and patents and any continuing applications thereof, and any re-examinations, reissues, renewals and requests for patent term extensions therefor, and any U.S., international or foreign counterparts of any of the foregoing, together with the conduct of any interference, opposition or other similar proceeding pertaining to patent applications or patents.</w:t>
      </w:r>
    </w:p>
    <w:p>
      <w:pPr>
        <w:spacing w:after="0" w:line="15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1.60</w:t>
      </w:r>
      <w:r>
        <w:rPr>
          <w:sz w:val="20"/>
          <w:szCs w:val="20"/>
          <w:color w:val="auto"/>
        </w:rPr>
        <w:tab/>
      </w:r>
      <w:r>
        <w:rPr>
          <w:rFonts w:ascii="Arial" w:cs="Arial" w:eastAsia="Arial" w:hAnsi="Arial"/>
          <w:sz w:val="19"/>
          <w:szCs w:val="19"/>
          <w:u w:val="single" w:color="auto"/>
          <w:color w:val="auto"/>
        </w:rPr>
        <w:t xml:space="preserve">“Protected Field” </w:t>
      </w:r>
      <w:r>
        <w:rPr>
          <w:rFonts w:ascii="Arial" w:cs="Arial" w:eastAsia="Arial" w:hAnsi="Arial"/>
          <w:sz w:val="19"/>
          <w:szCs w:val="19"/>
          <w:color w:val="auto"/>
        </w:rPr>
        <w:t>shall have the meaning as set forth in Section 14.1.</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1.61</w:t>
      </w:r>
      <w:r>
        <w:rPr>
          <w:sz w:val="20"/>
          <w:szCs w:val="20"/>
          <w:color w:val="auto"/>
        </w:rPr>
        <w:tab/>
      </w:r>
      <w:r>
        <w:rPr>
          <w:rFonts w:ascii="Arial" w:cs="Arial" w:eastAsia="Arial" w:hAnsi="Arial"/>
          <w:sz w:val="19"/>
          <w:szCs w:val="19"/>
          <w:u w:val="single" w:color="auto"/>
          <w:color w:val="auto"/>
        </w:rPr>
        <w:t xml:space="preserve">“Reference Materials” </w:t>
      </w:r>
      <w:r>
        <w:rPr>
          <w:rFonts w:ascii="Arial" w:cs="Arial" w:eastAsia="Arial" w:hAnsi="Arial"/>
          <w:sz w:val="19"/>
          <w:szCs w:val="19"/>
          <w:color w:val="auto"/>
        </w:rPr>
        <w:t>shall have the meaning as set forth in Section 12.12 below.</w:t>
      </w:r>
    </w:p>
    <w:p>
      <w:pPr>
        <w:spacing w:after="0" w:line="21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1.62</w:t>
      </w:r>
      <w:r>
        <w:rPr>
          <w:sz w:val="20"/>
          <w:szCs w:val="20"/>
          <w:color w:val="auto"/>
        </w:rPr>
        <w:tab/>
      </w:r>
      <w:r>
        <w:rPr>
          <w:rFonts w:ascii="Arial" w:cs="Arial" w:eastAsia="Arial" w:hAnsi="Arial"/>
          <w:sz w:val="19"/>
          <w:szCs w:val="19"/>
          <w:u w:val="single" w:color="auto"/>
          <w:color w:val="auto"/>
        </w:rPr>
        <w:t xml:space="preserve">“Relevant Standards” </w:t>
      </w:r>
      <w:r>
        <w:rPr>
          <w:rFonts w:ascii="Arial" w:cs="Arial" w:eastAsia="Arial" w:hAnsi="Arial"/>
          <w:sz w:val="19"/>
          <w:szCs w:val="19"/>
          <w:color w:val="auto"/>
        </w:rPr>
        <w:t>shall have the meaning as set forth in Section 12.8 below.</w:t>
      </w:r>
    </w:p>
    <w:p>
      <w:pPr>
        <w:spacing w:after="0" w:line="212"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“Sales Price”</w:t>
      </w:r>
      <w:r>
        <w:rPr>
          <w:rFonts w:ascii="Arial" w:cs="Arial" w:eastAsia="Arial" w:hAnsi="Arial"/>
          <w:sz w:val="21"/>
          <w:szCs w:val="21"/>
          <w:color w:val="auto"/>
        </w:rPr>
        <w:t xml:space="preserve"> shall mean the price per unit obtained by dividing the Net Sales during the relevant calendar quarter by the number of units sold during the same period.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15" w:lineRule="exact"/>
        <w:rPr>
          <w:sz w:val="20"/>
          <w:szCs w:val="20"/>
          <w:color w:val="auto"/>
        </w:rPr>
      </w:pPr>
    </w:p>
    <w:p>
      <w:pPr>
        <w:ind w:firstLine="7"/>
        <w:spacing w:after="0" w:line="275" w:lineRule="auto"/>
        <w:tabs>
          <w:tab w:leader="none" w:pos="25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6" w:name="page167"/>
    <w:bookmarkEnd w:id="166"/>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1.64</w:t>
      </w:r>
      <w:r>
        <w:rPr>
          <w:sz w:val="20"/>
          <w:szCs w:val="20"/>
          <w:color w:val="auto"/>
        </w:rPr>
        <w:tab/>
      </w:r>
      <w:r>
        <w:rPr>
          <w:rFonts w:ascii="Arial" w:cs="Arial" w:eastAsia="Arial" w:hAnsi="Arial"/>
          <w:sz w:val="19"/>
          <w:szCs w:val="19"/>
          <w:u w:val="single" w:color="auto"/>
          <w:color w:val="auto"/>
        </w:rPr>
        <w:t xml:space="preserve">“Standard Materials” </w:t>
      </w:r>
      <w:r>
        <w:rPr>
          <w:rFonts w:ascii="Arial" w:cs="Arial" w:eastAsia="Arial" w:hAnsi="Arial"/>
          <w:sz w:val="19"/>
          <w:szCs w:val="19"/>
          <w:color w:val="auto"/>
        </w:rPr>
        <w:t>shall have the meaning as set forth in Section 12.12 below.</w:t>
      </w:r>
    </w:p>
    <w:p>
      <w:pPr>
        <w:spacing w:after="0" w:line="212"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1.65 </w:t>
      </w:r>
      <w:r>
        <w:rPr>
          <w:rFonts w:ascii="Arial" w:cs="Arial" w:eastAsia="Arial" w:hAnsi="Arial"/>
          <w:sz w:val="21"/>
          <w:szCs w:val="21"/>
          <w:u w:val="single" w:color="auto"/>
          <w:color w:val="auto"/>
        </w:rPr>
        <w:t>“Sublicensee”</w:t>
      </w:r>
      <w:r>
        <w:rPr>
          <w:rFonts w:ascii="Arial" w:cs="Arial" w:eastAsia="Arial" w:hAnsi="Arial"/>
          <w:sz w:val="21"/>
          <w:szCs w:val="21"/>
          <w:color w:val="auto"/>
        </w:rPr>
        <w:t xml:space="preserve"> shall mean a third party to whom FG or Astellas has directly or indirectly granted the right in its respective territory to make, use and sell a Lead Compound or a third party to whom FG or Astellas has directly or indirectly granted the right to distribute a Lead Compound supplied by FG or Astellas (respectively). For purposes of this Agreement, FG and Astellas shall not be deemed Sublicensees of the other.</w:t>
      </w:r>
    </w:p>
    <w:p>
      <w:pPr>
        <w:spacing w:after="0" w:line="173"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1.66 </w:t>
      </w:r>
      <w:r>
        <w:rPr>
          <w:rFonts w:ascii="Arial" w:cs="Arial" w:eastAsia="Arial" w:hAnsi="Arial"/>
          <w:sz w:val="21"/>
          <w:szCs w:val="21"/>
          <w:u w:val="single" w:color="auto"/>
          <w:color w:val="auto"/>
        </w:rPr>
        <w:t>“Technical Product Failure”</w:t>
      </w:r>
      <w:r>
        <w:rPr>
          <w:rFonts w:ascii="Arial" w:cs="Arial" w:eastAsia="Arial" w:hAnsi="Arial"/>
          <w:sz w:val="21"/>
          <w:szCs w:val="21"/>
          <w:color w:val="auto"/>
        </w:rPr>
        <w:t xml:space="preserve"> shall mean as a [*], which is not attributed to Astellas’ failure to fulfill its obligations hereunder.</w:t>
      </w:r>
    </w:p>
    <w:p>
      <w:pPr>
        <w:spacing w:after="0" w:line="153"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1.67 </w:t>
      </w:r>
      <w:r>
        <w:rPr>
          <w:rFonts w:ascii="Arial" w:cs="Arial" w:eastAsia="Arial" w:hAnsi="Arial"/>
          <w:sz w:val="21"/>
          <w:szCs w:val="21"/>
          <w:u w:val="single" w:color="auto"/>
          <w:color w:val="auto"/>
        </w:rPr>
        <w:t>“Third Party Agreements”</w:t>
      </w:r>
      <w:r>
        <w:rPr>
          <w:rFonts w:ascii="Arial" w:cs="Arial" w:eastAsia="Arial" w:hAnsi="Arial"/>
          <w:sz w:val="21"/>
          <w:szCs w:val="21"/>
          <w:color w:val="auto"/>
        </w:rPr>
        <w:t xml:space="preserve"> shall mean collectively those agreements between FG and a third party existing as of the Effective Date, pursuant to which FG obtained rights applicable to the development, manufacture, sale or use of Lead Compounds hereunder (but excluding options or similar agreements to acquire such rights). If, after the Effective Date, FG enters into an agreement to license or acquire rights from a third party with respect to subject matter to be utilized in connection with Lead Compounds in accordance with Section 14.5 below, such agreements shall also be deemed Third Party Agreements for purposes of this Agreement.</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1.68</w:t>
      </w:r>
      <w:r>
        <w:rPr>
          <w:sz w:val="20"/>
          <w:szCs w:val="20"/>
          <w:color w:val="auto"/>
        </w:rPr>
        <w:tab/>
      </w:r>
      <w:r>
        <w:rPr>
          <w:rFonts w:ascii="Arial" w:cs="Arial" w:eastAsia="Arial" w:hAnsi="Arial"/>
          <w:sz w:val="19"/>
          <w:szCs w:val="19"/>
          <w:u w:val="single" w:color="auto"/>
          <w:color w:val="auto"/>
        </w:rPr>
        <w:t xml:space="preserve">“Third Party Licensor” </w:t>
      </w:r>
      <w:r>
        <w:rPr>
          <w:rFonts w:ascii="Arial" w:cs="Arial" w:eastAsia="Arial" w:hAnsi="Arial"/>
          <w:sz w:val="19"/>
          <w:szCs w:val="19"/>
          <w:color w:val="auto"/>
        </w:rPr>
        <w:t>shall have the meaning as set forth in Section 14.5.1 below.</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JOINT DEVELOPMENT COMMITTEE</w:t>
      </w:r>
    </w:p>
    <w:p>
      <w:pPr>
        <w:spacing w:after="0" w:line="194"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Joint Development Committee</w:t>
      </w:r>
      <w:r>
        <w:rPr>
          <w:rFonts w:ascii="Arial" w:cs="Arial" w:eastAsia="Arial" w:hAnsi="Arial"/>
          <w:sz w:val="21"/>
          <w:szCs w:val="21"/>
          <w:color w:val="auto"/>
        </w:rPr>
        <w:t>. Astellas and FG shall establish a joint development committee to oversee, review and coordinate the research and development of Lead Compounds for applications within the Field pursuant to the Development Program (“Joint Development Committee” or “JDC”). From time to time, the JDC may establish subcommittees or project teams to oversee particular projects or activities, and such subcommittees or project teams will be constituted as the JDC agrees (</w:t>
      </w:r>
      <w:r>
        <w:rPr>
          <w:rFonts w:ascii="Arial" w:cs="Arial" w:eastAsia="Arial" w:hAnsi="Arial"/>
          <w:sz w:val="21"/>
          <w:szCs w:val="21"/>
          <w:i w:val="1"/>
          <w:iCs w:val="1"/>
          <w:color w:val="auto"/>
        </w:rPr>
        <w:t>e.g.</w:t>
      </w:r>
      <w:r>
        <w:rPr>
          <w:rFonts w:ascii="Arial" w:cs="Arial" w:eastAsia="Arial" w:hAnsi="Arial"/>
          <w:sz w:val="21"/>
          <w:szCs w:val="21"/>
          <w:color w:val="auto"/>
        </w:rPr>
        <w:t>, for oversight of the development or other day-to-day matters).</w:t>
      </w:r>
    </w:p>
    <w:p>
      <w:pPr>
        <w:spacing w:after="0" w:line="178"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Membership</w:t>
      </w:r>
      <w:r>
        <w:rPr>
          <w:rFonts w:ascii="Arial" w:cs="Arial" w:eastAsia="Arial" w:hAnsi="Arial"/>
          <w:sz w:val="21"/>
          <w:szCs w:val="21"/>
          <w:color w:val="auto"/>
        </w:rPr>
        <w:t>. The JDC shall be comprised of an equal number of representatives from each of Astellas and FG, selected by such party. The exact number of such representatives shall be [*] for each of Astellas and FG, or such other number as the parties may agree. Subject to the foregoing provisions of this Section 2.2, FG and Astellas may replace its respective JDC representatives at any time, upon prior written notice to the other party.</w:t>
      </w:r>
    </w:p>
    <w:p>
      <w:pPr>
        <w:spacing w:after="0" w:line="167"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JDC Meetings</w:t>
      </w:r>
      <w:r>
        <w:rPr>
          <w:rFonts w:ascii="Arial" w:cs="Arial" w:eastAsia="Arial" w:hAnsi="Arial"/>
          <w:sz w:val="20"/>
          <w:szCs w:val="20"/>
          <w:color w:val="auto"/>
        </w:rPr>
        <w:t>. The JDC shall meet no fewer than [*</w:t>
      </w:r>
      <w:r>
        <w:rPr>
          <w:rFonts w:ascii="Arial" w:cs="Arial" w:eastAsia="Arial" w:hAnsi="Arial"/>
          <w:sz w:val="20"/>
          <w:szCs w:val="20"/>
          <w:b w:val="1"/>
          <w:bCs w:val="1"/>
          <w:color w:val="auto"/>
        </w:rPr>
        <w:t>]</w:t>
      </w:r>
      <w:r>
        <w:rPr>
          <w:rFonts w:ascii="Arial" w:cs="Arial" w:eastAsia="Arial" w:hAnsi="Arial"/>
          <w:sz w:val="20"/>
          <w:szCs w:val="20"/>
          <w:color w:val="auto"/>
        </w:rPr>
        <w:t xml:space="preserve"> times each calendar year, or as otherwise agreed by the parties, with the understanding that [*] meetings are to be held at mutually agreed locations alternating among Japan, California, Hawaii, or at such other locations as the parties agree, and the other [*] meetings are to be held by means of telecommunication,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15" w:lineRule="exact"/>
        <w:rPr>
          <w:sz w:val="20"/>
          <w:szCs w:val="20"/>
          <w:color w:val="auto"/>
        </w:rPr>
      </w:pPr>
    </w:p>
    <w:p>
      <w:pPr>
        <w:ind w:firstLine="7"/>
        <w:spacing w:after="0" w:line="275" w:lineRule="auto"/>
        <w:tabs>
          <w:tab w:leader="none" w:pos="258"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7" w:name="page168"/>
    <w:bookmarkEnd w:id="167"/>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videoconference or correspondence as deemed appropriate. The parties shall conduct team meetings at the same time and location as the JDC meetings. At its meetings, the JDC will, as applicable, (i) formulate and review the Development Program objectives, including approval of all proposed pre-clinical and clinical studies to be performed, (ii) monitor the progress of the Development Program toward those objectives, (iii) review and approve the Development Plan, pursuant to Section 3.3 of this Agreement, including review, approve and monitor the progress of the clinical and regulatory plans, (iv) resolve issues surrounding the marketing of the Lead Compounds, (v) discuss the selection of Lead Compounds, (vi) coordinate manufacturing issues, including the development of standards, scheduling of batch production, and qualification with regulatory requirements for the Astellas Territory,</w:t>
      </w:r>
    </w:p>
    <w:p>
      <w:pPr>
        <w:spacing w:after="0" w:line="5" w:lineRule="exact"/>
        <w:rPr>
          <w:sz w:val="20"/>
          <w:szCs w:val="20"/>
          <w:color w:val="auto"/>
        </w:rPr>
      </w:pPr>
    </w:p>
    <w:p>
      <w:pPr>
        <w:jc w:val="both"/>
        <w:ind w:firstLine="7"/>
        <w:spacing w:after="0" w:line="254" w:lineRule="auto"/>
        <w:tabs>
          <w:tab w:leader="none" w:pos="457"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resolve issues arising out of the Development Program or this Agreement, and (viii) undertake and/or approve such other matters as are specifically provided for the JDC under this Agreement. One meeting each year will be focused specifically on setting Development Program goals and strategy. Other representatives of FG or Astellas may attend JDC or subcommittee meetings as non-voting observers. Astellas’ lead representative shall chair the meetings and shall be responsible for preparing the agenda and minutes for such meetings, and shall provide such minutes to FG in English. Such minutes as approved by the JDC shall constitute the official record of the actions of the JDC. The JDC may also convene or be polled or consulted from time to time by means of telecommunications, videoconferences or correspondence, as deemed necessary or appropriate. Each party shall bear its own personnel, travel and lodging expenses relating to JDC meetings.</w:t>
      </w:r>
    </w:p>
    <w:p>
      <w:pPr>
        <w:spacing w:after="0" w:line="171"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Decisions</w:t>
      </w:r>
      <w:r>
        <w:rPr>
          <w:rFonts w:ascii="Arial" w:cs="Arial" w:eastAsia="Arial" w:hAnsi="Arial"/>
          <w:sz w:val="21"/>
          <w:szCs w:val="21"/>
          <w:color w:val="auto"/>
        </w:rPr>
        <w:t>. Decisions of the JDC shall be made by unanimous agreement of the members present in person or by other means (</w:t>
      </w:r>
      <w:r>
        <w:rPr>
          <w:rFonts w:ascii="Arial" w:cs="Arial" w:eastAsia="Arial" w:hAnsi="Arial"/>
          <w:sz w:val="21"/>
          <w:szCs w:val="21"/>
          <w:i w:val="1"/>
          <w:iCs w:val="1"/>
          <w:color w:val="auto"/>
        </w:rPr>
        <w:t>e.g.</w:t>
      </w:r>
      <w:r>
        <w:rPr>
          <w:rFonts w:ascii="Arial" w:cs="Arial" w:eastAsia="Arial" w:hAnsi="Arial"/>
          <w:sz w:val="21"/>
          <w:szCs w:val="21"/>
          <w:color w:val="auto"/>
        </w:rPr>
        <w:t>, teleconference) at any meeting; provided that at least two (2) representatives of each party is present at such meeting. In the event that the JDC is unable to reach unanimous agreement on an issue, the issue shall be referred for resolution in accordance with Article 19 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PLANS</w:t>
      </w:r>
    </w:p>
    <w:p>
      <w:pPr>
        <w:spacing w:after="0" w:line="19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General</w:t>
      </w:r>
      <w:r>
        <w:rPr>
          <w:rFonts w:ascii="Arial" w:cs="Arial" w:eastAsia="Arial" w:hAnsi="Arial"/>
          <w:sz w:val="21"/>
          <w:szCs w:val="21"/>
          <w:color w:val="auto"/>
        </w:rPr>
        <w:t>. Subject to Section 3.2 below, Astellas shall prepare and propose to the JDC a detailed Development Plan pursuant to which the Development Program will be performed. The Development Plan shall specify the objectives and work plan activities by Astellas with respect to the Development Program.</w:t>
      </w:r>
    </w:p>
    <w:p>
      <w:pPr>
        <w:spacing w:after="0" w:line="168"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0"/>
          <w:szCs w:val="20"/>
          <w:u w:val="single" w:color="auto"/>
          <w:color w:val="auto"/>
        </w:rPr>
        <w:t>Annual Review</w:t>
      </w:r>
    </w:p>
    <w:p>
      <w:pPr>
        <w:spacing w:after="0" w:line="212"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color w:val="auto"/>
        </w:rPr>
        <w:t xml:space="preserve">3.2.1 </w:t>
      </w:r>
      <w:r>
        <w:rPr>
          <w:rFonts w:ascii="Arial" w:cs="Arial" w:eastAsia="Arial" w:hAnsi="Arial"/>
          <w:sz w:val="21"/>
          <w:szCs w:val="21"/>
          <w:u w:val="single" w:color="auto"/>
          <w:color w:val="auto"/>
        </w:rPr>
        <w:t>Initial Development Plan.</w:t>
      </w:r>
      <w:r>
        <w:rPr>
          <w:rFonts w:ascii="Arial" w:cs="Arial" w:eastAsia="Arial" w:hAnsi="Arial"/>
          <w:sz w:val="21"/>
          <w:szCs w:val="21"/>
          <w:color w:val="auto"/>
        </w:rPr>
        <w:t xml:space="preserve"> The initial Development Plan is attached hereto as Exhibit C (the “Initial Development Plan”), and shall be fixed for the period from the Effective Date through March 31, 2006, unless otherwise agreed by the JDC.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15" w:lineRule="exact"/>
        <w:rPr>
          <w:sz w:val="20"/>
          <w:szCs w:val="20"/>
          <w:color w:val="auto"/>
        </w:rPr>
      </w:pPr>
    </w:p>
    <w:p>
      <w:pPr>
        <w:ind w:firstLine="7"/>
        <w:spacing w:after="0" w:line="275" w:lineRule="auto"/>
        <w:tabs>
          <w:tab w:leader="none" w:pos="258"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8" w:name="page169"/>
    <w:bookmarkEnd w:id="168"/>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2634"/>
        <w:spacing w:after="0" w:line="261" w:lineRule="auto"/>
        <w:rPr>
          <w:sz w:val="20"/>
          <w:szCs w:val="20"/>
          <w:color w:val="auto"/>
        </w:rPr>
      </w:pPr>
      <w:r>
        <w:rPr>
          <w:rFonts w:ascii="Arial" w:cs="Arial" w:eastAsia="Arial" w:hAnsi="Arial"/>
          <w:sz w:val="20"/>
          <w:szCs w:val="20"/>
          <w:color w:val="auto"/>
        </w:rPr>
        <w:t xml:space="preserve">3.2.2 </w:t>
      </w:r>
      <w:r>
        <w:rPr>
          <w:rFonts w:ascii="Arial" w:cs="Arial" w:eastAsia="Arial" w:hAnsi="Arial"/>
          <w:sz w:val="20"/>
          <w:szCs w:val="20"/>
          <w:u w:val="single" w:color="auto"/>
          <w:color w:val="auto"/>
        </w:rPr>
        <w:t>Other.</w:t>
      </w:r>
      <w:r>
        <w:rPr>
          <w:rFonts w:ascii="Arial" w:cs="Arial" w:eastAsia="Arial" w:hAnsi="Arial"/>
          <w:sz w:val="20"/>
          <w:szCs w:val="20"/>
          <w:color w:val="auto"/>
        </w:rPr>
        <w:t xml:space="preserve"> Beginning upon the date of signing of this Agreement and by December 31 of each year thereafter until expiration or termination of this Agreement, Astellas shall submit to the JDC the proposed plan required under Section 3.1 above for the following fiscal year, including for regulatory activities within the Astellas Territory. The JDC shall review such proposals as soon as possible and shall approve the Development Plan for such following fiscal year, with such changes as the JDC may agree to the plan proposed by Astellas, no later than March 15 of the current fiscal year.</w:t>
      </w:r>
    </w:p>
    <w:p>
      <w:pPr>
        <w:spacing w:after="0" w:line="165"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Periodic Reviews</w:t>
      </w:r>
      <w:r>
        <w:rPr>
          <w:rFonts w:ascii="Arial" w:cs="Arial" w:eastAsia="Arial" w:hAnsi="Arial"/>
          <w:sz w:val="21"/>
          <w:szCs w:val="21"/>
          <w:color w:val="auto"/>
        </w:rPr>
        <w:t>. The JDC shall review the Development Plan on an ongoing basis and may make changes thereto including variances to the Development Plan in effect.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PROGRAM</w:t>
      </w:r>
    </w:p>
    <w:p>
      <w:pPr>
        <w:spacing w:after="0" w:line="19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Development Program for the Astellas</w:t>
      </w:r>
      <w:r>
        <w:rPr>
          <w:rFonts w:ascii="Arial" w:cs="Arial" w:eastAsia="Arial" w:hAnsi="Arial"/>
          <w:sz w:val="20"/>
          <w:szCs w:val="20"/>
          <w:color w:val="auto"/>
        </w:rPr>
        <w:t xml:space="preserve"> Territory. Astellas shall follow FG’s development activities for the Lead Compounds, (i.e., Astellas shall develop, and shall have the right and obligation to develop, only those compounds that FG has designated as Lead Compounds, for the duration of such designation and for which FG or its Sublicensee is pursuing clinical development in the FG Territory), for those Indications being developed by FG or its sublicensee, and such Astellas development shall comply with, without limitation the procedures set forth in Section 11.3.1. In fulfillment thereof, Astellas shall conduct, directly or through third parties, the Development Program for the Astellas Territory, all in accordance with the Development Plan then in effect, and shall be responsible for all costs related to the Astellas Territory. Astellas agrees to keep the JDC informed as to the progress of its activities under the Development Program for Lead Compounds hereunder. FG shall, subject to Section 4.2.2, provide reasonable assistance to Astellas regarding Astellas’ performance of its development activities within the scope of the Development Program hereunder and provide updates to Astellas as to the FG Development Program. It is understood and agreed that the Development Program for the Astellas Territory shall include all clinical trials and other development activities necessary to obtain Marketing Approvals for Lead Compounds for the Astellas Territory.</w:t>
      </w:r>
    </w:p>
    <w:p>
      <w:pPr>
        <w:spacing w:after="0" w:line="177"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21"/>
          <w:szCs w:val="21"/>
          <w:color w:val="auto"/>
        </w:rPr>
        <w:t>4.2</w:t>
      </w:r>
      <w:r>
        <w:rPr>
          <w:sz w:val="20"/>
          <w:szCs w:val="20"/>
          <w:color w:val="auto"/>
        </w:rPr>
        <w:tab/>
      </w:r>
      <w:r>
        <w:rPr>
          <w:rFonts w:ascii="Arial" w:cs="Arial" w:eastAsia="Arial" w:hAnsi="Arial"/>
          <w:sz w:val="19"/>
          <w:szCs w:val="19"/>
          <w:u w:val="single" w:color="auto"/>
          <w:color w:val="auto"/>
        </w:rPr>
        <w:t>Global Harmonization</w:t>
      </w:r>
    </w:p>
    <w:p>
      <w:pPr>
        <w:spacing w:after="0" w:line="212"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1"/>
          <w:szCs w:val="21"/>
          <w:color w:val="auto"/>
        </w:rPr>
        <w:t xml:space="preserve">4.2.1 </w:t>
      </w:r>
      <w:r>
        <w:rPr>
          <w:rFonts w:ascii="Arial" w:cs="Arial" w:eastAsia="Arial" w:hAnsi="Arial"/>
          <w:sz w:val="21"/>
          <w:szCs w:val="21"/>
          <w:u w:val="single" w:color="auto"/>
          <w:color w:val="auto"/>
        </w:rPr>
        <w:t>Reporting; Redundant Activities.</w:t>
      </w:r>
      <w:r>
        <w:rPr>
          <w:rFonts w:ascii="Arial" w:cs="Arial" w:eastAsia="Arial" w:hAnsi="Arial"/>
          <w:sz w:val="21"/>
          <w:szCs w:val="21"/>
          <w:color w:val="auto"/>
        </w:rPr>
        <w:t xml:space="preserve"> FG shall provide to Astellas regular reports with respect to the FG Development Program with respect to the Lead Compounds. Such reports may be provided at the JDC meetings provided for in Section 2.3. Recognizing that the Lead Compounds may be developed on a global basis and that regulatory and budget efficiencies can be achieved through the worldwide use of appropriate data and files, the parties will seek to design pre-clinical and clinical development activities included in the Development Plan in a manner to maximize global clinical and regulatory harmonization.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15" w:lineRule="exact"/>
        <w:rPr>
          <w:sz w:val="20"/>
          <w:szCs w:val="20"/>
          <w:color w:val="auto"/>
        </w:rPr>
      </w:pPr>
    </w:p>
    <w:p>
      <w:pPr>
        <w:ind w:firstLine="7"/>
        <w:spacing w:after="0" w:line="275" w:lineRule="auto"/>
        <w:tabs>
          <w:tab w:leader="none" w:pos="258"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9" w:name="page170"/>
    <w:bookmarkEnd w:id="169"/>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color w:val="auto"/>
        </w:rPr>
        <w:t xml:space="preserve">4.2.2 </w:t>
      </w:r>
      <w:r>
        <w:rPr>
          <w:rFonts w:ascii="Arial" w:cs="Arial" w:eastAsia="Arial" w:hAnsi="Arial"/>
          <w:sz w:val="21"/>
          <w:szCs w:val="21"/>
          <w:u w:val="single" w:color="auto"/>
          <w:color w:val="auto"/>
        </w:rPr>
        <w:t>Additional Activities.</w:t>
      </w:r>
      <w:r>
        <w:rPr>
          <w:rFonts w:ascii="Arial" w:cs="Arial" w:eastAsia="Arial" w:hAnsi="Arial"/>
          <w:sz w:val="21"/>
          <w:szCs w:val="21"/>
          <w:color w:val="auto"/>
        </w:rPr>
        <w:t xml:space="preserve"> Without limiting the obligations set forth in 4.2.1, the costs of any non-clinical or clinical developmental work, whether performed by Astellas or FG, to support needs specific to the Astellas Territory and not required to be performed for the FG Territory, or at the request of Astellas, shall be borne by Astellas.</w:t>
      </w:r>
    </w:p>
    <w:p>
      <w:pPr>
        <w:spacing w:after="0" w:line="168"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Selection of Lead Compounds</w:t>
      </w:r>
      <w:r>
        <w:rPr>
          <w:rFonts w:ascii="Arial" w:cs="Arial" w:eastAsia="Arial" w:hAnsi="Arial"/>
          <w:sz w:val="20"/>
          <w:szCs w:val="20"/>
          <w:color w:val="auto"/>
        </w:rPr>
        <w:t>. FG shall consult with Astellas with respect to Lead Compound selection, and shall provide to Astellas information as reasonably necessary to evaluate Lead Compound candidates in connection with the Lead Compound selection process, including without limitation the information relating to patent situations in the Astellas Territory. For the avoidance of doubt, such Lead Compound candidates shall potentially include any and all compounds Controlled by FG during the term hereof for use in the Field. Notwithstanding anything contained in this Agreement, FG shall designate, at its sole discretion but in line with the basic policy that the same Lead Compound shall be Commercialized both in Astellas Territory and FG Territory for the same Indication(s), Lead Compound(s) in accordance with the terms of this Section 4.3, and shall notify the JDC of such designations. At any one time, FG may designate up to two (2) Lead Compounds for Commercialization in any Indication; provided, that in the event that FG designates two (2) Lead Compounds for Commercialization in an Indication, it shall designate one (1) as the primary Lead Compound and one (1) as the secondary Lead Compound. In the event FG determines to cease development of a primary Lead Compound in an Indication, FG may designate the secondary Lead Compound as the primary Lead Compound for such Indication. In the event, prior to Marketing Approval in the Astellas Territory, FG determines to stop development of a Lead Compound, FG shall notify the JDC, and upon such notification, such compound shall no longer be considered a Lead Compound; provided, however, that Astellas may complete those development activities on-going at the time of such notification for such Lead Compound for a reasonable period of time, unless such notification is based on safety concerns. In the event FG determines to [*], FG shall [*] within [*] days of such [*]. In the event that FG [*], Astellas may, subject to the [*], [*], provided, however, that the [*] shall apply upon the [*] set forth in such Sections, rather than the [*].</w:t>
      </w:r>
    </w:p>
    <w:p>
      <w:pPr>
        <w:spacing w:after="0" w:line="177"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21"/>
          <w:szCs w:val="21"/>
          <w:color w:val="auto"/>
        </w:rPr>
        <w:t>4.4</w:t>
      </w:r>
      <w:r>
        <w:rPr>
          <w:sz w:val="20"/>
          <w:szCs w:val="20"/>
          <w:color w:val="auto"/>
        </w:rPr>
        <w:tab/>
      </w:r>
      <w:r>
        <w:rPr>
          <w:rFonts w:ascii="Arial" w:cs="Arial" w:eastAsia="Arial" w:hAnsi="Arial"/>
          <w:sz w:val="19"/>
          <w:szCs w:val="19"/>
          <w:u w:val="single" w:color="auto"/>
          <w:color w:val="auto"/>
        </w:rPr>
        <w:t>Regulatory Matters</w:t>
      </w:r>
    </w:p>
    <w:p>
      <w:pPr>
        <w:spacing w:after="0" w:line="212" w:lineRule="exact"/>
        <w:rPr>
          <w:sz w:val="20"/>
          <w:szCs w:val="20"/>
          <w:color w:val="auto"/>
        </w:rPr>
      </w:pPr>
    </w:p>
    <w:p>
      <w:pPr>
        <w:jc w:val="both"/>
        <w:ind w:firstLine="2634"/>
        <w:spacing w:after="0" w:line="261" w:lineRule="auto"/>
        <w:rPr>
          <w:sz w:val="20"/>
          <w:szCs w:val="20"/>
          <w:color w:val="auto"/>
        </w:rPr>
      </w:pPr>
      <w:r>
        <w:rPr>
          <w:rFonts w:ascii="Arial" w:cs="Arial" w:eastAsia="Arial" w:hAnsi="Arial"/>
          <w:sz w:val="20"/>
          <w:szCs w:val="20"/>
          <w:color w:val="auto"/>
        </w:rPr>
        <w:t xml:space="preserve">4.4.1 </w:t>
      </w:r>
      <w:r>
        <w:rPr>
          <w:rFonts w:ascii="Arial" w:cs="Arial" w:eastAsia="Arial" w:hAnsi="Arial"/>
          <w:sz w:val="20"/>
          <w:szCs w:val="20"/>
          <w:u w:val="single" w:color="auto"/>
          <w:color w:val="auto"/>
        </w:rPr>
        <w:t>Regulatory Filing.</w:t>
      </w:r>
      <w:r>
        <w:rPr>
          <w:rFonts w:ascii="Arial" w:cs="Arial" w:eastAsia="Arial" w:hAnsi="Arial"/>
          <w:sz w:val="20"/>
          <w:szCs w:val="20"/>
          <w:color w:val="auto"/>
        </w:rPr>
        <w:t xml:space="preserve"> FG shall be responsible, directly or through third parties, for the preparation, filing and maintenance of all regulatory documents in the FG Territory with respect to the Lead Compound(s), which shall be filed in the name of FG or its designee. Astellas shall be responsible for all preparation, filing and maintenance of all regulatory documents in the Astellas Territory with respect to the Lead Compound(s), which shall be filed in the name of Astellas. Astellas shall select and own the trademark(s) to be used to identify any Lead Compound in the Astellas Territory.</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241"/>
        </w:trPr>
        <w:tc>
          <w:tcPr>
            <w:tcW w:w="3080" w:type="dxa"/>
            <w:vAlign w:val="bottom"/>
          </w:tcPr>
          <w:p>
            <w:pPr>
              <w:jc w:val="right"/>
              <w:ind w:right="533"/>
              <w:spacing w:after="0"/>
              <w:rPr>
                <w:sz w:val="20"/>
                <w:szCs w:val="20"/>
                <w:color w:val="auto"/>
              </w:rPr>
            </w:pPr>
            <w:r>
              <w:rPr>
                <w:rFonts w:ascii="Arial" w:cs="Arial" w:eastAsia="Arial" w:hAnsi="Arial"/>
                <w:sz w:val="21"/>
                <w:szCs w:val="21"/>
                <w:color w:val="auto"/>
              </w:rPr>
              <w:t>4.4.2</w:t>
            </w:r>
          </w:p>
        </w:tc>
        <w:tc>
          <w:tcPr>
            <w:tcW w:w="7720" w:type="dxa"/>
            <w:vAlign w:val="bottom"/>
            <w:gridSpan w:val="2"/>
          </w:tcPr>
          <w:p>
            <w:pPr>
              <w:spacing w:after="0"/>
              <w:rPr>
                <w:sz w:val="20"/>
                <w:szCs w:val="20"/>
                <w:color w:val="auto"/>
              </w:rPr>
            </w:pPr>
            <w:r>
              <w:rPr>
                <w:rFonts w:ascii="Arial" w:cs="Arial" w:eastAsia="Arial" w:hAnsi="Arial"/>
                <w:sz w:val="21"/>
                <w:szCs w:val="21"/>
                <w:color w:val="auto"/>
              </w:rPr>
              <w:t>Reporting Adverse Experiences</w:t>
            </w:r>
          </w:p>
        </w:tc>
      </w:tr>
      <w:tr>
        <w:trPr>
          <w:trHeight w:val="20"/>
        </w:trPr>
        <w:tc>
          <w:tcPr>
            <w:tcW w:w="308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471"/>
        </w:trPr>
        <w:tc>
          <w:tcPr>
            <w:tcW w:w="3080" w:type="dxa"/>
            <w:vAlign w:val="bottom"/>
          </w:tcPr>
          <w:p>
            <w:pPr>
              <w:jc w:val="right"/>
              <w:ind w:right="2733"/>
              <w:spacing w:after="0"/>
              <w:rPr>
                <w:sz w:val="20"/>
                <w:szCs w:val="20"/>
                <w:color w:val="auto"/>
              </w:rPr>
            </w:pPr>
            <w:r>
              <w:rPr>
                <w:rFonts w:ascii="Arial" w:cs="Arial" w:eastAsia="Arial" w:hAnsi="Arial"/>
                <w:sz w:val="21"/>
                <w:szCs w:val="21"/>
                <w:color w:val="auto"/>
                <w:w w:val="85"/>
              </w:rPr>
              <w:t>(a)</w:t>
            </w:r>
          </w:p>
        </w:tc>
        <w:tc>
          <w:tcPr>
            <w:tcW w:w="7720" w:type="dxa"/>
            <w:vAlign w:val="bottom"/>
            <w:gridSpan w:val="2"/>
          </w:tcPr>
          <w:p>
            <w:pPr>
              <w:ind w:left="960"/>
              <w:spacing w:after="0"/>
              <w:rPr>
                <w:sz w:val="20"/>
                <w:szCs w:val="20"/>
                <w:color w:val="auto"/>
              </w:rPr>
            </w:pPr>
            <w:r>
              <w:rPr>
                <w:rFonts w:ascii="Arial" w:cs="Arial" w:eastAsia="Arial" w:hAnsi="Arial"/>
                <w:sz w:val="21"/>
                <w:szCs w:val="21"/>
                <w:color w:val="auto"/>
                <w:w w:val="92"/>
              </w:rPr>
              <w:t>With respect to adverse drug experiences relating to any Lead Compound, the</w:t>
            </w:r>
          </w:p>
        </w:tc>
      </w:tr>
    </w:tbl>
    <w:p>
      <w:pPr>
        <w:ind w:left="2640"/>
        <w:spacing w:after="0" w:line="251" w:lineRule="auto"/>
        <w:rPr>
          <w:sz w:val="20"/>
          <w:szCs w:val="20"/>
          <w:color w:val="auto"/>
        </w:rPr>
      </w:pPr>
      <w:r>
        <w:rPr>
          <w:rFonts w:ascii="Arial" w:cs="Arial" w:eastAsia="Arial" w:hAnsi="Arial"/>
          <w:sz w:val="21"/>
          <w:szCs w:val="21"/>
          <w:color w:val="auto"/>
        </w:rPr>
        <w:t>parties shall promptly report such experiences to the appropriate regulatory authorities in the countries in which such Lead Compound is being developed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15" w:lineRule="exact"/>
        <w:rPr>
          <w:sz w:val="20"/>
          <w:szCs w:val="20"/>
          <w:color w:val="auto"/>
        </w:rPr>
      </w:pPr>
    </w:p>
    <w:p>
      <w:pPr>
        <w:ind w:firstLine="7"/>
        <w:spacing w:after="0" w:line="275" w:lineRule="auto"/>
        <w:tabs>
          <w:tab w:leader="none" w:pos="258"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0" w:name="page171"/>
    <w:bookmarkEnd w:id="170"/>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left="2640" w:firstLine="2027"/>
        <w:spacing w:after="0" w:line="253" w:lineRule="auto"/>
        <w:rPr>
          <w:sz w:val="20"/>
          <w:szCs w:val="20"/>
          <w:color w:val="auto"/>
        </w:rPr>
      </w:pPr>
      <w:r>
        <w:rPr>
          <w:rFonts w:ascii="Arial" w:cs="Arial" w:eastAsia="Arial" w:hAnsi="Arial"/>
          <w:sz w:val="20"/>
          <w:szCs w:val="20"/>
          <w:color w:val="auto"/>
        </w:rPr>
        <w:t>commercialized, in accordance with the appropriate laws and regulations of the relevant countries and authorities, and each party shall ensure that its Affiliates and Sublicensees comply with such reporting obligations. In addition, in order that each party may be fully informed of these experiences, each party shall report to the other party all “adverse events” involving such Lead Compound. “Serious adverse events” for all fatal and life-threatening adverse events shall be reported to the designated safety contact person of the other party by e-mail within five (5) calendar days of a party’s and/or its agent’s becoming aware of such an event (a “reporting party”), and all other serious adverse events shall be forwarded to the other party within seven (7) calendar days of the reporting party’s and/or its agent’s becoming aware of such an event. To the extent legally possible, FG and Astellas shall report to the other all serious adverse events with respect to a Lead Compound in the Field at least twenty-four (24) hours prior to reporting the same to a regulatory authority, and shall report adverse events which may constitute a dose limiting toxicity in a reasonably prompt time after the occurrence of such event. The reporting party shall report all non-serious adverse events on a monthly basis; provided that, non-serious adverse event data arising from a clinical trial will be included in the clinical trial report which shall be prepared and sent to the other party as soon as practicable following completion of the final clinical report.</w:t>
      </w:r>
    </w:p>
    <w:p>
      <w:pPr>
        <w:spacing w:after="0" w:line="179" w:lineRule="exact"/>
        <w:rPr>
          <w:sz w:val="20"/>
          <w:szCs w:val="20"/>
          <w:color w:val="auto"/>
        </w:rPr>
      </w:pPr>
    </w:p>
    <w:p>
      <w:pPr>
        <w:jc w:val="both"/>
        <w:ind w:firstLine="2641"/>
        <w:spacing w:after="0" w:line="249" w:lineRule="auto"/>
        <w:tabs>
          <w:tab w:leader="none" w:pos="3524"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 “adverse event” is any negative symptom experienced at the time of or after the taking of a medicinal (investigational) product, whether or not considered a medicinal (investigational) product related, including any side effects, injury, toxicity or sensitivity reaction, or significant failure of expected pharmacological action. Also included are instances of symptomatic overdose, abuse or withdrawal reactions.</w:t>
      </w:r>
    </w:p>
    <w:p>
      <w:pPr>
        <w:spacing w:after="0" w:line="172" w:lineRule="exact"/>
        <w:rPr>
          <w:rFonts w:ascii="Arial" w:cs="Arial" w:eastAsia="Arial" w:hAnsi="Arial"/>
          <w:sz w:val="21"/>
          <w:szCs w:val="21"/>
          <w:color w:val="auto"/>
        </w:rPr>
      </w:pPr>
    </w:p>
    <w:p>
      <w:pPr>
        <w:jc w:val="both"/>
        <w:ind w:firstLine="2641"/>
        <w:spacing w:after="0" w:line="246" w:lineRule="auto"/>
        <w:tabs>
          <w:tab w:leader="none" w:pos="3512"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“serious adverse event” includes any of the following outcomes: death, a life-threatening event; that is, an adverse event that puts the patient at risk of dying, requires hospitalization, prolongs existing hospitalization or results in persistent or significant incapacity or disability, congenital anomaly/birth defect. Other important medical events that may otherwise jeopardize a patient or may require intervention to prevent one of the statuses of patients listed in the preceding sentence shall also be considered serious.</w:t>
      </w:r>
    </w:p>
    <w:p>
      <w:pPr>
        <w:spacing w:after="0" w:line="177" w:lineRule="exact"/>
        <w:rPr>
          <w:rFonts w:ascii="Arial" w:cs="Arial" w:eastAsia="Arial" w:hAnsi="Arial"/>
          <w:sz w:val="21"/>
          <w:szCs w:val="21"/>
          <w:color w:val="auto"/>
        </w:rPr>
      </w:pPr>
    </w:p>
    <w:p>
      <w:pPr>
        <w:jc w:val="both"/>
        <w:ind w:firstLine="2641"/>
        <w:spacing w:after="0" w:line="256" w:lineRule="auto"/>
        <w:tabs>
          <w:tab w:leader="none" w:pos="3524"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parties also agree to develop and implement such other procedures as may be necessary or appropriate to ensure that each party remains in compliance with all reporting requirements imposed by any regulatory authority in the Astellas Territory, and in the FG Territory. Upon the Initiation of Phase III, FG shall implement and be responsible for the maintenance of a complete global safety database. FG will be responsible for preparing, with Astellas’ cooperation set forth below in this Section 4.4.2(d), Periodic Safety Reports for clinical studies requested by European and U.S. authorities, and Periodic Safety Update Reports (PSURs). FG shall send a draft PSUR for review to Astellas in the beginning of week 5 after database lock point. Astellas has one week for review. FG shall provide copies of the final PSURs to Astellas in the same timing as they are submitted to the authorities. Astellas will provide FG with the data needed for making the PSURs. Maintenance of Company Core Safety Information (CCSI) is under the responsibility of FG who will communicate all revisions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15" w:lineRule="exact"/>
        <w:rPr>
          <w:sz w:val="20"/>
          <w:szCs w:val="20"/>
          <w:color w:val="auto"/>
        </w:rPr>
      </w:pPr>
    </w:p>
    <w:p>
      <w:pPr>
        <w:ind w:firstLine="7"/>
        <w:spacing w:after="0" w:line="275" w:lineRule="auto"/>
        <w:tabs>
          <w:tab w:leader="none" w:pos="25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1" w:name="page172"/>
    <w:bookmarkEnd w:id="171"/>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Astellas. FG shall prepare the periodic safety reports for clinical studies requested by European and U.S. authorities and provide</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color w:val="auto"/>
        </w:rPr>
        <w:t>Astellas with the copy of such reports at the time of submission to the regulatory authorities in the FG Territory. Astellas will provide</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FG with the data needed for making such periodic safety reports.</w:t>
      </w:r>
    </w:p>
    <w:p>
      <w:pPr>
        <w:spacing w:after="0" w:line="194" w:lineRule="exact"/>
        <w:rPr>
          <w:sz w:val="20"/>
          <w:szCs w:val="20"/>
          <w:color w:val="auto"/>
        </w:rPr>
      </w:pPr>
    </w:p>
    <w:p>
      <w:pPr>
        <w:jc w:val="both"/>
        <w:ind w:firstLine="2641"/>
        <w:spacing w:after="0" w:line="249" w:lineRule="auto"/>
        <w:tabs>
          <w:tab w:leader="none" w:pos="3512" w:val="left"/>
        </w:tabs>
        <w:numPr>
          <w:ilvl w:val="0"/>
          <w:numId w:val="90"/>
        </w:numPr>
        <w:rPr>
          <w:rFonts w:ascii="Arial" w:cs="Arial" w:eastAsia="Arial" w:hAnsi="Arial"/>
          <w:sz w:val="21"/>
          <w:szCs w:val="21"/>
          <w:color w:val="auto"/>
        </w:rPr>
      </w:pPr>
      <w:r>
        <w:rPr>
          <w:rFonts w:ascii="Arial" w:cs="Arial" w:eastAsia="Arial" w:hAnsi="Arial"/>
          <w:sz w:val="21"/>
          <w:szCs w:val="21"/>
          <w:color w:val="auto"/>
        </w:rPr>
        <w:t>Each party shall immediately inform the other party of measures taken in order not to jeopardize public health or hygiene including but not limited to, discontinuation of manufacture, import and marketing, clinical trial suspension, recall and disposal of the Lead Compound or the product or the prescription product, irrespective of whether it is due to regulatory actions or voluntary actions.</w:t>
      </w:r>
    </w:p>
    <w:p>
      <w:pPr>
        <w:spacing w:after="0" w:line="172" w:lineRule="exact"/>
        <w:rPr>
          <w:rFonts w:ascii="Arial" w:cs="Arial" w:eastAsia="Arial" w:hAnsi="Arial"/>
          <w:sz w:val="21"/>
          <w:szCs w:val="21"/>
          <w:color w:val="auto"/>
        </w:rPr>
      </w:pPr>
    </w:p>
    <w:p>
      <w:pPr>
        <w:ind w:left="3500" w:hanging="859"/>
        <w:spacing w:after="0"/>
        <w:tabs>
          <w:tab w:leader="none" w:pos="3500" w:val="left"/>
        </w:tabs>
        <w:numPr>
          <w:ilvl w:val="0"/>
          <w:numId w:val="90"/>
        </w:numPr>
        <w:rPr>
          <w:rFonts w:ascii="Arial" w:cs="Arial" w:eastAsia="Arial" w:hAnsi="Arial"/>
          <w:sz w:val="21"/>
          <w:szCs w:val="21"/>
          <w:color w:val="auto"/>
        </w:rPr>
      </w:pPr>
      <w:r>
        <w:rPr>
          <w:rFonts w:ascii="Arial" w:cs="Arial" w:eastAsia="Arial" w:hAnsi="Arial"/>
          <w:sz w:val="21"/>
          <w:szCs w:val="21"/>
          <w:color w:val="auto"/>
        </w:rPr>
        <w:t>Both parties hereby nominate the safety contact persons as follows:</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Medical Affairs Department</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FibroGen, Inc.</w:t>
      </w:r>
    </w:p>
    <w:p>
      <w:pPr>
        <w:ind w:left="2640"/>
        <w:spacing w:after="0" w:line="238" w:lineRule="auto"/>
        <w:rPr>
          <w:sz w:val="20"/>
          <w:szCs w:val="20"/>
          <w:color w:val="auto"/>
        </w:rPr>
      </w:pPr>
      <w:r>
        <w:rPr>
          <w:rFonts w:ascii="Arial" w:cs="Arial" w:eastAsia="Arial" w:hAnsi="Arial"/>
          <w:sz w:val="21"/>
          <w:szCs w:val="21"/>
          <w:color w:val="auto"/>
        </w:rPr>
        <w:t>225 Gateway Boulevard</w:t>
      </w:r>
    </w:p>
    <w:p>
      <w:pPr>
        <w:ind w:left="2640"/>
        <w:spacing w:after="0"/>
        <w:rPr>
          <w:sz w:val="20"/>
          <w:szCs w:val="20"/>
          <w:color w:val="auto"/>
        </w:rPr>
      </w:pPr>
      <w:r>
        <w:rPr>
          <w:rFonts w:ascii="Arial" w:cs="Arial" w:eastAsia="Arial" w:hAnsi="Arial"/>
          <w:sz w:val="21"/>
          <w:szCs w:val="21"/>
          <w:color w:val="auto"/>
        </w:rPr>
        <w:t>San Francisco, California 94080</w:t>
      </w:r>
    </w:p>
    <w:p>
      <w:pPr>
        <w:ind w:left="2640"/>
        <w:spacing w:after="0" w:line="238" w:lineRule="auto"/>
        <w:rPr>
          <w:sz w:val="20"/>
          <w:szCs w:val="20"/>
          <w:color w:val="auto"/>
        </w:rPr>
      </w:pPr>
      <w:r>
        <w:rPr>
          <w:rFonts w:ascii="Arial" w:cs="Arial" w:eastAsia="Arial" w:hAnsi="Arial"/>
          <w:sz w:val="21"/>
          <w:szCs w:val="21"/>
          <w:color w:val="auto"/>
        </w:rPr>
        <w:t>Attn: Vice President, Medical Affairs</w:t>
      </w:r>
    </w:p>
    <w:p>
      <w:pPr>
        <w:ind w:left="2640"/>
        <w:spacing w:after="0"/>
        <w:rPr>
          <w:sz w:val="20"/>
          <w:szCs w:val="20"/>
          <w:color w:val="auto"/>
        </w:rPr>
      </w:pPr>
      <w:r>
        <w:rPr>
          <w:rFonts w:ascii="Arial" w:cs="Arial" w:eastAsia="Arial" w:hAnsi="Arial"/>
          <w:sz w:val="21"/>
          <w:szCs w:val="21"/>
          <w:color w:val="auto"/>
        </w:rPr>
        <w:t>Tel: 1-650-866-7875</w:t>
      </w:r>
    </w:p>
    <w:p>
      <w:pPr>
        <w:ind w:left="2640"/>
        <w:spacing w:after="0" w:line="238" w:lineRule="auto"/>
        <w:rPr>
          <w:sz w:val="20"/>
          <w:szCs w:val="20"/>
          <w:color w:val="auto"/>
        </w:rPr>
      </w:pPr>
      <w:r>
        <w:rPr>
          <w:rFonts w:ascii="Arial" w:cs="Arial" w:eastAsia="Arial" w:hAnsi="Arial"/>
          <w:sz w:val="21"/>
          <w:szCs w:val="21"/>
          <w:color w:val="auto"/>
        </w:rPr>
        <w:t>Fax: 1-650-866-7360</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E-mail:dyeowell@fibrogen.com</w:t>
      </w:r>
    </w:p>
    <w:p>
      <w:pPr>
        <w:spacing w:after="0" w:line="194"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With a copy to:</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Chief Executive Officer</w:t>
      </w:r>
    </w:p>
    <w:p>
      <w:pPr>
        <w:ind w:left="2640"/>
        <w:spacing w:after="0" w:line="238" w:lineRule="auto"/>
        <w:rPr>
          <w:sz w:val="20"/>
          <w:szCs w:val="20"/>
          <w:color w:val="auto"/>
        </w:rPr>
      </w:pPr>
      <w:r>
        <w:rPr>
          <w:rFonts w:ascii="Arial" w:cs="Arial" w:eastAsia="Arial" w:hAnsi="Arial"/>
          <w:sz w:val="21"/>
          <w:szCs w:val="21"/>
          <w:color w:val="auto"/>
        </w:rPr>
        <w:t>FibroGen, Inc.</w:t>
      </w:r>
    </w:p>
    <w:p>
      <w:pPr>
        <w:ind w:left="2640"/>
        <w:spacing w:after="0"/>
        <w:rPr>
          <w:sz w:val="20"/>
          <w:szCs w:val="20"/>
          <w:color w:val="auto"/>
        </w:rPr>
      </w:pPr>
      <w:r>
        <w:rPr>
          <w:rFonts w:ascii="Arial" w:cs="Arial" w:eastAsia="Arial" w:hAnsi="Arial"/>
          <w:sz w:val="21"/>
          <w:szCs w:val="21"/>
          <w:color w:val="auto"/>
        </w:rPr>
        <w:t>225 Gateway Boulevard</w:t>
      </w:r>
    </w:p>
    <w:p>
      <w:pPr>
        <w:ind w:left="2640"/>
        <w:spacing w:after="0" w:line="238" w:lineRule="auto"/>
        <w:rPr>
          <w:sz w:val="20"/>
          <w:szCs w:val="20"/>
          <w:color w:val="auto"/>
        </w:rPr>
      </w:pPr>
      <w:r>
        <w:rPr>
          <w:rFonts w:ascii="Arial" w:cs="Arial" w:eastAsia="Arial" w:hAnsi="Arial"/>
          <w:sz w:val="21"/>
          <w:szCs w:val="21"/>
          <w:color w:val="auto"/>
        </w:rPr>
        <w:t>San Francisco, California 94080</w:t>
      </w:r>
    </w:p>
    <w:p>
      <w:pPr>
        <w:ind w:left="2640"/>
        <w:spacing w:after="0"/>
        <w:rPr>
          <w:sz w:val="20"/>
          <w:szCs w:val="20"/>
          <w:color w:val="auto"/>
        </w:rPr>
      </w:pPr>
      <w:r>
        <w:rPr>
          <w:rFonts w:ascii="Arial" w:cs="Arial" w:eastAsia="Arial" w:hAnsi="Arial"/>
          <w:sz w:val="21"/>
          <w:szCs w:val="21"/>
          <w:color w:val="auto"/>
        </w:rPr>
        <w:t>Tel: 1-650-866-7200</w:t>
      </w:r>
    </w:p>
    <w:p>
      <w:pPr>
        <w:ind w:left="2640"/>
        <w:spacing w:after="0" w:line="238" w:lineRule="auto"/>
        <w:rPr>
          <w:sz w:val="20"/>
          <w:szCs w:val="20"/>
          <w:color w:val="auto"/>
        </w:rPr>
      </w:pPr>
      <w:r>
        <w:rPr>
          <w:rFonts w:ascii="Arial" w:cs="Arial" w:eastAsia="Arial" w:hAnsi="Arial"/>
          <w:sz w:val="21"/>
          <w:szCs w:val="21"/>
          <w:color w:val="auto"/>
        </w:rPr>
        <w:t>Fax: 1-650-866-7201</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E-mail:tneff@fibrogen.com</w:t>
      </w:r>
    </w:p>
    <w:p>
      <w:pPr>
        <w:spacing w:after="0" w:line="194"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Pharmacovigilance Department, QA, RA, and</w:t>
      </w:r>
    </w:p>
    <w:p>
      <w:pPr>
        <w:spacing w:after="0" w:line="16"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Pharmacovigilance Division</w:t>
      </w:r>
    </w:p>
    <w:p>
      <w:pPr>
        <w:ind w:left="2640"/>
        <w:spacing w:after="0" w:line="238" w:lineRule="auto"/>
        <w:rPr>
          <w:sz w:val="20"/>
          <w:szCs w:val="20"/>
          <w:color w:val="auto"/>
        </w:rPr>
      </w:pPr>
      <w:r>
        <w:rPr>
          <w:rFonts w:ascii="Arial" w:cs="Arial" w:eastAsia="Arial" w:hAnsi="Arial"/>
          <w:sz w:val="21"/>
          <w:szCs w:val="21"/>
          <w:color w:val="auto"/>
        </w:rPr>
        <w:t>Astellas Pharma Inc.</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21"/>
          <w:szCs w:val="21"/>
          <w:color w:val="auto"/>
        </w:rPr>
        <w:t>[*]</w:t>
      </w:r>
    </w:p>
    <w:p>
      <w:pPr>
        <w:spacing w:after="0" w:line="194"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The safety contact persons for each party hereto may be updated from time to time as necessary upon</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notice to the other party.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15" w:lineRule="exact"/>
        <w:rPr>
          <w:sz w:val="20"/>
          <w:szCs w:val="20"/>
          <w:color w:val="auto"/>
        </w:rPr>
      </w:pPr>
    </w:p>
    <w:p>
      <w:pPr>
        <w:ind w:firstLine="7"/>
        <w:spacing w:after="0" w:line="275" w:lineRule="auto"/>
        <w:tabs>
          <w:tab w:leader="none" w:pos="25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2" w:name="page173"/>
    <w:bookmarkEnd w:id="172"/>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RECORDKEEPING; PUBLICATION</w:t>
      </w:r>
    </w:p>
    <w:p>
      <w:pPr>
        <w:spacing w:after="0" w:line="194"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Reports and Records</w:t>
      </w:r>
      <w:r>
        <w:rPr>
          <w:rFonts w:ascii="Arial" w:cs="Arial" w:eastAsia="Arial" w:hAnsi="Arial"/>
          <w:sz w:val="20"/>
          <w:szCs w:val="20"/>
          <w:color w:val="auto"/>
        </w:rPr>
        <w:t>. Each of Astellas and FG shall use best efforts to maintain (or cause such records to be maintained) records of the Development Program and FG Development Program, respectively, in sufficient detail and in good scientific manner as will properly reflect all work done and results achieved in the performance of the Development Program or FG Development Program, as the case may be. Upon [*] days advance notice or such shorter time period as may be required in order to meet any regulatory requirements, each party shall allow the other party to have access to all records, materials and data generated by or on behalf of such party with respect to each Lead Compound for applications within the Field at reasonable times, in a reasonable manner and, upon request, to the extent required under Article 7 hereof.</w:t>
      </w:r>
    </w:p>
    <w:p>
      <w:pPr>
        <w:spacing w:after="0" w:line="165" w:lineRule="exact"/>
        <w:rPr>
          <w:sz w:val="20"/>
          <w:szCs w:val="20"/>
          <w:color w:val="auto"/>
        </w:rPr>
      </w:pPr>
    </w:p>
    <w:p>
      <w:pPr>
        <w:jc w:val="both"/>
        <w:ind w:firstLine="2634"/>
        <w:spacing w:after="0" w:line="294" w:lineRule="auto"/>
        <w:rPr>
          <w:sz w:val="20"/>
          <w:szCs w:val="20"/>
          <w:color w:val="auto"/>
        </w:rPr>
      </w:pPr>
      <w:r>
        <w:rPr>
          <w:rFonts w:ascii="Arial" w:cs="Arial" w:eastAsia="Arial" w:hAnsi="Arial"/>
          <w:sz w:val="20"/>
          <w:szCs w:val="20"/>
          <w:color w:val="auto"/>
        </w:rPr>
        <w:t xml:space="preserve">5.1.1 </w:t>
      </w:r>
      <w:r>
        <w:rPr>
          <w:rFonts w:ascii="Arial" w:cs="Arial" w:eastAsia="Arial" w:hAnsi="Arial"/>
          <w:sz w:val="20"/>
          <w:szCs w:val="20"/>
          <w:u w:val="single" w:color="auto"/>
          <w:color w:val="auto"/>
        </w:rPr>
        <w:t>Retention.</w:t>
      </w:r>
      <w:r>
        <w:rPr>
          <w:rFonts w:ascii="Arial" w:cs="Arial" w:eastAsia="Arial" w:hAnsi="Arial"/>
          <w:sz w:val="20"/>
          <w:szCs w:val="20"/>
          <w:color w:val="auto"/>
        </w:rPr>
        <w:t xml:space="preserve"> Each of Astellas and FG shall retain its records for the minimum period of time required by applicable law in all cases, and for not less than [*] following the expiration or termination of this Agreement.</w:t>
      </w:r>
    </w:p>
    <w:p>
      <w:pPr>
        <w:spacing w:after="0" w:line="131"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5.1.2 </w:t>
      </w:r>
      <w:r>
        <w:rPr>
          <w:rFonts w:ascii="Arial" w:cs="Arial" w:eastAsia="Arial" w:hAnsi="Arial"/>
          <w:sz w:val="21"/>
          <w:szCs w:val="21"/>
          <w:u w:val="single" w:color="auto"/>
          <w:color w:val="auto"/>
        </w:rPr>
        <w:t>Reports.</w:t>
      </w:r>
      <w:r>
        <w:rPr>
          <w:rFonts w:ascii="Arial" w:cs="Arial" w:eastAsia="Arial" w:hAnsi="Arial"/>
          <w:sz w:val="21"/>
          <w:szCs w:val="21"/>
          <w:color w:val="auto"/>
        </w:rPr>
        <w:t xml:space="preserve"> Not less than [*] prior to each JDC meeting under Section 2.3 above, each of Astellas and FG shall provide the JDC with a written report in English; Astellas’ report summarizing the progress of the Development Program, including the developmental, clinical and other activities performed by Astellas, its Affiliates and/or Sublicensees with respect to each Lead Compound during the preceding period; and FG’s report summarizing the progress of the FG Development Program.</w:t>
      </w:r>
    </w:p>
    <w:p>
      <w:pPr>
        <w:spacing w:after="0" w:line="178"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Activities Outside the Field.</w:t>
      </w:r>
      <w:r>
        <w:rPr>
          <w:rFonts w:ascii="Arial" w:cs="Arial" w:eastAsia="Arial" w:hAnsi="Arial"/>
          <w:sz w:val="21"/>
          <w:szCs w:val="21"/>
          <w:color w:val="auto"/>
        </w:rPr>
        <w:t xml:space="preserve"> The parties understand and acknowledge that FG is engaged in other research and development activities directed to prolyl hydroxylase inhibition and/or the stabilization of HIF, and that the focus of this collaboration and the Development Program is directed to the Field. Accordingly, it is understood that, notwithstanding any other provision of this Agreement, the obligations of FG specified herein to make available and disclose to Astellas data, technical information, scientific results and findings and other subject matter is limited in each case to subject matter directed to Lead Compounds within the Field.</w:t>
      </w:r>
    </w:p>
    <w:p>
      <w:pPr>
        <w:spacing w:after="0" w:line="182"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Review of Publications</w:t>
      </w:r>
      <w:r>
        <w:rPr>
          <w:rFonts w:ascii="Arial" w:cs="Arial" w:eastAsia="Arial" w:hAnsi="Arial"/>
          <w:sz w:val="21"/>
          <w:szCs w:val="21"/>
          <w:color w:val="auto"/>
        </w:rPr>
        <w:t>. As soon as is practicable prior to the oral public disclosure, and prior to the submission to any outside person for publication of scientific data resulting from the Development Program, in each case to the extent the contents of the oral disclosure or publication have not been previously disclosed pursuant to this Section 5.2 before such proposed disclosure, FG or Astellas, as the case may be, shall provide to the other party a copy of the publication, or a written summary of any oral disclosure, to be made or submitted, and shall allow the other party at least [*], to determine whether such disclosure or publication contains subject matter for which patent protection should be sought prior to publication or which either party believes should be modified to avoid disclosure of Confidential Information or regulatory or other issues. With respect to publications by investigators or other third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15" w:lineRule="exact"/>
        <w:rPr>
          <w:sz w:val="20"/>
          <w:szCs w:val="20"/>
          <w:color w:val="auto"/>
        </w:rPr>
      </w:pPr>
    </w:p>
    <w:p>
      <w:pPr>
        <w:ind w:firstLine="7"/>
        <w:spacing w:after="0" w:line="275" w:lineRule="auto"/>
        <w:tabs>
          <w:tab w:leader="none" w:pos="258"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3" w:name="page174"/>
    <w:bookmarkEnd w:id="173"/>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spacing w:after="0" w:line="269" w:lineRule="auto"/>
        <w:rPr>
          <w:sz w:val="20"/>
          <w:szCs w:val="20"/>
          <w:color w:val="auto"/>
        </w:rPr>
      </w:pPr>
      <w:r>
        <w:rPr>
          <w:rFonts w:ascii="Arial" w:cs="Arial" w:eastAsia="Arial" w:hAnsi="Arial"/>
          <w:sz w:val="21"/>
          <w:szCs w:val="21"/>
          <w:color w:val="auto"/>
        </w:rPr>
        <w:t>of scientific data resulting from the Development Program, such disclosures and publications shall also be subject to review by the reviewing party under this Section 5.2.</w:t>
      </w:r>
    </w:p>
    <w:p>
      <w:pPr>
        <w:spacing w:after="0" w:line="153" w:lineRule="exact"/>
        <w:rPr>
          <w:sz w:val="20"/>
          <w:szCs w:val="20"/>
          <w:color w:val="auto"/>
        </w:rPr>
      </w:pPr>
    </w:p>
    <w:p>
      <w:pPr>
        <w:ind w:left="2640"/>
        <w:spacing w:after="0"/>
        <w:tabs>
          <w:tab w:leader="none" w:pos="3680" w:val="left"/>
        </w:tabs>
        <w:rPr>
          <w:sz w:val="20"/>
          <w:szCs w:val="20"/>
          <w:color w:val="auto"/>
        </w:rPr>
      </w:pPr>
      <w:r>
        <w:rPr>
          <w:rFonts w:ascii="Arial" w:cs="Arial" w:eastAsia="Arial" w:hAnsi="Arial"/>
          <w:sz w:val="21"/>
          <w:szCs w:val="21"/>
          <w:color w:val="auto"/>
        </w:rPr>
        <w:t>5.2.1</w:t>
      </w:r>
      <w:r>
        <w:rPr>
          <w:sz w:val="20"/>
          <w:szCs w:val="20"/>
          <w:color w:val="auto"/>
        </w:rPr>
        <w:tab/>
      </w:r>
      <w:r>
        <w:rPr>
          <w:rFonts w:ascii="Arial" w:cs="Arial" w:eastAsia="Arial" w:hAnsi="Arial"/>
          <w:sz w:val="20"/>
          <w:szCs w:val="20"/>
          <w:u w:val="single" w:color="auto"/>
          <w:color w:val="auto"/>
        </w:rPr>
        <w:t xml:space="preserve">Publication Rights. </w:t>
      </w:r>
      <w:r>
        <w:rPr>
          <w:rFonts w:ascii="Arial" w:cs="Arial" w:eastAsia="Arial" w:hAnsi="Arial"/>
          <w:sz w:val="20"/>
          <w:szCs w:val="20"/>
          <w:color w:val="auto"/>
        </w:rPr>
        <w:t>Subject to the provisions of Articles 7 and 16, after the expiration of</w:t>
      </w:r>
    </w:p>
    <w:p>
      <w:pPr>
        <w:spacing w:after="0" w:line="17" w:lineRule="exact"/>
        <w:rPr>
          <w:sz w:val="20"/>
          <w:szCs w:val="20"/>
          <w:color w:val="auto"/>
        </w:rPr>
      </w:pPr>
    </w:p>
    <w:p>
      <w:pPr>
        <w:jc w:val="both"/>
        <w:ind w:firstLine="7"/>
        <w:spacing w:after="0" w:line="245" w:lineRule="auto"/>
        <w:tabs>
          <w:tab w:leader="none" w:pos="325" w:val="left"/>
        </w:tabs>
        <w:numPr>
          <w:ilvl w:val="0"/>
          <w:numId w:val="93"/>
        </w:numPr>
        <w:rPr>
          <w:rFonts w:ascii="Arial" w:cs="Arial" w:eastAsia="Arial" w:hAnsi="Arial"/>
          <w:sz w:val="21"/>
          <w:szCs w:val="21"/>
          <w:color w:val="auto"/>
        </w:rPr>
      </w:pPr>
      <w:r>
        <w:rPr>
          <w:rFonts w:ascii="Arial" w:cs="Arial" w:eastAsia="Arial" w:hAnsi="Arial"/>
          <w:sz w:val="21"/>
          <w:szCs w:val="21"/>
          <w:color w:val="auto"/>
        </w:rPr>
        <w:t>from the date of receipt of such disclosure or publication, unless the authoring party has received the written notice specified below, the authoring party shall be free to submit such publication or to orally disclose or publish the disclosed research results in any manner consistent with academic standards.</w:t>
      </w:r>
    </w:p>
    <w:p>
      <w:pPr>
        <w:spacing w:after="0" w:line="177"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5.2.2 </w:t>
      </w:r>
      <w:r>
        <w:rPr>
          <w:rFonts w:ascii="Arial" w:cs="Arial" w:eastAsia="Arial" w:hAnsi="Arial"/>
          <w:sz w:val="21"/>
          <w:szCs w:val="21"/>
          <w:u w:val="single" w:color="auto"/>
          <w:color w:val="auto"/>
        </w:rPr>
        <w:t>Disapproval of Publication.</w:t>
      </w:r>
      <w:r>
        <w:rPr>
          <w:rFonts w:ascii="Arial" w:cs="Arial" w:eastAsia="Arial" w:hAnsi="Arial"/>
          <w:sz w:val="21"/>
          <w:szCs w:val="21"/>
          <w:color w:val="auto"/>
        </w:rPr>
        <w:t xml:space="preserve"> Prior to the expiration of the [*] period specified in Section 5.2.1 above, the reviewing party may notify in writing the submitting party of its determination that such oral presentation or publication contains Confidential Information of the reviewing party or objectionable material or material that consists of patentable subject matter of the reviewing party for which patent protection should be sought. In such event, and unless otherwise mutually agreed, the submitting party shall withhold publication of its disclosure.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DEVELOPMENT PROGRAM FUNDING</w:t>
      </w:r>
    </w:p>
    <w:p>
      <w:pPr>
        <w:spacing w:after="0" w:line="194"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Payments for Reimbursement; Net Payments</w:t>
      </w:r>
      <w:r>
        <w:rPr>
          <w:rFonts w:ascii="Arial" w:cs="Arial" w:eastAsia="Arial" w:hAnsi="Arial"/>
          <w:sz w:val="20"/>
          <w:szCs w:val="20"/>
          <w:color w:val="auto"/>
        </w:rPr>
        <w:t>. FG hereby acknowledges receipt of U.S. $[*] on February 13, 2004, U.S. $[*] on January 28, 2005, and U.S. $[*] on March 22, 2005 as initial payments for reimbursement of historical research and development expenditures for the Lead Compounds. Astellas agrees to pay to FG the amounts set forth in Section 6.1.1 below. The parties hereto acknowledge that the Development Program hereunder involves a high degree of risk and uncertainty; accordingly, both parties hereto expressly disclaim any implied warranty as to the results of the Development Program.</w:t>
      </w:r>
    </w:p>
    <w:p>
      <w:pPr>
        <w:spacing w:after="0" w:line="165"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Reimbursement Payments.</w:t>
      </w:r>
      <w:r>
        <w:rPr>
          <w:rFonts w:ascii="Arial" w:cs="Arial" w:eastAsia="Arial" w:hAnsi="Arial"/>
          <w:sz w:val="21"/>
          <w:szCs w:val="21"/>
          <w:color w:val="auto"/>
        </w:rPr>
        <w:t xml:space="preserve"> As reimbursement and payment for FG’s historical research and development expenditures with respect to pre-clinical and clinical development of Lead Compounds, Astellas agrees to make the following non-refundable, non-creditable (except as set forth in Section 14.3 below) reimbursement payments to FG upon the first occurrence of each event specified below (each, an “Event”):</w:t>
      </w:r>
    </w:p>
    <w:p>
      <w:pPr>
        <w:sectPr>
          <w:pgSz w:w="11900" w:h="16838" w:orient="portrait"/>
          <w:cols w:equalWidth="0" w:num="1">
            <w:col w:w="11420"/>
          </w:cols>
          <w:pgMar w:left="240" w:top="118" w:right="239" w:bottom="1440" w:gutter="0" w:footer="0" w:header="0"/>
        </w:sectPr>
      </w:pPr>
    </w:p>
    <w:p>
      <w:pPr>
        <w:spacing w:after="0" w:line="171"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EVENT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w:t>
      </w:r>
    </w:p>
    <w:p>
      <w:pPr>
        <w:spacing w:after="0" w:line="24" w:lineRule="exact"/>
        <w:rPr>
          <w:sz w:val="20"/>
          <w:szCs w:val="20"/>
          <w:color w:val="auto"/>
        </w:rPr>
      </w:pPr>
    </w:p>
    <w:p>
      <w:pPr>
        <w:sectPr>
          <w:pgSz w:w="11900" w:h="16838" w:orient="portrait"/>
          <w:cols w:equalWidth="0" w:num="2">
            <w:col w:w="8820" w:space="720"/>
            <w:col w:w="1880"/>
          </w:cols>
          <w:pgMar w:left="240" w:top="118" w:right="239" w:bottom="1440" w:gutter="0" w:footer="0" w:header="0"/>
          <w:type w:val="continuous"/>
        </w:sectPr>
      </w:pPr>
    </w:p>
    <w:p>
      <w:pPr>
        <w:spacing w:after="0"/>
        <w:rPr>
          <w:sz w:val="20"/>
          <w:szCs w:val="20"/>
          <w:color w:val="auto"/>
        </w:rPr>
      </w:pPr>
      <w:r>
        <w:rPr>
          <w:rFonts w:ascii="Arial" w:cs="Arial" w:eastAsia="Arial" w:hAnsi="Arial"/>
          <w:sz w:val="20"/>
          <w:szCs w:val="20"/>
          <w:color w:val="auto"/>
        </w:rPr>
        <w:t>1.Upon [*], provided, that U.S. $[*] million of such amount shall be paid no later than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U.S. $[*]</w:t>
      </w:r>
    </w:p>
    <w:p>
      <w:pPr>
        <w:spacing w:after="0" w:line="16" w:lineRule="exact"/>
        <w:rPr>
          <w:sz w:val="20"/>
          <w:szCs w:val="20"/>
          <w:color w:val="auto"/>
        </w:rPr>
      </w:pPr>
    </w:p>
    <w:p>
      <w:pPr>
        <w:sectPr>
          <w:pgSz w:w="11900" w:h="16838" w:orient="portrait"/>
          <w:cols w:equalWidth="0" w:num="2">
            <w:col w:w="8880" w:space="720"/>
            <w:col w:w="1820"/>
          </w:cols>
          <w:pgMar w:left="240" w:top="118" w:right="239" w:bottom="1440" w:gutter="0" w:footer="0" w:header="0"/>
          <w:type w:val="continuous"/>
        </w:sectPr>
      </w:pPr>
    </w:p>
    <w:p>
      <w:pPr>
        <w:ind w:left="640"/>
        <w:spacing w:after="0"/>
        <w:rPr>
          <w:sz w:val="20"/>
          <w:szCs w:val="20"/>
          <w:color w:val="auto"/>
        </w:rPr>
      </w:pPr>
      <w:r>
        <w:rPr>
          <w:rFonts w:ascii="Arial" w:cs="Arial" w:eastAsia="Arial" w:hAnsi="Arial"/>
          <w:sz w:val="19"/>
          <w:szCs w:val="19"/>
          <w:color w:val="auto"/>
        </w:rPr>
        <w:t>irrespective of whether the [*] has occurred.</w:t>
      </w:r>
    </w:p>
    <w:p>
      <w:pPr>
        <w:sectPr>
          <w:pgSz w:w="11900" w:h="16838" w:orient="portrait"/>
          <w:cols w:equalWidth="0" w:num="1">
            <w:col w:w="11420"/>
          </w:cols>
          <w:pgMar w:left="240" w:top="118"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2. Upon each of [*], for a total of U.S. $[*]</w:t>
      </w:r>
    </w:p>
    <w:p>
      <w:pPr>
        <w:spacing w:after="0"/>
        <w:rPr>
          <w:sz w:val="20"/>
          <w:szCs w:val="20"/>
          <w:color w:val="auto"/>
        </w:rPr>
      </w:pPr>
      <w:r>
        <w:rPr>
          <w:rFonts w:ascii="Arial" w:cs="Arial" w:eastAsia="Arial" w:hAnsi="Arial"/>
          <w:sz w:val="19"/>
          <w:szCs w:val="19"/>
          <w:color w:val="auto"/>
        </w:rPr>
        <w:t>3.Upon Initiation of the first Phase III clinical trial in the Astellas Territory or in the event that</w:t>
      </w:r>
    </w:p>
    <w:p>
      <w:pPr>
        <w:spacing w:after="0" w:line="20" w:lineRule="exact"/>
        <w:rPr>
          <w:sz w:val="20"/>
          <w:szCs w:val="20"/>
          <w:color w:val="auto"/>
        </w:rPr>
      </w:pPr>
      <w:r>
        <w:rPr>
          <w:sz w:val="20"/>
          <w:szCs w:val="20"/>
          <w:color w:val="auto"/>
        </w:rPr>
        <w:br w:type="column"/>
      </w:r>
    </w:p>
    <w:p>
      <w:pPr>
        <w:jc w:val="center"/>
        <w:ind w:right="680"/>
        <w:spacing w:after="0"/>
        <w:rPr>
          <w:sz w:val="20"/>
          <w:szCs w:val="20"/>
          <w:color w:val="auto"/>
        </w:rPr>
      </w:pPr>
      <w:r>
        <w:rPr>
          <w:rFonts w:ascii="Arial" w:cs="Arial" w:eastAsia="Arial" w:hAnsi="Arial"/>
          <w:sz w:val="21"/>
          <w:szCs w:val="21"/>
          <w:color w:val="auto"/>
        </w:rPr>
        <w:t>U.S. $[*]</w:t>
      </w:r>
    </w:p>
    <w:p>
      <w:pPr>
        <w:jc w:val="center"/>
        <w:ind w:right="680"/>
        <w:spacing w:after="0"/>
        <w:rPr>
          <w:sz w:val="20"/>
          <w:szCs w:val="20"/>
          <w:color w:val="auto"/>
        </w:rPr>
      </w:pPr>
      <w:r>
        <w:rPr>
          <w:rFonts w:ascii="Arial" w:cs="Arial" w:eastAsia="Arial" w:hAnsi="Arial"/>
          <w:sz w:val="19"/>
          <w:szCs w:val="19"/>
          <w:color w:val="auto"/>
        </w:rPr>
        <w:t>U.S. $10,000,000</w:t>
      </w:r>
    </w:p>
    <w:p>
      <w:pPr>
        <w:spacing w:after="0" w:line="36" w:lineRule="exact"/>
        <w:rPr>
          <w:sz w:val="20"/>
          <w:szCs w:val="20"/>
          <w:color w:val="auto"/>
        </w:rPr>
      </w:pPr>
    </w:p>
    <w:p>
      <w:pPr>
        <w:sectPr>
          <w:pgSz w:w="11900" w:h="16838" w:orient="portrait"/>
          <w:cols w:equalWidth="0" w:num="2">
            <w:col w:w="8520" w:space="720"/>
            <w:col w:w="2180"/>
          </w:cols>
          <w:pgMar w:left="240" w:top="118" w:right="239" w:bottom="1440" w:gutter="0" w:footer="0" w:header="0"/>
          <w:type w:val="continuous"/>
        </w:sectPr>
      </w:pPr>
    </w:p>
    <w:p>
      <w:pPr>
        <w:ind w:left="640" w:right="2880"/>
        <w:spacing w:after="0" w:line="238" w:lineRule="auto"/>
        <w:rPr>
          <w:sz w:val="20"/>
          <w:szCs w:val="20"/>
          <w:color w:val="auto"/>
        </w:rPr>
      </w:pPr>
      <w:r>
        <w:rPr>
          <w:rFonts w:ascii="Arial" w:cs="Arial" w:eastAsia="Arial" w:hAnsi="Arial"/>
          <w:sz w:val="21"/>
          <w:szCs w:val="21"/>
          <w:color w:val="auto"/>
        </w:rPr>
        <w:t>Astellas chooses to utilize the Bridging Strategy, the payment shall be made concurrent with the payment required in paragraph 4 of this Section 6.1.1 below.</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118" w:right="239" w:bottom="1440" w:gutter="0" w:footer="0" w:header="0"/>
          <w:type w:val="continuous"/>
        </w:sectPr>
      </w:pPr>
    </w:p>
    <w:p>
      <w:pPr>
        <w:spacing w:after="0" w:line="215" w:lineRule="exact"/>
        <w:rPr>
          <w:sz w:val="20"/>
          <w:szCs w:val="20"/>
          <w:color w:val="auto"/>
        </w:rPr>
      </w:pPr>
    </w:p>
    <w:p>
      <w:pPr>
        <w:ind w:firstLine="7"/>
        <w:spacing w:after="0" w:line="275" w:lineRule="auto"/>
        <w:tabs>
          <w:tab w:leader="none" w:pos="258"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4" w:name="page175"/>
    <w:bookmarkEnd w:id="174"/>
    <w:p>
      <w:pPr>
        <w:spacing w:after="0"/>
        <w:rPr>
          <w:sz w:val="20"/>
          <w:szCs w:val="20"/>
          <w:color w:val="auto"/>
        </w:rPr>
      </w:pPr>
      <w:r>
        <w:rPr>
          <w:rFonts w:ascii="Arial" w:cs="Arial" w:eastAsia="Arial" w:hAnsi="Arial"/>
          <w:sz w:val="21"/>
          <w:szCs w:val="21"/>
          <w:color w:val="auto"/>
        </w:rPr>
        <w:t>CONFIDENTIAL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EXECUTION COPY</w:t>
      </w:r>
    </w:p>
    <w:p>
      <w:pPr>
        <w:spacing w:after="0" w:line="211" w:lineRule="exact"/>
        <w:rPr>
          <w:sz w:val="20"/>
          <w:szCs w:val="20"/>
          <w:color w:val="auto"/>
        </w:rPr>
      </w:pPr>
    </w:p>
    <w:p>
      <w:pPr>
        <w:sectPr>
          <w:pgSz w:w="11900" w:h="16838" w:orient="portrait"/>
          <w:cols w:equalWidth="0" w:num="2">
            <w:col w:w="8860" w:space="720"/>
            <w:col w:w="1840"/>
          </w:cols>
          <w:pgMar w:left="240" w:top="118" w:right="239" w:bottom="1440" w:gutter="0" w:footer="0" w:header="0"/>
        </w:sectPr>
      </w:pPr>
    </w:p>
    <w:p>
      <w:pPr>
        <w:spacing w:after="0" w:line="11"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EVENT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auto"/>
        </w:rPr>
        <w:t>AMOUNT</w:t>
      </w:r>
    </w:p>
    <w:p>
      <w:pPr>
        <w:spacing w:after="0" w:line="24" w:lineRule="exact"/>
        <w:rPr>
          <w:sz w:val="20"/>
          <w:szCs w:val="20"/>
          <w:color w:val="auto"/>
        </w:rPr>
      </w:pPr>
    </w:p>
    <w:p>
      <w:pPr>
        <w:sectPr>
          <w:pgSz w:w="11900" w:h="16838" w:orient="portrait"/>
          <w:cols w:equalWidth="0" w:num="2">
            <w:col w:w="8820" w:space="720"/>
            <w:col w:w="1880"/>
          </w:cols>
          <w:pgMar w:left="240" w:top="118" w:right="239" w:bottom="1440" w:gutter="0" w:footer="0" w:header="0"/>
          <w:type w:val="continuous"/>
        </w:sectPr>
      </w:pPr>
    </w:p>
    <w:p>
      <w:pPr>
        <w:spacing w:after="0"/>
        <w:rPr>
          <w:sz w:val="20"/>
          <w:szCs w:val="20"/>
          <w:color w:val="auto"/>
        </w:rPr>
      </w:pPr>
      <w:r>
        <w:rPr>
          <w:rFonts w:ascii="Arial" w:cs="Arial" w:eastAsia="Arial" w:hAnsi="Arial"/>
          <w:sz w:val="20"/>
          <w:szCs w:val="20"/>
          <w:color w:val="auto"/>
        </w:rPr>
        <w:t>4.Upon the first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U.S. $[*]</w:t>
      </w:r>
    </w:p>
    <w:p>
      <w:pPr>
        <w:spacing w:after="0" w:line="198" w:lineRule="exact"/>
        <w:rPr>
          <w:sz w:val="20"/>
          <w:szCs w:val="20"/>
          <w:color w:val="auto"/>
        </w:rPr>
      </w:pPr>
    </w:p>
    <w:p>
      <w:pPr>
        <w:sectPr>
          <w:pgSz w:w="11900" w:h="16838" w:orient="portrait"/>
          <w:cols w:equalWidth="0" w:num="2">
            <w:col w:w="8880" w:space="720"/>
            <w:col w:w="1820"/>
          </w:cols>
          <w:pgMar w:left="240" w:top="118" w:right="239" w:bottom="1440" w:gutter="0" w:footer="0" w:header="0"/>
          <w:type w:val="continuous"/>
        </w:sectPr>
      </w:pPr>
    </w:p>
    <w:p>
      <w:pPr>
        <w:jc w:val="both"/>
        <w:ind w:firstLine="2634"/>
        <w:spacing w:after="0" w:line="265" w:lineRule="auto"/>
        <w:rPr>
          <w:sz w:val="20"/>
          <w:szCs w:val="20"/>
          <w:color w:val="auto"/>
        </w:rPr>
      </w:pPr>
      <w:r>
        <w:rPr>
          <w:rFonts w:ascii="Arial" w:cs="Arial" w:eastAsia="Arial" w:hAnsi="Arial"/>
          <w:sz w:val="19"/>
          <w:szCs w:val="19"/>
          <w:color w:val="auto"/>
        </w:rPr>
        <w:t xml:space="preserve">6.1.2 </w:t>
      </w:r>
      <w:r>
        <w:rPr>
          <w:rFonts w:ascii="Arial" w:cs="Arial" w:eastAsia="Arial" w:hAnsi="Arial"/>
          <w:sz w:val="19"/>
          <w:szCs w:val="19"/>
          <w:u w:val="single" w:color="auto"/>
          <w:color w:val="auto"/>
        </w:rPr>
        <w:t>Product Approval Payments.</w:t>
      </w:r>
      <w:r>
        <w:rPr>
          <w:rFonts w:ascii="Arial" w:cs="Arial" w:eastAsia="Arial" w:hAnsi="Arial"/>
          <w:sz w:val="19"/>
          <w:szCs w:val="19"/>
          <w:color w:val="auto"/>
        </w:rPr>
        <w:t xml:space="preserve"> As reimbursement and payment for FG’s historical and ongoing research and development expenditures with respect to pre-clinical and clinical development of Lead Compounds and as payment for the successful marketing and sales of Lead Compound(s), Astellas agrees to make the following non-refundable, non-creditable (except as set forth in Section 14.3 below) reimbursement payments to FG upon the first occurrence of each Event (other than paragraph 5 of this Section 6.1.2 below) specified below. Notwithstanding the foregoing, in the event that Astellas decides not to pursue Commercialization in [*] set forth in paragraph 3 or 4 of this Section 6.1.2, the milestone payment associated with the [*] set forth in paragraph 3 shall be due and payable upon the first [*] of either [*], and the milestone payment associated with the [*] set forth in paragraph 4 shall be due and payable upon the second [*] for a [*]; and in the event Astellas decides to pursue only [*] set forth in paragraph 3 or 4 of this Section 6.1.2, and pursues Commercialization of either of the [*], the milestone payment for associated with the [*] for the [*] shall be due and payable upon the first [*] for a [*]; and in the event that Astellas decides to pursue</w:t>
      </w:r>
    </w:p>
    <w:p>
      <w:pPr>
        <w:spacing w:after="0" w:line="9" w:lineRule="exact"/>
        <w:rPr>
          <w:sz w:val="20"/>
          <w:szCs w:val="20"/>
          <w:color w:val="auto"/>
        </w:rPr>
      </w:pPr>
    </w:p>
    <w:p>
      <w:pPr>
        <w:jc w:val="both"/>
        <w:ind w:firstLine="7"/>
        <w:spacing w:after="0" w:line="245" w:lineRule="auto"/>
        <w:tabs>
          <w:tab w:leader="none" w:pos="314" w:val="left"/>
        </w:tabs>
        <w:numPr>
          <w:ilvl w:val="0"/>
          <w:numId w:val="95"/>
        </w:numPr>
        <w:rPr>
          <w:rFonts w:ascii="Arial" w:cs="Arial" w:eastAsia="Arial" w:hAnsi="Arial"/>
          <w:sz w:val="21"/>
          <w:szCs w:val="21"/>
          <w:color w:val="auto"/>
        </w:rPr>
      </w:pPr>
      <w:r>
        <w:rPr>
          <w:rFonts w:ascii="Arial" w:cs="Arial" w:eastAsia="Arial" w:hAnsi="Arial"/>
          <w:sz w:val="21"/>
          <w:szCs w:val="21"/>
          <w:color w:val="auto"/>
        </w:rPr>
        <w:t>set forth in paragraphs 3 and 4 of this Section 6.1.2 and also does not pursue [*], the parties shall a [*] for which the milestone payments associated with the [*] set forth in paragraph(s) 3 and/or 4 of this Section 6.1.2, as the case may be, shall be due, as negotiated in good faith by the parties hereto.</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ind w:left="3940"/>
              <w:spacing w:after="0"/>
              <w:rPr>
                <w:sz w:val="20"/>
                <w:szCs w:val="20"/>
                <w:color w:val="auto"/>
              </w:rPr>
            </w:pPr>
            <w:r>
              <w:rPr>
                <w:rFonts w:ascii="Arial" w:cs="Arial" w:eastAsia="Arial" w:hAnsi="Arial"/>
                <w:sz w:val="20"/>
                <w:szCs w:val="20"/>
                <w:b w:val="1"/>
                <w:bCs w:val="1"/>
                <w:color w:val="auto"/>
              </w:rPr>
              <w:t>EVENT</w:t>
            </w:r>
          </w:p>
        </w:tc>
        <w:tc>
          <w:tcPr>
            <w:tcW w:w="1420" w:type="dxa"/>
            <w:vAlign w:val="bottom"/>
          </w:tcPr>
          <w:p>
            <w:pPr>
              <w:jc w:val="center"/>
              <w:ind w:left="415"/>
              <w:spacing w:after="0"/>
              <w:rPr>
                <w:sz w:val="20"/>
                <w:szCs w:val="20"/>
                <w:color w:val="auto"/>
              </w:rPr>
            </w:pPr>
            <w:r>
              <w:rPr>
                <w:rFonts w:ascii="Arial" w:cs="Arial" w:eastAsia="Arial" w:hAnsi="Arial"/>
                <w:sz w:val="20"/>
                <w:szCs w:val="20"/>
                <w:b w:val="1"/>
                <w:bCs w:val="1"/>
                <w:color w:val="auto"/>
              </w:rPr>
              <w:t>AMOUNT</w:t>
            </w:r>
          </w:p>
        </w:tc>
      </w:tr>
      <w:tr>
        <w:trPr>
          <w:trHeight w:val="240"/>
        </w:trPr>
        <w:tc>
          <w:tcPr>
            <w:tcW w:w="9020" w:type="dxa"/>
            <w:vAlign w:val="bottom"/>
          </w:tcPr>
          <w:p>
            <w:pPr>
              <w:spacing w:after="0" w:line="240" w:lineRule="exact"/>
              <w:rPr>
                <w:sz w:val="20"/>
                <w:szCs w:val="20"/>
                <w:color w:val="auto"/>
              </w:rPr>
            </w:pPr>
            <w:r>
              <w:rPr>
                <w:rFonts w:ascii="Arial" w:cs="Arial" w:eastAsia="Arial" w:hAnsi="Arial"/>
                <w:sz w:val="21"/>
                <w:szCs w:val="21"/>
                <w:color w:val="auto"/>
              </w:rPr>
              <w:t>1.Upon the first [*] for the [*]; provided, that in the event Astellas chooses the Bridging Strategy,</w:t>
            </w:r>
          </w:p>
        </w:tc>
        <w:tc>
          <w:tcPr>
            <w:tcW w:w="1420" w:type="dxa"/>
            <w:vAlign w:val="bottom"/>
          </w:tcPr>
          <w:p>
            <w:pPr>
              <w:jc w:val="center"/>
              <w:ind w:left="415"/>
              <w:spacing w:after="0" w:line="240" w:lineRule="exact"/>
              <w:rPr>
                <w:sz w:val="20"/>
                <w:szCs w:val="20"/>
                <w:color w:val="auto"/>
              </w:rPr>
            </w:pPr>
            <w:r>
              <w:rPr>
                <w:rFonts w:ascii="Arial" w:cs="Arial" w:eastAsia="Arial" w:hAnsi="Arial"/>
                <w:sz w:val="21"/>
                <w:szCs w:val="21"/>
                <w:color w:val="auto"/>
                <w:w w:val="99"/>
              </w:rPr>
              <w:t>U.S. $[*]</w:t>
            </w:r>
          </w:p>
        </w:tc>
      </w:tr>
      <w:tr>
        <w:trPr>
          <w:trHeight w:val="234"/>
        </w:trPr>
        <w:tc>
          <w:tcPr>
            <w:tcW w:w="9020" w:type="dxa"/>
            <w:vAlign w:val="bottom"/>
          </w:tcPr>
          <w:p>
            <w:pPr>
              <w:ind w:left="640"/>
              <w:spacing w:after="0" w:line="234" w:lineRule="exact"/>
              <w:rPr>
                <w:sz w:val="20"/>
                <w:szCs w:val="20"/>
                <w:color w:val="auto"/>
              </w:rPr>
            </w:pPr>
            <w:r>
              <w:rPr>
                <w:rFonts w:ascii="Arial" w:cs="Arial" w:eastAsia="Arial" w:hAnsi="Arial"/>
                <w:sz w:val="21"/>
                <w:szCs w:val="21"/>
                <w:color w:val="auto"/>
              </w:rPr>
              <w:t>such payment shall be increased by an additional U.S. $[*] for a total of U.S. $[*]</w:t>
            </w:r>
          </w:p>
        </w:tc>
        <w:tc>
          <w:tcPr>
            <w:tcW w:w="1420" w:type="dxa"/>
            <w:vAlign w:val="bottom"/>
          </w:tcPr>
          <w:p>
            <w:pPr>
              <w:spacing w:after="0"/>
              <w:rPr>
                <w:sz w:val="20"/>
                <w:szCs w:val="20"/>
                <w:color w:val="auto"/>
              </w:rPr>
            </w:pPr>
          </w:p>
        </w:tc>
      </w:tr>
      <w:tr>
        <w:trPr>
          <w:trHeight w:val="246"/>
        </w:trPr>
        <w:tc>
          <w:tcPr>
            <w:tcW w:w="9020" w:type="dxa"/>
            <w:vAlign w:val="bottom"/>
          </w:tcPr>
          <w:p>
            <w:pPr>
              <w:spacing w:after="0"/>
              <w:rPr>
                <w:sz w:val="20"/>
                <w:szCs w:val="20"/>
                <w:color w:val="auto"/>
              </w:rPr>
            </w:pPr>
            <w:r>
              <w:rPr>
                <w:rFonts w:ascii="Arial" w:cs="Arial" w:eastAsia="Arial" w:hAnsi="Arial"/>
                <w:sz w:val="21"/>
                <w:szCs w:val="21"/>
                <w:color w:val="auto"/>
              </w:rPr>
              <w:t>2.Upon the first [*] in the Astellas Territory for the [*]</w:t>
            </w:r>
            <w:r>
              <w:rPr>
                <w:rFonts w:ascii="Arial" w:cs="Arial" w:eastAsia="Arial" w:hAnsi="Arial"/>
                <w:sz w:val="21"/>
                <w:szCs w:val="21"/>
                <w:b w:val="1"/>
                <w:bCs w:val="1"/>
                <w:color w:val="auto"/>
              </w:rPr>
              <w:t>;</w:t>
            </w:r>
            <w:r>
              <w:rPr>
                <w:rFonts w:ascii="Arial" w:cs="Arial" w:eastAsia="Arial" w:hAnsi="Arial"/>
                <w:sz w:val="21"/>
                <w:szCs w:val="21"/>
                <w:color w:val="auto"/>
              </w:rPr>
              <w:t xml:space="preserve"> provided, that in the event Astellas chooses</w:t>
            </w:r>
          </w:p>
        </w:tc>
        <w:tc>
          <w:tcPr>
            <w:tcW w:w="1420" w:type="dxa"/>
            <w:vAlign w:val="bottom"/>
          </w:tcPr>
          <w:p>
            <w:pPr>
              <w:jc w:val="center"/>
              <w:ind w:left="415"/>
              <w:spacing w:after="0"/>
              <w:rPr>
                <w:sz w:val="20"/>
                <w:szCs w:val="20"/>
                <w:color w:val="auto"/>
              </w:rPr>
            </w:pPr>
            <w:r>
              <w:rPr>
                <w:rFonts w:ascii="Arial" w:cs="Arial" w:eastAsia="Arial" w:hAnsi="Arial"/>
                <w:sz w:val="21"/>
                <w:szCs w:val="21"/>
                <w:color w:val="auto"/>
                <w:w w:val="99"/>
              </w:rPr>
              <w:t>U.S. $[*]</w:t>
            </w:r>
          </w:p>
        </w:tc>
      </w:tr>
      <w:tr>
        <w:trPr>
          <w:trHeight w:val="240"/>
        </w:trPr>
        <w:tc>
          <w:tcPr>
            <w:tcW w:w="9020" w:type="dxa"/>
            <w:vAlign w:val="bottom"/>
          </w:tcPr>
          <w:p>
            <w:pPr>
              <w:ind w:left="640"/>
              <w:spacing w:after="0" w:line="240" w:lineRule="exact"/>
              <w:rPr>
                <w:sz w:val="20"/>
                <w:szCs w:val="20"/>
                <w:color w:val="auto"/>
              </w:rPr>
            </w:pPr>
            <w:r>
              <w:rPr>
                <w:rFonts w:ascii="Arial" w:cs="Arial" w:eastAsia="Arial" w:hAnsi="Arial"/>
                <w:sz w:val="21"/>
                <w:szCs w:val="21"/>
                <w:color w:val="auto"/>
                <w:w w:val="99"/>
              </w:rPr>
              <w:t>the Bridging Strategy, such payment shall be increased by an additional U.S. $[*] for a total</w:t>
            </w:r>
          </w:p>
        </w:tc>
        <w:tc>
          <w:tcPr>
            <w:tcW w:w="1420" w:type="dxa"/>
            <w:vAlign w:val="bottom"/>
          </w:tcPr>
          <w:p>
            <w:pPr>
              <w:spacing w:after="0"/>
              <w:rPr>
                <w:sz w:val="20"/>
                <w:szCs w:val="20"/>
                <w:color w:val="auto"/>
              </w:rPr>
            </w:pPr>
          </w:p>
        </w:tc>
      </w:tr>
      <w:tr>
        <w:trPr>
          <w:trHeight w:val="240"/>
        </w:trPr>
        <w:tc>
          <w:tcPr>
            <w:tcW w:w="9020" w:type="dxa"/>
            <w:vAlign w:val="bottom"/>
          </w:tcPr>
          <w:p>
            <w:pPr>
              <w:ind w:left="640"/>
              <w:spacing w:after="0" w:line="240" w:lineRule="exact"/>
              <w:rPr>
                <w:sz w:val="20"/>
                <w:szCs w:val="20"/>
                <w:color w:val="auto"/>
              </w:rPr>
            </w:pPr>
            <w:r>
              <w:rPr>
                <w:rFonts w:ascii="Arial" w:cs="Arial" w:eastAsia="Arial" w:hAnsi="Arial"/>
                <w:sz w:val="21"/>
                <w:szCs w:val="21"/>
                <w:color w:val="auto"/>
              </w:rPr>
              <w:t>of U.S. $[*].</w:t>
            </w:r>
          </w:p>
        </w:tc>
        <w:tc>
          <w:tcPr>
            <w:tcW w:w="1420" w:type="dxa"/>
            <w:vAlign w:val="bottom"/>
          </w:tcPr>
          <w:p>
            <w:pPr>
              <w:spacing w:after="0"/>
              <w:rPr>
                <w:sz w:val="20"/>
                <w:szCs w:val="20"/>
                <w:color w:val="auto"/>
              </w:rPr>
            </w:pPr>
          </w:p>
        </w:tc>
      </w:tr>
      <w:tr>
        <w:trPr>
          <w:trHeight w:val="240"/>
        </w:trPr>
        <w:tc>
          <w:tcPr>
            <w:tcW w:w="9020" w:type="dxa"/>
            <w:vAlign w:val="bottom"/>
          </w:tcPr>
          <w:p>
            <w:pPr>
              <w:spacing w:after="0" w:line="240" w:lineRule="exact"/>
              <w:rPr>
                <w:sz w:val="20"/>
                <w:szCs w:val="20"/>
                <w:color w:val="auto"/>
              </w:rPr>
            </w:pPr>
            <w:r>
              <w:rPr>
                <w:rFonts w:ascii="Arial" w:cs="Arial" w:eastAsia="Arial" w:hAnsi="Arial"/>
                <w:sz w:val="21"/>
                <w:szCs w:val="21"/>
                <w:color w:val="auto"/>
              </w:rPr>
              <w:t>3.Upon the first [*] in the Astellas Territory for the [*]; provided, that in the event Astellas chooses</w:t>
            </w:r>
          </w:p>
        </w:tc>
        <w:tc>
          <w:tcPr>
            <w:tcW w:w="1420" w:type="dxa"/>
            <w:vAlign w:val="bottom"/>
          </w:tcPr>
          <w:p>
            <w:pPr>
              <w:jc w:val="center"/>
              <w:ind w:left="415"/>
              <w:spacing w:after="0" w:line="240" w:lineRule="exact"/>
              <w:rPr>
                <w:sz w:val="20"/>
                <w:szCs w:val="20"/>
                <w:color w:val="auto"/>
              </w:rPr>
            </w:pPr>
            <w:r>
              <w:rPr>
                <w:rFonts w:ascii="Arial" w:cs="Arial" w:eastAsia="Arial" w:hAnsi="Arial"/>
                <w:sz w:val="21"/>
                <w:szCs w:val="21"/>
                <w:color w:val="auto"/>
                <w:w w:val="99"/>
              </w:rPr>
              <w:t>U.S. $[*]</w:t>
            </w:r>
          </w:p>
        </w:tc>
      </w:tr>
      <w:tr>
        <w:trPr>
          <w:trHeight w:val="240"/>
        </w:trPr>
        <w:tc>
          <w:tcPr>
            <w:tcW w:w="9020" w:type="dxa"/>
            <w:vAlign w:val="bottom"/>
          </w:tcPr>
          <w:p>
            <w:pPr>
              <w:ind w:left="640"/>
              <w:spacing w:after="0" w:line="240" w:lineRule="exact"/>
              <w:rPr>
                <w:sz w:val="20"/>
                <w:szCs w:val="20"/>
                <w:color w:val="auto"/>
              </w:rPr>
            </w:pPr>
            <w:r>
              <w:rPr>
                <w:rFonts w:ascii="Arial" w:cs="Arial" w:eastAsia="Arial" w:hAnsi="Arial"/>
                <w:sz w:val="21"/>
                <w:szCs w:val="21"/>
                <w:color w:val="auto"/>
                <w:w w:val="99"/>
              </w:rPr>
              <w:t>the Bridging Strategy, such payment shall be increased by an additional U.S. $[*] for a total</w:t>
            </w:r>
          </w:p>
        </w:tc>
        <w:tc>
          <w:tcPr>
            <w:tcW w:w="1420" w:type="dxa"/>
            <w:vAlign w:val="bottom"/>
          </w:tcPr>
          <w:p>
            <w:pPr>
              <w:spacing w:after="0"/>
              <w:rPr>
                <w:sz w:val="20"/>
                <w:szCs w:val="20"/>
                <w:color w:val="auto"/>
              </w:rPr>
            </w:pPr>
          </w:p>
        </w:tc>
      </w:tr>
      <w:tr>
        <w:trPr>
          <w:trHeight w:val="240"/>
        </w:trPr>
        <w:tc>
          <w:tcPr>
            <w:tcW w:w="9020" w:type="dxa"/>
            <w:vAlign w:val="bottom"/>
          </w:tcPr>
          <w:p>
            <w:pPr>
              <w:ind w:left="640"/>
              <w:spacing w:after="0" w:line="240" w:lineRule="exact"/>
              <w:rPr>
                <w:sz w:val="20"/>
                <w:szCs w:val="20"/>
                <w:color w:val="auto"/>
              </w:rPr>
            </w:pPr>
            <w:r>
              <w:rPr>
                <w:rFonts w:ascii="Arial" w:cs="Arial" w:eastAsia="Arial" w:hAnsi="Arial"/>
                <w:sz w:val="21"/>
                <w:szCs w:val="21"/>
                <w:color w:val="auto"/>
              </w:rPr>
              <w:t>of U.S. $[*].</w:t>
            </w:r>
          </w:p>
        </w:tc>
        <w:tc>
          <w:tcPr>
            <w:tcW w:w="1420" w:type="dxa"/>
            <w:vAlign w:val="bottom"/>
          </w:tcPr>
          <w:p>
            <w:pPr>
              <w:spacing w:after="0"/>
              <w:rPr>
                <w:sz w:val="20"/>
                <w:szCs w:val="20"/>
                <w:color w:val="auto"/>
              </w:rPr>
            </w:pPr>
          </w:p>
        </w:tc>
      </w:tr>
      <w:tr>
        <w:trPr>
          <w:trHeight w:val="240"/>
        </w:trPr>
        <w:tc>
          <w:tcPr>
            <w:tcW w:w="9020" w:type="dxa"/>
            <w:vAlign w:val="bottom"/>
          </w:tcPr>
          <w:p>
            <w:pPr>
              <w:spacing w:after="0" w:line="240" w:lineRule="exact"/>
              <w:rPr>
                <w:sz w:val="20"/>
                <w:szCs w:val="20"/>
                <w:color w:val="auto"/>
              </w:rPr>
            </w:pPr>
            <w:r>
              <w:rPr>
                <w:rFonts w:ascii="Arial" w:cs="Arial" w:eastAsia="Arial" w:hAnsi="Arial"/>
                <w:sz w:val="21"/>
                <w:szCs w:val="21"/>
                <w:color w:val="auto"/>
              </w:rPr>
              <w:t>4.Upon the first [*] in the Astellas Territory for the first indication within [*] (see Exhibit B);</w:t>
            </w:r>
          </w:p>
        </w:tc>
        <w:tc>
          <w:tcPr>
            <w:tcW w:w="1420" w:type="dxa"/>
            <w:vAlign w:val="bottom"/>
          </w:tcPr>
          <w:p>
            <w:pPr>
              <w:jc w:val="center"/>
              <w:ind w:left="415"/>
              <w:spacing w:after="0" w:line="240" w:lineRule="exact"/>
              <w:rPr>
                <w:sz w:val="20"/>
                <w:szCs w:val="20"/>
                <w:color w:val="auto"/>
              </w:rPr>
            </w:pPr>
            <w:r>
              <w:rPr>
                <w:rFonts w:ascii="Arial" w:cs="Arial" w:eastAsia="Arial" w:hAnsi="Arial"/>
                <w:sz w:val="21"/>
                <w:szCs w:val="21"/>
                <w:color w:val="auto"/>
                <w:w w:val="99"/>
              </w:rPr>
              <w:t>U.S. $[*]</w:t>
            </w:r>
          </w:p>
        </w:tc>
      </w:tr>
      <w:tr>
        <w:trPr>
          <w:trHeight w:val="240"/>
        </w:trPr>
        <w:tc>
          <w:tcPr>
            <w:tcW w:w="9020" w:type="dxa"/>
            <w:vAlign w:val="bottom"/>
          </w:tcPr>
          <w:p>
            <w:pPr>
              <w:ind w:left="640"/>
              <w:spacing w:after="0" w:line="240" w:lineRule="exact"/>
              <w:rPr>
                <w:sz w:val="20"/>
                <w:szCs w:val="20"/>
                <w:color w:val="auto"/>
              </w:rPr>
            </w:pPr>
            <w:r>
              <w:rPr>
                <w:rFonts w:ascii="Arial" w:cs="Arial" w:eastAsia="Arial" w:hAnsi="Arial"/>
                <w:sz w:val="21"/>
                <w:szCs w:val="21"/>
                <w:color w:val="auto"/>
              </w:rPr>
              <w:t>provided, that in the event Astellas chooses the Bridging Strategy, such payment shall be</w:t>
            </w:r>
          </w:p>
        </w:tc>
        <w:tc>
          <w:tcPr>
            <w:tcW w:w="1420" w:type="dxa"/>
            <w:vAlign w:val="bottom"/>
          </w:tcPr>
          <w:p>
            <w:pPr>
              <w:spacing w:after="0"/>
              <w:rPr>
                <w:sz w:val="20"/>
                <w:szCs w:val="20"/>
                <w:color w:val="auto"/>
              </w:rPr>
            </w:pPr>
          </w:p>
        </w:tc>
      </w:tr>
      <w:tr>
        <w:trPr>
          <w:trHeight w:val="240"/>
        </w:trPr>
        <w:tc>
          <w:tcPr>
            <w:tcW w:w="9020" w:type="dxa"/>
            <w:vAlign w:val="bottom"/>
          </w:tcPr>
          <w:p>
            <w:pPr>
              <w:ind w:left="640"/>
              <w:spacing w:after="0" w:line="240" w:lineRule="exact"/>
              <w:rPr>
                <w:sz w:val="20"/>
                <w:szCs w:val="20"/>
                <w:color w:val="auto"/>
              </w:rPr>
            </w:pPr>
            <w:r>
              <w:rPr>
                <w:rFonts w:ascii="Arial" w:cs="Arial" w:eastAsia="Arial" w:hAnsi="Arial"/>
                <w:sz w:val="21"/>
                <w:szCs w:val="21"/>
                <w:color w:val="auto"/>
              </w:rPr>
              <w:t>increased by an additional U.S. $[*] for a total of U.S. $[*].</w:t>
            </w:r>
          </w:p>
        </w:tc>
        <w:tc>
          <w:tcPr>
            <w:tcW w:w="1420" w:type="dxa"/>
            <w:vAlign w:val="bottom"/>
          </w:tcPr>
          <w:p>
            <w:pPr>
              <w:spacing w:after="0"/>
              <w:rPr>
                <w:sz w:val="20"/>
                <w:szCs w:val="20"/>
                <w:color w:val="auto"/>
              </w:rPr>
            </w:pPr>
          </w:p>
        </w:tc>
      </w:tr>
      <w:tr>
        <w:trPr>
          <w:trHeight w:val="240"/>
        </w:trPr>
        <w:tc>
          <w:tcPr>
            <w:tcW w:w="9020" w:type="dxa"/>
            <w:vAlign w:val="bottom"/>
          </w:tcPr>
          <w:p>
            <w:pPr>
              <w:spacing w:after="0" w:line="240" w:lineRule="exact"/>
              <w:rPr>
                <w:sz w:val="20"/>
                <w:szCs w:val="20"/>
                <w:color w:val="auto"/>
              </w:rPr>
            </w:pPr>
            <w:r>
              <w:rPr>
                <w:rFonts w:ascii="Arial" w:cs="Arial" w:eastAsia="Arial" w:hAnsi="Arial"/>
                <w:sz w:val="21"/>
                <w:szCs w:val="21"/>
                <w:color w:val="auto"/>
              </w:rPr>
              <w:t>5.Upon [*] in the Astellas Territory for each of up to [*] indications listed on Exhibit B, including</w:t>
            </w:r>
          </w:p>
        </w:tc>
        <w:tc>
          <w:tcPr>
            <w:tcW w:w="1420" w:type="dxa"/>
            <w:vAlign w:val="bottom"/>
          </w:tcPr>
          <w:p>
            <w:pPr>
              <w:jc w:val="center"/>
              <w:ind w:left="415"/>
              <w:spacing w:after="0" w:line="240" w:lineRule="exact"/>
              <w:rPr>
                <w:sz w:val="20"/>
                <w:szCs w:val="20"/>
                <w:color w:val="auto"/>
              </w:rPr>
            </w:pPr>
            <w:r>
              <w:rPr>
                <w:rFonts w:ascii="Arial" w:cs="Arial" w:eastAsia="Arial" w:hAnsi="Arial"/>
                <w:sz w:val="21"/>
                <w:szCs w:val="21"/>
                <w:color w:val="auto"/>
                <w:w w:val="99"/>
              </w:rPr>
              <w:t>U.S. $[*]</w:t>
            </w:r>
          </w:p>
        </w:tc>
      </w:tr>
      <w:tr>
        <w:trPr>
          <w:trHeight w:val="272"/>
        </w:trPr>
        <w:tc>
          <w:tcPr>
            <w:tcW w:w="9020" w:type="dxa"/>
            <w:vAlign w:val="bottom"/>
          </w:tcPr>
          <w:p>
            <w:pPr>
              <w:ind w:left="640"/>
              <w:spacing w:after="0"/>
              <w:rPr>
                <w:sz w:val="20"/>
                <w:szCs w:val="20"/>
                <w:color w:val="auto"/>
              </w:rPr>
            </w:pPr>
            <w:r>
              <w:rPr>
                <w:rFonts w:ascii="Arial" w:cs="Arial" w:eastAsia="Arial" w:hAnsi="Arial"/>
                <w:sz w:val="21"/>
                <w:szCs w:val="21"/>
                <w:color w:val="auto"/>
              </w:rPr>
              <w:t>separate indications within [*] up to a total of U.S. $[*].</w:t>
            </w:r>
          </w:p>
        </w:tc>
        <w:tc>
          <w:tcPr>
            <w:tcW w:w="1420" w:type="dxa"/>
            <w:vAlign w:val="bottom"/>
          </w:tcPr>
          <w:p>
            <w:pPr>
              <w:spacing w:after="0"/>
              <w:rPr>
                <w:sz w:val="23"/>
                <w:szCs w:val="23"/>
                <w:color w:val="auto"/>
              </w:rPr>
            </w:pPr>
          </w:p>
        </w:tc>
      </w:tr>
    </w:tbl>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15" w:lineRule="exact"/>
        <w:rPr>
          <w:sz w:val="20"/>
          <w:szCs w:val="20"/>
          <w:color w:val="auto"/>
        </w:rPr>
      </w:pPr>
    </w:p>
    <w:p>
      <w:pPr>
        <w:ind w:firstLine="7"/>
        <w:spacing w:after="0" w:line="275" w:lineRule="auto"/>
        <w:tabs>
          <w:tab w:leader="none" w:pos="258"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5" w:name="page176"/>
    <w:bookmarkEnd w:id="175"/>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24" w:lineRule="exact"/>
        <w:rPr>
          <w:sz w:val="20"/>
          <w:szCs w:val="20"/>
          <w:color w:val="auto"/>
        </w:rPr>
      </w:pPr>
    </w:p>
    <w:p>
      <w:pPr>
        <w:jc w:val="both"/>
        <w:ind w:firstLine="2634"/>
        <w:spacing w:after="0" w:line="283"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Sales Success Payments.</w:t>
      </w:r>
      <w:r>
        <w:rPr>
          <w:rFonts w:ascii="Arial" w:cs="Arial" w:eastAsia="Arial" w:hAnsi="Arial"/>
          <w:sz w:val="19"/>
          <w:szCs w:val="19"/>
          <w:color w:val="auto"/>
        </w:rPr>
        <w:t xml:space="preserve"> As reimbursement and payment for FG’s historical and ongoing research and development expenditures with respect to pre-clinical and clinical development of Lead Compounds and as payment for the successful marketing and sales of the Lead Compound(s), Astellas agrees to make the following non-refundable, non-creditable (except as set forth in Section 14.3 below) reimbursement payments to FG upon the first occurrence of the Event specified below.</w:t>
      </w:r>
    </w:p>
    <w:p>
      <w:pPr>
        <w:sectPr>
          <w:pgSz w:w="11900" w:h="16838" w:orient="portrait"/>
          <w:cols w:equalWidth="0" w:num="1">
            <w:col w:w="11420"/>
          </w:cols>
          <w:pgMar w:left="240" w:top="118" w:right="239" w:bottom="1440" w:gutter="0" w:footer="0" w:header="0"/>
        </w:sectPr>
      </w:pPr>
    </w:p>
    <w:p>
      <w:pPr>
        <w:spacing w:after="0" w:line="143"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EVENT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AMOUNT</w:t>
      </w:r>
    </w:p>
    <w:p>
      <w:pPr>
        <w:spacing w:after="0" w:line="24" w:lineRule="exact"/>
        <w:rPr>
          <w:sz w:val="20"/>
          <w:szCs w:val="20"/>
          <w:color w:val="auto"/>
        </w:rPr>
      </w:pPr>
    </w:p>
    <w:p>
      <w:pPr>
        <w:sectPr>
          <w:pgSz w:w="11900" w:h="16838" w:orient="portrait"/>
          <w:cols w:equalWidth="0" w:num="2">
            <w:col w:w="9000" w:space="720"/>
            <w:col w:w="1700"/>
          </w:cols>
          <w:pgMar w:left="240" w:top="118" w:right="239" w:bottom="1440" w:gutter="0" w:footer="0" w:header="0"/>
          <w:type w:val="continuous"/>
        </w:sectPr>
      </w:pPr>
    </w:p>
    <w:p>
      <w:pPr>
        <w:ind w:right="380"/>
        <w:spacing w:after="0" w:line="267" w:lineRule="auto"/>
        <w:rPr>
          <w:sz w:val="20"/>
          <w:szCs w:val="20"/>
          <w:color w:val="auto"/>
        </w:rPr>
      </w:pPr>
      <w:r>
        <w:rPr>
          <w:rFonts w:ascii="Arial" w:cs="Arial" w:eastAsia="Arial" w:hAnsi="Arial"/>
          <w:sz w:val="20"/>
          <w:szCs w:val="20"/>
          <w:color w:val="auto"/>
        </w:rPr>
        <w:t>Upon receipt of [*] aggregate annual Net Sales achieved for the first time in the Astellas Territory for all indications and Lead Compounds by Astellas and its Affiliates and Sublicensees.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U.S. [*]</w:t>
      </w:r>
    </w:p>
    <w:p>
      <w:pPr>
        <w:spacing w:after="0" w:line="426" w:lineRule="exact"/>
        <w:rPr>
          <w:sz w:val="20"/>
          <w:szCs w:val="20"/>
          <w:color w:val="auto"/>
        </w:rPr>
      </w:pPr>
    </w:p>
    <w:p>
      <w:pPr>
        <w:sectPr>
          <w:pgSz w:w="11900" w:h="16838" w:orient="portrait"/>
          <w:cols w:equalWidth="0" w:num="2">
            <w:col w:w="9040" w:space="720"/>
            <w:col w:w="1660"/>
          </w:cols>
          <w:pgMar w:left="240" w:top="118" w:right="239" w:bottom="1440" w:gutter="0" w:footer="0" w:header="0"/>
          <w:type w:val="continuous"/>
        </w:sectPr>
      </w:pPr>
    </w:p>
    <w:p>
      <w:pPr>
        <w:jc w:val="both"/>
        <w:ind w:firstLine="878"/>
        <w:spacing w:after="0" w:line="249" w:lineRule="auto"/>
        <w:rPr>
          <w:sz w:val="20"/>
          <w:szCs w:val="20"/>
          <w:color w:val="auto"/>
        </w:rPr>
      </w:pPr>
      <w:r>
        <w:rPr>
          <w:rFonts w:ascii="Arial" w:cs="Arial" w:eastAsia="Arial" w:hAnsi="Arial"/>
          <w:sz w:val="21"/>
          <w:szCs w:val="21"/>
          <w:color w:val="auto"/>
        </w:rPr>
        <w:t>If at the occurrence of an Event (except for Event 2) as set forth in Section 6.1.1 above with respect to a particular Lead Compound the payment corresponding to the occurrence of any preceding Event (except for Event 2) (</w:t>
      </w:r>
      <w:r>
        <w:rPr>
          <w:rFonts w:ascii="Arial" w:cs="Arial" w:eastAsia="Arial" w:hAnsi="Arial"/>
          <w:sz w:val="21"/>
          <w:szCs w:val="21"/>
          <w:i w:val="1"/>
          <w:iCs w:val="1"/>
          <w:color w:val="auto"/>
        </w:rPr>
        <w:t>i.e.</w:t>
      </w:r>
      <w:r>
        <w:rPr>
          <w:rFonts w:ascii="Arial" w:cs="Arial" w:eastAsia="Arial" w:hAnsi="Arial"/>
          <w:sz w:val="21"/>
          <w:szCs w:val="21"/>
          <w:color w:val="auto"/>
        </w:rPr>
        <w:t>, “previous” as contemplated by the Event number sequence specified above) has not been made, then the corresponding payment(s) for such preceding Event (except for Event 2) shall then be due.</w:t>
      </w:r>
    </w:p>
    <w:p>
      <w:pPr>
        <w:spacing w:after="0" w:line="17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The payments set forth in Sections 6.1.1, 6.1.2 and 6.1.3 hereof shall each be due and payable within [*] after occurrence of the corresponding Event. Astellas agrees to promptly notify FG in writing of its achievement of any Event under Sections 6.1.1, 6.1.2 and 6.1.3.</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USE OF PRECLINICAL AND CLINICAL DATA</w:t>
      </w:r>
    </w:p>
    <w:p>
      <w:pPr>
        <w:spacing w:after="0" w:line="19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Exchange</w:t>
      </w:r>
      <w:r>
        <w:rPr>
          <w:rFonts w:ascii="Arial" w:cs="Arial" w:eastAsia="Arial" w:hAnsi="Arial"/>
          <w:sz w:val="21"/>
          <w:szCs w:val="21"/>
          <w:color w:val="auto"/>
        </w:rPr>
        <w:t>. Subject to the provisions of this Article 7 and Article 16 below, the parties shall have access to the underlying preclinical and clinical data (including raw data thereof), analysis, reports, protocols and correspondence (collectively with such filings, “Data”), at reasonable times, upon fifteen (15) days advance notice or such shorter notice as may be required in order to meet any regulatory requirements and (upon request) in English, (it being understood and agreed that Astellas shall provide in English without cost to FG summaries of all final reports and all documents necessary to comply with regulatory and legal requirements, and shall provide all other documents in English with reasonable costs shared equally between the parties) of the other party in accordance with the following:</w:t>
      </w:r>
    </w:p>
    <w:p>
      <w:pPr>
        <w:spacing w:after="0" w:line="184" w:lineRule="exact"/>
        <w:rPr>
          <w:sz w:val="20"/>
          <w:szCs w:val="20"/>
          <w:color w:val="auto"/>
        </w:rPr>
      </w:pPr>
    </w:p>
    <w:p>
      <w:pPr>
        <w:jc w:val="both"/>
        <w:ind w:firstLine="3519"/>
        <w:spacing w:after="0" w:line="278" w:lineRule="auto"/>
        <w:tabs>
          <w:tab w:leader="none" w:pos="4390" w:val="left"/>
        </w:tabs>
        <w:numPr>
          <w:ilvl w:val="0"/>
          <w:numId w:val="97"/>
        </w:numPr>
        <w:rPr>
          <w:rFonts w:ascii="Arial" w:cs="Arial" w:eastAsia="Arial" w:hAnsi="Arial"/>
          <w:sz w:val="19"/>
          <w:szCs w:val="19"/>
          <w:color w:val="auto"/>
        </w:rPr>
      </w:pPr>
      <w:r>
        <w:rPr>
          <w:rFonts w:ascii="Arial" w:cs="Arial" w:eastAsia="Arial" w:hAnsi="Arial"/>
          <w:sz w:val="19"/>
          <w:szCs w:val="19"/>
          <w:color w:val="auto"/>
        </w:rPr>
        <w:t>FG shall have access to and the right to use for any purpose, any Data developed by or on behalf of Astellas or its Affiliates or Sublicensees in the course of the Development Program with respect to indications within the Field for Lead Compounds. Astellas shall obtain from such Sublicensees access to all Data prepared by or for such Sublicensee with respect to a Lead Compound, with the right to provide such Data and/or access to FG and its Sublicensees, and any sublicense failing to provide such obligation on the part of the Sublicensee shall be voidable at the option of FG.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15" w:lineRule="exact"/>
        <w:rPr>
          <w:sz w:val="20"/>
          <w:szCs w:val="20"/>
          <w:color w:val="auto"/>
        </w:rPr>
      </w:pPr>
    </w:p>
    <w:p>
      <w:pPr>
        <w:ind w:firstLine="7"/>
        <w:spacing w:after="0" w:line="275" w:lineRule="auto"/>
        <w:tabs>
          <w:tab w:leader="none" w:pos="25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76" w:name="page177"/>
    <w:bookmarkEnd w:id="176"/>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3519"/>
        <w:spacing w:after="0" w:line="243" w:lineRule="auto"/>
        <w:tabs>
          <w:tab w:leader="none" w:pos="4402" w:val="left"/>
        </w:tabs>
        <w:numPr>
          <w:ilvl w:val="0"/>
          <w:numId w:val="99"/>
        </w:numPr>
        <w:rPr>
          <w:rFonts w:ascii="Arial" w:cs="Arial" w:eastAsia="Arial" w:hAnsi="Arial"/>
          <w:sz w:val="21"/>
          <w:szCs w:val="21"/>
          <w:color w:val="auto"/>
        </w:rPr>
      </w:pPr>
      <w:r>
        <w:rPr>
          <w:rFonts w:ascii="Arial" w:cs="Arial" w:eastAsia="Arial" w:hAnsi="Arial"/>
          <w:sz w:val="21"/>
          <w:szCs w:val="21"/>
          <w:color w:val="auto"/>
        </w:rPr>
        <w:t>Astellas shall have access to and the right to use solely for the purpose of this Agreement, any Data developed by or on behalf of FG or its Affiliates or Sublicensees with respect to Lead Compounds in connection with the Field (i) to the extent necessary to support the application to the regulatory authority in the Astellas Territory or to fulfill other Japanese Ministry of Health, Labor and Welfare regulatory requirements, or (ii) if not necessary to support such application or to fulfill such Japanese Ministry of Health, Labor and Welfare regulatory requirements, to the extent FG is permitted subject to FG’s third party obligations; provided that FG shall [*] negotiate the availability of such Data to Astellas from such Sublicensee, and provided, further, that Astellas agrees not to use or disclose to third parties any such data for purposes outside the Field except as authorized under this Agreement.</w:t>
      </w:r>
    </w:p>
    <w:p>
      <w:pPr>
        <w:spacing w:after="0" w:line="180"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Disclosure</w:t>
      </w:r>
      <w:r>
        <w:rPr>
          <w:rFonts w:ascii="Arial" w:cs="Arial" w:eastAsia="Arial" w:hAnsi="Arial"/>
          <w:sz w:val="21"/>
          <w:szCs w:val="21"/>
          <w:color w:val="auto"/>
        </w:rPr>
        <w:t>. Subject to the provisions of this Section 7.2, FG and Astellas may each provide copies or summaries of Data to its Affiliates and/or its permitted Sublicensees to the extent reasonably necessary for the development and commercialization of Lead Compounds in accordance with this Agreement, or in the case of FG of products other than Lead Compounds. It is understood that the foregoing shall include the right to disclose Data to third parties with whom Astellas or FG are discussing entering into agreements for such permitted purposes, subject to reasonable conditions of confidentiality, provided, that Astellas may not disclose any Data to any third party competitor of FG within the Field worldwide without the prior written consent of FG.</w:t>
      </w:r>
    </w:p>
    <w:p>
      <w:pPr>
        <w:spacing w:after="0" w:line="184"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Regulatory Requirements</w:t>
      </w:r>
      <w:r>
        <w:rPr>
          <w:rFonts w:ascii="Arial" w:cs="Arial" w:eastAsia="Arial" w:hAnsi="Arial"/>
          <w:sz w:val="21"/>
          <w:szCs w:val="21"/>
          <w:color w:val="auto"/>
        </w:rPr>
        <w:t>. Notwithstanding the provisions of Section 7.2, in all agreements with third parties or Affiliates involving the development of Data, FG and Astellas, respectively, shall require that such third parties and Affiliates provide the other party with all such Data, to the extent such Data is required in order for each party to meet its obligations to the other party under Section 4.4.2 above.</w:t>
      </w:r>
    </w:p>
    <w:p>
      <w:pPr>
        <w:spacing w:after="0" w:line="173"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Review of Protocols</w:t>
      </w:r>
      <w:r>
        <w:rPr>
          <w:rFonts w:ascii="Arial" w:cs="Arial" w:eastAsia="Arial" w:hAnsi="Arial"/>
          <w:sz w:val="21"/>
          <w:szCs w:val="21"/>
          <w:color w:val="auto"/>
        </w:rPr>
        <w:t>. Astellas agrees that all final protocol summaries for all clinical trials and GLP toxicology studies to be conducted by or under authority of Astellas will be subject to the review and approval of the JDC, in accordance with the following procedures set forth in this Section 7.4. Astellas shall submit to FG and the JDC the original draft protocol summary in English for any clinical trial or GLP toxicology study it proposes to conduct, and such protocol summary shall be reviewed and approved by the JDC. The protocol summary shall contain all information as may be requested by the JDC. Upon Astellas’ completion of the final protocol for the proposed clinical trial or GLP toxicology study, in the event that such protocol deviates from the original protocol summary, Astellas shall resubmit to FG and the JDC for review and approval a revised, final protocol summary that indicates all changes from the original protocol summary. Notwithstanding the foregoing, FG reserves the right to request and Astellas shall provide any portion of full text of the protocols in English for review by the JDC, which portion is at issue. In the event FG requests such a full text protocol, it shall review and provide comments to the JDC as soon as practicable, and within five (5) business days of receipt.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15" w:lineRule="exact"/>
        <w:rPr>
          <w:sz w:val="20"/>
          <w:szCs w:val="20"/>
          <w:color w:val="auto"/>
        </w:rPr>
      </w:pPr>
    </w:p>
    <w:p>
      <w:pPr>
        <w:ind w:firstLine="7"/>
        <w:spacing w:after="0" w:line="275" w:lineRule="auto"/>
        <w:tabs>
          <w:tab w:leader="none" w:pos="258"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7" w:name="page178"/>
    <w:bookmarkEnd w:id="177"/>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MARKETING RIGHTS</w:t>
      </w:r>
    </w:p>
    <w:p>
      <w:pPr>
        <w:spacing w:after="0" w:line="194"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Astellas</w:t>
      </w:r>
      <w:r>
        <w:rPr>
          <w:rFonts w:ascii="Arial" w:cs="Arial" w:eastAsia="Arial" w:hAnsi="Arial"/>
          <w:sz w:val="20"/>
          <w:szCs w:val="20"/>
          <w:color w:val="auto"/>
        </w:rPr>
        <w:t>. Astellas shall have the exclusive right to market, sell and distribute the Lead Compounds supplied by FG for use in the Astellas Territory within the Field under the license granted in Article 13. Astellas may exercise its rights under this Section 8.1 through one or more Sublicensees; provided, that any such Sublicensee agrees to terms identical in all material respects to those contained in this Agreement, and, provided, further, that any arrangement between Astellas and an Astellas Sublicensee with respect to a Lead Compound shall be subject to the requirements of Section 13.2.</w:t>
      </w:r>
    </w:p>
    <w:p>
      <w:pPr>
        <w:spacing w:after="0" w:line="165"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8.2 </w:t>
      </w:r>
      <w:r>
        <w:rPr>
          <w:rFonts w:ascii="Arial" w:cs="Arial" w:eastAsia="Arial" w:hAnsi="Arial"/>
          <w:sz w:val="21"/>
          <w:szCs w:val="21"/>
          <w:u w:val="single" w:color="auto"/>
          <w:color w:val="auto"/>
        </w:rPr>
        <w:t>FibroGen</w:t>
      </w:r>
      <w:r>
        <w:rPr>
          <w:rFonts w:ascii="Arial" w:cs="Arial" w:eastAsia="Arial" w:hAnsi="Arial"/>
          <w:sz w:val="21"/>
          <w:szCs w:val="21"/>
          <w:color w:val="auto"/>
        </w:rPr>
        <w:t>. FG shall have the exclusive right, including the right to authorize others, to market, sell and distribute the Lead Compounds for any use in the FG Territory. Subject to the restrictions contained in Section 8.3.4 hereof, FG retains the exclusive right, including the right to authorize others, to market, sell and distribute worldwide the Lead Compounds for use outside the Field.</w:t>
      </w:r>
    </w:p>
    <w:p>
      <w:pPr>
        <w:spacing w:after="0" w:line="173" w:lineRule="exact"/>
        <w:rPr>
          <w:sz w:val="20"/>
          <w:szCs w:val="20"/>
          <w:color w:val="auto"/>
        </w:rPr>
      </w:pPr>
    </w:p>
    <w:p>
      <w:pPr>
        <w:ind w:left="1700"/>
        <w:spacing w:after="0"/>
        <w:tabs>
          <w:tab w:leader="none" w:pos="258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18"/>
          <w:szCs w:val="18"/>
          <w:u w:val="single" w:color="auto"/>
          <w:color w:val="auto"/>
        </w:rPr>
        <w:t>Covenants</w:t>
      </w:r>
    </w:p>
    <w:p>
      <w:pPr>
        <w:spacing w:after="0" w:line="212"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color w:val="auto"/>
        </w:rPr>
        <w:t xml:space="preserve">8.3.1 </w:t>
      </w: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It is understood that, with respect to any particular Lead Compound, whether or not the use and sale of such Lead Compound by FG and/or Astellas in any country requires a license under intellectual property rights of the other, neither FG nor Astellas shall market, sell or distribute a Lead Compound anywhere in the world except in accordance with this Agreement, including this Article 8.</w:t>
      </w:r>
    </w:p>
    <w:p>
      <w:pPr>
        <w:spacing w:after="0" w:line="173"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0"/>
          <w:szCs w:val="20"/>
          <w:color w:val="auto"/>
        </w:rPr>
        <w:t xml:space="preserve">8.3.2 </w:t>
      </w:r>
      <w:r>
        <w:rPr>
          <w:rFonts w:ascii="Arial" w:cs="Arial" w:eastAsia="Arial" w:hAnsi="Arial"/>
          <w:sz w:val="20"/>
          <w:szCs w:val="20"/>
          <w:u w:val="single" w:color="auto"/>
          <w:color w:val="auto"/>
        </w:rPr>
        <w:t>Independent Activities by Astellas.</w:t>
      </w:r>
      <w:r>
        <w:rPr>
          <w:rFonts w:ascii="Arial" w:cs="Arial" w:eastAsia="Arial" w:hAnsi="Arial"/>
          <w:sz w:val="20"/>
          <w:szCs w:val="20"/>
          <w:color w:val="auto"/>
        </w:rPr>
        <w:t xml:space="preserve"> During the term of this Agreement, in the event Astellas seeks to Commercialize any molecules for the Field or the Expanded Field, except for actions taken within the Field in the course of the exercise of the license granted under Section 13.1 hereof and expressly authorized under this Agreement, Astellas shall notify FG immediately upon the commencement of any such activities, and provided that [*] such activities are and will be in the future conducted completely independently of any of FG Technology and/or any other FG materials, confidential information, intellectual property or other related information provided by or on behalf of FG to Astellas under this Agreement or any other agreement between FG and Astellas relating to the subject matter hereof, Astellas may proceed with such Commercialization, subject at all times to the obligations contained in this Agreement with respect to any intellectual property in connection with or related to such activities and FG’s right to terminate this Agreement pursuant to Section 18.2.1 hereof.</w:t>
      </w:r>
    </w:p>
    <w:p>
      <w:pPr>
        <w:spacing w:after="0" w:line="169"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color w:val="auto"/>
        </w:rPr>
        <w:t xml:space="preserve">8.3.3 </w:t>
      </w:r>
      <w:r>
        <w:rPr>
          <w:rFonts w:ascii="Arial" w:cs="Arial" w:eastAsia="Arial" w:hAnsi="Arial"/>
          <w:sz w:val="21"/>
          <w:szCs w:val="21"/>
          <w:u w:val="single" w:color="auto"/>
          <w:color w:val="auto"/>
        </w:rPr>
        <w:t>Use of FG Technology by Astellas.</w:t>
      </w:r>
      <w:r>
        <w:rPr>
          <w:rFonts w:ascii="Arial" w:cs="Arial" w:eastAsia="Arial" w:hAnsi="Arial"/>
          <w:sz w:val="21"/>
          <w:szCs w:val="21"/>
          <w:color w:val="auto"/>
        </w:rPr>
        <w:t xml:space="preserve"> Astellas shall use the FG Technology only to exercise the rights granted under Section 13.1 of this Agreement and as expressly authorized under the Development Program, and shall not under any circumstances use or apply any FG Technology, including without limitation any FG know-how and/or any other FG materials, confidential information, intellectual property or other related information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15" w:lineRule="exact"/>
        <w:rPr>
          <w:sz w:val="20"/>
          <w:szCs w:val="20"/>
          <w:color w:val="auto"/>
        </w:rPr>
      </w:pPr>
    </w:p>
    <w:p>
      <w:pPr>
        <w:ind w:firstLine="7"/>
        <w:spacing w:after="0" w:line="275" w:lineRule="auto"/>
        <w:tabs>
          <w:tab w:leader="none" w:pos="258"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8" w:name="page179"/>
    <w:bookmarkEnd w:id="178"/>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94" w:lineRule="auto"/>
        <w:rPr>
          <w:sz w:val="20"/>
          <w:szCs w:val="20"/>
          <w:color w:val="auto"/>
        </w:rPr>
      </w:pPr>
      <w:r>
        <w:rPr>
          <w:rFonts w:ascii="Arial" w:cs="Arial" w:eastAsia="Arial" w:hAnsi="Arial"/>
          <w:sz w:val="20"/>
          <w:szCs w:val="20"/>
          <w:color w:val="auto"/>
        </w:rPr>
        <w:t>provided by FG to Astellas under this Agreement or any other agreement between FG and Astellas relating to the subject matter hereof, for any use outside the Field at any time or within the Field after the expiration or termination of this Agreement.</w:t>
      </w:r>
    </w:p>
    <w:p>
      <w:pPr>
        <w:spacing w:after="0" w:line="131" w:lineRule="exact"/>
        <w:rPr>
          <w:sz w:val="20"/>
          <w:szCs w:val="20"/>
          <w:color w:val="auto"/>
        </w:rPr>
      </w:pPr>
    </w:p>
    <w:p>
      <w:pPr>
        <w:jc w:val="both"/>
        <w:ind w:firstLine="2634"/>
        <w:spacing w:after="0" w:line="242" w:lineRule="auto"/>
        <w:rPr>
          <w:sz w:val="20"/>
          <w:szCs w:val="20"/>
          <w:color w:val="auto"/>
        </w:rPr>
      </w:pPr>
      <w:r>
        <w:rPr>
          <w:rFonts w:ascii="Arial" w:cs="Arial" w:eastAsia="Arial" w:hAnsi="Arial"/>
          <w:sz w:val="21"/>
          <w:szCs w:val="21"/>
          <w:color w:val="auto"/>
        </w:rPr>
        <w:t xml:space="preserve">8.3.4 </w:t>
      </w:r>
      <w:r>
        <w:rPr>
          <w:rFonts w:ascii="Arial" w:cs="Arial" w:eastAsia="Arial" w:hAnsi="Arial"/>
          <w:sz w:val="21"/>
          <w:szCs w:val="21"/>
          <w:u w:val="single" w:color="auto"/>
          <w:color w:val="auto"/>
        </w:rPr>
        <w:t>Activities Outside Field by Astellas.</w:t>
      </w:r>
      <w:r>
        <w:rPr>
          <w:rFonts w:ascii="Arial" w:cs="Arial" w:eastAsia="Arial" w:hAnsi="Arial"/>
          <w:sz w:val="21"/>
          <w:szCs w:val="21"/>
          <w:color w:val="auto"/>
        </w:rPr>
        <w:t xml:space="preserve"> Without limiting the foregoing, Astellas agrees that during the term of this Agreement it will not (and will not authorize any third party, including, without limitation, any Affiliates or Sublicensees, to) (i) Commercialize any Lead Compound within the Field in the Astellas Territory, except a Lead Compound that has been designated a Lead Compound by the JDC and that has received Marketing Approval in the Astellas Territory for use in the Field, (ii) Commercialize any Lead Compound for use outside the Field or outside the Astellas Territory, (iii) provide any supplies of any Lead Compound to any third party, including, without limitation, any Affiliates or Sublicensees, which Astellas knows or has reason to know is being marketed, sold or distributed for use outside the Field or outside the Astellas Territory, (iv) conduct or sponsor, or provide any supplies of any Lead Compound for use in, any clinical trial designed to demonstrate that a Lead Compound can be used outside the Field, or (v) seek regulatory approval of, or use labeling for a Lead Compound stating that such Lead Compound is for use outside the Field.</w:t>
      </w:r>
    </w:p>
    <w:p>
      <w:pPr>
        <w:spacing w:after="0" w:line="182" w:lineRule="exact"/>
        <w:rPr>
          <w:sz w:val="20"/>
          <w:szCs w:val="20"/>
          <w:color w:val="auto"/>
        </w:rPr>
      </w:pPr>
    </w:p>
    <w:p>
      <w:pPr>
        <w:jc w:val="both"/>
        <w:ind w:firstLine="2634"/>
        <w:spacing w:after="0" w:line="256" w:lineRule="auto"/>
        <w:rPr>
          <w:sz w:val="20"/>
          <w:szCs w:val="20"/>
          <w:color w:val="auto"/>
        </w:rPr>
      </w:pPr>
      <w:r>
        <w:rPr>
          <w:rFonts w:ascii="Arial" w:cs="Arial" w:eastAsia="Arial" w:hAnsi="Arial"/>
          <w:sz w:val="20"/>
          <w:szCs w:val="20"/>
          <w:color w:val="auto"/>
        </w:rPr>
        <w:t xml:space="preserve">8.3.5 </w:t>
      </w:r>
      <w:r>
        <w:rPr>
          <w:rFonts w:ascii="Arial" w:cs="Arial" w:eastAsia="Arial" w:hAnsi="Arial"/>
          <w:sz w:val="20"/>
          <w:szCs w:val="20"/>
          <w:u w:val="single" w:color="auto"/>
          <w:color w:val="auto"/>
        </w:rPr>
        <w:t>Activities in Astellas Territory by FG</w:t>
      </w:r>
      <w:r>
        <w:rPr>
          <w:rFonts w:ascii="Arial" w:cs="Arial" w:eastAsia="Arial" w:hAnsi="Arial"/>
          <w:sz w:val="20"/>
          <w:szCs w:val="20"/>
          <w:color w:val="auto"/>
        </w:rPr>
        <w:t xml:space="preserve"> During the term of this Agreement, FG shall not Commercialize by itself or through its Sublicensee any Lead Compound or other compound, whether or not designated as a Lead Compound, within the Field in the Astellas Territory, or any Lead Compound outside the Field in the Astellas Territory, provided, however, that FG may develop a Lead Compound or other compound in the Astellas Territory in those Indications for which Astellas has determined not to pursue Commercialization or for which Astellas has lost the right to pursue Commercialization due to failure to meet diligence obligations hereunder; and provided, further, that FG may Commercialize compounds other than Lead Compounds outside the Field in the Astellas Territory, irrespective of whether such compound has the effect of stabilizing HIF causing the stimulation of erythropoiesis (including an increase in endogenous erythropoietin production) and/or a subsequent increase in hematocrit through modulation of prolyl hydroxylase and/or asparaginyl hydroxylase.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TRANSFER PRICING</w:t>
      </w:r>
    </w:p>
    <w:p>
      <w:pPr>
        <w:spacing w:after="0" w:line="194"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Transfer for Non-Commercial Purpose</w:t>
      </w:r>
      <w:r>
        <w:rPr>
          <w:rFonts w:ascii="Arial" w:cs="Arial" w:eastAsia="Arial" w:hAnsi="Arial"/>
          <w:sz w:val="21"/>
          <w:szCs w:val="21"/>
          <w:color w:val="auto"/>
        </w:rPr>
        <w:t>. In exchange for the transfer of any Lead Compound to Astellas for a non-commercial purpose, Astellas shall pay FG the total amount of the Fully Burdened Costs for such Lead Compound as reasonably determined by FG. Lead Compound transferred to Astellas for a non-commercial purpose shall not be used for a commercial purpose.</w:t>
      </w:r>
    </w:p>
    <w:p>
      <w:pPr>
        <w:spacing w:after="0" w:line="173"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9.2 </w:t>
      </w:r>
      <w:r>
        <w:rPr>
          <w:rFonts w:ascii="Arial" w:cs="Arial" w:eastAsia="Arial" w:hAnsi="Arial"/>
          <w:sz w:val="21"/>
          <w:szCs w:val="21"/>
          <w:u w:val="single" w:color="auto"/>
          <w:color w:val="auto"/>
        </w:rPr>
        <w:t>Transfer for Commercial Purpose</w:t>
      </w:r>
      <w:r>
        <w:rPr>
          <w:rFonts w:ascii="Arial" w:cs="Arial" w:eastAsia="Arial" w:hAnsi="Arial"/>
          <w:sz w:val="21"/>
          <w:szCs w:val="21"/>
          <w:color w:val="auto"/>
        </w:rPr>
        <w:t>. For any Lead Compound transferred to Astellas to be used for any commercial purpose, in exchange for the transfer of such Lead Compound to Astellas, Astellas shall pay FG the amounts set forth in this Section 9.2. All transfers of Lead Compound for use following Marketing Approval shall be deemed transfers for a commercial purpose, except transfers under Section 9.2(c), and transfers for the purpose of conducting clinical trials, which shall be considered transfers for a non-commercial purpose.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15" w:lineRule="exact"/>
        <w:rPr>
          <w:sz w:val="20"/>
          <w:szCs w:val="20"/>
          <w:color w:val="auto"/>
        </w:rPr>
      </w:pPr>
    </w:p>
    <w:p>
      <w:pPr>
        <w:ind w:firstLine="7"/>
        <w:spacing w:after="0" w:line="275" w:lineRule="auto"/>
        <w:tabs>
          <w:tab w:leader="none" w:pos="258"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9" w:name="page180"/>
    <w:bookmarkEnd w:id="179"/>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3519"/>
        <w:spacing w:after="0" w:line="243" w:lineRule="auto"/>
        <w:tabs>
          <w:tab w:leader="none" w:pos="439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For any quantities of Lead Compound shipped by FG to Astellas prior to the issuance of the national health insurance price as determined by the Japanese Ministry of Health, Labour and Welfare (the “Listed Price”), Astellas shall pay for such quantities at a price equal to [*] of the estimate of the Listed Price as determined in good faith by FG and Astellas, subject to adjustment upon the issuance of the actual Listed Price. Upon the issuance of such Listed Price by the Japanese Ministry of Health, Labour and Welfare, Astellas shall pay to FG, or FG shall reimburse Astellas, as the case may be, the amount of any difference between the payment made for such Lead Compound at the estimated Listed Price and the payment required based upon the actual Listed Price.</w:t>
      </w:r>
    </w:p>
    <w:p>
      <w:pPr>
        <w:spacing w:after="0" w:line="184" w:lineRule="exact"/>
        <w:rPr>
          <w:rFonts w:ascii="Arial" w:cs="Arial" w:eastAsia="Arial" w:hAnsi="Arial"/>
          <w:sz w:val="21"/>
          <w:szCs w:val="21"/>
          <w:color w:val="auto"/>
        </w:rPr>
      </w:pPr>
    </w:p>
    <w:p>
      <w:pPr>
        <w:jc w:val="both"/>
        <w:ind w:firstLine="3519"/>
        <w:spacing w:after="0" w:line="243" w:lineRule="auto"/>
        <w:tabs>
          <w:tab w:leader="none" w:pos="4402" w:val="left"/>
        </w:tabs>
        <w:numPr>
          <w:ilvl w:val="0"/>
          <w:numId w:val="103"/>
        </w:numPr>
        <w:rPr>
          <w:rFonts w:ascii="Arial" w:cs="Arial" w:eastAsia="Arial" w:hAnsi="Arial"/>
          <w:sz w:val="21"/>
          <w:szCs w:val="21"/>
          <w:color w:val="auto"/>
        </w:rPr>
      </w:pPr>
      <w:r>
        <w:rPr>
          <w:rFonts w:ascii="Arial" w:cs="Arial" w:eastAsia="Arial" w:hAnsi="Arial"/>
          <w:sz w:val="21"/>
          <w:szCs w:val="21"/>
          <w:color w:val="auto"/>
        </w:rPr>
        <w:t>For all other transfers of Lead Compound, except as set forth in subparagraphs (c) or (d) below, Astellas shall pay for such quantities at a price equal to [*] of the Listed Price. In the event that a new Listed Price has been notified to Astellas by the Japanese Ministry of Health, Labour and Welfare before implementation of the new Listed Price, then such new Listed Price shall be used for calculation of the price of Lead Compound to be shipped on and after the later to occur of (i) [*] before implementation of the new Listed Price, and (ii) the date upon which Astellas has amended the price of Lead Compound to wholesalers in response to such notification by the Japanese Ministry of Health, Labour and Welfare, even before implementation of the new Listed Price.</w:t>
      </w:r>
    </w:p>
    <w:p>
      <w:pPr>
        <w:spacing w:after="0" w:line="184" w:lineRule="exact"/>
        <w:rPr>
          <w:rFonts w:ascii="Arial" w:cs="Arial" w:eastAsia="Arial" w:hAnsi="Arial"/>
          <w:sz w:val="21"/>
          <w:szCs w:val="21"/>
          <w:color w:val="auto"/>
        </w:rPr>
      </w:pPr>
    </w:p>
    <w:p>
      <w:pPr>
        <w:jc w:val="both"/>
        <w:ind w:firstLine="3519"/>
        <w:spacing w:after="0" w:line="249" w:lineRule="auto"/>
        <w:tabs>
          <w:tab w:leader="none" w:pos="439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With respect to Lead Compound to be distributed as samples to medical providers and for which Astellas shall not receive any payment or other consideration, Astellas shall pay to FG the sum of its Fully Burdened Costs for amounts of Lead Compound shipped to Astellas; provided, however, that the parties shall mutually agree upon the amount of such samples for distribution without consideration in the Astellas Territory.</w:t>
      </w:r>
    </w:p>
    <w:p>
      <w:pPr>
        <w:spacing w:after="0" w:line="172" w:lineRule="exact"/>
        <w:rPr>
          <w:rFonts w:ascii="Arial" w:cs="Arial" w:eastAsia="Arial" w:hAnsi="Arial"/>
          <w:sz w:val="21"/>
          <w:szCs w:val="21"/>
          <w:color w:val="auto"/>
        </w:rPr>
      </w:pPr>
    </w:p>
    <w:p>
      <w:pPr>
        <w:jc w:val="both"/>
        <w:ind w:firstLine="3519"/>
        <w:spacing w:after="0" w:line="255" w:lineRule="auto"/>
        <w:tabs>
          <w:tab w:leader="none" w:pos="4402" w:val="left"/>
        </w:tabs>
        <w:numPr>
          <w:ilvl w:val="0"/>
          <w:numId w:val="103"/>
        </w:numPr>
        <w:rPr>
          <w:rFonts w:ascii="Arial" w:cs="Arial" w:eastAsia="Arial" w:hAnsi="Arial"/>
          <w:sz w:val="20"/>
          <w:szCs w:val="20"/>
          <w:color w:val="auto"/>
        </w:rPr>
      </w:pPr>
      <w:r>
        <w:rPr>
          <w:rFonts w:ascii="Arial" w:cs="Arial" w:eastAsia="Arial" w:hAnsi="Arial"/>
          <w:sz w:val="20"/>
          <w:szCs w:val="20"/>
          <w:color w:val="auto"/>
        </w:rPr>
        <w:t>Upon the later of (i) the initial retail sale of a generic equivalent (as defined by the Japanese Ministry of Health, Labour and Welfare) of such Lead Compound in the Territory, and (ii) and the expiration of the last to expire of the FG Patents with respect to such Lead Compound effectively precluding third parties from selling said generic equivalent, for any quantities shipped by FG to Astellas, Astellas shall pay FG for such quantities [*] of the Sales Price; provided, however, that in the event that the payment of the [*] of the Sales Price would result in FG’s [*] Percentage falling below [*], FG shall have the option to initiate a renegotiation of the transfer price upon notice to Astellas, in which case the parties shall use best efforts in good faith to renegotiate reasonable terms for the transfer price; provided, further, that in the event the transfer price is not renegotiated to FG’s satisfaction or FG elects not to initiate a renegotiation, FG may elect to terminate its manufacturing obligations by written notice to Astellas, and FG and Astellas shall negotiate reasonable terms for transfer of manufacturing. During such period of renegotiation, FG shall transfer the Lead Compound to Astellas at a price equal to the greater of [*] of the Sales Price and the price resulting if FG’s [*] Percentage for such Lead Compound is equal to [*].</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15" w:lineRule="exact"/>
        <w:rPr>
          <w:sz w:val="20"/>
          <w:szCs w:val="20"/>
          <w:color w:val="auto"/>
        </w:rPr>
      </w:pPr>
    </w:p>
    <w:p>
      <w:pPr>
        <w:ind w:firstLine="7"/>
        <w:spacing w:after="0" w:line="275" w:lineRule="auto"/>
        <w:tabs>
          <w:tab w:leader="none" w:pos="258"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0" w:name="page181"/>
    <w:bookmarkEnd w:id="180"/>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Payment</w:t>
      </w:r>
      <w:r>
        <w:rPr>
          <w:rFonts w:ascii="Arial" w:cs="Arial" w:eastAsia="Arial" w:hAnsi="Arial"/>
          <w:sz w:val="20"/>
          <w:szCs w:val="20"/>
          <w:color w:val="auto"/>
        </w:rPr>
        <w:t>. Any payments to be made with respect to the transfer of any Lead Compound in accordance with Section 9.1 or 9.2 above shall be immediately due to FG upon shipment, which shall be paid by Astellas to FG no later than [*] of the date of invoice, which invoice FG shall deliver to Astellas upon Delivery of Lead Compound to Astellas pursuant to Section 9.2(a), (b) or (c), and shall be made in U.S. dollars. For transfer of any Lead Compound in accordance with Section 9.1 or 9.2(c) above, FG shall deliver to Astellas, within ten (10) days of receipt of a firm commitment order from Astellas, an invoice for the estimated Fully Burdened Costs of the Lead Compound to be transferred to Astellas. Within [*] after the transfer of the Lead Compound to Astellas, FG shall provide a revised final invoice to Astellas that shall indicate the actual Fully Burdened Costs of the Lead Compound. If the actual Fully Burdened Costs are less than the estimated Fully Burdened Costs, FG shall include a reimbursement payment to Astellas for the difference between the initial estimated Fully Burdened Costs and the actual Fully Burdened Costs. If the actual Fully Burdened Costs are greater than the estimated Fully Burdened Costs, Astellas shall pay such difference within [*] of receipt of an invoice from FG for such amounts. For payments for the transfer of Lead Compound under Section 9.2(d) hereof, FG’s invoice to Astellas shall be calculated based on the current Listed Price as set by the Japanese Ministry of Health, Labour and Welfare. Upon calculation of the Sales Price, Astellas shall submit, for any amounts actually sold, the Sales Price to FG, and FG shall credit Astellas for the difference between the invoice cost, cost calculated based on the Listed Price and the cost calculated based on the Sales Price.</w:t>
      </w:r>
    </w:p>
    <w:p>
      <w:pPr>
        <w:spacing w:after="0" w:line="182"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Reference Materials; Standard Materials</w:t>
      </w:r>
      <w:r>
        <w:rPr>
          <w:rFonts w:ascii="Arial" w:cs="Arial" w:eastAsia="Arial" w:hAnsi="Arial"/>
          <w:sz w:val="20"/>
          <w:szCs w:val="20"/>
          <w:color w:val="auto"/>
        </w:rPr>
        <w:t>. In exchange for the transfer by FG of any Reference Materials or Standard Materials for the purposes of conducting analytical, release, stability and other studies authorized under the Development Program, Astellas shall pay to FG, FG’s Fully Burdened Costs of such materials as reasonably determined by FG.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ADDITIONAL PAYMENTS; BOOKS AND RECORDS</w:t>
      </w:r>
    </w:p>
    <w:p>
      <w:pPr>
        <w:spacing w:after="0" w:line="19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Quarterly Reports</w:t>
      </w:r>
      <w:r>
        <w:rPr>
          <w:rFonts w:ascii="Arial" w:cs="Arial" w:eastAsia="Arial" w:hAnsi="Arial"/>
          <w:sz w:val="21"/>
          <w:szCs w:val="21"/>
          <w:color w:val="auto"/>
        </w:rPr>
        <w:t>. Astellas shall make quarterly reports to FG within sixty (60) days after the end of each calendar quarter (April 1 though June 30, July 1 through September 30, October 1 though December 31, January 1 through March 31), which reports shall include, (a) the Net Sales, unit shipments and other distributions, including samples, by Astellas, and its Affiliates and Sublicensees, in such calendar quarter and (b) such other information as may be reasonably requested by FG to ensure either proper payment by Astellas of amounts required under this Agreement or to calculate payments with respect to FG’s Third Party Agreements. Concurrently with making such report, Astellas shall remit payment to FG for any payments due under this Agreement.</w:t>
      </w:r>
    </w:p>
    <w:p>
      <w:pPr>
        <w:spacing w:after="0" w:line="184"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Payment Method</w:t>
      </w:r>
      <w:r>
        <w:rPr>
          <w:rFonts w:ascii="Arial" w:cs="Arial" w:eastAsia="Arial" w:hAnsi="Arial"/>
          <w:sz w:val="20"/>
          <w:szCs w:val="20"/>
          <w:color w:val="auto"/>
        </w:rPr>
        <w:t>. All payments under this Agreement shall be made by bank wire transfer in immediately available funds to an account designated by the payee. All such payments made by or on behalf of Astellas hereunder shall be made by a Japanese entity. All dollar amounts specified in this Agreement, and, except as specifically authorized under Section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15" w:lineRule="exact"/>
        <w:rPr>
          <w:sz w:val="20"/>
          <w:szCs w:val="20"/>
          <w:color w:val="auto"/>
        </w:rPr>
      </w:pPr>
    </w:p>
    <w:p>
      <w:pPr>
        <w:ind w:firstLine="7"/>
        <w:spacing w:after="0" w:line="275" w:lineRule="auto"/>
        <w:tabs>
          <w:tab w:leader="none" w:pos="258"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1" w:name="page182"/>
    <w:bookmarkEnd w:id="181"/>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10.3 hereof, all payments made hereunder, are and shall be made in U.S. dollars. Any payments due under this Agreement which are not paid by the date such payments are due under this Agreement shall bear interest to the extent permitted by applicable law at the U.S. prime rate per annum quoted in the “Money Rates” column of The Wall Street Journal (U.S., Western Edition) on the first business day after such payment is due, plus an additional [*], calculated on the number of days such payment is delinquent. This Section 10.2 shall in no way limit any other remedies available to either party.</w:t>
      </w:r>
    </w:p>
    <w:p>
      <w:pPr>
        <w:spacing w:after="0" w:line="165"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10.3 </w:t>
      </w:r>
      <w:r>
        <w:rPr>
          <w:rFonts w:ascii="Arial" w:cs="Arial" w:eastAsia="Arial" w:hAnsi="Arial"/>
          <w:sz w:val="21"/>
          <w:szCs w:val="21"/>
          <w:u w:val="single" w:color="auto"/>
          <w:color w:val="auto"/>
        </w:rPr>
        <w:t>Currency Conversion</w:t>
      </w:r>
      <w:r>
        <w:rPr>
          <w:rFonts w:ascii="Arial" w:cs="Arial" w:eastAsia="Arial" w:hAnsi="Arial"/>
          <w:sz w:val="21"/>
          <w:szCs w:val="21"/>
          <w:color w:val="auto"/>
        </w:rPr>
        <w:t>. In the event that the amount of an Astellas payment obligation in U.S. dollars must be determined by the calculation of an underlying amount received by Astellas in Japanese Yen utilizing the U.S. dollar-Japanese Yen exchange rate (i.e., a transfer payment under Section 9.2(a), (b) or (d) hereof), currency conversion from Japanese Yen to U.S. dollars shall be made using the closing exchange rate reported in the Wall Street Journal (U.S. Western Edition) for the date on which the Lead Compound is Delivered to Astellas. If any such payment is not made by the due date, the exchange rate utilized for determination of such payment obligation shall be the exchange rate [*] reported in the Wall Street Journal (U.S. Western Edition) during the period from the date of invoice through the due date, not including any additional amounts owed under Section 10.2 hereof.</w:t>
      </w:r>
    </w:p>
    <w:p>
      <w:pPr>
        <w:spacing w:after="0" w:line="180"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1"/>
          <w:szCs w:val="21"/>
          <w:color w:val="auto"/>
        </w:rPr>
        <w:t>10.4</w:t>
      </w:r>
      <w:r>
        <w:rPr>
          <w:sz w:val="20"/>
          <w:szCs w:val="20"/>
          <w:color w:val="auto"/>
        </w:rPr>
        <w:tab/>
      </w:r>
      <w:r>
        <w:rPr>
          <w:rFonts w:ascii="Arial" w:cs="Arial" w:eastAsia="Arial" w:hAnsi="Arial"/>
          <w:sz w:val="18"/>
          <w:szCs w:val="18"/>
          <w:u w:val="single" w:color="auto"/>
          <w:color w:val="auto"/>
        </w:rPr>
        <w:t>Taxes</w:t>
      </w:r>
    </w:p>
    <w:p>
      <w:pPr>
        <w:spacing w:after="0" w:line="212"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10.4.1 </w:t>
      </w:r>
      <w:r>
        <w:rPr>
          <w:rFonts w:ascii="Arial" w:cs="Arial" w:eastAsia="Arial" w:hAnsi="Arial"/>
          <w:sz w:val="21"/>
          <w:szCs w:val="21"/>
          <w:u w:val="single" w:color="auto"/>
          <w:color w:val="auto"/>
        </w:rPr>
        <w:t>Generally.</w:t>
      </w:r>
      <w:r>
        <w:rPr>
          <w:rFonts w:ascii="Arial" w:cs="Arial" w:eastAsia="Arial" w:hAnsi="Arial"/>
          <w:sz w:val="21"/>
          <w:szCs w:val="21"/>
          <w:color w:val="auto"/>
        </w:rPr>
        <w:t xml:space="preserve"> Each party shall bear and, except as otherwise expressly provided in this Section 10.4, pay any and all taxes, duties, levies, and other similar charges (and any related interest and penalties), however designated, imposed on that party as a result of the existence or operation of this Agreement. If laws or regulations require that taxes be withheld, the paying party will (i) timely pay the taxes to the proper taxing authority, and (ii) send proof of payment to the other party within [*] following that payment.</w:t>
      </w:r>
    </w:p>
    <w:p>
      <w:pPr>
        <w:spacing w:after="0" w:line="178" w:lineRule="exact"/>
        <w:rPr>
          <w:sz w:val="20"/>
          <w:szCs w:val="20"/>
          <w:color w:val="auto"/>
        </w:rPr>
      </w:pPr>
    </w:p>
    <w:p>
      <w:pPr>
        <w:jc w:val="both"/>
        <w:ind w:firstLine="2634"/>
        <w:spacing w:after="0" w:line="269" w:lineRule="auto"/>
        <w:rPr>
          <w:sz w:val="20"/>
          <w:szCs w:val="20"/>
          <w:color w:val="auto"/>
        </w:rPr>
      </w:pPr>
      <w:r>
        <w:rPr>
          <w:rFonts w:ascii="Arial" w:cs="Arial" w:eastAsia="Arial" w:hAnsi="Arial"/>
          <w:sz w:val="19"/>
          <w:szCs w:val="19"/>
          <w:color w:val="auto"/>
        </w:rPr>
        <w:t xml:space="preserve">10.4.2 </w:t>
      </w:r>
      <w:r>
        <w:rPr>
          <w:rFonts w:ascii="Arial" w:cs="Arial" w:eastAsia="Arial" w:hAnsi="Arial"/>
          <w:sz w:val="19"/>
          <w:szCs w:val="19"/>
          <w:u w:val="single" w:color="auto"/>
          <w:color w:val="auto"/>
        </w:rPr>
        <w:t>Certain Payments.</w:t>
      </w:r>
      <w:r>
        <w:rPr>
          <w:rFonts w:ascii="Arial" w:cs="Arial" w:eastAsia="Arial" w:hAnsi="Arial"/>
          <w:sz w:val="19"/>
          <w:szCs w:val="19"/>
          <w:color w:val="auto"/>
        </w:rPr>
        <w:t xml:space="preserve"> Notwithstanding Section 10.4.1, all payments by Astellas required under this Agreement above, including under Section 6.1.1 are expressed as net amounts and shall be made free and clear of, and without reduction for, any withholding taxes, provided, however, that in the event that any withholding taxes are due on the payments Astellas shall make to FG under Sections 6.1.2 and 6.1.3, Astellas shall make such payments directly to the Japanese Tax Authority and shall be entitled to reduce the amount paid to FG by [*] of the amount of the withholding taxes paid to Japanese Tax Authority in respect of such payment, unless the amount of such withholding taxes is reduced by a decision of the Japanese tax authority, or is subsequently adjusted downward as result of appeal, in which event the next payment due hereunder, including, without limitation, a transfer payment or a payment upon termination, shall be increased by such amount. Any such taxes which are otherwise imposed on payments to FG shall be the sole responsibility of Astellas. Astellas shall provide FG with official receipts issued by the appropriate taxing authority or such other evidence as is reasonably requested by FG to establish that such taxes have been paid. Astellas and FG shall cooperate to minimize the withholding taxes due on the amounts payable by Astellas to FG hereunder to the extent permissible under law, including, but not limited to, making appropriate application(s) to</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15" w:lineRule="exact"/>
        <w:rPr>
          <w:sz w:val="20"/>
          <w:szCs w:val="20"/>
          <w:color w:val="auto"/>
        </w:rPr>
      </w:pPr>
    </w:p>
    <w:p>
      <w:pPr>
        <w:ind w:firstLine="7"/>
        <w:spacing w:after="0" w:line="275" w:lineRule="auto"/>
        <w:tabs>
          <w:tab w:leader="none" w:pos="258"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2" w:name="page183"/>
    <w:bookmarkEnd w:id="182"/>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tax authorities within the Astellas Territory. If possible, FG shall use its reasonable efforts to apply for the tax refund from U.S. tax authorities for the withholding taxes paid to the Japanese Tax Authority on the payment U.S. $[*] payment made by Astellas to FG on January 13, 2004 as set forth in Section 6.1 when such application for the tax refund becomes possible, and if FG has received any such tax refund, FG shall reimburse to Astellas for the amounts corresponding to the withholding taxes paid in Astellas’ accounts as set forth above.</w:t>
      </w:r>
    </w:p>
    <w:p>
      <w:pPr>
        <w:spacing w:after="0" w:line="178" w:lineRule="exact"/>
        <w:rPr>
          <w:sz w:val="20"/>
          <w:szCs w:val="20"/>
          <w:color w:val="auto"/>
        </w:rPr>
      </w:pPr>
    </w:p>
    <w:p>
      <w:pPr>
        <w:jc w:val="both"/>
        <w:ind w:firstLine="878"/>
        <w:spacing w:after="0" w:line="267"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Records; Inspections</w:t>
      </w:r>
      <w:r>
        <w:rPr>
          <w:rFonts w:ascii="Arial" w:cs="Arial" w:eastAsia="Arial" w:hAnsi="Arial"/>
          <w:sz w:val="19"/>
          <w:szCs w:val="19"/>
          <w:color w:val="auto"/>
        </w:rPr>
        <w:t>. Astellas shall keep, and require its Affiliates and Sublicensees to keep, complete, true and accurate books of accounts and records for the purpose of determining payments due pursuant to this Agreement. Such books and records shall be kept for at least [*] following the end of the calendar quarter to which they pertain. FG shall keep, and require its Sublicensee(s) to keep, complete, true and accurate books of accounts and records for the purpose of verifying the accuracy of the [*] Percentage and Fully Burdened Costs. Such records will be open for inspection at the principal place of business of each party (the “Inspected Party”) during such [*] period by an independent auditor chosen by the other party (the “Inspecting Party”) and reasonably acceptable to the Inspected Party for the purpose of verifying the amounts payable by Astellas to FG hereunder or the accuracy of the [*] Percentage and/or Fully Burdened Costs. Such inspections may be made no more than once each calendar year, at reasonable times and on reasonable notice. Any books of accounts or records shall not be inspected more than once. The independent auditor retained by the Inspecting Party shall be obligated to execute a reasonable confidentiality agreement with the Inspected Party prior to commencing any such inspection, which, among other customary clauses, contains the provisions to the effect that such auditor shall not disclose to the Inspecting Party any information other than as necessary to accomplish the purpose of the inspection. Inspections conducted under this Section 10.5 shall be at the expense of the Inspecting Party. Any underpaid or overcharged amounts that are discovered will be paid by the Inspected Party, and with interest on such underpaid or overcharged amounts at the rate set forth in Section 10.2 above. The parties will endeavor to minimize disruption of the Inspected Party’s normal business activities to the extent reasonably practicable.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DUE DILIGENCE</w:t>
      </w:r>
    </w:p>
    <w:p>
      <w:pPr>
        <w:spacing w:after="0" w:line="194"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u w:val="single" w:color="auto"/>
          <w:color w:val="auto"/>
        </w:rPr>
        <w:t>Astellas’ Due Diligence</w:t>
      </w:r>
      <w:r>
        <w:rPr>
          <w:rFonts w:ascii="Arial" w:cs="Arial" w:eastAsia="Arial" w:hAnsi="Arial"/>
          <w:sz w:val="20"/>
          <w:szCs w:val="20"/>
          <w:color w:val="auto"/>
        </w:rPr>
        <w:t>. Astellas shall use its commercially reasonable efforts (i) to conduct any development work undertaken under the Development Program, and any and all clinical trials (including without limitation Phase III) required to obtain, and thereafter to take such other actions as are necessary to obtain, Marketing Approvals for any Lead Compound in the Astellas Territory as soon as practicable, and (ii) to launch each such Lead Compound in the Astellas Territory as soon as practicable after receiving Marketing Approval in the Astellas Territory for such Lead Compound.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15" w:lineRule="exact"/>
        <w:rPr>
          <w:sz w:val="20"/>
          <w:szCs w:val="20"/>
          <w:color w:val="auto"/>
        </w:rPr>
      </w:pPr>
    </w:p>
    <w:p>
      <w:pPr>
        <w:ind w:firstLine="7"/>
        <w:spacing w:after="0" w:line="275" w:lineRule="auto"/>
        <w:tabs>
          <w:tab w:leader="none" w:pos="25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3" w:name="page184"/>
    <w:bookmarkEnd w:id="183"/>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FG’s Due Diligence</w:t>
      </w:r>
      <w:r>
        <w:rPr>
          <w:rFonts w:ascii="Arial" w:cs="Arial" w:eastAsia="Arial" w:hAnsi="Arial"/>
          <w:sz w:val="21"/>
          <w:szCs w:val="21"/>
          <w:color w:val="auto"/>
        </w:rPr>
        <w:t>. FG shall use its commercially reasonable efforts to conduct, and to the extent possible taking into account safety and other applicable issues, complete a Phase II clinical trial with FG-2216 or another Lead Compound in the FG Territory.</w:t>
      </w:r>
    </w:p>
    <w:p>
      <w:pPr>
        <w:spacing w:after="0" w:line="168"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u w:val="single" w:color="auto"/>
          <w:color w:val="auto"/>
        </w:rPr>
        <w:t>Development Diligence</w:t>
      </w:r>
    </w:p>
    <w:p>
      <w:pPr>
        <w:spacing w:after="0" w:line="212"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0"/>
          <w:szCs w:val="20"/>
          <w:color w:val="auto"/>
        </w:rPr>
        <w:t>11.3.1 Astellas shall pursue development of Indications according to the following terms: (i) Astellas shall pursue Commercialization in “Treatment of anemia in patients with chronic kidney disease undergoing dialysis” and “Treatment of anemia in patients with chronic kidney disease not undergoing dialysis”; (ii) Astellas shall notify FG within six (6) months of the execution of this Agreement whether it shall pursue Commercialization in [*]; (iii) Astellas shall notify FG within six</w:t>
      </w:r>
    </w:p>
    <w:p>
      <w:pPr>
        <w:spacing w:after="0" w:line="2" w:lineRule="exact"/>
        <w:rPr>
          <w:sz w:val="20"/>
          <w:szCs w:val="20"/>
          <w:color w:val="auto"/>
        </w:rPr>
      </w:pPr>
    </w:p>
    <w:p>
      <w:pPr>
        <w:jc w:val="both"/>
        <w:ind w:firstLine="7"/>
        <w:spacing w:after="0" w:line="252" w:lineRule="auto"/>
        <w:tabs>
          <w:tab w:leader="none" w:pos="31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months of the date FG notifies Astellas that it has demonstrated Proof of Concept whether it will pursue Commercialization in [*]; (iv) Astellas shall notify FG within six (6) months of the date FG notifies Astellas that it has demonstrated Proof of Concept whether it will pursue Commercialization in [*]; and (v) Astellas shall notify FG, upon Marketing Approval for any Lead Compound in each of the following Indications, whether it will pursue Commercialization of such Indication: [*], and any other indications to be added hereafter to the definition of the Indication by mutual agreement; and (vi) if FG is pursuing Commercialization of [*], Astellas shall notify FG after Marketing Approval whether it shall pursue Commercialization of such Indication. Should Astellas inform FG that it does not wish to pursue Commercialization of any Indication, or should Astellas fail to meet the due diligence obligations under Section 11.3.2 for any Indication as set forth in Section 11.3.1(iv) or under Section 11.3.3 for any Indication as set forth in Section 11.3.1(v), such Indication shall no longer be considered an Indication for the purposes of this Agreement, and Astellas shall have no right or shall lose any right with respect to such Indication under this Agreement including, without limitation, the licenses granted under Sections 8.1 and 13.1 hereof. Each Indication for which Astellas is obligated to pursue Commercialization under Section 11.3.1(i) or for which it decides to pursue Commercialization under Sections 11.3.1(ii), (iii) or (iv) shall be a “Major Indication”.</w:t>
      </w:r>
    </w:p>
    <w:p>
      <w:pPr>
        <w:spacing w:after="0" w:line="180"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color w:val="auto"/>
        </w:rPr>
        <w:t>11.3.2 In addition to the obligations set forth in Section 11.1 and 11.3, for each Major Indication, until such time as Astellas obtains Marketing Approval in the Astellas Territory for such Major Indication, with respect to each Lead Compound for each Major Indication, Astellas shall:</w:t>
      </w:r>
    </w:p>
    <w:p>
      <w:pPr>
        <w:spacing w:after="0" w:line="168" w:lineRule="exact"/>
        <w:rPr>
          <w:sz w:val="20"/>
          <w:szCs w:val="20"/>
          <w:color w:val="auto"/>
        </w:rPr>
      </w:pPr>
    </w:p>
    <w:p>
      <w:pPr>
        <w:jc w:val="both"/>
        <w:ind w:firstLine="2641"/>
        <w:spacing w:after="0" w:line="272" w:lineRule="auto"/>
        <w:tabs>
          <w:tab w:leader="none" w:pos="3512"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If required for development of a Lead Compound in an Indication, Initiate Phase I clinical trials within [*] after the later of (i) the Effective Date, for Indications for which FG has commenced clinical trials prior to the execution of this Agreement, and (ii) FG’s or its Sublicensees Initiation of a Phase I clinical trial for other such Indications.</w:t>
      </w:r>
    </w:p>
    <w:p>
      <w:pPr>
        <w:spacing w:after="0" w:line="152" w:lineRule="exact"/>
        <w:rPr>
          <w:rFonts w:ascii="Arial" w:cs="Arial" w:eastAsia="Arial" w:hAnsi="Arial"/>
          <w:sz w:val="20"/>
          <w:szCs w:val="20"/>
          <w:color w:val="auto"/>
        </w:rPr>
      </w:pPr>
    </w:p>
    <w:p>
      <w:pPr>
        <w:jc w:val="both"/>
        <w:ind w:firstLine="2641"/>
        <w:spacing w:after="0" w:line="272" w:lineRule="auto"/>
        <w:tabs>
          <w:tab w:leader="none" w:pos="352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Initiate Phase II clinical trials within the later of (i) [*] after FG’s, or its Sublicensee’s, Initiation of Phase II, (ii) [*] after Astellas’ Completion of its Phase I clinical trial(s), (iii) if Astellas’ obligations under this Subsection 11.3.2(b) are triggered upon FG’s notification of demonstration of Proof of Concept in an Indication, [*] after the date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15" w:lineRule="exact"/>
        <w:rPr>
          <w:sz w:val="20"/>
          <w:szCs w:val="20"/>
          <w:color w:val="auto"/>
        </w:rPr>
      </w:pPr>
    </w:p>
    <w:p>
      <w:pPr>
        <w:ind w:firstLine="7"/>
        <w:spacing w:after="0" w:line="275" w:lineRule="auto"/>
        <w:tabs>
          <w:tab w:leader="none" w:pos="258"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4" w:name="page185"/>
    <w:bookmarkEnd w:id="184"/>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Astellas notifies FG that it will pursue Commercialization in such Indication, and (iv) in the event Astellas’ obligations under this Section 11.3.2(b) are triggered by the designation of a secondary Lead Compound as a primary Lead Compound, [*] after such designation.</w:t>
      </w:r>
    </w:p>
    <w:p>
      <w:pPr>
        <w:spacing w:after="0" w:line="168" w:lineRule="exact"/>
        <w:rPr>
          <w:sz w:val="20"/>
          <w:szCs w:val="20"/>
          <w:color w:val="auto"/>
        </w:rPr>
      </w:pPr>
    </w:p>
    <w:p>
      <w:pPr>
        <w:jc w:val="both"/>
        <w:ind w:firstLine="2641"/>
        <w:spacing w:after="0" w:line="254" w:lineRule="auto"/>
        <w:tabs>
          <w:tab w:leader="none" w:pos="3512" w:val="left"/>
        </w:tabs>
        <w:numPr>
          <w:ilvl w:val="1"/>
          <w:numId w:val="111"/>
        </w:numPr>
        <w:rPr>
          <w:rFonts w:ascii="Arial" w:cs="Arial" w:eastAsia="Arial" w:hAnsi="Arial"/>
          <w:sz w:val="21"/>
          <w:szCs w:val="21"/>
          <w:color w:val="auto"/>
        </w:rPr>
      </w:pPr>
      <w:r>
        <w:rPr>
          <w:rFonts w:ascii="Arial" w:cs="Arial" w:eastAsia="Arial" w:hAnsi="Arial"/>
          <w:sz w:val="21"/>
          <w:szCs w:val="21"/>
          <w:color w:val="auto"/>
        </w:rPr>
        <w:t>Either notify FG of its intent to employ the Bridging Strategy, if applicable, or Initiate Phase III clinical trials within [*] of the later of (i) FG’s, or its Sublicensee’s Initiation of a Phase III clinical trial and (ii) Astellas’ Completion of its Phase II clinical trial(s).</w:t>
      </w:r>
    </w:p>
    <w:p>
      <w:pPr>
        <w:spacing w:after="0" w:line="168" w:lineRule="exact"/>
        <w:rPr>
          <w:sz w:val="20"/>
          <w:szCs w:val="20"/>
          <w:color w:val="auto"/>
        </w:rPr>
      </w:pPr>
    </w:p>
    <w:p>
      <w:pPr>
        <w:jc w:val="both"/>
        <w:ind w:firstLine="2634"/>
        <w:spacing w:after="0" w:line="269" w:lineRule="auto"/>
        <w:rPr>
          <w:sz w:val="20"/>
          <w:szCs w:val="20"/>
          <w:color w:val="auto"/>
        </w:rPr>
      </w:pPr>
      <w:r>
        <w:rPr>
          <w:rFonts w:ascii="Arial" w:cs="Arial" w:eastAsia="Arial" w:hAnsi="Arial"/>
          <w:sz w:val="21"/>
          <w:szCs w:val="21"/>
          <w:color w:val="auto"/>
        </w:rPr>
        <w:t>11.3.3 For each of the Indications set forth in Section 11.3.1(v), Astellas shall Initiate Phase II clinical studies within [*] of its notification to FG that it will pursue Commercialization in such Indication.</w:t>
      </w:r>
    </w:p>
    <w:p>
      <w:pPr>
        <w:spacing w:after="0" w:line="153"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11.3.4 Astellas’ diligence obligations set forth in Section 11.3.2 shall apply to all Lead Compounds designated by FG, provided, that for each Indication for which such diligence obligations apply, the diligence obligations shall only apply to the primary Lead Compound designated by FG, and for the secondary Lead Compound, Astellas’ diligence obligations shall be limited to those set forth in Section 11.3.2(a) until the designation of the secondary Lead Compound as the primary Lead Compound, provided, further, upon such designation, that such diligence obligation shall be expanded to include the requirement that Astellas complete the Phase I clinical studies required to Initiate Phase II clinical studies in the Indication with such secondary Lead Compound.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MANUFACTURING RIGHTS</w:t>
      </w:r>
    </w:p>
    <w:p>
      <w:pPr>
        <w:spacing w:after="0" w:line="19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12.1 </w:t>
      </w:r>
      <w:r>
        <w:rPr>
          <w:rFonts w:ascii="Arial" w:cs="Arial" w:eastAsia="Arial" w:hAnsi="Arial"/>
          <w:sz w:val="20"/>
          <w:szCs w:val="20"/>
          <w:u w:val="single" w:color="auto"/>
          <w:color w:val="auto"/>
        </w:rPr>
        <w:t>Procedures</w:t>
      </w:r>
      <w:r>
        <w:rPr>
          <w:rFonts w:ascii="Arial" w:cs="Arial" w:eastAsia="Arial" w:hAnsi="Arial"/>
          <w:sz w:val="20"/>
          <w:szCs w:val="20"/>
          <w:color w:val="auto"/>
        </w:rPr>
        <w:t>. FG shall have the exclusive right to determine the methods and procedures for the manufacture of all Lead Compounds. If FG intends to make any change in the methods or procedures, including, without limitation, manufacturing process, analyzing process and/or site change for manufacture of the Lead Compounds, FG shall notify Astellas in writing of such intended change; provided, that if in Astellas’ reasonable opinion, such change may lead to any amendment to the relevant Marketing Approval or Marketing Approval Application, Astellas shall use best efforts to (i) as soon as possible petition the Japanese Ministry of Health, Labor and Welfare to make the change without an amendment to the Marketing Approval or MAA and shall concurrently prepare an application for amendment to the Marketing Approval or MAA, and (ii) if the Japanese Ministry of Health, Labor and Welfare determines such an amendment is required, shall notify FG and submit the application for amendment immediately following notice of such requirement, and FG shall not make the intended change without a prior written consent from Astellas, such consent not to be unreasonably withheld or delayed, provided, further, that consent shall be deemed granted upon notice that an amendment is not required or approval of an amendment from the Japanese Ministry of Health, Labor and Welfare. FG shall provide Astellas with all the data and information necessary for Astellas to amend the Marketing Approval or MAA in Astellas Territory and shall continue to supply Astellas with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15" w:lineRule="exact"/>
        <w:rPr>
          <w:sz w:val="20"/>
          <w:szCs w:val="20"/>
          <w:color w:val="auto"/>
        </w:rPr>
      </w:pPr>
    </w:p>
    <w:p>
      <w:pPr>
        <w:ind w:firstLine="7"/>
        <w:spacing w:after="0" w:line="275" w:lineRule="auto"/>
        <w:tabs>
          <w:tab w:leader="none" w:pos="258"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5" w:name="page186"/>
    <w:bookmarkEnd w:id="185"/>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Lead Compound as manufactured with the manufacturing methods and procedures or at the manufacturing site described in Astellas’ (or its Affiliate's or Sublicensee's) then current Marketing Approval or MAA until Astellas will have finished the necessary amendment to the relevant Marketing Approval or MAA or received notice that an amendment is not required.</w:t>
      </w:r>
    </w:p>
    <w:p>
      <w:pPr>
        <w:spacing w:after="0" w:line="16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12.2 </w:t>
      </w:r>
      <w:r>
        <w:rPr>
          <w:rFonts w:ascii="Arial" w:cs="Arial" w:eastAsia="Arial" w:hAnsi="Arial"/>
          <w:sz w:val="21"/>
          <w:szCs w:val="21"/>
          <w:u w:val="single" w:color="auto"/>
          <w:color w:val="auto"/>
        </w:rPr>
        <w:t>FG Right</w:t>
      </w:r>
      <w:r>
        <w:rPr>
          <w:rFonts w:ascii="Arial" w:cs="Arial" w:eastAsia="Arial" w:hAnsi="Arial"/>
          <w:sz w:val="21"/>
          <w:szCs w:val="21"/>
          <w:color w:val="auto"/>
        </w:rPr>
        <w:t>. FG shall have the worldwide exclusive right (itself or through third party vendors) to manufacture (or have manufactured) Lead Compounds. Astellas and its Affiliates and Sublicensees shall not directly or indirectly make, produce or manufacture any Lead Compounds.</w:t>
      </w:r>
    </w:p>
    <w:p>
      <w:pPr>
        <w:spacing w:after="0" w:line="168"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19"/>
          <w:szCs w:val="19"/>
          <w:color w:val="auto"/>
        </w:rPr>
        <w:t xml:space="preserve">12.3 </w:t>
      </w:r>
      <w:r>
        <w:rPr>
          <w:rFonts w:ascii="Arial" w:cs="Arial" w:eastAsia="Arial" w:hAnsi="Arial"/>
          <w:sz w:val="19"/>
          <w:szCs w:val="19"/>
          <w:u w:val="single" w:color="auto"/>
          <w:color w:val="auto"/>
        </w:rPr>
        <w:t>Manufacture and Supply</w:t>
      </w:r>
      <w:r>
        <w:rPr>
          <w:rFonts w:ascii="Arial" w:cs="Arial" w:eastAsia="Arial" w:hAnsi="Arial"/>
          <w:sz w:val="19"/>
          <w:szCs w:val="19"/>
          <w:color w:val="auto"/>
        </w:rPr>
        <w:t>. FG shall have the exclusive right and obligation to supply the Lead Compounds to Astellas and its Affiliates and Sublicensees for all development and commercial purposes, and Astellas and its Affiliates and Sublicensees shall purchase such Lead Compounds exclusively from FG. It is understood that FG may engage subcontractors with respect to the manufacture of such Lead Compounds to fulfill its supply obligations to Astellas hereunder. In all cases, supply by FG of Lead Compounds hereunder shall be Ex Works (Incoterms 2000) the manufacturing facility. Subject to Section 8.3.5 hereof, nothing herein is intended to preclude FG from granting rights to supply or supplying (a) any Lead Compound outside of the Astellas Territory to any third party for use within or outside the Field, or (b) any compound Controlled by FG within the Astellas Territory except for a Lead Compound for the duration of its designation in compliance with the terms and conditions of this Agreement.</w:t>
      </w:r>
    </w:p>
    <w:p>
      <w:pPr>
        <w:spacing w:after="0" w:line="155"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Product Specifications</w:t>
      </w:r>
      <w:r>
        <w:rPr>
          <w:rFonts w:ascii="Arial" w:cs="Arial" w:eastAsia="Arial" w:hAnsi="Arial"/>
          <w:sz w:val="20"/>
          <w:szCs w:val="20"/>
          <w:color w:val="auto"/>
        </w:rPr>
        <w:t>. The Lead Compounds to be supplied by FG hereunder shall meet the Product Specifications. In addition to, but not in limitation of, the foregoing, FG and Astellas agree that upon Marketing Approval for any Lead Compound, FG’s obligation to supply Astellas with Lead Compound shall be limited to, and all payment obligations set forth in Section 9.2 shall be based on, the supply of Bulk Product, unless otherwise agreed by the parties. The packaging for the Lead Compound to be distributed commercially by Astellas shall contain a clearly visible acknowledgment that the Lead Compound was manufactured by FG, and shall contain a registered trademark of the FG logo or other trademark approved by FG.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15" w:lineRule="exact"/>
        <w:rPr>
          <w:sz w:val="20"/>
          <w:szCs w:val="20"/>
          <w:color w:val="auto"/>
        </w:rPr>
      </w:pPr>
    </w:p>
    <w:p>
      <w:pPr>
        <w:ind w:firstLine="7"/>
        <w:spacing w:after="0" w:line="275" w:lineRule="auto"/>
        <w:tabs>
          <w:tab w:leader="none" w:pos="258"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6" w:name="page187"/>
    <w:bookmarkEnd w:id="186"/>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8"/>
          <w:szCs w:val="18"/>
          <w:u w:val="single" w:color="auto"/>
          <w:color w:val="auto"/>
        </w:rPr>
        <w:t>Orders Forecast</w:t>
      </w:r>
    </w:p>
    <w:p>
      <w:pPr>
        <w:spacing w:after="0" w:line="212" w:lineRule="exact"/>
        <w:rPr>
          <w:sz w:val="20"/>
          <w:szCs w:val="20"/>
          <w:color w:val="auto"/>
        </w:rPr>
      </w:pPr>
    </w:p>
    <w:p>
      <w:pPr>
        <w:jc w:val="both"/>
        <w:ind w:firstLine="2634"/>
        <w:spacing w:after="0" w:line="275" w:lineRule="auto"/>
        <w:rPr>
          <w:sz w:val="20"/>
          <w:szCs w:val="20"/>
          <w:color w:val="auto"/>
        </w:rPr>
      </w:pPr>
      <w:r>
        <w:rPr>
          <w:rFonts w:ascii="Arial" w:cs="Arial" w:eastAsia="Arial" w:hAnsi="Arial"/>
          <w:sz w:val="19"/>
          <w:szCs w:val="19"/>
          <w:color w:val="auto"/>
        </w:rPr>
        <w:t xml:space="preserve">12.5.1 </w:t>
      </w:r>
      <w:r>
        <w:rPr>
          <w:rFonts w:ascii="Arial" w:cs="Arial" w:eastAsia="Arial" w:hAnsi="Arial"/>
          <w:sz w:val="19"/>
          <w:szCs w:val="19"/>
          <w:u w:val="single" w:color="auto"/>
          <w:color w:val="auto"/>
        </w:rPr>
        <w:t>Orders for Non-Commercial Use.</w:t>
      </w:r>
      <w:r>
        <w:rPr>
          <w:rFonts w:ascii="Arial" w:cs="Arial" w:eastAsia="Arial" w:hAnsi="Arial"/>
          <w:sz w:val="19"/>
          <w:szCs w:val="19"/>
          <w:color w:val="auto"/>
        </w:rPr>
        <w:t xml:space="preserve"> In connection with the supply of any Lead Compound for non-commercial use in the Territory, Astellas shall provide FG with a firm purchase order as early as possible prior to its requirements, and in no event less than [*] prior to the shipment or other release date(s) requested by Astellas for such Lead Compound. FG shall provide such Lead Compound to Astellas as soon as practicable within such time period, subject, prior to Marketing Approval, to the reasonable lead time requirements of third party contract manufacturers. All forecasts shall be prepared in good faith in order to facilitate FG's manufacture and shipment of the Lead Compound in compliance with this Agreement.</w:t>
      </w:r>
    </w:p>
    <w:p>
      <w:pPr>
        <w:spacing w:after="0" w:line="153"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12.5.2 </w:t>
      </w:r>
      <w:r>
        <w:rPr>
          <w:rFonts w:ascii="Arial" w:cs="Arial" w:eastAsia="Arial" w:hAnsi="Arial"/>
          <w:sz w:val="21"/>
          <w:szCs w:val="21"/>
          <w:u w:val="single" w:color="auto"/>
          <w:color w:val="auto"/>
        </w:rPr>
        <w:t>Forecast and Order for Commercial Use.</w:t>
      </w:r>
      <w:r>
        <w:rPr>
          <w:rFonts w:ascii="Arial" w:cs="Arial" w:eastAsia="Arial" w:hAnsi="Arial"/>
          <w:sz w:val="21"/>
          <w:szCs w:val="21"/>
          <w:color w:val="auto"/>
        </w:rPr>
        <w:t xml:space="preserve"> In connection with the supply of any Lead Compound for commercial use in the Astellas Territory upon FG’s request, Astellas and FG shall negotiate in good faith appropriate forecasting and firm purchase order lead times, taking into consideration the reasonable notice requirements of FG and its third party manufacturers. All forecasts shall be prepared in good faith in order to facilitate FG's manufacture and shipment of the Lead Compound in compliance with this Agreement.</w:t>
      </w:r>
    </w:p>
    <w:p>
      <w:pPr>
        <w:spacing w:after="0" w:line="178"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20"/>
          <w:szCs w:val="20"/>
          <w:color w:val="auto"/>
        </w:rPr>
        <w:t xml:space="preserve">12.6 </w:t>
      </w:r>
      <w:r>
        <w:rPr>
          <w:rFonts w:ascii="Arial" w:cs="Arial" w:eastAsia="Arial" w:hAnsi="Arial"/>
          <w:sz w:val="20"/>
          <w:szCs w:val="20"/>
          <w:u w:val="single" w:color="auto"/>
          <w:color w:val="auto"/>
        </w:rPr>
        <w:t>Shipment</w:t>
      </w:r>
      <w:r>
        <w:rPr>
          <w:rFonts w:ascii="Arial" w:cs="Arial" w:eastAsia="Arial" w:hAnsi="Arial"/>
          <w:sz w:val="20"/>
          <w:szCs w:val="20"/>
          <w:color w:val="auto"/>
        </w:rPr>
        <w:t>. Astellas, or FG at Astellas’ request if specified in a purchase order by Astellas, shall arrange for shipment of the Lead Compound as specified in each purchase order by Astellas, Ex Works (Incoterms 2000) the manufacturing facility. For purposes of this Agreement, and notwithstanding anything to the contrary contained within the term “Ex Works”, it is hereby acknowledged and agreed that title and risk of loss shall transfer to Astellas from receipt by Astellas at the manufacturing facility. Astellas shall bear the costs of such carrier, including the costs of insurance of the shipment, and all customs, duties, sales taxes and other governmental charges related to the importation and sales of the Lead Compound.</w:t>
      </w:r>
    </w:p>
    <w:p>
      <w:pPr>
        <w:spacing w:after="0" w:line="166"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 xml:space="preserve">12.7 </w:t>
      </w:r>
      <w:r>
        <w:rPr>
          <w:rFonts w:ascii="Arial" w:cs="Arial" w:eastAsia="Arial" w:hAnsi="Arial"/>
          <w:sz w:val="20"/>
          <w:szCs w:val="20"/>
          <w:u w:val="single" w:color="auto"/>
          <w:color w:val="auto"/>
        </w:rPr>
        <w:t>Inspection of Shipment/Right to Reject</w:t>
      </w:r>
      <w:r>
        <w:rPr>
          <w:rFonts w:ascii="Arial" w:cs="Arial" w:eastAsia="Arial" w:hAnsi="Arial"/>
          <w:sz w:val="20"/>
          <w:szCs w:val="20"/>
          <w:color w:val="auto"/>
        </w:rPr>
        <w:t>. Each shipment of Lead Compound from FG to Astellas shall contain such laboratory and quality control certificate as are necessary to show that the Lead Compound is in conformity with the Product Specifications. Astellas shall promptly inspect each shipment. In the event that any portion of the shipment fails to conform to the Product Specifications, Astellas shall notify FG within [*] of Astellas’ receipt of such shipment. Such notice shall specify the manner in which the Lead Compound fails to meet the Product Specifications. In the absence of such notification, Astellas shall be deemed to have accepted the shipment. FG and Astellas agree to consult with each other to resolve any discrepancy between each other’s determinations regarding any possible nonconformity of the Lead Compound. If such consultation does not resolve the discrepancy, the parties agree to nominate a reputable independent laboratory or other independent third party, in each case acceptable to both parties, to carry out tests on representative samples taken from such shipment, and the results of such tests shall be binding on both parties. If the results of such tests demonstrate that the Lead Compound does not meet the Product Specifications, then FG shall pay the costs of such tests; otherwise, Astellas shall pay for the costs of such tests. FG shall, at its expense, promptly replace any Lead Compound to the extent that, in accordance with this Section 12.7, it is determined that it does not conform to the Product Specifications. Unless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15" w:lineRule="exact"/>
        <w:rPr>
          <w:sz w:val="20"/>
          <w:szCs w:val="20"/>
          <w:color w:val="auto"/>
        </w:rPr>
      </w:pPr>
    </w:p>
    <w:p>
      <w:pPr>
        <w:ind w:firstLine="7"/>
        <w:spacing w:after="0" w:line="275" w:lineRule="auto"/>
        <w:tabs>
          <w:tab w:leader="none" w:pos="258"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7" w:name="page188"/>
    <w:bookmarkEnd w:id="187"/>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otherwise instructed by FG, all non-conforming Lead Compound shall be returned to FG at the place of manufacture at FG’s direction and at FG’s expense. If Astellas detects at any time any defect in the Lead Compound which has not been found through Astellas’ inspection, it shall notify FG to that effect within [*] of the discovery of such defect, and the procedures set forth above in this Section 12.7 shall be applied to such defective Lead Compound, provided, that FG shall only be responsible to pay for costs of defects that are the result of FG’s gross negligence or willful misconduct.</w:t>
      </w:r>
    </w:p>
    <w:p>
      <w:pPr>
        <w:spacing w:after="0" w:line="178"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12.8 </w:t>
      </w:r>
      <w:r>
        <w:rPr>
          <w:rFonts w:ascii="Arial" w:cs="Arial" w:eastAsia="Arial" w:hAnsi="Arial"/>
          <w:sz w:val="20"/>
          <w:szCs w:val="20"/>
          <w:u w:val="single" w:color="auto"/>
          <w:color w:val="auto"/>
        </w:rPr>
        <w:t>Inspection of Facilities</w:t>
      </w:r>
      <w:r>
        <w:rPr>
          <w:rFonts w:ascii="Arial" w:cs="Arial" w:eastAsia="Arial" w:hAnsi="Arial"/>
          <w:sz w:val="20"/>
          <w:szCs w:val="20"/>
          <w:color w:val="auto"/>
        </w:rPr>
        <w:t>. Astellas shall have the right, upon reasonable advance notice and during regular business hours, to inspect and audit, either by itself or through its Affiliates or consultants, the facilities (including any facilities of sub-contractors) being used by FG for production of the Lead Compound to assure compliance with applicable laws, rules and regulations, including, without limitation, Japanese regulatory standards and FG quality control procedures ("Relevant Standards"). FG shall also reasonably comply with inspection requests of the Japanese Ministry of Health, Labor &amp; Welfare. Such inspection and audit shall be conducted at Astellas’ sole cost and expense in a manner so as to minimize disruption of FG's, or its subcontractor’s or Sublicensee’s, business operations. FG shall, within [*] after FG's receipt of written notice from Astellas detailing any deficiencies which may be noted in any such audit which relate to the Relevant Standards use good faith efforts to remedy such deficiencies, and submit a plan to the Astellas outlining steps proposed to be taken.</w:t>
      </w:r>
    </w:p>
    <w:p>
      <w:pPr>
        <w:spacing w:after="0" w:line="169"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12.9 </w:t>
      </w:r>
      <w:r>
        <w:rPr>
          <w:rFonts w:ascii="Arial" w:cs="Arial" w:eastAsia="Arial" w:hAnsi="Arial"/>
          <w:sz w:val="21"/>
          <w:szCs w:val="21"/>
          <w:u w:val="single" w:color="auto"/>
          <w:color w:val="auto"/>
        </w:rPr>
        <w:t>Recall</w:t>
      </w:r>
      <w:r>
        <w:rPr>
          <w:rFonts w:ascii="Arial" w:cs="Arial" w:eastAsia="Arial" w:hAnsi="Arial"/>
          <w:sz w:val="21"/>
          <w:szCs w:val="21"/>
          <w:color w:val="auto"/>
        </w:rPr>
        <w:t>. In the event that Astellas deems it necessary to recall any Lead Compound from the market, it may do so in its sole discretion, after notification to the FG. The costs and expenses for such recall shall be borne by Astellas unless caused by a failure for which FG is required to indemnify Astellas pursuant to Section 17.3, or by FG’s gross negligence or willful misconduct, in which event it shall be borne by FG.</w:t>
      </w:r>
    </w:p>
    <w:p>
      <w:pPr>
        <w:spacing w:after="0" w:line="173"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12.10 </w:t>
      </w:r>
      <w:r>
        <w:rPr>
          <w:rFonts w:ascii="Arial" w:cs="Arial" w:eastAsia="Arial" w:hAnsi="Arial"/>
          <w:sz w:val="21"/>
          <w:szCs w:val="21"/>
          <w:u w:val="single" w:color="auto"/>
          <w:color w:val="auto"/>
        </w:rPr>
        <w:t>Warranty</w:t>
      </w:r>
      <w:r>
        <w:rPr>
          <w:rFonts w:ascii="Arial" w:cs="Arial" w:eastAsia="Arial" w:hAnsi="Arial"/>
          <w:sz w:val="21"/>
          <w:szCs w:val="21"/>
          <w:color w:val="auto"/>
        </w:rPr>
        <w:t>. FG represents and warrants that the Lead Compounds to be supplied to Astellas under this Agreement shall conform to the Product Specifications and shall, as appropriate, be manufactured in compliance with GMP Guidelines. Subject to Sections 12.9 and 17.3 hereof, FG’s sole obligation and Astellas’ sole remedy with respect to Lead Compound which does not meet the warranty contained herein is limited to replacement of such Lead Compound and reimbursement of Astellas’ out of pocket expenses for shipping to FG at the address designated by FG.</w:t>
      </w:r>
    </w:p>
    <w:p>
      <w:pPr>
        <w:spacing w:after="0" w:line="17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12.11 </w:t>
      </w:r>
      <w:r>
        <w:rPr>
          <w:rFonts w:ascii="Arial" w:cs="Arial" w:eastAsia="Arial" w:hAnsi="Arial"/>
          <w:sz w:val="21"/>
          <w:szCs w:val="21"/>
          <w:u w:val="single" w:color="auto"/>
          <w:color w:val="auto"/>
        </w:rPr>
        <w:t>Interruption in Supply</w:t>
      </w:r>
      <w:r>
        <w:rPr>
          <w:rFonts w:ascii="Arial" w:cs="Arial" w:eastAsia="Arial" w:hAnsi="Arial"/>
          <w:sz w:val="21"/>
          <w:szCs w:val="21"/>
          <w:color w:val="auto"/>
        </w:rPr>
        <w:t>. For any particular Lead Compound, in order to minimize any interruptions in supply hereunder, FG and Astellas agree that within [*], FG shall maintain two separate, validated manufacturing sites (which may either be its own manufacturing facilities or facilities of a contract manufacturer) for such Lead Compound.</w:t>
      </w:r>
    </w:p>
    <w:p>
      <w:pPr>
        <w:spacing w:after="0" w:line="168"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 xml:space="preserve">12.12 </w:t>
      </w:r>
      <w:r>
        <w:rPr>
          <w:rFonts w:ascii="Arial" w:cs="Arial" w:eastAsia="Arial" w:hAnsi="Arial"/>
          <w:sz w:val="20"/>
          <w:szCs w:val="20"/>
          <w:u w:val="single" w:color="auto"/>
          <w:color w:val="auto"/>
        </w:rPr>
        <w:t>Reference and Standard Materials</w:t>
      </w:r>
      <w:r>
        <w:rPr>
          <w:rFonts w:ascii="Arial" w:cs="Arial" w:eastAsia="Arial" w:hAnsi="Arial"/>
          <w:sz w:val="20"/>
          <w:szCs w:val="20"/>
          <w:color w:val="auto"/>
        </w:rPr>
        <w:t>. For any Lead Compound provided to Astellas hereunder, upon Astellas’ request and pursuant to Section 9.4 hereof, FG shall provide to Astellas reasonable quantities of reference materials, including analogs, metabolites, impurities, degradates and radio-labeled compounds (“Reference Materials”) and standard materials, i.e.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15" w:lineRule="exact"/>
        <w:rPr>
          <w:sz w:val="20"/>
          <w:szCs w:val="20"/>
          <w:color w:val="auto"/>
        </w:rPr>
      </w:pPr>
    </w:p>
    <w:p>
      <w:pPr>
        <w:ind w:firstLine="7"/>
        <w:spacing w:after="0" w:line="275" w:lineRule="auto"/>
        <w:tabs>
          <w:tab w:leader="none" w:pos="258"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8" w:name="page189"/>
    <w:bookmarkEnd w:id="188"/>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21"/>
          <w:szCs w:val="21"/>
          <w:color w:val="auto"/>
        </w:rPr>
        <w:t>defined, highly purified Lead Compound (“Standard Materials”) for such Lead Compound for the purposes of conducting analytical, release, stability and other studies as may be authorized by the JDC under the Development Program.</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GRANTS</w:t>
      </w:r>
    </w:p>
    <w:p>
      <w:pPr>
        <w:spacing w:after="0" w:line="19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13.1 </w:t>
      </w:r>
      <w:r>
        <w:rPr>
          <w:rFonts w:ascii="Arial" w:cs="Arial" w:eastAsia="Arial" w:hAnsi="Arial"/>
          <w:sz w:val="21"/>
          <w:szCs w:val="21"/>
          <w:u w:val="single" w:color="auto"/>
          <w:color w:val="auto"/>
        </w:rPr>
        <w:t>Grant to Astellas</w:t>
      </w:r>
      <w:r>
        <w:rPr>
          <w:rFonts w:ascii="Arial" w:cs="Arial" w:eastAsia="Arial" w:hAnsi="Arial"/>
          <w:sz w:val="21"/>
          <w:szCs w:val="21"/>
          <w:color w:val="auto"/>
        </w:rPr>
        <w:t>. Subject to the terms and conditions of this Agreement including Article 12 above, FG hereby grants to Astellas an exclusive license under the FG Technology to: use, package, sell, have sold, import, market and otherwise distribute the Lead Compounds for use solely in the Field in the Astellas Territory</w:t>
      </w:r>
    </w:p>
    <w:p>
      <w:pPr>
        <w:spacing w:after="0" w:line="168"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13.2 </w:t>
      </w:r>
      <w:r>
        <w:rPr>
          <w:rFonts w:ascii="Arial" w:cs="Arial" w:eastAsia="Arial" w:hAnsi="Arial"/>
          <w:sz w:val="21"/>
          <w:szCs w:val="21"/>
          <w:u w:val="single" w:color="auto"/>
          <w:color w:val="auto"/>
        </w:rPr>
        <w:t>Sublicenses</w:t>
      </w:r>
      <w:r>
        <w:rPr>
          <w:rFonts w:ascii="Arial" w:cs="Arial" w:eastAsia="Arial" w:hAnsi="Arial"/>
          <w:sz w:val="21"/>
          <w:szCs w:val="21"/>
          <w:color w:val="auto"/>
        </w:rPr>
        <w:t>. The licenses granted under Section 13.1 above include the right to grant and authorize sublicenses, subject to the requirements of this Agreement and Section 7.2. Notwithstanding the foregoing, Astellas shall not have the right to authorize a Sublicensee to market, sell or distribute Lead Compounds without FG’s prior written consent (which consent shall not be unreasonably withheld). For the purposes of the foregoing, and without limitation, it shall be deemed reasonable for FG to withhold consent for competitive concerns.</w:t>
      </w:r>
    </w:p>
    <w:p>
      <w:pPr>
        <w:spacing w:after="0" w:line="178"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No Rights Beyond Lead Compounds</w:t>
      </w:r>
      <w:r>
        <w:rPr>
          <w:rFonts w:ascii="Arial" w:cs="Arial" w:eastAsia="Arial" w:hAnsi="Arial"/>
          <w:sz w:val="19"/>
          <w:szCs w:val="19"/>
          <w:color w:val="auto"/>
        </w:rPr>
        <w:t>. Except as expressly provided herein, nothing in this Agreement shall be deemed to grant to Astellas rights in FG Technology other than the rights granted hereunder to the Lead Compounds, or for applications outside the Field or outside the Astellas Territory, or to manufacture Lead Compounds; nor shall any provision of this Agreement be deemed to restrict FG’s right to exploit any FG Technology and/or the Lead Compounds outside the Astellas Territory.</w:t>
      </w:r>
    </w:p>
    <w:p>
      <w:pPr>
        <w:spacing w:after="0" w:line="14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13.4 </w:t>
      </w:r>
      <w:r>
        <w:rPr>
          <w:rFonts w:ascii="Arial" w:cs="Arial" w:eastAsia="Arial" w:hAnsi="Arial"/>
          <w:sz w:val="21"/>
          <w:szCs w:val="21"/>
          <w:u w:val="single" w:color="auto"/>
          <w:color w:val="auto"/>
        </w:rPr>
        <w:t>Expanded Field Negotiation</w:t>
      </w:r>
      <w:r>
        <w:rPr>
          <w:rFonts w:ascii="Arial" w:cs="Arial" w:eastAsia="Arial" w:hAnsi="Arial"/>
          <w:sz w:val="21"/>
          <w:szCs w:val="21"/>
          <w:color w:val="auto"/>
        </w:rPr>
        <w:t>. Following the signing of this Agreement, FG agrees to negotiate in good faith with Astellas for a license to develop compounds for the Expanded Field in the Astellas Territory, exclusively for a period of [*] following such date, and non-exclusively thereafter until the execution of a license agreement with a third party to develop compounds for the Expanded Field. FG and Astellas hereby agree that FG’s obligation to negotiate non-exclusively for the Expanded Field shall not constitute a right of first offer, right of first refusal, right of first negotiation or any obligation to enter into any agreement with Astellas at any time, and the failure of such negotiations to result in an agreement between FG and Astellas with respect to the Expanded Field shall not constitute a breach of this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INTELLECTUAL PROPERTY</w:t>
      </w:r>
    </w:p>
    <w:p>
      <w:pPr>
        <w:spacing w:after="0" w:line="19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14.1 </w:t>
      </w:r>
      <w:r>
        <w:rPr>
          <w:rFonts w:ascii="Arial" w:cs="Arial" w:eastAsia="Arial" w:hAnsi="Arial"/>
          <w:sz w:val="21"/>
          <w:szCs w:val="21"/>
          <w:u w:val="single" w:color="auto"/>
          <w:color w:val="auto"/>
        </w:rPr>
        <w:t>Ownership of Inventions</w:t>
      </w:r>
      <w:r>
        <w:rPr>
          <w:rFonts w:ascii="Arial" w:cs="Arial" w:eastAsia="Arial" w:hAnsi="Arial"/>
          <w:sz w:val="21"/>
          <w:szCs w:val="21"/>
          <w:color w:val="auto"/>
        </w:rPr>
        <w:t>. Subject to Section 14.1.1, title to all inventions and other intellectual property made related to (i) the Development Program, (ii) the Lead Compounds, (iii) FG Technology or FG Confidential Information, (iv) the Field, or (v)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15" w:lineRule="exact"/>
        <w:rPr>
          <w:sz w:val="20"/>
          <w:szCs w:val="20"/>
          <w:color w:val="auto"/>
        </w:rPr>
      </w:pPr>
    </w:p>
    <w:p>
      <w:pPr>
        <w:ind w:firstLine="7"/>
        <w:spacing w:after="0" w:line="275" w:lineRule="auto"/>
        <w:tabs>
          <w:tab w:leader="none" w:pos="258"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9" w:name="page190"/>
    <w:bookmarkEnd w:id="189"/>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Expanded Field (subsections 14.1(i)-(v), collectively, the “Protected Field”) shall be owned by or is hereby assigned to FG; provided, however that Astellas shall own inventions of general applicability relating solely to drug delivery systems created exclusively by Astellas under subsection 14.1(i), excluding inventions related to or based on subsections 14.1(ii), (iii), (iv), or (v), and provided, further, that Astellas hereby grants to FG a worldwide, fully paid non-exclusive license with the right to sublicense to practice such inventions with respect to the FG Technology. Astellas agrees to execute any and all assignments and other documents necessary to effectuate the foregoing.</w:t>
      </w:r>
    </w:p>
    <w:p>
      <w:pPr>
        <w:spacing w:after="0" w:line="182"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14.1.1 Notwithstanding Section 14.1, in the event that Astellas develops, completely independently from any FG Technology and/or any other FG materials, confidential information, intellectual property or other related information provided by or on behalf of FG to Astellas under this Agreement or any other agreement between FG and Astellas relating to the subject matter hereof, any inventions or intellectual property rights related to the Field or the Expanded Field, [*], Astellas shall own such intellectual property and hereby grants to FG and its Sublicensees a non-exclusive, royalty-free, irrevocable license to such intellectual property for the FG Territory. Astellas agrees to execute any and all assignments and other documents necessary to effectuate the foregoing.</w:t>
      </w:r>
    </w:p>
    <w:p>
      <w:pPr>
        <w:spacing w:after="0" w:line="184"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18"/>
          <w:szCs w:val="18"/>
          <w:u w:val="single" w:color="auto"/>
          <w:color w:val="auto"/>
        </w:rPr>
        <w:t>Patent Prosecution</w:t>
      </w:r>
    </w:p>
    <w:p>
      <w:pPr>
        <w:spacing w:after="0" w:line="212" w:lineRule="exact"/>
        <w:rPr>
          <w:sz w:val="20"/>
          <w:szCs w:val="20"/>
          <w:color w:val="auto"/>
        </w:rPr>
      </w:pPr>
    </w:p>
    <w:p>
      <w:pPr>
        <w:jc w:val="both"/>
        <w:ind w:firstLine="2634"/>
        <w:spacing w:after="0" w:line="269" w:lineRule="auto"/>
        <w:rPr>
          <w:sz w:val="20"/>
          <w:szCs w:val="20"/>
          <w:color w:val="auto"/>
        </w:rPr>
      </w:pPr>
      <w:r>
        <w:rPr>
          <w:rFonts w:ascii="Arial" w:cs="Arial" w:eastAsia="Arial" w:hAnsi="Arial"/>
          <w:sz w:val="19"/>
          <w:szCs w:val="19"/>
          <w:color w:val="auto"/>
        </w:rPr>
        <w:t xml:space="preserve">14.2.1 </w:t>
      </w:r>
      <w:r>
        <w:rPr>
          <w:rFonts w:ascii="Arial" w:cs="Arial" w:eastAsia="Arial" w:hAnsi="Arial"/>
          <w:sz w:val="19"/>
          <w:szCs w:val="19"/>
          <w:u w:val="single" w:color="auto"/>
          <w:color w:val="auto"/>
        </w:rPr>
        <w:t>FG Inventions.</w:t>
      </w:r>
      <w:r>
        <w:rPr>
          <w:rFonts w:ascii="Arial" w:cs="Arial" w:eastAsia="Arial" w:hAnsi="Arial"/>
          <w:sz w:val="19"/>
          <w:szCs w:val="19"/>
          <w:color w:val="auto"/>
        </w:rPr>
        <w:t xml:space="preserve"> FG shall control all Prosecution and Interference Activities pertaining to FG Patents and patent applications and patents related to its, its Affiliate’s or its Sublicensee’s inventions in the Protected Field worldwide using counsel of its choice and shall bear the costs of such Prosecution and Interference Activities, provided, however, that; and Astellas shall reimburse to FG, within [*] of receipt by Astellas of invoice therefor, any such costs to the extent incurred in connection with or reasonably allocable to the FG Patents registered and/or to be registered in the Astellas Territory and related to the Field and the Lead Compounds, provided, further, that, with respect to patents or patent applications excluding those covering composition of matter claims and all patents listed on Exhibit A hereto as of the Effective Date, Astellas may postpone such reimbursement until the respective FG Patent will have been registered in the Astellas Territory if [*], on condition that once the respective FG Patent has been registered in the Astellas Territory, Astellas shall pay to FG such costs, plus interest to the extent permitted by applicable law at the U.S. prime rate per annum quoted in the “Money Rates” column of The Wall Street Journal (U.S., Western Edition), calculated in each case from the date such costs were incurred, plus an additional [*] thereof.</w:t>
      </w:r>
    </w:p>
    <w:p>
      <w:pPr>
        <w:spacing w:after="0" w:line="163" w:lineRule="exact"/>
        <w:rPr>
          <w:sz w:val="20"/>
          <w:szCs w:val="20"/>
          <w:color w:val="auto"/>
        </w:rPr>
      </w:pPr>
    </w:p>
    <w:p>
      <w:pPr>
        <w:jc w:val="both"/>
        <w:ind w:firstLine="2634"/>
        <w:spacing w:after="0" w:line="275" w:lineRule="auto"/>
        <w:rPr>
          <w:sz w:val="20"/>
          <w:szCs w:val="20"/>
          <w:color w:val="auto"/>
        </w:rPr>
      </w:pPr>
      <w:r>
        <w:rPr>
          <w:rFonts w:ascii="Arial" w:cs="Arial" w:eastAsia="Arial" w:hAnsi="Arial"/>
          <w:sz w:val="19"/>
          <w:szCs w:val="19"/>
          <w:color w:val="auto"/>
        </w:rPr>
        <w:t xml:space="preserve">14.2.2 </w:t>
      </w:r>
      <w:r>
        <w:rPr>
          <w:rFonts w:ascii="Arial" w:cs="Arial" w:eastAsia="Arial" w:hAnsi="Arial"/>
          <w:sz w:val="19"/>
          <w:szCs w:val="19"/>
          <w:u w:val="single" w:color="auto"/>
          <w:color w:val="auto"/>
        </w:rPr>
        <w:t>Astellas Inventions.</w:t>
      </w:r>
      <w:r>
        <w:rPr>
          <w:rFonts w:ascii="Arial" w:cs="Arial" w:eastAsia="Arial" w:hAnsi="Arial"/>
          <w:sz w:val="19"/>
          <w:szCs w:val="19"/>
          <w:color w:val="auto"/>
        </w:rPr>
        <w:t xml:space="preserve"> Astellas shall not file for or otherwise seek to obtain (directly or indirectly) patent or other intellectual property protection for inventions that are related to the Protected Field, without the prior written consent of FG, which may be withheld at FG’s sole discretion, subject to Section 14.1.1, and provided also that Astellas may file for or otherwise seek to obtain patent protection for inventions related to drug delivery systems as described in Section 14.1. To the extent that FG consents to the filing of any patent application or other intellectual property protection related to the foregoing, such patent application or other intellectual property protection shall be subject to Section 14.1, unless otherwise agreed in writing.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15" w:lineRule="exact"/>
        <w:rPr>
          <w:sz w:val="20"/>
          <w:szCs w:val="20"/>
          <w:color w:val="auto"/>
        </w:rPr>
      </w:pPr>
    </w:p>
    <w:p>
      <w:pPr>
        <w:ind w:firstLine="7"/>
        <w:spacing w:after="0" w:line="275" w:lineRule="auto"/>
        <w:tabs>
          <w:tab w:leader="none" w:pos="258"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0" w:name="page191"/>
    <w:bookmarkEnd w:id="190"/>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2634"/>
        <w:spacing w:after="0" w:line="261" w:lineRule="auto"/>
        <w:rPr>
          <w:sz w:val="20"/>
          <w:szCs w:val="20"/>
          <w:color w:val="auto"/>
        </w:rPr>
      </w:pPr>
      <w:r>
        <w:rPr>
          <w:rFonts w:ascii="Arial" w:cs="Arial" w:eastAsia="Arial" w:hAnsi="Arial"/>
          <w:sz w:val="20"/>
          <w:szCs w:val="20"/>
          <w:color w:val="auto"/>
        </w:rPr>
        <w:t xml:space="preserve">14.2.3 </w:t>
      </w:r>
      <w:r>
        <w:rPr>
          <w:rFonts w:ascii="Arial" w:cs="Arial" w:eastAsia="Arial" w:hAnsi="Arial"/>
          <w:sz w:val="20"/>
          <w:szCs w:val="20"/>
          <w:u w:val="single" w:color="auto"/>
          <w:color w:val="auto"/>
        </w:rPr>
        <w:t>Cooperation.</w:t>
      </w:r>
      <w:r>
        <w:rPr>
          <w:rFonts w:ascii="Arial" w:cs="Arial" w:eastAsia="Arial" w:hAnsi="Arial"/>
          <w:sz w:val="20"/>
          <w:szCs w:val="20"/>
          <w:color w:val="auto"/>
        </w:rPr>
        <w:t xml:space="preserve"> Astellas shall cooperate with and assist FG in connection with Prosecution and Interference Activities and shall use best efforts to consult with FG regarding the prosecution and maintenance of the FG Patents for the FG Territory and the Astellas Territory for those FG Patents for which Astellas or its Affiliates, Sublicensees or investigators are inventors, except solely for inventions (i) of general applicability relating solely to drug delivery systems created by Astellas under subsection 14.1(i), or (ii) created in compliance with Section 14.1.1 as determined solely by FG in good faith.</w:t>
      </w:r>
    </w:p>
    <w:p>
      <w:pPr>
        <w:spacing w:after="0" w:line="165" w:lineRule="exact"/>
        <w:rPr>
          <w:sz w:val="20"/>
          <w:szCs w:val="20"/>
          <w:color w:val="auto"/>
        </w:rPr>
      </w:pPr>
    </w:p>
    <w:p>
      <w:pPr>
        <w:jc w:val="both"/>
        <w:ind w:firstLine="878"/>
        <w:spacing w:after="0" w:line="265"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u w:val="single" w:color="auto"/>
          <w:color w:val="auto"/>
        </w:rPr>
        <w:t>Defense of Third Party Infringement Claims</w:t>
      </w:r>
      <w:r>
        <w:rPr>
          <w:rFonts w:ascii="Arial" w:cs="Arial" w:eastAsia="Arial" w:hAnsi="Arial"/>
          <w:sz w:val="19"/>
          <w:szCs w:val="19"/>
          <w:color w:val="auto"/>
        </w:rPr>
        <w:t>. If the development, manufacture, sale or use of any Lead Compound pursuant to this Agreement results in a claim, suit or proceeding (collectively, “Actions”) alleging patent infringement against FG or Astellas (or their respective Affiliates or Sublicensees), such party shall promptly notify the other party hereto in writing. The party subject to such Action (for purposes of this Section 14.3, the “Controlling Party”) shall have the exclusive right to defend and control the defense of any such Action using counsel of its own choice; provided, however, that if such Action is directed to the subject matter of a patent of the other party (</w:t>
      </w:r>
      <w:r>
        <w:rPr>
          <w:rFonts w:ascii="Arial" w:cs="Arial" w:eastAsia="Arial" w:hAnsi="Arial"/>
          <w:sz w:val="19"/>
          <w:szCs w:val="19"/>
          <w:i w:val="1"/>
          <w:iCs w:val="1"/>
          <w:color w:val="auto"/>
        </w:rPr>
        <w:t>i.e.</w:t>
      </w:r>
      <w:r>
        <w:rPr>
          <w:rFonts w:ascii="Arial" w:cs="Arial" w:eastAsia="Arial" w:hAnsi="Arial"/>
          <w:sz w:val="19"/>
          <w:szCs w:val="19"/>
          <w:color w:val="auto"/>
        </w:rPr>
        <w:t>, for Astellas, a FG Patent), such other party may participate in the defense and/or settlement thereof at its own expense with counsel of its choice. Except as agreed in writing by Astellas and FG, Astellas shall not enter into any settlement relating to a Lead Compound, if such settlement admits the invalidity or unenforceability, or limits any claim, of any patent within the FG Technology. The Controlling Party agrees to keep the other party hereto reasonably informed of all material developments in connection with any such Action. Any cost, liability or expense associated with such action (including amounts paid in settlement) (together, “Expenses”) shall be borne by the Controlling Party; provided, that if Astellas is the Controlling Party, and the Action is related to Future Third Party Intellectual Property, with respect to Expenses related solely to such Future Third Party Intellectual Property, it shall be entitled to deduct up to [*] of the Expenses incurred on an annual basis from [*] in such year under this Agreement, provided, however, that (i) the total amount deducted shall not exceed [*] thereunder, and (ii) notwithstanding (i) above, Astellas’ right to deduct Expenses incurred shall be further limited such that in no event shall the sum of</w:t>
      </w:r>
    </w:p>
    <w:p>
      <w:pPr>
        <w:spacing w:after="0" w:line="4" w:lineRule="exact"/>
        <w:rPr>
          <w:sz w:val="20"/>
          <w:szCs w:val="20"/>
          <w:color w:val="auto"/>
        </w:rPr>
      </w:pPr>
    </w:p>
    <w:p>
      <w:pPr>
        <w:jc w:val="both"/>
        <w:ind w:firstLine="7"/>
        <w:spacing w:after="0" w:line="242" w:lineRule="auto"/>
        <w:tabs>
          <w:tab w:leader="none" w:pos="329"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Expenses deducted by Astellas under this Section 14.3, and (b) the consideration FG contributes for the acquisition of intellectual property from Third Party Licensors for the Astellas Territory as set forth in Section 14.5, exceed [*] hereunder, and, provided further, that if FG is the Controlling Party, it shall be entitled to reimbursement by Astellas of [*] of such Expenses, as incurred. Notwithstanding the foregoing, Astellas shall be solely responsible (without right of deduction) for all Expenses related to any Action relating to Preexisting Third Party Intellectual Property.</w:t>
      </w:r>
    </w:p>
    <w:p>
      <w:pPr>
        <w:spacing w:after="0" w:line="180"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14.4 </w:t>
      </w:r>
      <w:r>
        <w:rPr>
          <w:rFonts w:ascii="Arial" w:cs="Arial" w:eastAsia="Arial" w:hAnsi="Arial"/>
          <w:sz w:val="21"/>
          <w:szCs w:val="21"/>
          <w:u w:val="single" w:color="auto"/>
          <w:color w:val="auto"/>
        </w:rPr>
        <w:t>Enforcement</w:t>
      </w:r>
      <w:r>
        <w:rPr>
          <w:rFonts w:ascii="Arial" w:cs="Arial" w:eastAsia="Arial" w:hAnsi="Arial"/>
          <w:sz w:val="21"/>
          <w:szCs w:val="21"/>
          <w:color w:val="auto"/>
        </w:rPr>
        <w:t>. Subject to the provisions of this Section 14.4, in the event that FG or Astellas reasonably believes that any FG Technology necessary for the development, manufacture, use or sale of a Lead Compound is infringed or misappropriated by a third party or is subject to a declaratory judgment action arising from such infringement, in each case with respect to the development, manufacture, sale or use of a product within the Field and within the Astellas Territory, Astellas or FG (respectively) shall promptly notify the other party hereto. Promptly after such notice the parties shall meet to discuss the course of action to be taken with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15" w:lineRule="exact"/>
        <w:rPr>
          <w:sz w:val="20"/>
          <w:szCs w:val="20"/>
          <w:color w:val="auto"/>
        </w:rPr>
      </w:pPr>
    </w:p>
    <w:p>
      <w:pPr>
        <w:ind w:firstLine="7"/>
        <w:spacing w:after="0" w:line="275" w:lineRule="auto"/>
        <w:tabs>
          <w:tab w:leader="none" w:pos="258"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1" w:name="page192"/>
    <w:bookmarkEnd w:id="191"/>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respect to an Enforcement Action (as defined below) with respect to such infringement or misappropriation, including the control thereof and sharing of costs and expenses related thereto, for the purposes of entering into a litigation agreement setting forth the same (“Litigation Agreement”). If the parties do not enter such Litigation Agreement, FG shall have the initial right (but not the obligation) to enforce the intellectual property rights with respect to the FG Technology, or defend any declaratory judgment action with respect thereto (such action, for purposes of this Section 14.4, an “Enforcement Action”).</w:t>
      </w:r>
    </w:p>
    <w:p>
      <w:pPr>
        <w:spacing w:after="0" w:line="165" w:lineRule="exact"/>
        <w:rPr>
          <w:sz w:val="20"/>
          <w:szCs w:val="20"/>
          <w:color w:val="auto"/>
        </w:rPr>
      </w:pPr>
    </w:p>
    <w:p>
      <w:pPr>
        <w:jc w:val="both"/>
        <w:ind w:firstLine="2634"/>
        <w:spacing w:after="0" w:line="272" w:lineRule="auto"/>
        <w:rPr>
          <w:sz w:val="20"/>
          <w:szCs w:val="20"/>
          <w:color w:val="auto"/>
        </w:rPr>
      </w:pPr>
      <w:r>
        <w:rPr>
          <w:rFonts w:ascii="Arial" w:cs="Arial" w:eastAsia="Arial" w:hAnsi="Arial"/>
          <w:sz w:val="20"/>
          <w:szCs w:val="20"/>
          <w:color w:val="auto"/>
        </w:rPr>
        <w:t xml:space="preserve">14.4.1 </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Absent a Litigation Agreement, the party initiating or defending any such Enforcement Action within the Field shall keep the other party hereto reasonably informed of the progress of any such Enforcement Action, and such other party shall have the right to participate with counsel of its own choice at its own expense.</w:t>
      </w:r>
    </w:p>
    <w:p>
      <w:pPr>
        <w:spacing w:after="0" w:line="153" w:lineRule="exact"/>
        <w:rPr>
          <w:sz w:val="20"/>
          <w:szCs w:val="20"/>
          <w:color w:val="auto"/>
        </w:rPr>
      </w:pPr>
    </w:p>
    <w:p>
      <w:pPr>
        <w:jc w:val="both"/>
        <w:ind w:firstLine="2634"/>
        <w:spacing w:after="0" w:line="255" w:lineRule="auto"/>
        <w:rPr>
          <w:sz w:val="20"/>
          <w:szCs w:val="20"/>
          <w:color w:val="auto"/>
        </w:rPr>
      </w:pPr>
      <w:r>
        <w:rPr>
          <w:rFonts w:ascii="Arial" w:cs="Arial" w:eastAsia="Arial" w:hAnsi="Arial"/>
          <w:sz w:val="20"/>
          <w:szCs w:val="20"/>
          <w:color w:val="auto"/>
        </w:rPr>
        <w:t xml:space="preserve">14.4.2 </w:t>
      </w:r>
      <w:r>
        <w:rPr>
          <w:rFonts w:ascii="Arial" w:cs="Arial" w:eastAsia="Arial" w:hAnsi="Arial"/>
          <w:sz w:val="20"/>
          <w:szCs w:val="20"/>
          <w:u w:val="single" w:color="auto"/>
          <w:color w:val="auto"/>
        </w:rPr>
        <w:t>Enforcement Costs; Recoveries.</w:t>
      </w:r>
      <w:r>
        <w:rPr>
          <w:rFonts w:ascii="Arial" w:cs="Arial" w:eastAsia="Arial" w:hAnsi="Arial"/>
          <w:sz w:val="20"/>
          <w:szCs w:val="20"/>
          <w:color w:val="auto"/>
        </w:rPr>
        <w:t xml:space="preserve"> Absent a Litigation Agreement, FG shall have the initial right to initiate such an Enforcement Action</w:t>
      </w:r>
      <w:r>
        <w:rPr>
          <w:rFonts w:ascii="Arial" w:cs="Arial" w:eastAsia="Arial" w:hAnsi="Arial"/>
          <w:sz w:val="20"/>
          <w:szCs w:val="20"/>
          <w:b w:val="1"/>
          <w:bCs w:val="1"/>
          <w:color w:val="auto"/>
        </w:rPr>
        <w:t>,</w:t>
      </w:r>
      <w:r>
        <w:rPr>
          <w:rFonts w:ascii="Arial" w:cs="Arial" w:eastAsia="Arial" w:hAnsi="Arial"/>
          <w:sz w:val="20"/>
          <w:szCs w:val="20"/>
          <w:color w:val="auto"/>
        </w:rPr>
        <w:t xml:space="preserve"> and shall notify Astellas within a reasonable time whether it elects to exercise such right. In the event that FG elects to initiate or defend such Enforcement Action, FG shall be responsible for [*] of the costs and expenses while Astellas shall be responsible for [*] of the costs and expenses, and all amounts recovered shall first be applied to reimbursement of each party’s costs and expenses with the remainder to be allocated to FG and Astellas at the ratio of [*] and [*]. In the event that FG elects not to initiate or defend such Enforcement Action, Astellas shall have the right to initiate or defend such Enforcement Action in its own name, and to the extent permitted under Third Party Agreements, in the name of FG or in the names of both FG and Astellas, in which case, Astellas shall be responsible for [*] of the costs and expenses while FG shall be responsible for [*] of the costs and expenses, and all amounts recovered shall first be applied to reimbursement of each party’s costs and expenses with the remainder to be allocated to Astellas and FG at the ratio of [*] and [*].</w:t>
      </w:r>
    </w:p>
    <w:p>
      <w:pPr>
        <w:spacing w:after="0" w:line="173"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1"/>
          <w:szCs w:val="21"/>
          <w:color w:val="auto"/>
        </w:rPr>
        <w:t xml:space="preserve">14.4.3 </w:t>
      </w:r>
      <w:r>
        <w:rPr>
          <w:rFonts w:ascii="Arial" w:cs="Arial" w:eastAsia="Arial" w:hAnsi="Arial"/>
          <w:sz w:val="21"/>
          <w:szCs w:val="21"/>
          <w:u w:val="single" w:color="auto"/>
          <w:color w:val="auto"/>
        </w:rPr>
        <w:t>Cooperation in Enforcement Action.</w:t>
      </w:r>
      <w:r>
        <w:rPr>
          <w:rFonts w:ascii="Arial" w:cs="Arial" w:eastAsia="Arial" w:hAnsi="Arial"/>
          <w:sz w:val="21"/>
          <w:szCs w:val="21"/>
          <w:color w:val="auto"/>
        </w:rPr>
        <w:t xml:space="preserve"> Absent a Litigation Agreement, at the request of the party which has the right to initiate or defend an Enforcement Action, the other party shall reasonably cooperate in the Enforcement Action, such cooperation to include, without limitation, furnishing records, information and testimony, and attending conferences, discovery proceedings, hearings, trials and appeals; provided, that the requesting party shall reimburse to the cooperating party for the out-of-pocket expenses incurred for such cooperation pursuant to the reimbursement regime set forth in Section 14.4.2.</w:t>
      </w:r>
    </w:p>
    <w:p>
      <w:pPr>
        <w:spacing w:after="0" w:line="182" w:lineRule="exact"/>
        <w:rPr>
          <w:sz w:val="20"/>
          <w:szCs w:val="20"/>
          <w:color w:val="auto"/>
        </w:rPr>
      </w:pPr>
    </w:p>
    <w:p>
      <w:pPr>
        <w:ind w:left="1700"/>
        <w:spacing w:after="0"/>
        <w:tabs>
          <w:tab w:leader="none" w:pos="268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19"/>
          <w:szCs w:val="19"/>
          <w:u w:val="single" w:color="auto"/>
          <w:color w:val="auto"/>
        </w:rPr>
        <w:t>Third Party Agreements</w:t>
      </w:r>
    </w:p>
    <w:p>
      <w:pPr>
        <w:spacing w:after="0" w:line="212"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14.5.1 </w:t>
      </w:r>
      <w:r>
        <w:rPr>
          <w:rFonts w:ascii="Arial" w:cs="Arial" w:eastAsia="Arial" w:hAnsi="Arial"/>
          <w:sz w:val="21"/>
          <w:szCs w:val="21"/>
          <w:u w:val="single" w:color="auto"/>
          <w:color w:val="auto"/>
        </w:rPr>
        <w:t>Future Agreements.</w:t>
      </w:r>
      <w:r>
        <w:rPr>
          <w:rFonts w:ascii="Arial" w:cs="Arial" w:eastAsia="Arial" w:hAnsi="Arial"/>
          <w:sz w:val="21"/>
          <w:szCs w:val="21"/>
          <w:color w:val="auto"/>
        </w:rPr>
        <w:t xml:space="preserve"> It is understood that FG may find it necessary to utilize in connection with a Lead Compound intellectual property that is controlled by a non-Affiliate third party (such party, a “Third Party Licensor”), in addition to or in lieu of the FG Technology existing as of the Effective Date. FG shall have the right to obtain (by purchase, license, or otherwise) rights to such intellectual property with the right to sublicense to Astellas. In the event that FG determines that it must obtain such rights, it shall provide notice and submit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15" w:lineRule="exact"/>
        <w:rPr>
          <w:sz w:val="20"/>
          <w:szCs w:val="20"/>
          <w:color w:val="auto"/>
        </w:rPr>
      </w:pPr>
    </w:p>
    <w:p>
      <w:pPr>
        <w:ind w:firstLine="7"/>
        <w:spacing w:after="0" w:line="275" w:lineRule="auto"/>
        <w:tabs>
          <w:tab w:leader="none" w:pos="258"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2" w:name="page193"/>
    <w:bookmarkEnd w:id="192"/>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a description of such rights to Astellas, and shall discuss with Astellas the need to obtain such rights. Astellas shall inform FG within</w:t>
      </w:r>
    </w:p>
    <w:p>
      <w:pPr>
        <w:spacing w:after="0" w:line="40" w:lineRule="exact"/>
        <w:rPr>
          <w:sz w:val="20"/>
          <w:szCs w:val="20"/>
          <w:color w:val="auto"/>
        </w:rPr>
      </w:pPr>
    </w:p>
    <w:p>
      <w:pPr>
        <w:jc w:val="both"/>
        <w:ind w:firstLine="7"/>
        <w:spacing w:after="0" w:line="266" w:lineRule="auto"/>
        <w:tabs>
          <w:tab w:leader="none" w:pos="31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of receipt of such notice whether it believes it is necessary to obtain such rights for the Astellas Territory and wishes to obtain such rights. In the event Astellas determines to obtain such rights, FG shall obtain a worldwide license for the rights under such terms and conditions as are [*], and such intellectual property of the Third Party Licensor shall be deemed to be the part of FG Technology, provided, however, that, notwithstanding anything contained in this Agreement (i) for Preexisting Third Party Intellectual Property, [*] shall pay [*] of all consideration due in connection with the acquisition of such rights for the Astellas Territory, and (ii) for Future Third Party Intellectual Property, [*] shall [*] pay [*] of all consideration due in connection with the acquisition of such rights for the Astellas Territory, provided, however, notwithstanding FG’s obligation to contribute to the consideration due for Future Third Party Intellectual Property under (ii) above, FG’s obligation to contribute shall be limited such that in no event shall the sum of (a) the consideration FG contributes for the acquisition of intellectual property from Third Party Licensors for the Astellas Territory, and (b) the Expenses for which Astellas has the right to deduct under Section 14.3 exceed [*] hereunder, and Astellas shall be responsible for all consideration related to the acquisition of rights from Third Party Licensors in excess of such amount. In the event Astellas determines not to obtain such rights for the Astellas Territory, FG shall obtain a license for the FG Territory but not the Astellas Territory, and Astellas shall be solely responsible for the defense of any infringement Action, for all Expenses related to any such Action, and any right of Astellas to deduct Expenses under this Agreement against payments required to be made to FG hereunder shall not apply to any action brought with respect to such rights.</w:t>
      </w:r>
    </w:p>
    <w:p>
      <w:pPr>
        <w:spacing w:after="0" w:line="168" w:lineRule="exact"/>
        <w:rPr>
          <w:sz w:val="20"/>
          <w:szCs w:val="20"/>
          <w:color w:val="auto"/>
        </w:rPr>
      </w:pPr>
    </w:p>
    <w:p>
      <w:pPr>
        <w:jc w:val="both"/>
        <w:ind w:firstLine="2634"/>
        <w:spacing w:after="0" w:line="254" w:lineRule="auto"/>
        <w:rPr>
          <w:sz w:val="20"/>
          <w:szCs w:val="20"/>
          <w:color w:val="auto"/>
        </w:rPr>
      </w:pPr>
      <w:r>
        <w:rPr>
          <w:rFonts w:ascii="Arial" w:cs="Arial" w:eastAsia="Arial" w:hAnsi="Arial"/>
          <w:sz w:val="21"/>
          <w:szCs w:val="21"/>
          <w:color w:val="auto"/>
        </w:rPr>
        <w:t xml:space="preserve">14.5.2 </w:t>
      </w:r>
      <w:r>
        <w:rPr>
          <w:rFonts w:ascii="Arial" w:cs="Arial" w:eastAsia="Arial" w:hAnsi="Arial"/>
          <w:sz w:val="21"/>
          <w:szCs w:val="21"/>
          <w:u w:val="single" w:color="auto"/>
          <w:color w:val="auto"/>
        </w:rPr>
        <w:t>Payment; Reports.</w:t>
      </w:r>
      <w:r>
        <w:rPr>
          <w:rFonts w:ascii="Arial" w:cs="Arial" w:eastAsia="Arial" w:hAnsi="Arial"/>
          <w:sz w:val="21"/>
          <w:szCs w:val="21"/>
          <w:color w:val="auto"/>
        </w:rPr>
        <w:t xml:space="preserve"> If FG is obligated to pay amounts to a Third Party Licensor, FG shall notify Astellas [*] in advance of the due date of such payment obligation (or such later date as FG may determine), and Astellas shall reimburse its share of such payments within [*] after receipt of notice therefor.</w:t>
      </w:r>
    </w:p>
    <w:p>
      <w:pPr>
        <w:spacing w:after="0" w:line="168"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color w:val="auto"/>
        </w:rPr>
        <w:t xml:space="preserve">14.5.3 </w:t>
      </w:r>
      <w:r>
        <w:rPr>
          <w:rFonts w:ascii="Arial" w:cs="Arial" w:eastAsia="Arial" w:hAnsi="Arial"/>
          <w:sz w:val="21"/>
          <w:szCs w:val="21"/>
          <w:u w:val="single" w:color="auto"/>
          <w:color w:val="auto"/>
        </w:rPr>
        <w:t>Limitation.</w:t>
      </w:r>
      <w:r>
        <w:rPr>
          <w:rFonts w:ascii="Arial" w:cs="Arial" w:eastAsia="Arial" w:hAnsi="Arial"/>
          <w:sz w:val="21"/>
          <w:szCs w:val="21"/>
          <w:color w:val="auto"/>
        </w:rPr>
        <w:t xml:space="preserve"> To the extent that FG Patents includes any intellectual property licensed under FG’s License Agreement with Imigen, Inc. relating to HIF stabilization technology dated as of October 30, 2003, and amended as from time to time of which a redacted copy shall have been provided to Astellas prior to the Effective Date, Astellas shall be considered a sublicensee and be subject to the applicable requirements thereunder.</w:t>
      </w:r>
    </w:p>
    <w:p>
      <w:pPr>
        <w:spacing w:after="0" w:line="173"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14.5.4 </w:t>
      </w:r>
      <w:r>
        <w:rPr>
          <w:rFonts w:ascii="Arial" w:cs="Arial" w:eastAsia="Arial" w:hAnsi="Arial"/>
          <w:sz w:val="21"/>
          <w:szCs w:val="21"/>
          <w:u w:val="single" w:color="auto"/>
          <w:color w:val="auto"/>
        </w:rPr>
        <w:t>Compliance with Third Party Agreements.</w:t>
      </w:r>
      <w:r>
        <w:rPr>
          <w:rFonts w:ascii="Arial" w:cs="Arial" w:eastAsia="Arial" w:hAnsi="Arial"/>
          <w:sz w:val="21"/>
          <w:szCs w:val="21"/>
          <w:color w:val="auto"/>
        </w:rPr>
        <w:t xml:space="preserve"> Notwithstanding anything to the contrary contained herein, Astellas agrees to comply with the requirements (upon sublicensees or otherwise) of FG’s License Agreement with Imigen, Inc. relating to HIF stabilization technology dated as of October 30, 2003. In addition, Astellas agrees to comply with the requirements (upon sublicensees or otherwise) of any future Third Party Agreements for which Astellas obtains rights through an FG license pursuant to Section 14.5.1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15" w:lineRule="exact"/>
        <w:rPr>
          <w:sz w:val="20"/>
          <w:szCs w:val="20"/>
          <w:color w:val="auto"/>
        </w:rPr>
      </w:pPr>
    </w:p>
    <w:p>
      <w:pPr>
        <w:ind w:firstLine="7"/>
        <w:spacing w:after="0" w:line="275" w:lineRule="auto"/>
        <w:tabs>
          <w:tab w:leader="none" w:pos="258"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3" w:name="page194"/>
    <w:bookmarkEnd w:id="193"/>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REPRESENTATIONS AND WARRANTIES</w:t>
      </w:r>
    </w:p>
    <w:p>
      <w:pPr>
        <w:spacing w:after="0" w:line="194"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 xml:space="preserve">15.1 </w:t>
      </w:r>
      <w:r>
        <w:rPr>
          <w:rFonts w:ascii="Arial" w:cs="Arial" w:eastAsia="Arial" w:hAnsi="Arial"/>
          <w:sz w:val="21"/>
          <w:szCs w:val="21"/>
          <w:u w:val="single" w:color="auto"/>
          <w:color w:val="auto"/>
        </w:rPr>
        <w:t>FG Warranties</w:t>
      </w:r>
      <w:r>
        <w:rPr>
          <w:rFonts w:ascii="Arial" w:cs="Arial" w:eastAsia="Arial" w:hAnsi="Arial"/>
          <w:sz w:val="21"/>
          <w:szCs w:val="21"/>
          <w:color w:val="auto"/>
        </w:rPr>
        <w:t>. FG warrants and represents to Astellas, as of the execution of this Agreement, that (i) it is a corporation duly organized, validly existing and in good standing under the laws of the State of Delaware; (ii) the execution, delivery and performance of this Agreement have been duly authorized by all necessary corporate action on the part of FG; (iii) there is no pending litigation which alleges or any communication alleging that Commercialization of any Lead Compound or any compound Controlled by FG for use in the Field has infringed or misappropriated the intellectual property rights of any Third Party or has been obtained by misappropriating any Third Party’s intellectual property right; and (iv) subject to the terms and conditions of the agreements for the FG Acquired Patents, FG has complete title to and ownership of the FG Patents, free and clear from any mortgages, pledges, liens, security interests, conditional and installment sale agreements, encumbrances, charges or claims of any kind.</w:t>
      </w:r>
    </w:p>
    <w:p>
      <w:pPr>
        <w:spacing w:after="0" w:line="185"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u w:val="single" w:color="auto"/>
          <w:color w:val="auto"/>
        </w:rPr>
        <w:t>Astellas Warranties</w:t>
      </w:r>
      <w:r>
        <w:rPr>
          <w:rFonts w:ascii="Arial" w:cs="Arial" w:eastAsia="Arial" w:hAnsi="Arial"/>
          <w:sz w:val="20"/>
          <w:szCs w:val="20"/>
          <w:color w:val="auto"/>
        </w:rPr>
        <w:t>. Astellas warrants and represents to FG, as of the execution of this Agreement, that (i) it is a corporation duly organized, validly existing and in good standing under the laws of Japan; and (ii) the execution, delivery and performance of this Agreement have been duly authorized by all necessary corporate action on the part of Astellas.</w:t>
      </w:r>
    </w:p>
    <w:p>
      <w:pPr>
        <w:spacing w:after="0" w:line="153"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15.3 </w:t>
      </w:r>
      <w:r>
        <w:rPr>
          <w:rFonts w:ascii="Arial" w:cs="Arial" w:eastAsia="Arial" w:hAnsi="Arial"/>
          <w:sz w:val="21"/>
          <w:szCs w:val="21"/>
          <w:u w:val="single" w:color="auto"/>
          <w:color w:val="auto"/>
        </w:rPr>
        <w:t>Disclaimer of Warranties</w:t>
      </w:r>
      <w:r>
        <w:rPr>
          <w:rFonts w:ascii="Arial" w:cs="Arial" w:eastAsia="Arial" w:hAnsi="Arial"/>
          <w:sz w:val="21"/>
          <w:szCs w:val="21"/>
          <w:color w:val="auto"/>
        </w:rPr>
        <w:t>. EXCEPT AS OTHERWISE SET FORTH HEREIN, FG AND ASTELLAS EXPRESSLY DISCLAIM ANY WARRANTIES OR CONDITIONS, EXPRESS, IMPLIED, STATUTORY OR OTHERWISE, WITH RESPECT TO THE DEVELOPMENT PROGRAM, OR THE FG TECHNOLOGY OR LEAD COMPOUNDS, INCLUDING, WITHOUT LIMITATION, ANY WARRANTY OF MERCHANTABILITY, OR FITNESS FOR A PARTICULAR PURPOSE, VALIDITY OF FG TECHNOLOGY, PATENTED OR UNPATENTED, AND NONINFRINGEMENT OF THE INTELLECTUAL PROPERTY RIGHTS OF THIRD PARTIES.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CONFIDENTIALITY</w:t>
      </w:r>
    </w:p>
    <w:p>
      <w:pPr>
        <w:spacing w:after="0" w:line="194"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Except as expressly provided herein, the parties agree that the receiving party shall not publish or otherwise disclose and shall not use for any purpose other than this Agreement any information furnished to it by the other party hereto pursuant to this Agreement which if disclosed in tangible form is marked “Confidential” or with other similar designation to indicate its confidential or proprietary nature or if disclosed orally is indicated orally to be confidential or proprietary by the party disclosing such information at the time of such disclosure and is confirmed in writing as confidential or proprietary by the disclosing party within a reasonable time after such disclosure (collectively, “Confidential Information”). Notwithstanding the foregoing, Confidential Information shall not include information that, in each case is demonstrated by written documentation: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15" w:lineRule="exact"/>
        <w:rPr>
          <w:sz w:val="20"/>
          <w:szCs w:val="20"/>
          <w:color w:val="auto"/>
        </w:rPr>
      </w:pPr>
    </w:p>
    <w:p>
      <w:pPr>
        <w:ind w:firstLine="7"/>
        <w:spacing w:after="0" w:line="275" w:lineRule="auto"/>
        <w:tabs>
          <w:tab w:leader="none" w:pos="258"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4" w:name="page195"/>
    <w:bookmarkEnd w:id="194"/>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ind w:left="4400" w:hanging="881"/>
        <w:spacing w:after="0"/>
        <w:tabs>
          <w:tab w:leader="none" w:pos="440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was already known to the receiving party, other than under an obligation of</w:t>
      </w:r>
    </w:p>
    <w:p>
      <w:pPr>
        <w:spacing w:after="0" w:line="1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confidentiality directly or indirectly to the disclosing party at the time of disclosure hereunder;</w:t>
      </w:r>
    </w:p>
    <w:p>
      <w:pPr>
        <w:spacing w:after="0" w:line="194" w:lineRule="exact"/>
        <w:rPr>
          <w:rFonts w:ascii="Arial" w:cs="Arial" w:eastAsia="Arial" w:hAnsi="Arial"/>
          <w:sz w:val="21"/>
          <w:szCs w:val="21"/>
          <w:color w:val="auto"/>
        </w:rPr>
      </w:pPr>
    </w:p>
    <w:p>
      <w:pPr>
        <w:ind w:firstLine="3519"/>
        <w:spacing w:after="0" w:line="269" w:lineRule="auto"/>
        <w:tabs>
          <w:tab w:leader="none" w:pos="4402"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was generally available to the public or otherwise part of the public domain at the time of its disclosure to the receiving party hereunder;</w:t>
      </w:r>
    </w:p>
    <w:p>
      <w:pPr>
        <w:spacing w:after="0" w:line="152" w:lineRule="exact"/>
        <w:rPr>
          <w:rFonts w:ascii="Arial" w:cs="Arial" w:eastAsia="Arial" w:hAnsi="Arial"/>
          <w:sz w:val="21"/>
          <w:szCs w:val="21"/>
          <w:color w:val="auto"/>
        </w:rPr>
      </w:pPr>
    </w:p>
    <w:p>
      <w:pPr>
        <w:ind w:left="4400" w:hanging="881"/>
        <w:spacing w:after="0"/>
        <w:tabs>
          <w:tab w:leader="none" w:pos="440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became generally available to the public or otherwise part of the public domain</w:t>
      </w:r>
    </w:p>
    <w:p>
      <w:pPr>
        <w:spacing w:after="0" w:line="2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after its disclosure and other than through any act or omission of the receiving party in breach of this Agreement; or</w:t>
      </w:r>
    </w:p>
    <w:p>
      <w:pPr>
        <w:spacing w:after="0" w:line="194" w:lineRule="exact"/>
        <w:rPr>
          <w:rFonts w:ascii="Arial" w:cs="Arial" w:eastAsia="Arial" w:hAnsi="Arial"/>
          <w:sz w:val="20"/>
          <w:szCs w:val="20"/>
          <w:color w:val="auto"/>
        </w:rPr>
      </w:pPr>
    </w:p>
    <w:p>
      <w:pPr>
        <w:jc w:val="both"/>
        <w:ind w:firstLine="3519"/>
        <w:spacing w:after="0" w:line="254" w:lineRule="auto"/>
        <w:tabs>
          <w:tab w:leader="none" w:pos="4402" w:val="left"/>
        </w:tabs>
        <w:numPr>
          <w:ilvl w:val="0"/>
          <w:numId w:val="124"/>
        </w:numPr>
        <w:rPr>
          <w:rFonts w:ascii="Arial" w:cs="Arial" w:eastAsia="Arial" w:hAnsi="Arial"/>
          <w:sz w:val="21"/>
          <w:szCs w:val="21"/>
          <w:color w:val="auto"/>
        </w:rPr>
      </w:pPr>
      <w:r>
        <w:rPr>
          <w:rFonts w:ascii="Arial" w:cs="Arial" w:eastAsia="Arial" w:hAnsi="Arial"/>
          <w:sz w:val="21"/>
          <w:szCs w:val="21"/>
          <w:color w:val="auto"/>
        </w:rPr>
        <w:t>was subsequently lawfully disclosed to the receiving party by any third party without any confidentiality obligation directly or indirectly to the disclosing party or developed by the receiving party without reference to any information or materials disclosed by the disclosing party.</w:t>
      </w:r>
    </w:p>
    <w:p>
      <w:pPr>
        <w:spacing w:after="0" w:line="16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It is agreed and understood that all matters discussed and presented at the meetings of the JDC shall be considered Confidential Information hereunder, subject to the terms and conditions of this Agreement.</w:t>
      </w:r>
    </w:p>
    <w:p>
      <w:pPr>
        <w:spacing w:after="0" w:line="153"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u w:val="single" w:color="auto"/>
          <w:color w:val="auto"/>
        </w:rPr>
        <w:t>Permitted Disclosures</w:t>
      </w:r>
      <w:r>
        <w:rPr>
          <w:rFonts w:ascii="Arial" w:cs="Arial" w:eastAsia="Arial" w:hAnsi="Arial"/>
          <w:sz w:val="20"/>
          <w:szCs w:val="20"/>
          <w:color w:val="auto"/>
        </w:rPr>
        <w:t>. Notwithstanding the provisions of Section 16.1 above, each party hereto may disclose the other party’s Confidential Information to the extent such disclosure is reasonably necessary to exercise the rights granted to it, or reserved by it, under this Agreement (including, without limitation, entering into and/or performing business or scientific relationships with respect to products outside the Field as permitted hereunder), in filing or prosecuting patent applications, prosecuting or defending litigation, complying with applicable governmental regulations, submitting information to tax or other governmental authorities (including regulatory authorities), or conducting clinical trials hereunder with respect to Lead Compounds, provided that if a party is required by law to make any such disclosure of the other party’s Confidential Information, to the extent it may legally do so, it will give reasonable advance notice to the latter party of such disclosure and, save to the extent inappropriate in the case of patent applications or otherwise, will use its reasonable efforts to secure confidential treatment of such Confidential Information prior to its disclosure (whether through protective orders or otherwise).</w:t>
      </w:r>
    </w:p>
    <w:p>
      <w:pPr>
        <w:spacing w:after="0" w:line="173"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16.3 </w:t>
      </w:r>
      <w:r>
        <w:rPr>
          <w:rFonts w:ascii="Arial" w:cs="Arial" w:eastAsia="Arial" w:hAnsi="Arial"/>
          <w:sz w:val="21"/>
          <w:szCs w:val="21"/>
          <w:u w:val="single" w:color="auto"/>
          <w:color w:val="auto"/>
        </w:rPr>
        <w:t>Clinical Data</w:t>
      </w:r>
      <w:r>
        <w:rPr>
          <w:rFonts w:ascii="Arial" w:cs="Arial" w:eastAsia="Arial" w:hAnsi="Arial"/>
          <w:sz w:val="21"/>
          <w:szCs w:val="21"/>
          <w:color w:val="auto"/>
        </w:rPr>
        <w:t>. Except as expressly permitted under Sections 7.2 and 16.2, and for publications or disclosures in accordance with Section 5.2, neither party shall disclose to third parties pre-clinical data, clinical data or regulatory filings, comprising Confidential Information of the other party.</w:t>
      </w:r>
    </w:p>
    <w:p>
      <w:pPr>
        <w:spacing w:after="0" w:line="16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16.4 </w:t>
      </w:r>
      <w:r>
        <w:rPr>
          <w:rFonts w:ascii="Arial" w:cs="Arial" w:eastAsia="Arial" w:hAnsi="Arial"/>
          <w:sz w:val="21"/>
          <w:szCs w:val="21"/>
          <w:u w:val="single" w:color="auto"/>
          <w:color w:val="auto"/>
        </w:rPr>
        <w:t>Press Releases</w:t>
      </w:r>
      <w:r>
        <w:rPr>
          <w:rFonts w:ascii="Arial" w:cs="Arial" w:eastAsia="Arial" w:hAnsi="Arial"/>
          <w:sz w:val="21"/>
          <w:szCs w:val="21"/>
          <w:color w:val="auto"/>
        </w:rPr>
        <w:t>. Except as may already be, or is agreed to be, publicly disclosed, in the event that either party proposes to release a press release with respect to this Agreement or the Development Program, such party shall obtain the prior written consent of the other party, which shall not be unreasonably withheld.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15" w:lineRule="exact"/>
        <w:rPr>
          <w:sz w:val="20"/>
          <w:szCs w:val="20"/>
          <w:color w:val="auto"/>
        </w:rPr>
      </w:pPr>
    </w:p>
    <w:p>
      <w:pPr>
        <w:ind w:firstLine="7"/>
        <w:spacing w:after="0" w:line="275" w:lineRule="auto"/>
        <w:tabs>
          <w:tab w:leader="none" w:pos="258"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5" w:name="page196"/>
    <w:bookmarkEnd w:id="195"/>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INSURANCE; INDEMNIFICATION</w:t>
      </w:r>
    </w:p>
    <w:p>
      <w:pPr>
        <w:spacing w:after="0" w:line="194"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17.1 </w:t>
      </w:r>
      <w:r>
        <w:rPr>
          <w:rFonts w:ascii="Arial" w:cs="Arial" w:eastAsia="Arial" w:hAnsi="Arial"/>
          <w:sz w:val="21"/>
          <w:szCs w:val="21"/>
          <w:u w:val="single" w:color="auto"/>
          <w:color w:val="auto"/>
        </w:rPr>
        <w:t>Insurance</w:t>
      </w:r>
      <w:r>
        <w:rPr>
          <w:rFonts w:ascii="Arial" w:cs="Arial" w:eastAsia="Arial" w:hAnsi="Arial"/>
          <w:sz w:val="21"/>
          <w:szCs w:val="21"/>
          <w:color w:val="auto"/>
        </w:rPr>
        <w:t>. Each party shall secure and maintain in effect during the term of this Agreement and for a period of five (5) years thereafter insurance policy(ies) underwritten by a reputable insurance company and in a form and having limits standard and customary for entities in the biopharmaceutical industry for exposures related to the Lead Compounds. Such insurance shall include general liability, clinical trial liability and products liability coverage with respect to such party’s performance of the Development Program and commercialization of Lead Compounds hereunder. Upon request by the other party hereto, certificates of insurance evidencing the coverage required above shall be provided to the other party.</w:t>
      </w:r>
    </w:p>
    <w:p>
      <w:pPr>
        <w:spacing w:after="0" w:line="182"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u w:val="single" w:color="auto"/>
          <w:color w:val="auto"/>
        </w:rPr>
        <w:t>Indemnification of FG</w:t>
      </w:r>
      <w:r>
        <w:rPr>
          <w:rFonts w:ascii="Arial" w:cs="Arial" w:eastAsia="Arial" w:hAnsi="Arial"/>
          <w:sz w:val="20"/>
          <w:szCs w:val="20"/>
          <w:color w:val="auto"/>
        </w:rPr>
        <w:t>. Astellas shall indemnify each of FG and its Affiliates and the directors, officers, and employees of FG and such Affiliates and the successors and assigns of any of the foregoing (the “FG Indemnitees”), and hold each FG Indemnitee harmless from and against any and all liabilities, damages, settlements, claims, actions, suits, penalties, fines, costs or expenses (including, without limitation, reasonable attorneys’ fees and other expenses of litigation) incurred by any FG Indemnitee to the extent not otherwise covered by insurance, arising from or occurring as a result of any claim, action, suit, or other proceeding brought by third parties against a FG Indemnitee arising from or occurring as a result of any development, testing, manufacture, importation, use, offer for sale, sale or other distribution of any Lead Compound by or for the benefit of Astellas or its Affiliates or Sublicensees, distributors or agents (including, without limitation, product liability and infringement claims) except to the extent caused by failure of the Lead Compound supplied by FG to meet the Product Specifications in effect at the time of manufacture, or material deviation by FG or its sub-contractor from GMP Guidelines in manufacturing the Lead Compound, or FG’s breach of this Agreement or willful misconduct.</w:t>
      </w:r>
    </w:p>
    <w:p>
      <w:pPr>
        <w:spacing w:after="0" w:line="16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u w:val="single" w:color="auto"/>
          <w:color w:val="auto"/>
        </w:rPr>
        <w:t>Indemnification of Astellas</w:t>
      </w:r>
      <w:r>
        <w:rPr>
          <w:rFonts w:ascii="Arial" w:cs="Arial" w:eastAsia="Arial" w:hAnsi="Arial"/>
          <w:sz w:val="20"/>
          <w:szCs w:val="20"/>
          <w:color w:val="auto"/>
        </w:rPr>
        <w:t>. FG shall indemnify each of Astellas and its Affiliates and the directors, officers, and employees of Astellas and such Affiliates and the successors and assigns of any of the foregoing (the “Astellas Indemnitees”), and hold each Astellas Indemnitee harmless from and against any and all liabilities, damages, settlements, claims, actions, suits, penalties, fines, costs or expenses (including, without limitation, reasonable attorneys’ fees and other expenses of litigation) incurred by any Astellas Indemnitee to the extent not otherwise covered by insurance, arising from or occurring as a result of any claim, action, suit, or other proceeding brought by third parties against an Astellas Indemnitee to the extent caused by failure of the Lead Compound supplied by FG to meet the Product Specifications in effect at the time of manufacture, or material deviation by FG or its sub-contractor from GMP Guidelines in manufacturing the Lead Compound, except in each case in this Section 17.3 to the extent caused by Astellas’ breach of this Agreement or willful misconduct.</w:t>
      </w:r>
    </w:p>
    <w:p>
      <w:pPr>
        <w:spacing w:after="0" w:line="169"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17.4 </w:t>
      </w:r>
      <w:r>
        <w:rPr>
          <w:rFonts w:ascii="Arial" w:cs="Arial" w:eastAsia="Arial" w:hAnsi="Arial"/>
          <w:sz w:val="21"/>
          <w:szCs w:val="21"/>
          <w:u w:val="single" w:color="auto"/>
          <w:color w:val="auto"/>
        </w:rPr>
        <w:t>Procedure</w:t>
      </w:r>
      <w:r>
        <w:rPr>
          <w:rFonts w:ascii="Arial" w:cs="Arial" w:eastAsia="Arial" w:hAnsi="Arial"/>
          <w:sz w:val="21"/>
          <w:szCs w:val="21"/>
          <w:color w:val="auto"/>
        </w:rPr>
        <w:t>. A party (for purposes of this Section 17.4, the “Indemnitee”) that intends to claim indemnification under any provision of this Agreement shall promptly notify the indemnifying party (the “Indemnitor”) in writing of any claim, action, suit, or other proceeding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15" w:lineRule="exact"/>
        <w:rPr>
          <w:sz w:val="20"/>
          <w:szCs w:val="20"/>
          <w:color w:val="auto"/>
        </w:rPr>
      </w:pPr>
    </w:p>
    <w:p>
      <w:pPr>
        <w:ind w:firstLine="7"/>
        <w:spacing w:after="0" w:line="275" w:lineRule="auto"/>
        <w:tabs>
          <w:tab w:leader="none" w:pos="258"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6" w:name="page197"/>
    <w:bookmarkEnd w:id="196"/>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brought by third parties in respect of which the Indemnitee or any of its Affiliates, or their directors, officers, employees, successors or assigns intend to claim such indemnification hereunder. As between the parties hereto the Indemnitor shall have the right to control the defense and settlement of such claim, action, suit, or other proceeding; provided, that the Indemnitee shall have the right to participate in such defense or settlement with counsel of its own choosing at its expense. The Indemnitee shall not make any settlement of any loss, claim, damage, liability or action without the consent of the Indemnitor, to the extent such consent is not withheld unreasonably or delayed. The failure to deliver written notice to the Indemnitor within a reasonable time after the commencement of any such action, if prejudicial to its ability to defend such action, shall relieve such Indemnitor of any liability to the Indemnitee under this Article 17 but the omission so to deliver written notice to the Indemnitor shall not relieve the Indemnitor of any liability that it may have to any Indemnitee otherwise than under this Article 17. Without limiting the foregoing, the Indemnitee shall keep the Indemnitor fully informed of the progress of any claim, action, suit, or other proceeding for which it intends to claim indemnification under this Article 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TERM AND TERMINATION</w:t>
      </w:r>
    </w:p>
    <w:p>
      <w:pPr>
        <w:spacing w:after="0" w:line="194"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18.1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shall become effective as of the Effective Date and, shall continue in full force and effect until terminated pursuant to this Article 18.</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18.2</w:t>
      </w:r>
      <w:r>
        <w:rPr>
          <w:sz w:val="20"/>
          <w:szCs w:val="20"/>
          <w:color w:val="auto"/>
        </w:rPr>
        <w:tab/>
      </w:r>
      <w:r>
        <w:rPr>
          <w:rFonts w:ascii="Arial" w:cs="Arial" w:eastAsia="Arial" w:hAnsi="Arial"/>
          <w:sz w:val="19"/>
          <w:szCs w:val="19"/>
          <w:u w:val="single" w:color="auto"/>
          <w:color w:val="auto"/>
        </w:rPr>
        <w:t>Termination for Cause or Technical Product Failure</w:t>
      </w:r>
    </w:p>
    <w:p>
      <w:pPr>
        <w:spacing w:after="0" w:line="212"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 xml:space="preserve">18.2.1 </w:t>
      </w:r>
      <w:r>
        <w:rPr>
          <w:rFonts w:ascii="Arial" w:cs="Arial" w:eastAsia="Arial" w:hAnsi="Arial"/>
          <w:sz w:val="21"/>
          <w:szCs w:val="21"/>
          <w:u w:val="single" w:color="auto"/>
          <w:color w:val="auto"/>
        </w:rPr>
        <w:t>Material Breaches.</w:t>
      </w:r>
      <w:r>
        <w:rPr>
          <w:rFonts w:ascii="Arial" w:cs="Arial" w:eastAsia="Arial" w:hAnsi="Arial"/>
          <w:sz w:val="21"/>
          <w:szCs w:val="21"/>
          <w:color w:val="auto"/>
        </w:rPr>
        <w:t xml:space="preserve"> FG may forthwith terminate this Agreement in the event Astellas fails to make any payment due under Articles 6, 9 or 14, within [*] following receipt of written notice of such default, or materially breaches its obligations under Articles 8 or 14, and fails to cure such breach within [*] following receipt of written notice of such default. Astellas may forthwith terminate this Agreement in the event FG materially breaches its obligations under Article 7 or Article 12, and fails to cure such breach within [*] following receipt of written notice of such default. Any termination shall become effective at the end of such [*] or [*] period unless the defaulting or breaching party (or any other party on its behalf) has cured any such default prior to the expiration of the [*] or [*] period, as the case may be.</w:t>
      </w:r>
    </w:p>
    <w:p>
      <w:pPr>
        <w:spacing w:after="0" w:line="184" w:lineRule="exact"/>
        <w:rPr>
          <w:sz w:val="20"/>
          <w:szCs w:val="20"/>
          <w:color w:val="auto"/>
        </w:rPr>
      </w:pPr>
    </w:p>
    <w:p>
      <w:pPr>
        <w:jc w:val="both"/>
        <w:ind w:firstLine="2634"/>
        <w:spacing w:after="0" w:line="258" w:lineRule="auto"/>
        <w:rPr>
          <w:sz w:val="20"/>
          <w:szCs w:val="20"/>
          <w:color w:val="auto"/>
        </w:rPr>
      </w:pPr>
      <w:r>
        <w:rPr>
          <w:rFonts w:ascii="Arial" w:cs="Arial" w:eastAsia="Arial" w:hAnsi="Arial"/>
          <w:sz w:val="20"/>
          <w:szCs w:val="20"/>
          <w:color w:val="auto"/>
        </w:rPr>
        <w:t xml:space="preserve">18.2.2 </w:t>
      </w:r>
      <w:r>
        <w:rPr>
          <w:rFonts w:ascii="Arial" w:cs="Arial" w:eastAsia="Arial" w:hAnsi="Arial"/>
          <w:sz w:val="20"/>
          <w:szCs w:val="20"/>
          <w:u w:val="single" w:color="auto"/>
          <w:color w:val="auto"/>
        </w:rPr>
        <w:t>Independent Activities.</w:t>
      </w:r>
      <w:r>
        <w:rPr>
          <w:rFonts w:ascii="Arial" w:cs="Arial" w:eastAsia="Arial" w:hAnsi="Arial"/>
          <w:sz w:val="20"/>
          <w:szCs w:val="20"/>
          <w:color w:val="auto"/>
        </w:rPr>
        <w:t xml:space="preserve"> Notwithstanding anything contained in Section 8.3.2 or Section 14.1.1, in the event that Astellas Commercializes any molecules for the Field or the Expanded Field, except for actions taken within the Field in the course of the exercise of the licenses granted under Sections 8.1 and 13.1 hereof and expressly authorized under this Agreement, even if FG determines that Astellas’ activities are completely independent of any FG Technology and/or any other FG materials, confidential information, intellectual property or other related information provided by FG to Astellas under this Agreement or any other agreement between FG and Astellas relating to the subject matter hereof, FG shall have the right at its sole discretion to terminate this Agreement upon [*] notice to Astellas.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15" w:lineRule="exact"/>
        <w:rPr>
          <w:sz w:val="20"/>
          <w:szCs w:val="20"/>
          <w:color w:val="auto"/>
        </w:rPr>
      </w:pPr>
    </w:p>
    <w:p>
      <w:pPr>
        <w:ind w:firstLine="7"/>
        <w:spacing w:after="0" w:line="275" w:lineRule="auto"/>
        <w:tabs>
          <w:tab w:leader="none" w:pos="258"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7" w:name="page198"/>
    <w:bookmarkEnd w:id="197"/>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2634"/>
        <w:spacing w:after="0" w:line="269" w:lineRule="auto"/>
        <w:rPr>
          <w:sz w:val="20"/>
          <w:szCs w:val="20"/>
          <w:color w:val="auto"/>
        </w:rPr>
      </w:pPr>
      <w:r>
        <w:rPr>
          <w:rFonts w:ascii="Arial" w:cs="Arial" w:eastAsia="Arial" w:hAnsi="Arial"/>
          <w:sz w:val="21"/>
          <w:szCs w:val="21"/>
          <w:color w:val="auto"/>
        </w:rPr>
        <w:t xml:space="preserve">18.2.3 </w:t>
      </w:r>
      <w:r>
        <w:rPr>
          <w:rFonts w:ascii="Arial" w:cs="Arial" w:eastAsia="Arial" w:hAnsi="Arial"/>
          <w:sz w:val="21"/>
          <w:szCs w:val="21"/>
          <w:u w:val="single" w:color="auto"/>
          <w:color w:val="auto"/>
        </w:rPr>
        <w:t>Technical Product Failure.</w:t>
      </w:r>
      <w:r>
        <w:rPr>
          <w:rFonts w:ascii="Arial" w:cs="Arial" w:eastAsia="Arial" w:hAnsi="Arial"/>
          <w:sz w:val="21"/>
          <w:szCs w:val="21"/>
          <w:color w:val="auto"/>
        </w:rPr>
        <w:t xml:space="preserve"> Astellas may terminate this Agreement upon [*] notice to FG upon Technical Product Failure.</w:t>
      </w:r>
    </w:p>
    <w:p>
      <w:pPr>
        <w:spacing w:after="0" w:line="153" w:lineRule="exact"/>
        <w:rPr>
          <w:sz w:val="20"/>
          <w:szCs w:val="20"/>
          <w:color w:val="auto"/>
        </w:rPr>
      </w:pPr>
    </w:p>
    <w:p>
      <w:pPr>
        <w:jc w:val="both"/>
        <w:ind w:firstLine="2634"/>
        <w:spacing w:after="0" w:line="259" w:lineRule="auto"/>
        <w:rPr>
          <w:sz w:val="20"/>
          <w:szCs w:val="20"/>
          <w:color w:val="auto"/>
        </w:rPr>
      </w:pPr>
      <w:r>
        <w:rPr>
          <w:rFonts w:ascii="Arial" w:cs="Arial" w:eastAsia="Arial" w:hAnsi="Arial"/>
          <w:sz w:val="20"/>
          <w:szCs w:val="20"/>
          <w:color w:val="auto"/>
        </w:rPr>
        <w:t xml:space="preserve">18.2.4 </w:t>
      </w:r>
      <w:r>
        <w:rPr>
          <w:rFonts w:ascii="Arial" w:cs="Arial" w:eastAsia="Arial" w:hAnsi="Arial"/>
          <w:sz w:val="20"/>
          <w:szCs w:val="20"/>
          <w:u w:val="single" w:color="auto"/>
          <w:color w:val="auto"/>
        </w:rPr>
        <w:t>Development Diligence Failure.</w:t>
      </w:r>
      <w:r>
        <w:rPr>
          <w:rFonts w:ascii="Arial" w:cs="Arial" w:eastAsia="Arial" w:hAnsi="Arial"/>
          <w:sz w:val="20"/>
          <w:szCs w:val="20"/>
          <w:color w:val="auto"/>
        </w:rPr>
        <w:t xml:space="preserve"> FG may terminate this Agreement upon thirty (30) days notice to Astellas in the event Astellas fails to meet any of its development diligence requirements as set forth in Article 11 hereof, provided, however, that with respect to the development diligence obligations set forth in Section 11.3.2, such termination right on behalf of FG shall be triggered only upon Astellas’ failure to meet such development diligence obligations for a Major Indication (except those Major Indications set forth in Section 11.3.1(iv)), and Astellas may terminate this Agreement upon thirty (30) days notice to FG in the event FG fails to meet the development diligence requirement as set forth in Section 11.2 hereof.</w:t>
      </w:r>
    </w:p>
    <w:p>
      <w:pPr>
        <w:spacing w:after="0" w:line="166"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 xml:space="preserve">18.2.5 </w:t>
      </w:r>
      <w:r>
        <w:rPr>
          <w:rFonts w:ascii="Arial" w:cs="Arial" w:eastAsia="Arial" w:hAnsi="Arial"/>
          <w:sz w:val="21"/>
          <w:szCs w:val="21"/>
          <w:u w:val="single" w:color="auto"/>
          <w:color w:val="auto"/>
        </w:rPr>
        <w:t>Other Material Non-Performance/Misrepresentation.</w:t>
      </w:r>
      <w:r>
        <w:rPr>
          <w:rFonts w:ascii="Arial" w:cs="Arial" w:eastAsia="Arial" w:hAnsi="Arial"/>
          <w:sz w:val="21"/>
          <w:szCs w:val="21"/>
          <w:color w:val="auto"/>
        </w:rPr>
        <w:t xml:space="preserve"> Other than a breach giving rise to a termination right as set forth in Sections 18.2.1 or 18.2.4, or a termination pursuant to a Technical Product Failure as set forth in Section 18.2.3 in the event of (i) a party’s breach or default in any other material respect in the performance or observance of any other material term, covenant or provision of this Agreement, or (ii) if any representation by a party contained in this Agreement shall prove to have been incorrect in any material respect when made, resulting in material adverse consequences for the other party, (any such default or material incorrect representation a “Material Non-Performance”), such Material Non-Performance shall be remedied only as provided in Section 18.7.4 below.</w:t>
      </w:r>
    </w:p>
    <w:p>
      <w:pPr>
        <w:spacing w:after="0" w:line="184"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18.3 </w:t>
      </w:r>
      <w:r>
        <w:rPr>
          <w:rFonts w:ascii="Arial" w:cs="Arial" w:eastAsia="Arial" w:hAnsi="Arial"/>
          <w:sz w:val="20"/>
          <w:szCs w:val="20"/>
          <w:u w:val="single" w:color="auto"/>
          <w:color w:val="auto"/>
        </w:rPr>
        <w:t>Termination in case of Generic Competition</w:t>
      </w:r>
      <w:r>
        <w:rPr>
          <w:rFonts w:ascii="Arial" w:cs="Arial" w:eastAsia="Arial" w:hAnsi="Arial"/>
          <w:sz w:val="20"/>
          <w:szCs w:val="20"/>
          <w:color w:val="auto"/>
        </w:rPr>
        <w:t>. In the event generic equivalents has captured the [*] of the quantity of Lead Compound sold by Astellas during the [*] preceding such termination calculated on a annual basis; or in the event, after the entry into the market of generic equivalents, that Astellas’ annual sales fall below $[*] for all Lead Compounds, Astellas may terminate this Agreement upon [*] written notice to FG; provided, that Astellas does not Commercialize any Lead Compound after such termination until the expiration of the last to expire FG Patents applicable to such Lead Compound.</w:t>
      </w:r>
    </w:p>
    <w:p>
      <w:pPr>
        <w:spacing w:after="0" w:line="165"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18.4 </w:t>
      </w:r>
      <w:r>
        <w:rPr>
          <w:rFonts w:ascii="Arial" w:cs="Arial" w:eastAsia="Arial" w:hAnsi="Arial"/>
          <w:sz w:val="21"/>
          <w:szCs w:val="21"/>
          <w:u w:val="single" w:color="auto"/>
          <w:color w:val="auto"/>
        </w:rPr>
        <w:t>Negative Advice from Authorities</w:t>
      </w:r>
      <w:r>
        <w:rPr>
          <w:rFonts w:ascii="Arial" w:cs="Arial" w:eastAsia="Arial" w:hAnsi="Arial"/>
          <w:sz w:val="21"/>
          <w:szCs w:val="21"/>
          <w:color w:val="auto"/>
        </w:rPr>
        <w:t>. Astellas may terminate this Agreement upon [*] notice to FG in the event Astellas has commenced Phase III clinical studies in those of the following Indications that FG is developing: “Treatment of anemia in patients with chronic kidney disease undergoing dialysis”, “Treatment of anemia in patients with chronic kidney disease not undergoing dialysis” and [*], and the Japanese Ministry of Health, Labor &amp; Welfare has provided written notification that it will not approve the Lead Compounds in such Indications or the JDC determines, after the submission by Astellas of Marketing Approval Applications for such Indications, and the receipt of a response or request of the Japanese Ministry of Health, Labor &amp; Welfare that contains development demands that are so onerous that it is not reasonable to continue with Development of the Lead Compounds in such Indications.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15" w:lineRule="exact"/>
        <w:rPr>
          <w:sz w:val="20"/>
          <w:szCs w:val="20"/>
          <w:color w:val="auto"/>
        </w:rPr>
      </w:pPr>
    </w:p>
    <w:p>
      <w:pPr>
        <w:ind w:firstLine="7"/>
        <w:spacing w:after="0" w:line="275" w:lineRule="auto"/>
        <w:tabs>
          <w:tab w:leader="none" w:pos="258"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8" w:name="page199"/>
    <w:bookmarkEnd w:id="198"/>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18.5 </w:t>
      </w:r>
      <w:r>
        <w:rPr>
          <w:rFonts w:ascii="Arial" w:cs="Arial" w:eastAsia="Arial" w:hAnsi="Arial"/>
          <w:sz w:val="21"/>
          <w:szCs w:val="21"/>
          <w:u w:val="single" w:color="auto"/>
          <w:color w:val="auto"/>
        </w:rPr>
        <w:t>Admission of Invalidity or Unenforceability of FG Patent</w:t>
      </w:r>
      <w:r>
        <w:rPr>
          <w:rFonts w:ascii="Arial" w:cs="Arial" w:eastAsia="Arial" w:hAnsi="Arial"/>
          <w:sz w:val="21"/>
          <w:szCs w:val="21"/>
          <w:color w:val="auto"/>
        </w:rPr>
        <w:t>. Astellas may terminate this Agreement upon [*] notice to FG in the event that FG enters into a settlement under Section 14.3 that admits the invalidity or unenforceability of all patents within the FG Technology, including patents covering Lead Compounds.</w:t>
      </w:r>
    </w:p>
    <w:p>
      <w:pPr>
        <w:spacing w:after="0" w:line="16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18.6 </w:t>
      </w:r>
      <w:r>
        <w:rPr>
          <w:rFonts w:ascii="Arial" w:cs="Arial" w:eastAsia="Arial" w:hAnsi="Arial"/>
          <w:sz w:val="21"/>
          <w:szCs w:val="21"/>
          <w:u w:val="single" w:color="auto"/>
          <w:color w:val="auto"/>
        </w:rPr>
        <w:t>Termination upon Notice</w:t>
      </w:r>
      <w:r>
        <w:rPr>
          <w:rFonts w:ascii="Arial" w:cs="Arial" w:eastAsia="Arial" w:hAnsi="Arial"/>
          <w:sz w:val="21"/>
          <w:szCs w:val="21"/>
          <w:color w:val="auto"/>
        </w:rPr>
        <w:t>. Subject to Section 18.7.2, Astellas may terminate this Agreement upon six (6) months notice to FG for any reason or no reason.</w:t>
      </w:r>
    </w:p>
    <w:p>
      <w:pPr>
        <w:spacing w:after="0" w:line="15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1"/>
          <w:szCs w:val="21"/>
          <w:color w:val="auto"/>
        </w:rPr>
        <w:t>18.7</w:t>
      </w:r>
      <w:r>
        <w:rPr>
          <w:sz w:val="20"/>
          <w:szCs w:val="20"/>
          <w:color w:val="auto"/>
        </w:rPr>
        <w:tab/>
      </w:r>
      <w:r>
        <w:rPr>
          <w:rFonts w:ascii="Arial" w:cs="Arial" w:eastAsia="Arial" w:hAnsi="Arial"/>
          <w:sz w:val="19"/>
          <w:szCs w:val="19"/>
          <w:u w:val="single" w:color="auto"/>
          <w:color w:val="auto"/>
        </w:rPr>
        <w:t>Effect of Termination</w:t>
      </w:r>
    </w:p>
    <w:p>
      <w:pPr>
        <w:spacing w:after="0" w:line="212" w:lineRule="exact"/>
        <w:rPr>
          <w:sz w:val="20"/>
          <w:szCs w:val="20"/>
          <w:color w:val="auto"/>
        </w:rPr>
      </w:pPr>
    </w:p>
    <w:p>
      <w:pPr>
        <w:jc w:val="both"/>
        <w:ind w:firstLine="2634"/>
        <w:spacing w:after="0" w:line="249" w:lineRule="auto"/>
        <w:rPr>
          <w:sz w:val="20"/>
          <w:szCs w:val="20"/>
          <w:color w:val="auto"/>
        </w:rPr>
      </w:pPr>
      <w:r>
        <w:rPr>
          <w:rFonts w:ascii="Arial" w:cs="Arial" w:eastAsia="Arial" w:hAnsi="Arial"/>
          <w:sz w:val="21"/>
          <w:szCs w:val="21"/>
          <w:color w:val="auto"/>
        </w:rPr>
        <w:t xml:space="preserve">18.7.1 </w:t>
      </w:r>
      <w:r>
        <w:rPr>
          <w:rFonts w:ascii="Arial" w:cs="Arial" w:eastAsia="Arial" w:hAnsi="Arial"/>
          <w:sz w:val="21"/>
          <w:szCs w:val="21"/>
          <w:u w:val="single" w:color="auto"/>
          <w:color w:val="auto"/>
        </w:rPr>
        <w:t>Accrued Obligations.</w:t>
      </w:r>
      <w:r>
        <w:rPr>
          <w:rFonts w:ascii="Arial" w:cs="Arial" w:eastAsia="Arial" w:hAnsi="Arial"/>
          <w:sz w:val="21"/>
          <w:szCs w:val="21"/>
          <w:color w:val="auto"/>
        </w:rPr>
        <w:t xml:space="preserve"> Termination of this Agreement for any reason shall not release either party hereto from any liability which, at the time of such termination, has already accrued to the other party or which is attributable to a period prior to such termination nor preclude either party from pursuing all rights and remedies it may have hereunder or at law or in equity with respect to any breach of this Agreement.</w:t>
      </w:r>
    </w:p>
    <w:p>
      <w:pPr>
        <w:spacing w:after="0" w:line="173"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18.7.2 </w:t>
      </w:r>
      <w:r>
        <w:rPr>
          <w:rFonts w:ascii="Arial" w:cs="Arial" w:eastAsia="Arial" w:hAnsi="Arial"/>
          <w:sz w:val="21"/>
          <w:szCs w:val="21"/>
          <w:u w:val="single" w:color="auto"/>
          <w:color w:val="auto"/>
        </w:rPr>
        <w:t>Termination.</w:t>
      </w:r>
      <w:r>
        <w:rPr>
          <w:rFonts w:ascii="Arial" w:cs="Arial" w:eastAsia="Arial" w:hAnsi="Arial"/>
          <w:sz w:val="21"/>
          <w:szCs w:val="21"/>
          <w:color w:val="auto"/>
        </w:rPr>
        <w:t xml:space="preserve"> In the event of (a) a termination by Astellas under Section 18.6 during the period from the execution of this Agreement until the last to expire of the FG Patents, or (b) by FG under Section 18.2.1, 18.2.2, 18.2.4 or 18.2.5 hereof, Astellas shall, upon the effective date of such termination, pay to FG (i) a termination fee of $[*] U.S. dollars and (ii) any payments to which FG is otherwise entitled to receive hereunder in the period from the date of such termination notice until the [*].</w:t>
      </w:r>
    </w:p>
    <w:p>
      <w:pPr>
        <w:spacing w:after="0" w:line="178" w:lineRule="exact"/>
        <w:rPr>
          <w:sz w:val="20"/>
          <w:szCs w:val="20"/>
          <w:color w:val="auto"/>
        </w:rPr>
      </w:pPr>
    </w:p>
    <w:p>
      <w:pPr>
        <w:jc w:val="both"/>
        <w:ind w:firstLine="2634"/>
        <w:spacing w:after="0" w:line="242" w:lineRule="auto"/>
        <w:rPr>
          <w:sz w:val="20"/>
          <w:szCs w:val="20"/>
          <w:color w:val="auto"/>
        </w:rPr>
      </w:pPr>
      <w:r>
        <w:rPr>
          <w:rFonts w:ascii="Arial" w:cs="Arial" w:eastAsia="Arial" w:hAnsi="Arial"/>
          <w:sz w:val="21"/>
          <w:szCs w:val="21"/>
          <w:color w:val="auto"/>
        </w:rPr>
        <w:t xml:space="preserve">18.7.3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Articles 1, 5, 14, 16, 17, 18, 19 and 20, and Sections 8.3.3 and 10.5, shall survive any termination of this Agreement, along with FG’s rights and Astellas’ obligations (but not Astellas’ rights or FG’s obligations, except to the extent required by the Japanese Ministry of Health, Labor and Welfare) under Section 5.1.1 and Article 7. In addition, the following provisions shall survive termination of this Agreement for any reason: Astellas shall assign or cause to be assigned to FG (or if not so assignable, Astellas shall take all reasonable actions to make available to FG) all regulatory filings and registrations (including MAAs and Marketing Approvals) with respect to the Lead Compounds that have been filed or made by or under authority of Astellas, and the rights in trademark with respect to each Lead Compound as provided for in Section 4.4.1, in each case such assignment (or availability) shall be made within [*] after the notice of termination. From and after the date of a notice of termination, FG shall have no further obligations under this Agreement beyond those obligations that survive termination in such events as specified in this Section 18.7.3.</w:t>
      </w:r>
    </w:p>
    <w:p>
      <w:pPr>
        <w:spacing w:after="0" w:line="182" w:lineRule="exact"/>
        <w:rPr>
          <w:sz w:val="20"/>
          <w:szCs w:val="20"/>
          <w:color w:val="auto"/>
        </w:rPr>
      </w:pPr>
    </w:p>
    <w:p>
      <w:pPr>
        <w:jc w:val="both"/>
        <w:ind w:firstLine="2634"/>
        <w:spacing w:after="0" w:line="244" w:lineRule="auto"/>
        <w:rPr>
          <w:sz w:val="20"/>
          <w:szCs w:val="20"/>
          <w:color w:val="auto"/>
        </w:rPr>
      </w:pPr>
      <w:r>
        <w:rPr>
          <w:rFonts w:ascii="Arial" w:cs="Arial" w:eastAsia="Arial" w:hAnsi="Arial"/>
          <w:sz w:val="21"/>
          <w:szCs w:val="21"/>
          <w:color w:val="auto"/>
        </w:rPr>
        <w:t xml:space="preserve">18.7.4 </w:t>
      </w:r>
      <w:r>
        <w:rPr>
          <w:rFonts w:ascii="Arial" w:cs="Arial" w:eastAsia="Arial" w:hAnsi="Arial"/>
          <w:sz w:val="21"/>
          <w:szCs w:val="21"/>
          <w:u w:val="single" w:color="auto"/>
          <w:color w:val="auto"/>
        </w:rPr>
        <w:t>Material Non-Performance.</w:t>
      </w:r>
      <w:r>
        <w:rPr>
          <w:rFonts w:ascii="Arial" w:cs="Arial" w:eastAsia="Arial" w:hAnsi="Arial"/>
          <w:sz w:val="21"/>
          <w:szCs w:val="21"/>
          <w:color w:val="auto"/>
        </w:rPr>
        <w:t xml:space="preserve"> In the event of any Material Non-Performance by a party, the other party shall, without reasonable delay following discovery of such Material Non-Performance notify the defaulting party in writing, and the parties shall consult with each other in good faith to endeavor to agree upon the most effective means to cure such Material Non-Performance and, if necessary, to effect a remedy in favor of the non-defaulting party for the consequences of such Material Non-Performance by the defaulting party (collectively, the “Resolution”). In the event (i) the parties are unable to agree upon Resolution,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15" w:lineRule="exact"/>
        <w:rPr>
          <w:sz w:val="20"/>
          <w:szCs w:val="20"/>
          <w:color w:val="auto"/>
        </w:rPr>
      </w:pPr>
    </w:p>
    <w:p>
      <w:pPr>
        <w:ind w:firstLine="7"/>
        <w:spacing w:after="0" w:line="275" w:lineRule="auto"/>
        <w:tabs>
          <w:tab w:leader="none" w:pos="258"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9" w:name="page200"/>
    <w:bookmarkEnd w:id="199"/>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or (ii) the defaulting party, in the exercise of reasonable diligence shall have been unable to remedy such Material Non-Performance, then in either such event the remedy of the non-defaulting party with respect to the Material Non-Performance by the defaulting party shall be determined by arbitration pursuant to Section 19.2 hereof, and the arbitrators shall be authorized to fashion such remedy, including equitable relief, which may include termination of this Agreement in whole or in part, as the arbitrators shall determine appropriate, except that termination of this Agreement in whole shall only be the remedy of last resort.</w:t>
      </w:r>
    </w:p>
    <w:p>
      <w:pPr>
        <w:spacing w:after="0" w:line="165" w:lineRule="exact"/>
        <w:rPr>
          <w:sz w:val="20"/>
          <w:szCs w:val="20"/>
          <w:color w:val="auto"/>
        </w:rPr>
      </w:pPr>
    </w:p>
    <w:p>
      <w:pPr>
        <w:jc w:val="both"/>
        <w:ind w:firstLine="2634"/>
        <w:spacing w:after="0" w:line="273" w:lineRule="auto"/>
        <w:rPr>
          <w:sz w:val="20"/>
          <w:szCs w:val="20"/>
          <w:color w:val="auto"/>
        </w:rPr>
      </w:pPr>
      <w:r>
        <w:rPr>
          <w:rFonts w:ascii="Arial" w:cs="Arial" w:eastAsia="Arial" w:hAnsi="Arial"/>
          <w:sz w:val="19"/>
          <w:szCs w:val="19"/>
          <w:color w:val="auto"/>
        </w:rPr>
        <w:t xml:space="preserve">18.7.5 </w:t>
      </w:r>
      <w:r>
        <w:rPr>
          <w:rFonts w:ascii="Arial" w:cs="Arial" w:eastAsia="Arial" w:hAnsi="Arial"/>
          <w:sz w:val="19"/>
          <w:szCs w:val="19"/>
          <w:u w:val="single" w:color="auto"/>
          <w:color w:val="auto"/>
        </w:rPr>
        <w:t>License Upon Termination.</w:t>
      </w:r>
      <w:r>
        <w:rPr>
          <w:rFonts w:ascii="Arial" w:cs="Arial" w:eastAsia="Arial" w:hAnsi="Arial"/>
          <w:sz w:val="19"/>
          <w:szCs w:val="19"/>
          <w:color w:val="auto"/>
        </w:rPr>
        <w:t xml:space="preserve"> In the event of a termination of this Agreement, FG shall have an irrevocable, exclusive, license, with the right to grant and authorize sublicenses, to any trademarks used by Astellas in association with the Lead Compounds hereunder to make, use, sell, import and otherwise exploit products within the Field in the Astellas Territory. Such license shall be royalty-free, provided, however, if such trademark is not a global trademark (i.e. materially different from the trademark used in the FG Territory) and either (i) if Astellas terminates this Agreement under Section 18.2.1 or 18.2.4, or (ii) if this Agreement is terminated in accordance with the procedure as provided for in Section 18.2.5 as a result of FG’s Material Non-Performance, in which event FG and Astellas shall negotiate in good faith a reasonable fee for such license.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19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DISPUTE RESOLUTION</w:t>
      </w:r>
    </w:p>
    <w:p>
      <w:pPr>
        <w:spacing w:after="0" w:line="194"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19.1 </w:t>
      </w:r>
      <w:r>
        <w:rPr>
          <w:rFonts w:ascii="Arial" w:cs="Arial" w:eastAsia="Arial" w:hAnsi="Arial"/>
          <w:sz w:val="21"/>
          <w:szCs w:val="21"/>
          <w:u w:val="single" w:color="auto"/>
          <w:color w:val="auto"/>
        </w:rPr>
        <w:t>Disputes</w:t>
      </w:r>
      <w:r>
        <w:rPr>
          <w:rFonts w:ascii="Arial" w:cs="Arial" w:eastAsia="Arial" w:hAnsi="Arial"/>
          <w:sz w:val="21"/>
          <w:szCs w:val="21"/>
          <w:color w:val="auto"/>
        </w:rPr>
        <w:t>. If the parties are unable to resolve any dispute between them regarding the breach, interpretation or enforcement of this Agreement, either party may, by written notice to the other, have such dispute referred to their Authorized Designees, provided that such individuals are not directly involved in the dispute (i.e., the dispute occurs at the JDC, such individuals shall not be members of the JDC), for good faith negotiations. If after [*] such executives are unable to resolve the issue, each of Astellas and FG shall have the right to refer the matter to mediation upon notice to the other party, and the parties shall choose a mediator within [*] of the receipt of such notice, and shall negotiate in good faith to resolve such matter through the mediator within [*] thereafter.</w:t>
      </w:r>
    </w:p>
    <w:p>
      <w:pPr>
        <w:spacing w:after="0" w:line="184" w:lineRule="exact"/>
        <w:rPr>
          <w:sz w:val="20"/>
          <w:szCs w:val="20"/>
          <w:color w:val="auto"/>
        </w:rPr>
      </w:pPr>
    </w:p>
    <w:p>
      <w:pPr>
        <w:jc w:val="both"/>
        <w:ind w:firstLine="878"/>
        <w:spacing w:after="0" w:line="283" w:lineRule="auto"/>
        <w:rPr>
          <w:sz w:val="20"/>
          <w:szCs w:val="20"/>
          <w:color w:val="auto"/>
        </w:rPr>
      </w:pPr>
      <w:r>
        <w:rPr>
          <w:rFonts w:ascii="Arial" w:cs="Arial" w:eastAsia="Arial" w:hAnsi="Arial"/>
          <w:sz w:val="19"/>
          <w:szCs w:val="19"/>
          <w:color w:val="auto"/>
        </w:rPr>
        <w:t xml:space="preserve">19.2 </w:t>
      </w:r>
      <w:r>
        <w:rPr>
          <w:rFonts w:ascii="Arial" w:cs="Arial" w:eastAsia="Arial" w:hAnsi="Arial"/>
          <w:sz w:val="19"/>
          <w:szCs w:val="19"/>
          <w:u w:val="single" w:color="auto"/>
          <w:color w:val="auto"/>
        </w:rPr>
        <w:t>Full Arbitration</w:t>
      </w:r>
      <w:r>
        <w:rPr>
          <w:rFonts w:ascii="Arial" w:cs="Arial" w:eastAsia="Arial" w:hAnsi="Arial"/>
          <w:sz w:val="19"/>
          <w:szCs w:val="19"/>
          <w:color w:val="auto"/>
        </w:rPr>
        <w:t>. Any dispute, controversy or claim arising out of or relating to the breach, interpretation or enforcement of this Agreement, including disputes relating to termination of this Agreement, shall be settled by binding arbitration in the manner described in this Section 19.2. The arbitration shall be conducted pursuant to the rules of Arbitration of the International Chamber of Commerce then in effect. Notwithstanding those rules, the following provisions shall apply to the arbitration hereunder:</w:t>
      </w:r>
    </w:p>
    <w:p>
      <w:pPr>
        <w:spacing w:after="0" w:line="144" w:lineRule="exact"/>
        <w:rPr>
          <w:sz w:val="20"/>
          <w:szCs w:val="20"/>
          <w:color w:val="auto"/>
        </w:rPr>
      </w:pPr>
    </w:p>
    <w:p>
      <w:pPr>
        <w:jc w:val="both"/>
        <w:ind w:firstLine="2634"/>
        <w:spacing w:after="0" w:line="265" w:lineRule="auto"/>
        <w:rPr>
          <w:sz w:val="20"/>
          <w:szCs w:val="20"/>
          <w:color w:val="auto"/>
        </w:rPr>
      </w:pPr>
      <w:r>
        <w:rPr>
          <w:rFonts w:ascii="Arial" w:cs="Arial" w:eastAsia="Arial" w:hAnsi="Arial"/>
          <w:sz w:val="20"/>
          <w:szCs w:val="20"/>
          <w:color w:val="auto"/>
        </w:rPr>
        <w:t xml:space="preserve">19.2.1 </w:t>
      </w:r>
      <w:r>
        <w:rPr>
          <w:rFonts w:ascii="Arial" w:cs="Arial" w:eastAsia="Arial" w:hAnsi="Arial"/>
          <w:sz w:val="20"/>
          <w:szCs w:val="20"/>
          <w:u w:val="single" w:color="auto"/>
          <w:color w:val="auto"/>
        </w:rPr>
        <w:t>Arbitrators.</w:t>
      </w:r>
      <w:r>
        <w:rPr>
          <w:rFonts w:ascii="Arial" w:cs="Arial" w:eastAsia="Arial" w:hAnsi="Arial"/>
          <w:sz w:val="20"/>
          <w:szCs w:val="20"/>
          <w:color w:val="auto"/>
        </w:rPr>
        <w:t xml:space="preserve"> The arbitration shall be conducted by a panel of three (3) arbitrators, with one (1) arbitrator chosen by each of FG and Astellas and the third appointed by the other two (2) arbitrators. If the parties are unable to agree upon a single arbitrator, or the third arbitrator in case of a panel of three (3), such third arbitrator (as the case may be) shall be appointed in accordance with the rules of the Arbitration of the International Chamber of Commerce.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15" w:lineRule="exact"/>
        <w:rPr>
          <w:sz w:val="20"/>
          <w:szCs w:val="20"/>
          <w:color w:val="auto"/>
        </w:rPr>
      </w:pPr>
    </w:p>
    <w:p>
      <w:pPr>
        <w:ind w:firstLine="7"/>
        <w:spacing w:after="0" w:line="275" w:lineRule="auto"/>
        <w:tabs>
          <w:tab w:leader="none" w:pos="258"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0" w:name="page201"/>
    <w:bookmarkEnd w:id="200"/>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2634"/>
        <w:spacing w:after="0" w:line="243" w:lineRule="auto"/>
        <w:rPr>
          <w:sz w:val="20"/>
          <w:szCs w:val="20"/>
          <w:color w:val="auto"/>
        </w:rPr>
      </w:pPr>
      <w:r>
        <w:rPr>
          <w:rFonts w:ascii="Arial" w:cs="Arial" w:eastAsia="Arial" w:hAnsi="Arial"/>
          <w:sz w:val="21"/>
          <w:szCs w:val="21"/>
          <w:color w:val="auto"/>
        </w:rPr>
        <w:t xml:space="preserve">19.2.2 </w:t>
      </w:r>
      <w:r>
        <w:rPr>
          <w:rFonts w:ascii="Arial" w:cs="Arial" w:eastAsia="Arial" w:hAnsi="Arial"/>
          <w:sz w:val="21"/>
          <w:szCs w:val="21"/>
          <w:u w:val="single" w:color="auto"/>
          <w:color w:val="auto"/>
        </w:rPr>
        <w:t>Proceedings.</w:t>
      </w:r>
      <w:r>
        <w:rPr>
          <w:rFonts w:ascii="Arial" w:cs="Arial" w:eastAsia="Arial" w:hAnsi="Arial"/>
          <w:sz w:val="21"/>
          <w:szCs w:val="21"/>
          <w:color w:val="auto"/>
        </w:rPr>
        <w:t xml:space="preserve"> Except as otherwise provided herein, the parties shall use their best efforts to complete the arbitration within [*] after the appointment of the Panel under Section 19.2.1 above, unless a party can demonstrate to the Panel that the complexity of the issues or other reasons warrant the extension of one or more of the time tables. In such case, the Panel may extend such time table as reasonably required. The Panel shall, in rendering its decision, apply the substantive law of the State of California, without regard to its conflicts of laws provisions, except that the interpretation of and enforcement of this Article 19 shall be governed by the U.S. Federal Arbitration Act. The proceeding shall be conducted in English and shall take place in the city of Vancouver, British Columbia, Canada. The judgment of the Panel shall be binding upon the parties and enforceable in any court of competent jurisdiction.</w:t>
      </w:r>
    </w:p>
    <w:p>
      <w:pPr>
        <w:spacing w:after="0" w:line="180" w:lineRule="exact"/>
        <w:rPr>
          <w:sz w:val="20"/>
          <w:szCs w:val="20"/>
          <w:color w:val="auto"/>
        </w:rPr>
      </w:pPr>
    </w:p>
    <w:p>
      <w:pPr>
        <w:jc w:val="both"/>
        <w:ind w:firstLine="2634"/>
        <w:spacing w:after="0" w:line="246" w:lineRule="auto"/>
        <w:rPr>
          <w:sz w:val="20"/>
          <w:szCs w:val="20"/>
          <w:color w:val="auto"/>
        </w:rPr>
      </w:pPr>
      <w:r>
        <w:rPr>
          <w:rFonts w:ascii="Arial" w:cs="Arial" w:eastAsia="Arial" w:hAnsi="Arial"/>
          <w:sz w:val="21"/>
          <w:szCs w:val="21"/>
          <w:color w:val="auto"/>
        </w:rPr>
        <w:t xml:space="preserve">19.2.3 </w:t>
      </w:r>
      <w:r>
        <w:rPr>
          <w:rFonts w:ascii="Arial" w:cs="Arial" w:eastAsia="Arial" w:hAnsi="Arial"/>
          <w:sz w:val="21"/>
          <w:szCs w:val="21"/>
          <w:u w:val="single" w:color="auto"/>
          <w:color w:val="auto"/>
        </w:rPr>
        <w:t>Interim Relief.</w:t>
      </w:r>
      <w:r>
        <w:rPr>
          <w:rFonts w:ascii="Arial" w:cs="Arial" w:eastAsia="Arial" w:hAnsi="Arial"/>
          <w:sz w:val="21"/>
          <w:szCs w:val="21"/>
          <w:color w:val="auto"/>
        </w:rPr>
        <w:t xml:space="preserve"> Notwithstanding anything in this Article 19 to the contrary, FG and Astellas shall each have the right to apply to any court of competent jurisdiction for a temporary restraining order, preliminary injunction, or other similar interim or conservatory relief, as necessary, pending resolution under the above described arbitration procedures. Nothing in the preceding sentence shall be interpreted as limiting the powers of the arbitrators with respect to any dispute subject to arbitration under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194" w:lineRule="exact"/>
        <w:rPr>
          <w:sz w:val="20"/>
          <w:szCs w:val="20"/>
          <w:color w:val="auto"/>
        </w:rPr>
      </w:pPr>
    </w:p>
    <w:p>
      <w:pPr>
        <w:jc w:val="both"/>
        <w:ind w:right="20" w:firstLine="878"/>
        <w:spacing w:after="0" w:line="273" w:lineRule="auto"/>
        <w:rPr>
          <w:sz w:val="20"/>
          <w:szCs w:val="20"/>
          <w:color w:val="auto"/>
        </w:rPr>
      </w:pPr>
      <w:r>
        <w:rPr>
          <w:rFonts w:ascii="Arial" w:cs="Arial" w:eastAsia="Arial" w:hAnsi="Arial"/>
          <w:sz w:val="19"/>
          <w:szCs w:val="19"/>
          <w:color w:val="auto"/>
        </w:rPr>
        <w:t xml:space="preserve">20.1 </w:t>
      </w:r>
      <w:r>
        <w:rPr>
          <w:rFonts w:ascii="Arial" w:cs="Arial" w:eastAsia="Arial" w:hAnsi="Arial"/>
          <w:sz w:val="19"/>
          <w:szCs w:val="19"/>
          <w:u w:val="single" w:color="auto"/>
          <w:color w:val="auto"/>
        </w:rPr>
        <w:t>Confidential Terms</w:t>
      </w:r>
      <w:r>
        <w:rPr>
          <w:rFonts w:ascii="Arial" w:cs="Arial" w:eastAsia="Arial" w:hAnsi="Arial"/>
          <w:sz w:val="19"/>
          <w:szCs w:val="19"/>
          <w:color w:val="auto"/>
        </w:rPr>
        <w:t>. Except as expressly provided herein, each party agrees not to disclose any terms of this Agreement to any third party without the consent of the other party, except (i) as required by securities or other applicable laws or</w:t>
      </w:r>
    </w:p>
    <w:p>
      <w:pPr>
        <w:spacing w:after="0" w:line="2" w:lineRule="exact"/>
        <w:rPr>
          <w:sz w:val="20"/>
          <w:szCs w:val="20"/>
          <w:color w:val="auto"/>
        </w:rPr>
      </w:pPr>
    </w:p>
    <w:p>
      <w:pPr>
        <w:ind w:firstLine="7"/>
        <w:spacing w:after="0" w:line="251" w:lineRule="auto"/>
        <w:tabs>
          <w:tab w:leader="none" w:pos="32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to prospective and other investors and such party’s accountants, attorneys and other professional advisors, or (iii) to others under reasonable conditions of confidentiality.</w:t>
      </w:r>
    </w:p>
    <w:p>
      <w:pPr>
        <w:spacing w:after="0" w:line="171"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and any dispute arising from the performance or breach hereof shall be governed by and construed and enforced in accordance with, the laws of the State of California, without reference to conflicts of laws principles.</w:t>
      </w:r>
    </w:p>
    <w:p>
      <w:pPr>
        <w:spacing w:after="0" w:line="168"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20.3 </w:t>
      </w:r>
      <w:r>
        <w:rPr>
          <w:rFonts w:ascii="Arial" w:cs="Arial" w:eastAsia="Arial" w:hAnsi="Arial"/>
          <w:sz w:val="21"/>
          <w:szCs w:val="21"/>
          <w:u w:val="single" w:color="auto"/>
          <w:color w:val="auto"/>
        </w:rPr>
        <w:t>Force Majeure</w:t>
      </w:r>
      <w:r>
        <w:rPr>
          <w:rFonts w:ascii="Arial" w:cs="Arial" w:eastAsia="Arial" w:hAnsi="Arial"/>
          <w:sz w:val="21"/>
          <w:szCs w:val="21"/>
          <w:color w:val="auto"/>
        </w:rPr>
        <w:t>. Nonperformance of any party (except for payment of amounts due hereunder) shall be excused to the extent that performance is rendered impossible by strike, fire, earthquake, flood, governmental acts or orders or restrictions, failure of suppliers, or any other reason where failure to perform is beyond the reasonable control of the non-performing party. In such event FG or Astellas, as the case may be, shall promptly notify the other party of such inability and of the period for which such inability is anticipated to continue. Without limiting the foregoing, the party subject to such inability shall use reasonable efforts to minimize the duration of any force majeure event.</w:t>
      </w:r>
    </w:p>
    <w:p>
      <w:pPr>
        <w:spacing w:after="0" w:line="182"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20.4 </w:t>
      </w:r>
      <w:r>
        <w:rPr>
          <w:rFonts w:ascii="Arial" w:cs="Arial" w:eastAsia="Arial" w:hAnsi="Arial"/>
          <w:sz w:val="21"/>
          <w:szCs w:val="21"/>
          <w:u w:val="single" w:color="auto"/>
          <w:color w:val="auto"/>
        </w:rPr>
        <w:t>No Implied Waivers; Rights Cumulative</w:t>
      </w:r>
      <w:r>
        <w:rPr>
          <w:rFonts w:ascii="Arial" w:cs="Arial" w:eastAsia="Arial" w:hAnsi="Arial"/>
          <w:sz w:val="21"/>
          <w:szCs w:val="21"/>
          <w:color w:val="auto"/>
        </w:rPr>
        <w:t>. No failure on the part of FG or Astellas to exercise and no delay in exercising any right under this Agreement, or provided by statute or at law or in equity or otherwise, shall impair, prejudice or constitute a waiver of any such right,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15" w:lineRule="exact"/>
        <w:rPr>
          <w:sz w:val="20"/>
          <w:szCs w:val="20"/>
          <w:color w:val="auto"/>
        </w:rPr>
      </w:pPr>
    </w:p>
    <w:p>
      <w:pPr>
        <w:ind w:firstLine="7"/>
        <w:spacing w:after="0" w:line="275" w:lineRule="auto"/>
        <w:tabs>
          <w:tab w:leader="none" w:pos="258"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1" w:name="page202"/>
    <w:bookmarkEnd w:id="201"/>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nor shall any partial exercise of any such right preclude any other or further exercise thereof or the exercise of any other right.</w:t>
      </w:r>
    </w:p>
    <w:p>
      <w:pPr>
        <w:spacing w:after="0" w:line="224"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20.5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Nothing contained in this Agreement is intended implicitly, or is to be construed, to constitute FG or Astellas as partners in the legal sense. No party hereto shall have any express or implied right or authority to assume or create any obligations on behalf of or in the name of any other party or to bind any other party to any contract, agreement or undertaking with any third party.</w:t>
      </w:r>
    </w:p>
    <w:p>
      <w:pPr>
        <w:spacing w:after="0" w:line="173" w:lineRule="exact"/>
        <w:rPr>
          <w:sz w:val="20"/>
          <w:szCs w:val="20"/>
          <w:color w:val="auto"/>
        </w:rPr>
      </w:pPr>
    </w:p>
    <w:p>
      <w:pPr>
        <w:jc w:val="both"/>
        <w:ind w:left="880" w:firstLine="810"/>
        <w:spacing w:after="0" w:line="265" w:lineRule="auto"/>
        <w:rPr>
          <w:sz w:val="20"/>
          <w:szCs w:val="20"/>
          <w:color w:val="auto"/>
        </w:rPr>
      </w:pPr>
      <w:r>
        <w:rPr>
          <w:rFonts w:ascii="Arial" w:cs="Arial" w:eastAsia="Arial" w:hAnsi="Arial"/>
          <w:sz w:val="20"/>
          <w:szCs w:val="20"/>
          <w:color w:val="auto"/>
        </w:rPr>
        <w:t xml:space="preserve">20.6 </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All notices, requests and other communications hereunder shall be in writing and shall be personally delivered or sent by registered or certified mail, return receipt requested, postage prepaid; facsimile transmission (receipt verified); or express courier service (signature required), in each case to the respective address specified below, or such other address or fax number as may be specified in writing to the other party hereto:</w:t>
      </w:r>
    </w:p>
    <w:p>
      <w:pPr>
        <w:spacing w:after="0" w:line="158"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1400" w:type="dxa"/>
            <w:vAlign w:val="bottom"/>
          </w:tcPr>
          <w:p>
            <w:pPr>
              <w:jc w:val="right"/>
              <w:ind w:right="13"/>
              <w:spacing w:after="0"/>
              <w:rPr>
                <w:sz w:val="20"/>
                <w:szCs w:val="20"/>
                <w:color w:val="auto"/>
              </w:rPr>
            </w:pPr>
            <w:r>
              <w:rPr>
                <w:rFonts w:ascii="Arial" w:cs="Arial" w:eastAsia="Arial" w:hAnsi="Arial"/>
                <w:sz w:val="21"/>
                <w:szCs w:val="21"/>
                <w:color w:val="auto"/>
              </w:rPr>
              <w:t>Astellas:</w:t>
            </w:r>
          </w:p>
        </w:tc>
        <w:tc>
          <w:tcPr>
            <w:tcW w:w="3180" w:type="dxa"/>
            <w:vAlign w:val="bottom"/>
          </w:tcPr>
          <w:p>
            <w:pPr>
              <w:ind w:left="100"/>
              <w:spacing w:after="0"/>
              <w:rPr>
                <w:sz w:val="20"/>
                <w:szCs w:val="20"/>
                <w:color w:val="auto"/>
              </w:rPr>
            </w:pPr>
            <w:r>
              <w:rPr>
                <w:rFonts w:ascii="Arial" w:cs="Arial" w:eastAsia="Arial" w:hAnsi="Arial"/>
                <w:sz w:val="21"/>
                <w:szCs w:val="21"/>
                <w:color w:val="auto"/>
              </w:rPr>
              <w:t>Astellas Pharma Inc.</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w w:val="96"/>
              </w:rPr>
              <w:t>Attn: Director of Legal Department</w:t>
            </w:r>
          </w:p>
        </w:tc>
      </w:tr>
      <w:tr>
        <w:trPr>
          <w:trHeight w:val="272"/>
        </w:trPr>
        <w:tc>
          <w:tcPr>
            <w:tcW w:w="1400" w:type="dxa"/>
            <w:vAlign w:val="bottom"/>
          </w:tcPr>
          <w:p>
            <w:pPr>
              <w:spacing w:after="0"/>
              <w:rPr>
                <w:sz w:val="23"/>
                <w:szCs w:val="23"/>
                <w:color w:val="auto"/>
              </w:rPr>
            </w:pPr>
          </w:p>
        </w:tc>
        <w:tc>
          <w:tcPr>
            <w:tcW w:w="3180" w:type="dxa"/>
            <w:vAlign w:val="bottom"/>
          </w:tcPr>
          <w:p>
            <w:pPr>
              <w:ind w:left="100"/>
              <w:spacing w:after="0"/>
              <w:rPr>
                <w:sz w:val="20"/>
                <w:szCs w:val="20"/>
                <w:color w:val="auto"/>
              </w:rPr>
            </w:pPr>
            <w:r>
              <w:rPr>
                <w:rFonts w:ascii="Arial" w:cs="Arial" w:eastAsia="Arial" w:hAnsi="Arial"/>
                <w:sz w:val="21"/>
                <w:szCs w:val="21"/>
                <w:color w:val="auto"/>
              </w:rPr>
              <w:t>[*]</w:t>
            </w:r>
          </w:p>
        </w:tc>
      </w:tr>
      <w:tr>
        <w:trPr>
          <w:trHeight w:val="422"/>
        </w:trPr>
        <w:tc>
          <w:tcPr>
            <w:tcW w:w="1400" w:type="dxa"/>
            <w:vAlign w:val="bottom"/>
          </w:tcPr>
          <w:p>
            <w:pPr>
              <w:jc w:val="right"/>
              <w:ind w:right="13"/>
              <w:spacing w:after="0"/>
              <w:rPr>
                <w:sz w:val="20"/>
                <w:szCs w:val="20"/>
                <w:color w:val="auto"/>
              </w:rPr>
            </w:pPr>
            <w:r>
              <w:rPr>
                <w:rFonts w:ascii="Arial" w:cs="Arial" w:eastAsia="Arial" w:hAnsi="Arial"/>
                <w:sz w:val="21"/>
                <w:szCs w:val="21"/>
                <w:color w:val="auto"/>
              </w:rPr>
              <w:t>with copy to:</w:t>
            </w:r>
          </w:p>
        </w:tc>
        <w:tc>
          <w:tcPr>
            <w:tcW w:w="3180" w:type="dxa"/>
            <w:vAlign w:val="bottom"/>
          </w:tcPr>
          <w:p>
            <w:pPr>
              <w:ind w:left="100"/>
              <w:spacing w:after="0"/>
              <w:rPr>
                <w:sz w:val="20"/>
                <w:szCs w:val="20"/>
                <w:color w:val="auto"/>
              </w:rPr>
            </w:pPr>
            <w:r>
              <w:rPr>
                <w:rFonts w:ascii="Arial" w:cs="Arial" w:eastAsia="Arial" w:hAnsi="Arial"/>
                <w:sz w:val="21"/>
                <w:szCs w:val="21"/>
                <w:color w:val="auto"/>
              </w:rPr>
              <w:t>Astellas Pharma Inc.</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w w:val="93"/>
              </w:rPr>
              <w:t>Attn: Licensing, Corporate Strategy</w:t>
            </w:r>
          </w:p>
        </w:tc>
      </w:tr>
      <w:tr>
        <w:trPr>
          <w:trHeight w:val="272"/>
        </w:trPr>
        <w:tc>
          <w:tcPr>
            <w:tcW w:w="1400" w:type="dxa"/>
            <w:vAlign w:val="bottom"/>
          </w:tcPr>
          <w:p>
            <w:pPr>
              <w:spacing w:after="0"/>
              <w:rPr>
                <w:sz w:val="23"/>
                <w:szCs w:val="23"/>
                <w:color w:val="auto"/>
              </w:rPr>
            </w:pPr>
          </w:p>
        </w:tc>
        <w:tc>
          <w:tcPr>
            <w:tcW w:w="3180" w:type="dxa"/>
            <w:vAlign w:val="bottom"/>
          </w:tcPr>
          <w:p>
            <w:pPr>
              <w:ind w:left="100"/>
              <w:spacing w:after="0"/>
              <w:rPr>
                <w:sz w:val="20"/>
                <w:szCs w:val="20"/>
                <w:color w:val="auto"/>
              </w:rPr>
            </w:pPr>
            <w:r>
              <w:rPr>
                <w:rFonts w:ascii="Arial" w:cs="Arial" w:eastAsia="Arial" w:hAnsi="Arial"/>
                <w:sz w:val="21"/>
                <w:szCs w:val="21"/>
                <w:color w:val="auto"/>
              </w:rPr>
              <w:t>[*]</w:t>
            </w:r>
          </w:p>
        </w:tc>
      </w:tr>
      <w:tr>
        <w:trPr>
          <w:trHeight w:val="422"/>
        </w:trPr>
        <w:tc>
          <w:tcPr>
            <w:tcW w:w="1400" w:type="dxa"/>
            <w:vAlign w:val="bottom"/>
          </w:tcPr>
          <w:p>
            <w:pPr>
              <w:jc w:val="right"/>
              <w:ind w:right="13"/>
              <w:spacing w:after="0"/>
              <w:rPr>
                <w:sz w:val="20"/>
                <w:szCs w:val="20"/>
                <w:color w:val="auto"/>
              </w:rPr>
            </w:pPr>
            <w:r>
              <w:rPr>
                <w:rFonts w:ascii="Arial" w:cs="Arial" w:eastAsia="Arial" w:hAnsi="Arial"/>
                <w:sz w:val="21"/>
                <w:szCs w:val="21"/>
                <w:color w:val="auto"/>
              </w:rPr>
              <w:t>FG:</w:t>
            </w:r>
          </w:p>
        </w:tc>
        <w:tc>
          <w:tcPr>
            <w:tcW w:w="3180" w:type="dxa"/>
            <w:vAlign w:val="bottom"/>
          </w:tcPr>
          <w:p>
            <w:pPr>
              <w:ind w:left="100"/>
              <w:spacing w:after="0"/>
              <w:rPr>
                <w:sz w:val="20"/>
                <w:szCs w:val="20"/>
                <w:color w:val="auto"/>
              </w:rPr>
            </w:pPr>
            <w:r>
              <w:rPr>
                <w:rFonts w:ascii="Arial" w:cs="Arial" w:eastAsia="Arial" w:hAnsi="Arial"/>
                <w:sz w:val="21"/>
                <w:szCs w:val="21"/>
                <w:color w:val="auto"/>
              </w:rPr>
              <w:t>FibroGen, Inc.</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rPr>
              <w:t>Attn: Chief Executive Officer</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rPr>
              <w:t>225 Gateway Boulevard</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rPr>
              <w:t>San Francisco, California 94080</w:t>
            </w:r>
          </w:p>
        </w:tc>
      </w:tr>
      <w:tr>
        <w:trPr>
          <w:trHeight w:val="272"/>
        </w:trPr>
        <w:tc>
          <w:tcPr>
            <w:tcW w:w="1400" w:type="dxa"/>
            <w:vAlign w:val="bottom"/>
          </w:tcPr>
          <w:p>
            <w:pPr>
              <w:spacing w:after="0"/>
              <w:rPr>
                <w:sz w:val="23"/>
                <w:szCs w:val="23"/>
                <w:color w:val="auto"/>
              </w:rPr>
            </w:pPr>
          </w:p>
        </w:tc>
        <w:tc>
          <w:tcPr>
            <w:tcW w:w="3180" w:type="dxa"/>
            <w:vAlign w:val="bottom"/>
          </w:tcPr>
          <w:p>
            <w:pPr>
              <w:ind w:left="100"/>
              <w:spacing w:after="0"/>
              <w:rPr>
                <w:sz w:val="20"/>
                <w:szCs w:val="20"/>
                <w:color w:val="auto"/>
              </w:rPr>
            </w:pPr>
            <w:r>
              <w:rPr>
                <w:rFonts w:ascii="Arial" w:cs="Arial" w:eastAsia="Arial" w:hAnsi="Arial"/>
                <w:sz w:val="21"/>
                <w:szCs w:val="21"/>
                <w:color w:val="auto"/>
              </w:rPr>
              <w:t>Fax: 1-650-866-7202</w:t>
            </w:r>
          </w:p>
        </w:tc>
      </w:tr>
      <w:tr>
        <w:trPr>
          <w:trHeight w:val="422"/>
        </w:trPr>
        <w:tc>
          <w:tcPr>
            <w:tcW w:w="1400" w:type="dxa"/>
            <w:vAlign w:val="bottom"/>
          </w:tcPr>
          <w:p>
            <w:pPr>
              <w:jc w:val="right"/>
              <w:ind w:right="13"/>
              <w:spacing w:after="0"/>
              <w:rPr>
                <w:sz w:val="20"/>
                <w:szCs w:val="20"/>
                <w:color w:val="auto"/>
              </w:rPr>
            </w:pPr>
            <w:r>
              <w:rPr>
                <w:rFonts w:ascii="Arial" w:cs="Arial" w:eastAsia="Arial" w:hAnsi="Arial"/>
                <w:sz w:val="21"/>
                <w:szCs w:val="21"/>
                <w:color w:val="auto"/>
                <w:w w:val="93"/>
              </w:rPr>
              <w:t>with a copy to:</w:t>
            </w:r>
          </w:p>
        </w:tc>
        <w:tc>
          <w:tcPr>
            <w:tcW w:w="3180" w:type="dxa"/>
            <w:vAlign w:val="bottom"/>
          </w:tcPr>
          <w:p>
            <w:pPr>
              <w:ind w:left="100"/>
              <w:spacing w:after="0"/>
              <w:rPr>
                <w:sz w:val="20"/>
                <w:szCs w:val="20"/>
                <w:color w:val="auto"/>
              </w:rPr>
            </w:pPr>
            <w:r>
              <w:rPr>
                <w:rFonts w:ascii="Arial" w:cs="Arial" w:eastAsia="Arial" w:hAnsi="Arial"/>
                <w:sz w:val="21"/>
                <w:szCs w:val="21"/>
                <w:color w:val="auto"/>
              </w:rPr>
              <w:t>FibroGen, Inc.</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rPr>
              <w:t>Attn: Legal Department</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rPr>
              <w:t>225 Gateway Boulevard</w:t>
            </w:r>
          </w:p>
        </w:tc>
      </w:tr>
      <w:tr>
        <w:trPr>
          <w:trHeight w:val="240"/>
        </w:trPr>
        <w:tc>
          <w:tcPr>
            <w:tcW w:w="1400" w:type="dxa"/>
            <w:vAlign w:val="bottom"/>
          </w:tcPr>
          <w:p>
            <w:pPr>
              <w:spacing w:after="0"/>
              <w:rPr>
                <w:sz w:val="20"/>
                <w:szCs w:val="20"/>
                <w:color w:val="auto"/>
              </w:rPr>
            </w:pPr>
          </w:p>
        </w:tc>
        <w:tc>
          <w:tcPr>
            <w:tcW w:w="3180" w:type="dxa"/>
            <w:vAlign w:val="bottom"/>
          </w:tcPr>
          <w:p>
            <w:pPr>
              <w:ind w:left="100"/>
              <w:spacing w:after="0" w:line="240" w:lineRule="exact"/>
              <w:rPr>
                <w:sz w:val="20"/>
                <w:szCs w:val="20"/>
                <w:color w:val="auto"/>
              </w:rPr>
            </w:pPr>
            <w:r>
              <w:rPr>
                <w:rFonts w:ascii="Arial" w:cs="Arial" w:eastAsia="Arial" w:hAnsi="Arial"/>
                <w:sz w:val="21"/>
                <w:szCs w:val="21"/>
                <w:color w:val="auto"/>
              </w:rPr>
              <w:t>San Francisco, California 94080</w:t>
            </w:r>
          </w:p>
        </w:tc>
      </w:tr>
      <w:tr>
        <w:trPr>
          <w:trHeight w:val="272"/>
        </w:trPr>
        <w:tc>
          <w:tcPr>
            <w:tcW w:w="1400" w:type="dxa"/>
            <w:vAlign w:val="bottom"/>
          </w:tcPr>
          <w:p>
            <w:pPr>
              <w:spacing w:after="0"/>
              <w:rPr>
                <w:sz w:val="23"/>
                <w:szCs w:val="23"/>
                <w:color w:val="auto"/>
              </w:rPr>
            </w:pPr>
          </w:p>
        </w:tc>
        <w:tc>
          <w:tcPr>
            <w:tcW w:w="3180" w:type="dxa"/>
            <w:vAlign w:val="bottom"/>
          </w:tcPr>
          <w:p>
            <w:pPr>
              <w:ind w:left="100"/>
              <w:spacing w:after="0"/>
              <w:rPr>
                <w:sz w:val="20"/>
                <w:szCs w:val="20"/>
                <w:color w:val="auto"/>
              </w:rPr>
            </w:pPr>
            <w:r>
              <w:rPr>
                <w:rFonts w:ascii="Arial" w:cs="Arial" w:eastAsia="Arial" w:hAnsi="Arial"/>
                <w:sz w:val="21"/>
                <w:szCs w:val="21"/>
                <w:color w:val="auto"/>
              </w:rPr>
              <w:t>Fax: 1-650-866-7343</w:t>
            </w:r>
          </w:p>
        </w:tc>
      </w:tr>
    </w:tbl>
    <w:p>
      <w:pPr>
        <w:spacing w:after="0" w:line="395"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20.7 </w:t>
      </w: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shall not be assignable by either party to any third party without the written consent of the other party hereto; except that either party may assign this Agreement without the other party’s consent to an entity that acquires substantially all of the business or assets of the assigning party within the Field, in each case whether by merger, transfer of assets, or otherwise. Upon a permitted assignment of this Agreement, all references herein to the assigning party shall be deemed references to the party to whom the Agreement is so assigned.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15" w:lineRule="exact"/>
        <w:rPr>
          <w:sz w:val="20"/>
          <w:szCs w:val="20"/>
          <w:color w:val="auto"/>
        </w:rPr>
      </w:pPr>
    </w:p>
    <w:p>
      <w:pPr>
        <w:ind w:firstLine="7"/>
        <w:spacing w:after="0" w:line="275" w:lineRule="auto"/>
        <w:tabs>
          <w:tab w:leader="none" w:pos="258"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2" w:name="page203"/>
    <w:bookmarkEnd w:id="202"/>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00" w:lineRule="exact"/>
        <w:rPr>
          <w:sz w:val="20"/>
          <w:szCs w:val="20"/>
          <w:color w:val="auto"/>
        </w:rPr>
      </w:pPr>
    </w:p>
    <w:p>
      <w:pPr>
        <w:spacing w:after="0" w:line="238"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 xml:space="preserve">20.8 </w:t>
      </w:r>
      <w:r>
        <w:rPr>
          <w:rFonts w:ascii="Arial" w:cs="Arial" w:eastAsia="Arial" w:hAnsi="Arial"/>
          <w:sz w:val="20"/>
          <w:szCs w:val="20"/>
          <w:u w:val="single" w:color="auto"/>
          <w:color w:val="auto"/>
        </w:rPr>
        <w:t>Modification</w:t>
      </w:r>
      <w:r>
        <w:rPr>
          <w:rFonts w:ascii="Arial" w:cs="Arial" w:eastAsia="Arial" w:hAnsi="Arial"/>
          <w:sz w:val="20"/>
          <w:szCs w:val="20"/>
          <w:color w:val="auto"/>
        </w:rPr>
        <w:t>. No amendment or modification of any provision of this Agreement shall be effective unless in writing signed by all parties hereto. No provision of this Agreement shall be varied, contradicted or explained by any oral agreement, course of dealing or performance or any other matter not set forth in an agreement in writing and signed by all parties.</w:t>
      </w:r>
    </w:p>
    <w:p>
      <w:pPr>
        <w:spacing w:after="0" w:line="153"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20.9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178"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20.10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each of which shall be deemed an original, and all of which together, shall constitute one and the same instrument.</w:t>
      </w:r>
    </w:p>
    <w:p>
      <w:pPr>
        <w:spacing w:after="0" w:line="153" w:lineRule="exact"/>
        <w:rPr>
          <w:sz w:val="20"/>
          <w:szCs w:val="20"/>
          <w:color w:val="auto"/>
        </w:rPr>
      </w:pPr>
    </w:p>
    <w:p>
      <w:pPr>
        <w:jc w:val="both"/>
        <w:ind w:firstLine="878"/>
        <w:spacing w:after="0" w:line="269" w:lineRule="auto"/>
        <w:rPr>
          <w:sz w:val="20"/>
          <w:szCs w:val="20"/>
          <w:color w:val="auto"/>
        </w:rPr>
      </w:pPr>
      <w:r>
        <w:rPr>
          <w:rFonts w:ascii="Arial" w:cs="Arial" w:eastAsia="Arial" w:hAnsi="Arial"/>
          <w:sz w:val="21"/>
          <w:szCs w:val="21"/>
          <w:color w:val="auto"/>
        </w:rPr>
        <w:t xml:space="preserve">20.11 </w:t>
      </w:r>
      <w:r>
        <w:rPr>
          <w:rFonts w:ascii="Arial" w:cs="Arial" w:eastAsia="Arial" w:hAnsi="Arial"/>
          <w:sz w:val="21"/>
          <w:szCs w:val="21"/>
          <w:u w:val="single" w:color="auto"/>
          <w:color w:val="auto"/>
        </w:rPr>
        <w:t>Headings</w:t>
      </w:r>
      <w:r>
        <w:rPr>
          <w:rFonts w:ascii="Arial" w:cs="Arial" w:eastAsia="Arial" w:hAnsi="Arial"/>
          <w:sz w:val="21"/>
          <w:szCs w:val="21"/>
          <w:color w:val="auto"/>
        </w:rPr>
        <w:t>. Headings used herein are for convenience only and shall not in any way affect the construction of or be taken into consideration in interpreting this Agreement.</w:t>
      </w:r>
    </w:p>
    <w:p>
      <w:pPr>
        <w:spacing w:after="0" w:line="153"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 xml:space="preserve">20.12 </w:t>
      </w:r>
      <w:r>
        <w:rPr>
          <w:rFonts w:ascii="Arial" w:cs="Arial" w:eastAsia="Arial" w:hAnsi="Arial"/>
          <w:sz w:val="21"/>
          <w:szCs w:val="21"/>
          <w:u w:val="single" w:color="auto"/>
          <w:color w:val="auto"/>
        </w:rPr>
        <w:t>Export Laws</w:t>
      </w:r>
      <w:r>
        <w:rPr>
          <w:rFonts w:ascii="Arial" w:cs="Arial" w:eastAsia="Arial" w:hAnsi="Arial"/>
          <w:sz w:val="21"/>
          <w:szCs w:val="21"/>
          <w:color w:val="auto"/>
        </w:rPr>
        <w:t>. Notwithstanding anything to the contrary contained herein, all obligations of FG and Astellas are subject to prior compliance with United States and foreign export regulations and such other United States and foreign laws and regulations as may be applicable, and to obtaining all necessary approvals required by the applicable agencies of the governments of the United States and foreign jurisdictions. FG and Astellas shall cooperate with each other and shall provide assistance to the other as reasonably necessary to obtain any required approvals.</w:t>
      </w:r>
    </w:p>
    <w:p>
      <w:pPr>
        <w:spacing w:after="0" w:line="178"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1"/>
          <w:szCs w:val="21"/>
          <w:color w:val="auto"/>
        </w:rPr>
        <w:t xml:space="preserve">20.13 </w:t>
      </w:r>
      <w:r>
        <w:rPr>
          <w:rFonts w:ascii="Arial" w:cs="Arial" w:eastAsia="Arial" w:hAnsi="Arial"/>
          <w:sz w:val="21"/>
          <w:szCs w:val="21"/>
          <w:u w:val="single" w:color="auto"/>
          <w:color w:val="auto"/>
        </w:rPr>
        <w:t>Language</w:t>
      </w:r>
      <w:r>
        <w:rPr>
          <w:rFonts w:ascii="Arial" w:cs="Arial" w:eastAsia="Arial" w:hAnsi="Arial"/>
          <w:sz w:val="21"/>
          <w:szCs w:val="21"/>
          <w:color w:val="auto"/>
        </w:rPr>
        <w:t>. This Agreement is in the English language only, which language shall be controlling in all respects, and all versions hereof in any other language shall not be binding on the parties hereto. All communications and notices to be made or given pursuant to this Agreement shall be in the English language.</w:t>
      </w:r>
    </w:p>
    <w:p>
      <w:pPr>
        <w:spacing w:after="0" w:line="168" w:lineRule="exact"/>
        <w:rPr>
          <w:sz w:val="20"/>
          <w:szCs w:val="20"/>
          <w:color w:val="auto"/>
        </w:rPr>
      </w:pPr>
    </w:p>
    <w:p>
      <w:pPr>
        <w:jc w:val="both"/>
        <w:ind w:firstLine="878"/>
        <w:spacing w:after="0" w:line="249" w:lineRule="auto"/>
        <w:rPr>
          <w:sz w:val="20"/>
          <w:szCs w:val="20"/>
          <w:color w:val="auto"/>
        </w:rPr>
      </w:pPr>
      <w:r>
        <w:rPr>
          <w:rFonts w:ascii="Arial" w:cs="Arial" w:eastAsia="Arial" w:hAnsi="Arial"/>
          <w:sz w:val="21"/>
          <w:szCs w:val="21"/>
          <w:color w:val="auto"/>
        </w:rPr>
        <w:t xml:space="preserve">20.14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(including the Exhibits hereto) constitutes the entire agreement, both written or oral, with respect to the subject matter hereof, and supersedes all prior or contemporaneous understandings or agreements, including the Binding Term Sheet, dated as of February 9, 2004 by and between FG and Astellas, as amended on January 25, 2005, whether written or oral, between FG and Astellas with respect to such subject matter.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15" w:lineRule="exact"/>
        <w:rPr>
          <w:sz w:val="20"/>
          <w:szCs w:val="20"/>
          <w:color w:val="auto"/>
        </w:rPr>
      </w:pPr>
    </w:p>
    <w:p>
      <w:pPr>
        <w:ind w:firstLine="7"/>
        <w:spacing w:after="0" w:line="275" w:lineRule="auto"/>
        <w:tabs>
          <w:tab w:leader="none" w:pos="258"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3" w:name="page204"/>
    <w:bookmarkEnd w:id="203"/>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24" w:lineRule="exact"/>
        <w:rPr>
          <w:sz w:val="20"/>
          <w:szCs w:val="20"/>
          <w:color w:val="auto"/>
        </w:rPr>
      </w:pPr>
    </w:p>
    <w:p>
      <w:pPr>
        <w:ind w:firstLine="878"/>
        <w:spacing w:after="0" w:line="269" w:lineRule="auto"/>
        <w:rPr>
          <w:sz w:val="20"/>
          <w:szCs w:val="20"/>
          <w:color w:val="auto"/>
        </w:rPr>
      </w:pPr>
      <w:r>
        <w:rPr>
          <w:rFonts w:ascii="Arial" w:cs="Arial" w:eastAsia="Arial" w:hAnsi="Arial"/>
          <w:sz w:val="21"/>
          <w:szCs w:val="21"/>
          <w:color w:val="auto"/>
        </w:rPr>
        <w:t>IN WITNESS WHEREOF, the parties hereto have caused this Agreement to be duly executed and delivered in duplicate originals as of the date first above written.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680" w:type="dxa"/>
            <w:vAlign w:val="bottom"/>
            <w:gridSpan w:val="2"/>
          </w:tcPr>
          <w:p>
            <w:pPr>
              <w:spacing w:after="0"/>
              <w:rPr>
                <w:sz w:val="20"/>
                <w:szCs w:val="20"/>
                <w:color w:val="auto"/>
              </w:rPr>
            </w:pPr>
            <w:r>
              <w:rPr>
                <w:rFonts w:ascii="Arial" w:cs="Arial" w:eastAsia="Arial" w:hAnsi="Arial"/>
                <w:sz w:val="21"/>
                <w:szCs w:val="21"/>
                <w:b w:val="1"/>
                <w:bCs w:val="1"/>
                <w:color w:val="auto"/>
              </w:rPr>
              <w:t>ASTELLAS PHARMA INC.</w:t>
            </w:r>
          </w:p>
        </w:tc>
        <w:tc>
          <w:tcPr>
            <w:tcW w:w="900" w:type="dxa"/>
            <w:vAlign w:val="bottom"/>
          </w:tcPr>
          <w:p>
            <w:pPr>
              <w:spacing w:after="0"/>
              <w:rPr>
                <w:sz w:val="24"/>
                <w:szCs w:val="24"/>
                <w:color w:val="auto"/>
              </w:rPr>
            </w:pPr>
          </w:p>
        </w:tc>
        <w:tc>
          <w:tcPr>
            <w:tcW w:w="5840" w:type="dxa"/>
            <w:vAlign w:val="bottom"/>
            <w:gridSpan w:val="2"/>
          </w:tcPr>
          <w:p>
            <w:pPr>
              <w:ind w:left="360"/>
              <w:spacing w:after="0"/>
              <w:rPr>
                <w:sz w:val="20"/>
                <w:szCs w:val="20"/>
                <w:color w:val="auto"/>
              </w:rPr>
            </w:pPr>
            <w:r>
              <w:rPr>
                <w:rFonts w:ascii="Arial" w:cs="Arial" w:eastAsia="Arial" w:hAnsi="Arial"/>
                <w:sz w:val="21"/>
                <w:szCs w:val="21"/>
                <w:b w:val="1"/>
                <w:bCs w:val="1"/>
                <w:color w:val="auto"/>
              </w:rPr>
              <w:t>FIBROGEN, INC.</w:t>
            </w:r>
          </w:p>
        </w:tc>
      </w:tr>
      <w:tr>
        <w:trPr>
          <w:trHeight w:val="443"/>
        </w:trPr>
        <w:tc>
          <w:tcPr>
            <w:tcW w:w="4680" w:type="dxa"/>
            <w:vAlign w:val="bottom"/>
            <w:gridSpan w:val="2"/>
          </w:tcPr>
          <w:p>
            <w:pPr>
              <w:spacing w:after="0"/>
              <w:rPr>
                <w:sz w:val="20"/>
                <w:szCs w:val="20"/>
                <w:color w:val="auto"/>
              </w:rPr>
            </w:pPr>
            <w:r>
              <w:rPr>
                <w:rFonts w:ascii="Arial" w:cs="Arial" w:eastAsia="Arial" w:hAnsi="Arial"/>
                <w:sz w:val="21"/>
                <w:szCs w:val="21"/>
                <w:color w:val="auto"/>
              </w:rPr>
              <w:t>By:  /s/ Toichi Takenaka</w:t>
            </w:r>
          </w:p>
        </w:tc>
        <w:tc>
          <w:tcPr>
            <w:tcW w:w="900" w:type="dxa"/>
            <w:vAlign w:val="bottom"/>
          </w:tcPr>
          <w:p>
            <w:pPr>
              <w:spacing w:after="0"/>
              <w:rPr>
                <w:sz w:val="24"/>
                <w:szCs w:val="24"/>
                <w:color w:val="auto"/>
              </w:rPr>
            </w:pPr>
          </w:p>
        </w:tc>
        <w:tc>
          <w:tcPr>
            <w:tcW w:w="5840" w:type="dxa"/>
            <w:vAlign w:val="bottom"/>
            <w:gridSpan w:val="2"/>
          </w:tcPr>
          <w:p>
            <w:pPr>
              <w:ind w:left="360"/>
              <w:spacing w:after="0"/>
              <w:rPr>
                <w:sz w:val="20"/>
                <w:szCs w:val="20"/>
                <w:color w:val="auto"/>
              </w:rPr>
            </w:pPr>
            <w:r>
              <w:rPr>
                <w:rFonts w:ascii="Arial" w:cs="Arial" w:eastAsia="Arial" w:hAnsi="Arial"/>
                <w:sz w:val="21"/>
                <w:szCs w:val="21"/>
                <w:color w:val="auto"/>
              </w:rPr>
              <w:t>By:  /s/ Thomas B. Neff</w:t>
            </w:r>
          </w:p>
        </w:tc>
      </w:tr>
      <w:tr>
        <w:trPr>
          <w:trHeight w:val="212"/>
        </w:trPr>
        <w:tc>
          <w:tcPr>
            <w:tcW w:w="560" w:type="dxa"/>
            <w:vAlign w:val="bottom"/>
          </w:tcPr>
          <w:p>
            <w:pPr>
              <w:spacing w:after="0"/>
              <w:rPr>
                <w:sz w:val="18"/>
                <w:szCs w:val="18"/>
                <w:color w:val="auto"/>
              </w:rPr>
            </w:pPr>
          </w:p>
        </w:tc>
        <w:tc>
          <w:tcPr>
            <w:tcW w:w="4120" w:type="dxa"/>
            <w:vAlign w:val="bottom"/>
            <w:tcBorders>
              <w:top w:val="single" w:sz="8" w:color="auto"/>
            </w:tcBorders>
          </w:tcPr>
          <w:p>
            <w:pPr>
              <w:spacing w:after="0" w:line="212" w:lineRule="exact"/>
              <w:rPr>
                <w:sz w:val="20"/>
                <w:szCs w:val="20"/>
                <w:color w:val="auto"/>
              </w:rPr>
            </w:pPr>
            <w:r>
              <w:rPr>
                <w:rFonts w:ascii="Arial" w:cs="Arial" w:eastAsia="Arial" w:hAnsi="Arial"/>
                <w:sz w:val="21"/>
                <w:szCs w:val="21"/>
                <w:color w:val="auto"/>
              </w:rPr>
              <w:t>Toichi Takenaka</w:t>
            </w:r>
          </w:p>
        </w:tc>
        <w:tc>
          <w:tcPr>
            <w:tcW w:w="90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5020" w:type="dxa"/>
            <w:vAlign w:val="bottom"/>
            <w:tcBorders>
              <w:top w:val="single" w:sz="8" w:color="auto"/>
            </w:tcBorders>
          </w:tcPr>
          <w:p>
            <w:pPr>
              <w:spacing w:after="0" w:line="212" w:lineRule="exact"/>
              <w:rPr>
                <w:sz w:val="20"/>
                <w:szCs w:val="20"/>
                <w:color w:val="auto"/>
              </w:rPr>
            </w:pPr>
            <w:r>
              <w:rPr>
                <w:rFonts w:ascii="Arial" w:cs="Arial" w:eastAsia="Arial" w:hAnsi="Arial"/>
                <w:sz w:val="21"/>
                <w:szCs w:val="21"/>
                <w:color w:val="auto"/>
              </w:rPr>
              <w:t>Thomas Neff</w:t>
            </w:r>
          </w:p>
        </w:tc>
      </w:tr>
      <w:tr>
        <w:trPr>
          <w:trHeight w:val="272"/>
        </w:trPr>
        <w:tc>
          <w:tcPr>
            <w:tcW w:w="560" w:type="dxa"/>
            <w:vAlign w:val="bottom"/>
          </w:tcPr>
          <w:p>
            <w:pPr>
              <w:spacing w:after="0"/>
              <w:rPr>
                <w:sz w:val="23"/>
                <w:szCs w:val="23"/>
                <w:color w:val="auto"/>
              </w:rPr>
            </w:pPr>
          </w:p>
        </w:tc>
        <w:tc>
          <w:tcPr>
            <w:tcW w:w="4120" w:type="dxa"/>
            <w:vAlign w:val="bottom"/>
          </w:tcPr>
          <w:p>
            <w:pPr>
              <w:spacing w:after="0"/>
              <w:rPr>
                <w:sz w:val="20"/>
                <w:szCs w:val="20"/>
                <w:color w:val="auto"/>
              </w:rPr>
            </w:pPr>
            <w:r>
              <w:rPr>
                <w:rFonts w:ascii="Arial" w:cs="Arial" w:eastAsia="Arial" w:hAnsi="Arial"/>
                <w:sz w:val="21"/>
                <w:szCs w:val="21"/>
                <w:color w:val="auto"/>
              </w:rPr>
              <w:t>President and Chief Executive Officer</w:t>
            </w: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020" w:type="dxa"/>
            <w:vAlign w:val="bottom"/>
          </w:tcPr>
          <w:p>
            <w:pPr>
              <w:spacing w:after="0"/>
              <w:rPr>
                <w:sz w:val="20"/>
                <w:szCs w:val="20"/>
                <w:color w:val="auto"/>
              </w:rPr>
            </w:pPr>
            <w:r>
              <w:rPr>
                <w:rFonts w:ascii="Arial" w:cs="Arial" w:eastAsia="Arial" w:hAnsi="Arial"/>
                <w:sz w:val="21"/>
                <w:szCs w:val="21"/>
                <w:color w:val="auto"/>
              </w:rPr>
              <w:t>President and Chief Executive Officer</w:t>
            </w:r>
          </w:p>
        </w:tc>
      </w:tr>
      <w:tr>
        <w:trPr>
          <w:trHeight w:val="454"/>
        </w:trPr>
        <w:tc>
          <w:tcPr>
            <w:tcW w:w="4680" w:type="dxa"/>
            <w:vAlign w:val="bottom"/>
            <w:gridSpan w:val="2"/>
          </w:tcPr>
          <w:p>
            <w:pPr>
              <w:spacing w:after="0"/>
              <w:rPr>
                <w:sz w:val="20"/>
                <w:szCs w:val="20"/>
                <w:color w:val="auto"/>
              </w:rPr>
            </w:pPr>
            <w:r>
              <w:rPr>
                <w:rFonts w:ascii="Arial" w:cs="Arial" w:eastAsia="Arial" w:hAnsi="Arial"/>
                <w:sz w:val="21"/>
                <w:szCs w:val="21"/>
                <w:color w:val="auto"/>
              </w:rPr>
              <w:t>Date: 1.September.05</w:t>
            </w:r>
          </w:p>
        </w:tc>
        <w:tc>
          <w:tcPr>
            <w:tcW w:w="900" w:type="dxa"/>
            <w:vAlign w:val="bottom"/>
          </w:tcPr>
          <w:p>
            <w:pPr>
              <w:spacing w:after="0"/>
              <w:rPr>
                <w:sz w:val="24"/>
                <w:szCs w:val="24"/>
                <w:color w:val="auto"/>
              </w:rPr>
            </w:pPr>
          </w:p>
        </w:tc>
        <w:tc>
          <w:tcPr>
            <w:tcW w:w="5840" w:type="dxa"/>
            <w:vAlign w:val="bottom"/>
            <w:gridSpan w:val="2"/>
          </w:tcPr>
          <w:p>
            <w:pPr>
              <w:ind w:left="360"/>
              <w:spacing w:after="0"/>
              <w:rPr>
                <w:sz w:val="20"/>
                <w:szCs w:val="20"/>
                <w:color w:val="auto"/>
              </w:rPr>
            </w:pPr>
            <w:r>
              <w:rPr>
                <w:rFonts w:ascii="Arial" w:cs="Arial" w:eastAsia="Arial" w:hAnsi="Arial"/>
                <w:sz w:val="21"/>
                <w:szCs w:val="21"/>
                <w:color w:val="auto"/>
              </w:rPr>
              <w:t>Date:23 August 05</w:t>
            </w:r>
          </w:p>
        </w:tc>
      </w:tr>
      <w:tr>
        <w:trPr>
          <w:trHeight w:val="454"/>
        </w:trPr>
        <w:tc>
          <w:tcPr>
            <w:tcW w:w="5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20" w:type="dxa"/>
            <w:vAlign w:val="bottom"/>
            <w:gridSpan w:val="2"/>
          </w:tcPr>
          <w:p>
            <w:pPr>
              <w:jc w:val="right"/>
              <w:ind w:right="393"/>
              <w:spacing w:after="0"/>
              <w:rPr>
                <w:sz w:val="20"/>
                <w:szCs w:val="20"/>
                <w:color w:val="auto"/>
              </w:rPr>
            </w:pPr>
            <w:r>
              <w:rPr>
                <w:rFonts w:ascii="Arial" w:cs="Arial" w:eastAsia="Arial" w:hAnsi="Arial"/>
                <w:sz w:val="21"/>
                <w:szCs w:val="21"/>
                <w:color w:val="auto"/>
              </w:rPr>
              <w:t>-45-</w:t>
            </w:r>
          </w:p>
        </w:tc>
        <w:tc>
          <w:tcPr>
            <w:tcW w:w="5020" w:type="dxa"/>
            <w:vAlign w:val="bottom"/>
          </w:tcPr>
          <w:p>
            <w:pPr>
              <w:spacing w:after="0"/>
              <w:rPr>
                <w:sz w:val="24"/>
                <w:szCs w:val="24"/>
                <w:color w:val="auto"/>
              </w:rPr>
            </w:pPr>
          </w:p>
        </w:tc>
      </w:tr>
    </w:tbl>
    <w:p>
      <w:pPr>
        <w:spacing w:after="0" w:line="185" w:lineRule="exact"/>
        <w:rPr>
          <w:sz w:val="20"/>
          <w:szCs w:val="20"/>
          <w:color w:val="auto"/>
        </w:rPr>
      </w:pPr>
    </w:p>
    <w:p>
      <w:pPr>
        <w:ind w:firstLine="7"/>
        <w:spacing w:after="0" w:line="275" w:lineRule="auto"/>
        <w:tabs>
          <w:tab w:leader="none" w:pos="258"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4" w:name="page205"/>
    <w:bookmarkEnd w:id="204"/>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18" w:lineRule="exact"/>
        <w:rPr>
          <w:sz w:val="20"/>
          <w:szCs w:val="20"/>
          <w:color w:val="auto"/>
        </w:rPr>
      </w:pPr>
    </w:p>
    <w:p>
      <w:pPr>
        <w:ind w:left="5120"/>
        <w:spacing w:after="0"/>
        <w:rPr>
          <w:sz w:val="20"/>
          <w:szCs w:val="20"/>
          <w:color w:val="auto"/>
        </w:rPr>
      </w:pPr>
      <w:r>
        <w:rPr>
          <w:rFonts w:ascii="Arial" w:cs="Arial" w:eastAsia="Arial" w:hAnsi="Arial"/>
          <w:sz w:val="21"/>
          <w:szCs w:val="21"/>
          <w:b w:val="1"/>
          <w:bCs w:val="1"/>
          <w:u w:val="single" w:color="auto"/>
          <w:color w:val="auto"/>
        </w:rPr>
        <w:t>EXHIBIT 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LIST OF PATENTS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15" w:lineRule="exact"/>
        <w:rPr>
          <w:sz w:val="20"/>
          <w:szCs w:val="20"/>
          <w:color w:val="auto"/>
        </w:rPr>
      </w:pPr>
    </w:p>
    <w:p>
      <w:pPr>
        <w:ind w:firstLine="7"/>
        <w:spacing w:after="0" w:line="275" w:lineRule="auto"/>
        <w:tabs>
          <w:tab w:leader="none" w:pos="258"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5" w:name="page206"/>
    <w:bookmarkEnd w:id="205"/>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18" w:lineRule="exact"/>
        <w:rPr>
          <w:sz w:val="20"/>
          <w:szCs w:val="20"/>
          <w:color w:val="auto"/>
        </w:rPr>
      </w:pPr>
    </w:p>
    <w:p>
      <w:pPr>
        <w:ind w:left="5140"/>
        <w:spacing w:after="0"/>
        <w:rPr>
          <w:sz w:val="20"/>
          <w:szCs w:val="20"/>
          <w:color w:val="auto"/>
        </w:rPr>
      </w:pPr>
      <w:r>
        <w:rPr>
          <w:rFonts w:ascii="Arial" w:cs="Arial" w:eastAsia="Arial" w:hAnsi="Arial"/>
          <w:sz w:val="21"/>
          <w:szCs w:val="21"/>
          <w:b w:val="1"/>
          <w:bCs w:val="1"/>
          <w:u w:val="single" w:color="auto"/>
          <w:color w:val="auto"/>
        </w:rPr>
        <w:t>EXHIBIT B</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INDICATIONS</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Included indications:</w:t>
      </w:r>
    </w:p>
    <w:p>
      <w:pPr>
        <w:spacing w:after="0" w:line="176" w:lineRule="exact"/>
        <w:rPr>
          <w:sz w:val="20"/>
          <w:szCs w:val="20"/>
          <w:color w:val="auto"/>
        </w:rPr>
      </w:pPr>
    </w:p>
    <w:p>
      <w:pPr>
        <w:ind w:left="440" w:hanging="433"/>
        <w:spacing w:after="0"/>
        <w:tabs>
          <w:tab w:leader="none" w:pos="440" w:val="left"/>
        </w:tabs>
        <w:numPr>
          <w:ilvl w:val="0"/>
          <w:numId w:val="137"/>
        </w:numPr>
        <w:rPr>
          <w:rFonts w:ascii="Arial" w:cs="Arial" w:eastAsia="Arial" w:hAnsi="Arial"/>
          <w:sz w:val="32"/>
          <w:szCs w:val="32"/>
          <w:color w:val="auto"/>
        </w:rPr>
      </w:pPr>
      <w:r>
        <w:rPr>
          <w:rFonts w:ascii="Arial" w:cs="Arial" w:eastAsia="Arial" w:hAnsi="Arial"/>
          <w:sz w:val="21"/>
          <w:szCs w:val="21"/>
          <w:color w:val="auto"/>
        </w:rPr>
        <w:t>Treatment of anemia in patients with chronic kidney disease undergoing dialysis</w:t>
      </w:r>
    </w:p>
    <w:p>
      <w:pPr>
        <w:spacing w:after="0" w:line="125" w:lineRule="exact"/>
        <w:rPr>
          <w:rFonts w:ascii="Arial" w:cs="Arial" w:eastAsia="Arial" w:hAnsi="Arial"/>
          <w:sz w:val="32"/>
          <w:szCs w:val="32"/>
          <w:color w:val="auto"/>
        </w:rPr>
      </w:pPr>
    </w:p>
    <w:p>
      <w:pPr>
        <w:ind w:left="440" w:hanging="433"/>
        <w:spacing w:after="0"/>
        <w:tabs>
          <w:tab w:leader="none" w:pos="440" w:val="left"/>
        </w:tabs>
        <w:numPr>
          <w:ilvl w:val="0"/>
          <w:numId w:val="137"/>
        </w:numPr>
        <w:rPr>
          <w:rFonts w:ascii="Arial" w:cs="Arial" w:eastAsia="Arial" w:hAnsi="Arial"/>
          <w:sz w:val="32"/>
          <w:szCs w:val="32"/>
          <w:color w:val="auto"/>
        </w:rPr>
      </w:pPr>
      <w:r>
        <w:rPr>
          <w:rFonts w:ascii="Arial" w:cs="Arial" w:eastAsia="Arial" w:hAnsi="Arial"/>
          <w:sz w:val="21"/>
          <w:szCs w:val="21"/>
          <w:color w:val="auto"/>
        </w:rPr>
        <w:t>Treatment of anemia in patients with chronic kidney disease not undergoing dialysis</w:t>
      </w:r>
    </w:p>
    <w:p>
      <w:pPr>
        <w:spacing w:after="0" w:line="125" w:lineRule="exact"/>
        <w:rPr>
          <w:rFonts w:ascii="Arial" w:cs="Arial" w:eastAsia="Arial" w:hAnsi="Arial"/>
          <w:sz w:val="32"/>
          <w:szCs w:val="32"/>
          <w:color w:val="auto"/>
        </w:rPr>
      </w:pPr>
    </w:p>
    <w:p>
      <w:pPr>
        <w:ind w:left="440" w:hanging="433"/>
        <w:spacing w:after="0"/>
        <w:tabs>
          <w:tab w:leader="none" w:pos="440" w:val="left"/>
        </w:tabs>
        <w:numPr>
          <w:ilvl w:val="0"/>
          <w:numId w:val="137"/>
        </w:numPr>
        <w:rPr>
          <w:rFonts w:ascii="Arial" w:cs="Arial" w:eastAsia="Arial" w:hAnsi="Arial"/>
          <w:sz w:val="32"/>
          <w:szCs w:val="32"/>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15" w:lineRule="exact"/>
        <w:rPr>
          <w:sz w:val="20"/>
          <w:szCs w:val="20"/>
          <w:color w:val="auto"/>
        </w:rPr>
      </w:pPr>
    </w:p>
    <w:p>
      <w:pPr>
        <w:ind w:firstLine="7"/>
        <w:spacing w:after="0" w:line="275" w:lineRule="auto"/>
        <w:tabs>
          <w:tab w:leader="none" w:pos="258"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6" w:name="page207"/>
    <w:bookmarkEnd w:id="206"/>
    <w:p>
      <w:pPr>
        <w:spacing w:after="0"/>
        <w:tabs>
          <w:tab w:leader="none" w:pos="9560" w:val="left"/>
        </w:tabs>
        <w:rPr>
          <w:sz w:val="20"/>
          <w:szCs w:val="20"/>
          <w:color w:val="auto"/>
        </w:rPr>
      </w:pPr>
      <w:r>
        <w:rPr>
          <w:rFonts w:ascii="Arial" w:cs="Arial" w:eastAsia="Arial" w:hAnsi="Arial"/>
          <w:sz w:val="20"/>
          <w:szCs w:val="20"/>
          <w:color w:val="auto"/>
        </w:rPr>
        <w:t>CONFIDENTIAL</w:t>
      </w:r>
      <w:r>
        <w:rPr>
          <w:sz w:val="20"/>
          <w:szCs w:val="20"/>
          <w:color w:val="auto"/>
        </w:rPr>
        <w:tab/>
      </w:r>
      <w:r>
        <w:rPr>
          <w:rFonts w:ascii="Arial" w:cs="Arial" w:eastAsia="Arial" w:hAnsi="Arial"/>
          <w:sz w:val="20"/>
          <w:szCs w:val="20"/>
          <w:color w:val="auto"/>
        </w:rPr>
        <w:t>EXECUTION COPY</w:t>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1"/>
          <w:szCs w:val="21"/>
          <w:b w:val="1"/>
          <w:bCs w:val="1"/>
          <w:u w:val="single" w:color="auto"/>
          <w:color w:val="auto"/>
        </w:rPr>
        <w:t>EXHIBIT 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INITIAL DEVELOPMENT PLAN</w:t>
      </w:r>
    </w:p>
    <w:p>
      <w:pPr>
        <w:spacing w:after="0" w:line="19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80645</wp:posOffset>
            </wp:positionV>
            <wp:extent cx="7310755" cy="43745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310755" cy="437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15" w:lineRule="exact"/>
        <w:rPr>
          <w:sz w:val="20"/>
          <w:szCs w:val="20"/>
          <w:color w:val="auto"/>
        </w:rPr>
      </w:pPr>
    </w:p>
    <w:p>
      <w:pPr>
        <w:ind w:firstLine="7"/>
        <w:spacing w:after="0" w:line="275" w:lineRule="auto"/>
        <w:tabs>
          <w:tab w:leader="none" w:pos="258"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104775</wp:posOffset>
            </wp:positionV>
            <wp:extent cx="729043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7" w:name="page208"/>
    <w:bookmarkEnd w:id="207"/>
    <w:p>
      <w:pPr>
        <w:jc w:val="center"/>
        <w:ind w:right="-12"/>
        <w:spacing w:after="0"/>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156845</wp:posOffset>
            </wp:positionH>
            <wp:positionV relativeFrom="page">
              <wp:posOffset>368300</wp:posOffset>
            </wp:positionV>
            <wp:extent cx="7247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385445</wp:posOffset>
            </wp:positionV>
            <wp:extent cx="7247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247890" cy="8255"/>
                    </a:xfrm>
                    <a:prstGeom prst="rect">
                      <a:avLst/>
                    </a:prstGeom>
                    <a:noFill/>
                  </pic:spPr>
                </pic:pic>
              </a:graphicData>
            </a:graphic>
          </wp:anchor>
        </w:drawing>
        <w:t>COLLABORATION AGREEMENT</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BY AND BETWEEN</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ASTELLAS PHARMA INC.</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AND</w:t>
      </w:r>
    </w:p>
    <w:p>
      <w:pPr>
        <w:spacing w:after="0" w:line="212"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FIBROGEN,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7247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7247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199390</wp:posOffset>
            </wp:positionV>
            <wp:extent cx="7247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216535</wp:posOffset>
            </wp:positionV>
            <wp:extent cx="7247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June 1,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 w:firstLine="7"/>
        <w:spacing w:after="0" w:line="275" w:lineRule="auto"/>
        <w:tabs>
          <w:tab w:leader="none" w:pos="252"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ectPr>
          <w:pgSz w:w="11900" w:h="16838" w:orient="portrait"/>
          <w:cols w:equalWidth="0" w:num="1">
            <w:col w:w="11413"/>
          </w:cols>
          <w:pgMar w:left="247" w:top="812"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113" w:lineRule="exact"/>
        <w:rPr>
          <w:sz w:val="20"/>
          <w:szCs w:val="20"/>
          <w:color w:val="auto"/>
        </w:rPr>
      </w:pPr>
    </w:p>
    <w:p>
      <w:pPr>
        <w:ind w:left="180" w:hanging="173"/>
        <w:spacing w:after="0"/>
        <w:tabs>
          <w:tab w:leader="none" w:pos="1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3" w:lineRule="exact"/>
        <w:rPr>
          <w:rFonts w:ascii="Arial" w:cs="Arial" w:eastAsia="Arial" w:hAnsi="Arial"/>
          <w:sz w:val="18"/>
          <w:szCs w:val="18"/>
          <w:color w:val="auto"/>
        </w:rPr>
      </w:pPr>
    </w:p>
    <w:p>
      <w:pPr>
        <w:ind w:right="80" w:firstLine="7"/>
        <w:spacing w:after="0" w:line="334" w:lineRule="auto"/>
        <w:tabs>
          <w:tab w:leader="none" w:pos="17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6"/>
          <w:szCs w:val="16"/>
          <w:color w:val="auto"/>
        </w:rPr>
      </w:pPr>
    </w:p>
    <w:p>
      <w:pPr>
        <w:ind w:right="180" w:firstLine="7"/>
        <w:spacing w:after="0" w:line="270" w:lineRule="auto"/>
        <w:tabs>
          <w:tab w:leader="none" w:pos="1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8"/>
          <w:szCs w:val="18"/>
          <w:color w:val="auto"/>
        </w:rPr>
      </w:pPr>
    </w:p>
    <w:p>
      <w:pPr>
        <w:ind w:right="40" w:firstLine="7"/>
        <w:spacing w:after="0" w:line="259" w:lineRule="auto"/>
        <w:tabs>
          <w:tab w:leader="none" w:pos="178"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right="40" w:firstLine="525"/>
        <w:spacing w:after="0" w:line="259"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right="20" w:firstLine="525"/>
        <w:spacing w:after="0" w:line="259" w:lineRule="auto"/>
        <w:tabs>
          <w:tab w:leader="none" w:pos="77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right="100" w:firstLine="525"/>
        <w:spacing w:after="0" w:line="270"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ind w:right="140" w:firstLine="525"/>
        <w:spacing w:after="0" w:line="259" w:lineRule="auto"/>
        <w:tabs>
          <w:tab w:leader="none" w:pos="77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right="600" w:firstLine="7"/>
        <w:spacing w:after="0" w:line="334" w:lineRule="auto"/>
        <w:tabs>
          <w:tab w:leader="none" w:pos="178"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right="20" w:firstLine="525"/>
        <w:spacing w:after="0" w:line="270" w:lineRule="auto"/>
        <w:tabs>
          <w:tab w:leader="none" w:pos="7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right="60" w:firstLine="525"/>
        <w:spacing w:after="0" w:line="270" w:lineRule="auto"/>
        <w:tabs>
          <w:tab w:leader="none" w:pos="77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20"/>
                <w:szCs w:val="20"/>
                <w:color w:val="auto"/>
              </w:rPr>
            </w:pPr>
            <w:r>
              <w:rPr>
                <w:rFonts w:ascii="Arial" w:cs="Arial" w:eastAsia="Arial" w:hAnsi="Arial"/>
                <w:sz w:val="18"/>
                <w:szCs w:val="18"/>
                <w:color w:val="auto"/>
              </w:rPr>
              <w:t>Date: November 8,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r>
      <w:tr>
        <w:trPr>
          <w:trHeight w:val="193"/>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Thomas B. Neff</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1"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3" w:lineRule="exact"/>
        <w:rPr>
          <w:sz w:val="20"/>
          <w:szCs w:val="20"/>
          <w:color w:val="auto"/>
        </w:rPr>
      </w:pPr>
    </w:p>
    <w:p>
      <w:pPr>
        <w:ind w:left="180" w:hanging="173"/>
        <w:spacing w:after="0"/>
        <w:tabs>
          <w:tab w:leader="none" w:pos="1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3" w:lineRule="exact"/>
        <w:rPr>
          <w:rFonts w:ascii="Arial" w:cs="Arial" w:eastAsia="Arial" w:hAnsi="Arial"/>
          <w:sz w:val="18"/>
          <w:szCs w:val="18"/>
          <w:color w:val="auto"/>
        </w:rPr>
      </w:pPr>
    </w:p>
    <w:p>
      <w:pPr>
        <w:ind w:right="80" w:firstLine="7"/>
        <w:spacing w:after="0" w:line="334" w:lineRule="auto"/>
        <w:tabs>
          <w:tab w:leader="none" w:pos="17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6"/>
          <w:szCs w:val="16"/>
          <w:color w:val="auto"/>
        </w:rPr>
      </w:pPr>
    </w:p>
    <w:p>
      <w:pPr>
        <w:ind w:right="180" w:firstLine="7"/>
        <w:spacing w:after="0" w:line="270" w:lineRule="auto"/>
        <w:tabs>
          <w:tab w:leader="none" w:pos="17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8"/>
          <w:szCs w:val="18"/>
          <w:color w:val="auto"/>
        </w:rPr>
      </w:pPr>
    </w:p>
    <w:p>
      <w:pPr>
        <w:ind w:right="40" w:firstLine="7"/>
        <w:spacing w:after="0" w:line="259" w:lineRule="auto"/>
        <w:tabs>
          <w:tab w:leader="none" w:pos="17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right="40" w:firstLine="525"/>
        <w:spacing w:after="0" w:line="259" w:lineRule="auto"/>
        <w:tabs>
          <w:tab w:leader="none" w:pos="7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right="20" w:firstLine="525"/>
        <w:spacing w:after="0" w:line="259" w:lineRule="auto"/>
        <w:tabs>
          <w:tab w:leader="none" w:pos="7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ind w:right="100" w:firstLine="525"/>
        <w:spacing w:after="0" w:line="270" w:lineRule="auto"/>
        <w:tabs>
          <w:tab w:leader="none" w:pos="7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Arial" w:cs="Arial" w:eastAsia="Arial" w:hAnsi="Arial"/>
          <w:sz w:val="18"/>
          <w:szCs w:val="18"/>
          <w:color w:val="auto"/>
        </w:rPr>
      </w:pPr>
    </w:p>
    <w:p>
      <w:pPr>
        <w:ind w:right="140" w:firstLine="525"/>
        <w:spacing w:after="0" w:line="259" w:lineRule="auto"/>
        <w:tabs>
          <w:tab w:leader="none" w:pos="7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right="600" w:firstLine="7"/>
        <w:spacing w:after="0" w:line="334" w:lineRule="auto"/>
        <w:tabs>
          <w:tab w:leader="none" w:pos="17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6"/>
          <w:szCs w:val="16"/>
          <w:color w:val="auto"/>
        </w:rPr>
      </w:pPr>
    </w:p>
    <w:p>
      <w:pPr>
        <w:ind w:right="20" w:firstLine="525"/>
        <w:spacing w:after="0" w:line="270" w:lineRule="auto"/>
        <w:tabs>
          <w:tab w:leader="none" w:pos="7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8"/>
          <w:szCs w:val="18"/>
          <w:color w:val="auto"/>
        </w:rPr>
      </w:pPr>
    </w:p>
    <w:p>
      <w:pPr>
        <w:ind w:right="60" w:firstLine="525"/>
        <w:spacing w:after="0" w:line="270" w:lineRule="auto"/>
        <w:tabs>
          <w:tab w:leader="none" w:pos="77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60" w:type="dxa"/>
            <w:vAlign w:val="bottom"/>
          </w:tcPr>
          <w:p>
            <w:pPr>
              <w:spacing w:after="0"/>
              <w:rPr>
                <w:sz w:val="20"/>
                <w:szCs w:val="20"/>
                <w:color w:val="auto"/>
              </w:rPr>
            </w:pPr>
            <w:r>
              <w:rPr>
                <w:rFonts w:ascii="Arial" w:cs="Arial" w:eastAsia="Arial" w:hAnsi="Arial"/>
                <w:sz w:val="18"/>
                <w:szCs w:val="18"/>
                <w:color w:val="auto"/>
              </w:rPr>
              <w:t>Date: November 8, 2017</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193"/>
        </w:trPr>
        <w:tc>
          <w:tcPr>
            <w:tcW w:w="6860" w:type="dxa"/>
            <w:vAlign w:val="bottom"/>
          </w:tcPr>
          <w:p>
            <w:pPr>
              <w:spacing w:after="0"/>
              <w:rPr>
                <w:sz w:val="16"/>
                <w:szCs w:val="16"/>
                <w:color w:val="auto"/>
              </w:rPr>
            </w:pPr>
          </w:p>
        </w:tc>
        <w:tc>
          <w:tcPr>
            <w:tcW w:w="4560" w:type="dxa"/>
            <w:vAlign w:val="bottom"/>
          </w:tcPr>
          <w:p>
            <w:pPr>
              <w:spacing w:after="0" w:line="194" w:lineRule="exact"/>
              <w:rPr>
                <w:sz w:val="20"/>
                <w:szCs w:val="20"/>
                <w:color w:val="auto"/>
              </w:rPr>
            </w:pPr>
            <w:r>
              <w:rPr>
                <w:rFonts w:ascii="Arial" w:cs="Arial" w:eastAsia="Arial" w:hAnsi="Arial"/>
                <w:sz w:val="18"/>
                <w:szCs w:val="18"/>
                <w:color w:val="auto"/>
              </w:rPr>
              <w:t>Pat Cotroneo</w:t>
            </w:r>
          </w:p>
        </w:tc>
      </w:tr>
      <w:tr>
        <w:trPr>
          <w:trHeight w:val="214"/>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27"/>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184" w:lineRule="exact"/>
        <w:rPr>
          <w:sz w:val="20"/>
          <w:szCs w:val="20"/>
          <w:color w:val="auto"/>
        </w:rPr>
      </w:pPr>
    </w:p>
    <w:p>
      <w:pPr>
        <w:ind w:left="520" w:right="640" w:hanging="513"/>
        <w:spacing w:after="0" w:line="300" w:lineRule="auto"/>
        <w:tabs>
          <w:tab w:leader="none" w:pos="5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2017, to which this Certification is attached as Exhibit 32.1 (“Quarterly Report”) fully complies with the requirements of Section 13(a) or Section 15(d) of the Exchange Act, and</w:t>
      </w:r>
    </w:p>
    <w:p>
      <w:pPr>
        <w:spacing w:after="0" w:line="45" w:lineRule="exact"/>
        <w:rPr>
          <w:rFonts w:ascii="Arial" w:cs="Arial" w:eastAsia="Arial" w:hAnsi="Arial"/>
          <w:sz w:val="17"/>
          <w:szCs w:val="17"/>
          <w:color w:val="auto"/>
        </w:rPr>
      </w:pPr>
    </w:p>
    <w:p>
      <w:pPr>
        <w:ind w:left="520" w:right="620" w:hanging="513"/>
        <w:spacing w:after="0" w:line="270"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2017</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8</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0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12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4"/>
        </w:trPr>
        <w:tc>
          <w:tcPr>
            <w:tcW w:w="20" w:type="dxa"/>
            <w:vAlign w:val="bottom"/>
          </w:tcPr>
          <w:p>
            <w:pPr>
              <w:spacing w:after="0"/>
              <w:rPr>
                <w:sz w:val="16"/>
                <w:szCs w:val="16"/>
                <w:color w:val="auto"/>
              </w:rPr>
            </w:pPr>
          </w:p>
        </w:tc>
        <w:tc>
          <w:tcPr>
            <w:tcW w:w="51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Thomas B. Neff</w:t>
            </w:r>
          </w:p>
        </w:tc>
        <w:tc>
          <w:tcPr>
            <w:tcW w:w="1160" w:type="dxa"/>
            <w:vAlign w:val="bottom"/>
          </w:tcPr>
          <w:p>
            <w:pPr>
              <w:spacing w:after="0"/>
              <w:rPr>
                <w:sz w:val="16"/>
                <w:szCs w:val="16"/>
                <w:color w:val="auto"/>
              </w:rPr>
            </w:pPr>
          </w:p>
        </w:tc>
        <w:tc>
          <w:tcPr>
            <w:tcW w:w="512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rPr>
              <w:t>Pat Cotroneo</w:t>
            </w:r>
          </w:p>
        </w:tc>
      </w:tr>
      <w:tr>
        <w:trPr>
          <w:trHeight w:val="227"/>
        </w:trPr>
        <w:tc>
          <w:tcPr>
            <w:tcW w:w="6300" w:type="dxa"/>
            <w:vAlign w:val="bottom"/>
            <w:gridSpan w:val="3"/>
          </w:tcPr>
          <w:p>
            <w:pPr>
              <w:spacing w:after="0"/>
              <w:rPr>
                <w:sz w:val="20"/>
                <w:szCs w:val="20"/>
                <w:color w:val="auto"/>
              </w:rPr>
            </w:pPr>
            <w:r>
              <w:rPr>
                <w:rFonts w:ascii="Arial" w:cs="Arial" w:eastAsia="Arial" w:hAnsi="Arial"/>
                <w:sz w:val="18"/>
                <w:szCs w:val="18"/>
                <w:color w:val="auto"/>
              </w:rPr>
              <w:t>Chairman of the Board and Chief Executive Officer</w:t>
            </w:r>
          </w:p>
        </w:tc>
        <w:tc>
          <w:tcPr>
            <w:tcW w:w="512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bl>
    <w:p>
      <w:pPr>
        <w:spacing w:after="0" w:line="201" w:lineRule="exact"/>
        <w:rPr>
          <w:sz w:val="20"/>
          <w:szCs w:val="20"/>
          <w:color w:val="auto"/>
        </w:rPr>
      </w:pPr>
    </w:p>
    <w:p>
      <w:pPr>
        <w:ind w:right="160"/>
        <w:spacing w:after="0" w:line="281"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1."/>
      <w:numFmt w:val="decimal"/>
      <w:start w:val="2"/>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1."/>
      <w:numFmt w:val="decimal"/>
      <w:start w:val="3"/>
    </w:lvl>
  </w:abstractNum>
  <w:abstractNum w:abstractNumId="9">
    <w:nsid w:val="BF72B14"/>
    <w:multiLevelType w:val="hybridMultilevel"/>
    <w:lvl w:ilvl="0">
      <w:lvlJc w:val="left"/>
      <w:lvlText w:val="%1."/>
      <w:numFmt w:val="decimal"/>
      <w:start w:val="5"/>
    </w:lvl>
  </w:abstractNum>
  <w:abstractNum w:abstractNumId="10">
    <w:nsid w:val="11447B73"/>
    <w:multiLevelType w:val="hybridMultilevel"/>
    <w:lvl w:ilvl="0">
      <w:lvlJc w:val="left"/>
      <w:lvlText w:val="%1."/>
      <w:numFmt w:val="decimal"/>
      <w:start w:val="6"/>
    </w:lvl>
  </w:abstractNum>
  <w:abstractNum w:abstractNumId="11">
    <w:nsid w:val="42963E5A"/>
    <w:multiLevelType w:val="hybridMultilevel"/>
    <w:lvl w:ilvl="0">
      <w:lvlJc w:val="left"/>
      <w:lvlText w:val="%1."/>
      <w:numFmt w:val="decimal"/>
      <w:start w:val="7"/>
    </w:lvl>
  </w:abstractNum>
  <w:abstractNum w:abstractNumId="12">
    <w:nsid w:val="A0382C5"/>
    <w:multiLevelType w:val="hybridMultilevel"/>
    <w:lvl w:ilvl="0">
      <w:lvlJc w:val="left"/>
      <w:lvlText w:val="%1."/>
      <w:numFmt w:val="decimal"/>
      <w:start w:val="8"/>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1)"/>
      <w:numFmt w:val="lowerLetter"/>
      <w:start w:val="3"/>
    </w:lvl>
  </w:abstractNum>
  <w:abstractNum w:abstractNumId="44">
    <w:nsid w:val="60EF0119"/>
    <w:multiLevelType w:val="hybridMultilevel"/>
    <w:lvl w:ilvl="0">
      <w:lvlJc w:val="left"/>
      <w:lvlText w:val="(%1)"/>
      <w:numFmt w:val="lowerRoman"/>
      <w:start w:val="3"/>
    </w:lvl>
  </w:abstractNum>
  <w:abstractNum w:abstractNumId="45">
    <w:nsid w:val="26F324BA"/>
    <w:multiLevelType w:val="hybridMultilevel"/>
    <w:lvl w:ilvl="0">
      <w:lvlJc w:val="left"/>
      <w:lvlText w:val="%1."/>
      <w:numFmt w:val="decimal"/>
      <w:start w:val="2"/>
    </w:lvl>
    <w:lvl w:ilvl="1">
      <w:lvlJc w:val="left"/>
      <w:lvlText w:val="(%2)"/>
      <w:numFmt w:val="lowerLetter"/>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1"/>
      <w:numFmt w:val="lowerLetter"/>
      <w:start w:val="1"/>
    </w:lvl>
    <w:lvl w:ilvl="1">
      <w:lvlJc w:val="left"/>
      <w:lvlText w:val="(%2)"/>
      <w:numFmt w:val="lowerLetter"/>
      <w:start w:val="1"/>
    </w:lvl>
  </w:abstractNum>
  <w:abstractNum w:abstractNumId="48">
    <w:nsid w:val="7055A5F5"/>
    <w:multiLevelType w:val="hybridMultilevel"/>
    <w:lvl w:ilvl="0">
      <w:lvlJc w:val="left"/>
      <w:lvlText w:val="(%1)"/>
      <w:numFmt w:val="lowerLetter"/>
      <w:start w:val="35"/>
    </w:lvl>
    <w:lvl w:ilvl="1">
      <w:lvlJc w:val="left"/>
      <w:lvlText w:val="(%2)"/>
      <w:numFmt w:val="lowerLetter"/>
      <w:start w:val="2"/>
    </w:lvl>
  </w:abstractNum>
  <w:abstractNum w:abstractNumId="49">
    <w:nsid w:val="5FB8370B"/>
    <w:multiLevelType w:val="hybridMultilevel"/>
    <w:lvl w:ilvl="0">
      <w:lvlJc w:val="left"/>
      <w:lvlText w:val="(%1)"/>
      <w:numFmt w:val="lowerLetter"/>
      <w:start w:val="5"/>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decimal"/>
      <w:start w:val="3"/>
    </w:lvl>
    <w:lvl w:ilvl="1">
      <w:lvlJc w:val="left"/>
      <w:lvlText w:val="(%2)"/>
      <w:numFmt w:val="lowerLetter"/>
      <w:start w:val="1"/>
    </w:lvl>
  </w:abstractNum>
  <w:abstractNum w:abstractNumId="52">
    <w:nsid w:val="5FB8011C"/>
    <w:multiLevelType w:val="hybridMultilevel"/>
    <w:lvl w:ilvl="0">
      <w:lvlJc w:val="left"/>
      <w:lvlText w:val="(%1)"/>
      <w:numFmt w:val="lowerLetter"/>
      <w:start w:val="2"/>
    </w:lvl>
  </w:abstractNum>
  <w:abstractNum w:abstractNumId="53">
    <w:nsid w:val="6AA78F7F"/>
    <w:multiLevelType w:val="hybridMultilevel"/>
    <w:lvl w:ilvl="0">
      <w:lvlJc w:val="left"/>
      <w:lvlText w:val="(%1)"/>
      <w:numFmt w:val="lowerLetter"/>
      <w:start w:val="3"/>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6"/>
    </w:lvl>
    <w:lvl w:ilvl="1">
      <w:lvlJc w:val="left"/>
      <w:lvlText w:val="%2."/>
      <w:numFmt w:val="lowerRoman"/>
      <w:start w:val="1"/>
    </w:lvl>
  </w:abstractNum>
  <w:abstractNum w:abstractNumId="56">
    <w:nsid w:val="6A5F7029"/>
    <w:multiLevelType w:val="hybridMultilevel"/>
    <w:lvl w:ilvl="0">
      <w:lvlJc w:val="left"/>
      <w:lvlText w:val="%1."/>
      <w:numFmt w:val="decimal"/>
      <w:start w:val="4"/>
    </w:lvl>
  </w:abstractNum>
  <w:abstractNum w:abstractNumId="57">
    <w:nsid w:val="7D5E18F8"/>
    <w:multiLevelType w:val="hybridMultilevel"/>
    <w:lvl w:ilvl="0">
      <w:lvlJc w:val="left"/>
      <w:lvlText w:val="(%1)"/>
      <w:numFmt w:val="lowerLetter"/>
      <w:start w:val="1"/>
    </w:lvl>
  </w:abstractNum>
  <w:abstractNum w:abstractNumId="58">
    <w:nsid w:val="5F3534A4"/>
    <w:multiLevelType w:val="hybridMultilevel"/>
    <w:lvl w:ilvl="0">
      <w:lvlJc w:val="left"/>
      <w:lvlText w:val="%1."/>
      <w:numFmt w:val="decimal"/>
      <w:start w:val="5"/>
    </w:lvl>
  </w:abstractNum>
  <w:abstractNum w:abstractNumId="59">
    <w:nsid w:val="73A1821B"/>
    <w:multiLevelType w:val="hybridMultilevel"/>
    <w:lvl w:ilvl="0">
      <w:lvlJc w:val="left"/>
      <w:lvlText w:val="(%1)"/>
      <w:numFmt w:val="lowerRoman"/>
      <w:start w:val="1"/>
    </w:lvl>
    <w:lvl w:ilvl="1">
      <w:lvlJc w:val="left"/>
      <w:lvlText w:val="%2."/>
      <w:numFmt w:val="decimal"/>
      <w:start w:val="7"/>
    </w:lvl>
  </w:abstractNum>
  <w:abstractNum w:abstractNumId="60">
    <w:nsid w:val="7DE67713"/>
    <w:multiLevelType w:val="hybridMultilevel"/>
    <w:lvl w:ilvl="0">
      <w:lvlJc w:val="left"/>
      <w:lvlText w:val="(%1)"/>
      <w:numFmt w:val="lowerLetter"/>
      <w:start w:val="1"/>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decimal"/>
      <w:start w:val="1"/>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Letter"/>
      <w:start w:val="2"/>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
      <w:numFmt w:val="bullet"/>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
      <w:numFmt w:val="bullet"/>
      <w:start w:val="1"/>
    </w:lvl>
  </w:abstractNum>
  <w:abstractNum w:abstractNumId="73">
    <w:nsid w:val="2A155DBC"/>
    <w:multiLevelType w:val="hybridMultilevel"/>
    <w:lvl w:ilvl="0">
      <w:lvlJc w:val="left"/>
      <w:lvlText w:val="%1."/>
      <w:numFmt w:val="upperLetter"/>
      <w:start w:val="1"/>
    </w:lvl>
  </w:abstractNum>
  <w:abstractNum w:abstractNumId="74">
    <w:nsid w:val="1D9F6E5F"/>
    <w:multiLevelType w:val="hybridMultilevel"/>
    <w:lvl w:ilvl="0">
      <w:lvlJc w:val="left"/>
      <w:lvlText w:val="[*]"/>
      <w:numFmt w:val="bullet"/>
      <w:start w:val="1"/>
    </w:lvl>
  </w:abstractNum>
  <w:abstractNum w:abstractNumId="75">
    <w:nsid w:val="97E1B4E"/>
    <w:multiLevelType w:val="hybridMultilevel"/>
    <w:lvl w:ilvl="0">
      <w:lvlJc w:val="left"/>
      <w:lvlText w:val="[*]"/>
      <w:numFmt w:val="bullet"/>
      <w:start w:val="1"/>
    </w:lvl>
  </w:abstractNum>
  <w:abstractNum w:abstractNumId="76">
    <w:nsid w:val="51088277"/>
    <w:multiLevelType w:val="hybridMultilevel"/>
    <w:lvl w:ilvl="0">
      <w:lvlJc w:val="left"/>
      <w:lvlText w:val="[*]"/>
      <w:numFmt w:val="bullet"/>
      <w:start w:val="1"/>
    </w:lvl>
  </w:abstractNum>
  <w:abstractNum w:abstractNumId="77">
    <w:nsid w:val="1CA0C5FA"/>
    <w:multiLevelType w:val="hybridMultilevel"/>
    <w:lvl w:ilvl="0">
      <w:lvlJc w:val="left"/>
      <w:lvlText w:val="[*]"/>
      <w:numFmt w:val="bullet"/>
      <w:start w:val="1"/>
    </w:lvl>
  </w:abstractNum>
  <w:abstractNum w:abstractNumId="78">
    <w:nsid w:val="53584BCB"/>
    <w:multiLevelType w:val="hybridMultilevel"/>
    <w:lvl w:ilvl="0">
      <w:lvlJc w:val="left"/>
      <w:lvlText w:val="[*]"/>
      <w:numFmt w:val="bullet"/>
      <w:start w:val="1"/>
    </w:lvl>
  </w:abstractNum>
  <w:abstractNum w:abstractNumId="79">
    <w:nsid w:val="415E286C"/>
    <w:multiLevelType w:val="hybridMultilevel"/>
    <w:lvl w:ilvl="0">
      <w:lvlJc w:val="left"/>
      <w:lvlText w:val="%1)"/>
      <w:numFmt w:val="lowerRoman"/>
      <w:start w:val="1"/>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
      <w:numFmt w:val="bullet"/>
      <w:start w:val="1"/>
    </w:lvl>
  </w:abstractNum>
  <w:abstractNum w:abstractNumId="83">
    <w:nsid w:val="5C10FE21"/>
    <w:multiLevelType w:val="hybridMultilevel"/>
    <w:lvl w:ilvl="0">
      <w:lvlJc w:val="left"/>
      <w:lvlText w:val="(%1)"/>
      <w:numFmt w:val="lowerRoman"/>
      <w:start w:val="7"/>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
      <w:numFmt w:val="bullet"/>
      <w:start w:val="1"/>
    </w:lvl>
  </w:abstractNum>
  <w:abstractNum w:abstractNumId="86">
    <w:nsid w:val="4BD8591A"/>
    <w:multiLevelType w:val="hybridMultilevel"/>
    <w:lvl w:ilvl="0">
      <w:lvlJc w:val="left"/>
      <w:lvlText w:val="[*]"/>
      <w:numFmt w:val="bullet"/>
      <w:start w:val="1"/>
    </w:lvl>
  </w:abstractNum>
  <w:abstractNum w:abstractNumId="87">
    <w:nsid w:val="78DF6A55"/>
    <w:multiLevelType w:val="hybridMultilevel"/>
    <w:lvl w:ilvl="0">
      <w:lvlJc w:val="left"/>
      <w:lvlText w:val="(%1)"/>
      <w:numFmt w:val="lowerLetter"/>
      <w:start w:val="2"/>
    </w:lvl>
  </w:abstractNum>
  <w:abstractNum w:abstractNumId="88">
    <w:nsid w:val="39B7AAA2"/>
    <w:multiLevelType w:val="hybridMultilevel"/>
    <w:lvl w:ilvl="0">
      <w:lvlJc w:val="left"/>
      <w:lvlText w:val="[*]"/>
      <w:numFmt w:val="bullet"/>
      <w:start w:val="1"/>
    </w:lvl>
  </w:abstractNum>
  <w:abstractNum w:abstractNumId="89">
    <w:nsid w:val="2B0D8DBE"/>
    <w:multiLevelType w:val="hybridMultilevel"/>
    <w:lvl w:ilvl="0">
      <w:lvlJc w:val="left"/>
      <w:lvlText w:val="(%1)"/>
      <w:numFmt w:val="lowerLetter"/>
      <w:start w:val="5"/>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
      <w:numFmt w:val="bullet"/>
      <w:start w:val="1"/>
    </w:lvl>
  </w:abstractNum>
  <w:abstractNum w:abstractNumId="92">
    <w:nsid w:val="69E373"/>
    <w:multiLevelType w:val="hybridMultilevel"/>
    <w:lvl w:ilvl="0">
      <w:lvlJc w:val="left"/>
      <w:lvlText w:val="[*]"/>
      <w:numFmt w:val="bullet"/>
      <w:start w:val="1"/>
    </w:lvl>
  </w:abstractNum>
  <w:abstractNum w:abstractNumId="93">
    <w:nsid w:val="2C27173B"/>
    <w:multiLevelType w:val="hybridMultilevel"/>
    <w:lvl w:ilvl="0">
      <w:lvlJc w:val="left"/>
      <w:lvlText w:val="[*]"/>
      <w:numFmt w:val="bullet"/>
      <w:start w:val="1"/>
    </w:lvl>
  </w:abstractNum>
  <w:abstractNum w:abstractNumId="94">
    <w:nsid w:val="4C9B0904"/>
    <w:multiLevelType w:val="hybridMultilevel"/>
    <w:lvl w:ilvl="0">
      <w:lvlJc w:val="left"/>
      <w:lvlText w:val="[*]"/>
      <w:numFmt w:val="bullet"/>
      <w:start w:val="1"/>
    </w:lvl>
  </w:abstractNum>
  <w:abstractNum w:abstractNumId="95">
    <w:nsid w:val="6AA7B75C"/>
    <w:multiLevelType w:val="hybridMultilevel"/>
    <w:lvl w:ilvl="0">
      <w:lvlJc w:val="left"/>
      <w:lvlText w:val="[*]"/>
      <w:numFmt w:val="bullet"/>
      <w:start w:val="1"/>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
      <w:numFmt w:val="bullet"/>
      <w:start w:val="1"/>
    </w:lvl>
  </w:abstractNum>
  <w:abstractNum w:abstractNumId="98">
    <w:nsid w:val="3DD15094"/>
    <w:multiLevelType w:val="hybridMultilevel"/>
    <w:lvl w:ilvl="0">
      <w:lvlJc w:val="left"/>
      <w:lvlText w:val="(%1)"/>
      <w:numFmt w:val="lowerLetter"/>
      <w:start w:val="2"/>
    </w:lvl>
  </w:abstractNum>
  <w:abstractNum w:abstractNumId="99">
    <w:nsid w:val="3DB012B3"/>
    <w:multiLevelType w:val="hybridMultilevel"/>
    <w:lvl w:ilvl="0">
      <w:lvlJc w:val="left"/>
      <w:lvlText w:val="[*]"/>
      <w:numFmt w:val="bullet"/>
      <w:start w:val="1"/>
    </w:lvl>
  </w:abstractNum>
  <w:abstractNum w:abstractNumId="100">
    <w:nsid w:val="2708C9AF"/>
    <w:multiLevelType w:val="hybridMultilevel"/>
    <w:lvl w:ilvl="0">
      <w:lvlJc w:val="left"/>
      <w:lvlText w:val="[*]"/>
      <w:numFmt w:val="bullet"/>
      <w:start w:val="1"/>
    </w:lvl>
  </w:abstractNum>
  <w:abstractNum w:abstractNumId="101">
    <w:nsid w:val="5B25ACE2"/>
    <w:multiLevelType w:val="hybridMultilevel"/>
    <w:lvl w:ilvl="0">
      <w:lvlJc w:val="left"/>
      <w:lvlText w:val="[*]"/>
      <w:numFmt w:val="bullet"/>
      <w:start w:val="1"/>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
      <w:numFmt w:val="bullet"/>
      <w:start w:val="1"/>
    </w:lvl>
  </w:abstractNum>
  <w:abstractNum w:abstractNumId="104">
    <w:nsid w:val="53B0A9E"/>
    <w:multiLevelType w:val="hybridMultilevel"/>
    <w:lvl w:ilvl="0">
      <w:lvlJc w:val="left"/>
      <w:lvlText w:val="[*]"/>
      <w:numFmt w:val="bullet"/>
      <w:start w:val="1"/>
    </w:lvl>
  </w:abstractNum>
  <w:abstractNum w:abstractNumId="105">
    <w:nsid w:val="34FD6B4F"/>
    <w:multiLevelType w:val="hybridMultilevel"/>
    <w:lvl w:ilvl="0">
      <w:lvlJc w:val="left"/>
      <w:lvlText w:val="[*]"/>
      <w:numFmt w:val="bullet"/>
      <w:start w:val="1"/>
    </w:lvl>
  </w:abstractNum>
  <w:abstractNum w:abstractNumId="106">
    <w:nsid w:val="5915FF32"/>
    <w:multiLevelType w:val="hybridMultilevel"/>
    <w:lvl w:ilvl="0">
      <w:lvlJc w:val="left"/>
      <w:lvlText w:val="[*]"/>
      <w:numFmt w:val="bullet"/>
      <w:start w:val="1"/>
    </w:lvl>
  </w:abstractNum>
  <w:abstractNum w:abstractNumId="107">
    <w:nsid w:val="56438D15"/>
    <w:multiLevelType w:val="hybridMultilevel"/>
    <w:lvl w:ilvl="0">
      <w:lvlJc w:val="left"/>
      <w:lvlText w:val="(%1)"/>
      <w:numFmt w:val="decimal"/>
      <w:start w:val="6"/>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
      <w:numFmt w:val="bullet"/>
      <w:start w:val="1"/>
    </w:lvl>
  </w:abstractNum>
  <w:abstractNum w:abstractNumId="110">
    <w:nsid w:val="17A1B582"/>
    <w:multiLevelType w:val="hybridMultilevel"/>
    <w:lvl w:ilvl="0">
      <w:lvlJc w:val="left"/>
      <w:lvlText w:val="%1"/>
      <w:numFmt w:val="upperLetter"/>
      <w:start w:val="1"/>
    </w:lvl>
    <w:lvl w:ilvl="1">
      <w:lvlJc w:val="left"/>
      <w:lvlText w:val="(%2)"/>
      <w:numFmt w:val="lowerLetter"/>
      <w:start w:val="3"/>
    </w:lvl>
  </w:abstractNum>
  <w:abstractNum w:abstractNumId="111">
    <w:nsid w:val="4DF72E4E"/>
    <w:multiLevelType w:val="hybridMultilevel"/>
    <w:lvl w:ilvl="0">
      <w:lvlJc w:val="left"/>
      <w:lvlText w:val="[*]"/>
      <w:numFmt w:val="bullet"/>
      <w:start w:val="1"/>
    </w:lvl>
  </w:abstractNum>
  <w:abstractNum w:abstractNumId="112">
    <w:nsid w:val="5046B5A9"/>
    <w:multiLevelType w:val="hybridMultilevel"/>
    <w:lvl w:ilvl="0">
      <w:lvlJc w:val="left"/>
      <w:lvlText w:val="[*]"/>
      <w:numFmt w:val="bullet"/>
      <w:start w:val="1"/>
    </w:lvl>
  </w:abstractNum>
  <w:abstractNum w:abstractNumId="113">
    <w:nsid w:val="5D888A08"/>
    <w:multiLevelType w:val="hybridMultilevel"/>
    <w:lvl w:ilvl="0">
      <w:lvlJc w:val="left"/>
      <w:lvlText w:val="[*]"/>
      <w:numFmt w:val="bullet"/>
      <w:start w:val="1"/>
    </w:lvl>
  </w:abstractNum>
  <w:abstractNum w:abstractNumId="114">
    <w:nsid w:val="2A082C70"/>
    <w:multiLevelType w:val="hybridMultilevel"/>
    <w:lvl w:ilvl="0">
      <w:lvlJc w:val="left"/>
      <w:lvlText w:val="[*]"/>
      <w:numFmt w:val="bullet"/>
      <w:start w:val="1"/>
    </w:lvl>
  </w:abstractNum>
  <w:abstractNum w:abstractNumId="115">
    <w:nsid w:val="5EC6AFD4"/>
    <w:multiLevelType w:val="hybridMultilevel"/>
    <w:lvl w:ilvl="0">
      <w:lvlJc w:val="left"/>
      <w:lvlText w:val="[*]"/>
      <w:numFmt w:val="bullet"/>
      <w:start w:val="1"/>
    </w:lvl>
  </w:abstractNum>
  <w:abstractNum w:abstractNumId="116">
    <w:nsid w:val="19E21BB2"/>
    <w:multiLevelType w:val="hybridMultilevel"/>
    <w:lvl w:ilvl="0">
      <w:lvlJc w:val="left"/>
      <w:lvlText w:val="[*]"/>
      <w:numFmt w:val="bullet"/>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
      <w:numFmt w:val="bullet"/>
      <w:start w:val="1"/>
    </w:lvl>
  </w:abstractNum>
  <w:abstractNum w:abstractNumId="119">
    <w:nsid w:val="5399C654"/>
    <w:multiLevelType w:val="hybridMultilevel"/>
    <w:lvl w:ilvl="0">
      <w:lvlJc w:val="left"/>
      <w:lvlText w:val="[*]"/>
      <w:numFmt w:val="bullet"/>
      <w:start w:val="1"/>
    </w:lvl>
  </w:abstractNum>
  <w:abstractNum w:abstractNumId="120">
    <w:nsid w:val="20EE1348"/>
    <w:multiLevelType w:val="hybridMultilevel"/>
    <w:lvl w:ilvl="0">
      <w:lvlJc w:val="left"/>
      <w:lvlText w:val="[*]"/>
      <w:numFmt w:val="bullet"/>
      <w:start w:val="1"/>
    </w:lvl>
  </w:abstractNum>
  <w:abstractNum w:abstractNumId="121">
    <w:nsid w:val="4427069A"/>
    <w:multiLevelType w:val="hybridMultilevel"/>
    <w:lvl w:ilvl="0">
      <w:lvlJc w:val="left"/>
      <w:lvlText w:val="[*]"/>
      <w:numFmt w:val="bullet"/>
      <w:start w:val="1"/>
    </w:lvl>
  </w:abstractNum>
  <w:abstractNum w:abstractNumId="122">
    <w:nsid w:val="B37E80A"/>
    <w:multiLevelType w:val="hybridMultilevel"/>
    <w:lvl w:ilvl="0">
      <w:lvlJc w:val="left"/>
      <w:lvlText w:val="[*]"/>
      <w:numFmt w:val="bullet"/>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
      <w:numFmt w:val="bullet"/>
      <w:start w:val="1"/>
    </w:lvl>
  </w:abstractNum>
  <w:abstractNum w:abstractNumId="125">
    <w:nsid w:val="57D2F10E"/>
    <w:multiLevelType w:val="hybridMultilevel"/>
    <w:lvl w:ilvl="0">
      <w:lvlJc w:val="left"/>
      <w:lvlText w:val="[*]"/>
      <w:numFmt w:val="bullet"/>
      <w:start w:val="1"/>
    </w:lvl>
  </w:abstractNum>
  <w:abstractNum w:abstractNumId="126">
    <w:nsid w:val="BFFAE18"/>
    <w:multiLevelType w:val="hybridMultilevel"/>
    <w:lvl w:ilvl="0">
      <w:lvlJc w:val="left"/>
      <w:lvlText w:val="[*]"/>
      <w:numFmt w:val="bullet"/>
      <w:start w:val="1"/>
    </w:lvl>
  </w:abstractNum>
  <w:abstractNum w:abstractNumId="127">
    <w:nsid w:val="E3E47A8"/>
    <w:multiLevelType w:val="hybridMultilevel"/>
    <w:lvl w:ilvl="0">
      <w:lvlJc w:val="left"/>
      <w:lvlText w:val="[*]"/>
      <w:numFmt w:val="bullet"/>
      <w:start w:val="1"/>
    </w:lvl>
  </w:abstractNum>
  <w:abstractNum w:abstractNumId="128">
    <w:nsid w:val="2E48F044"/>
    <w:multiLevelType w:val="hybridMultilevel"/>
    <w:lvl w:ilvl="0">
      <w:lvlJc w:val="left"/>
      <w:lvlText w:val="[*]"/>
      <w:numFmt w:val="bullet"/>
      <w:start w:val="1"/>
    </w:lvl>
  </w:abstractNum>
  <w:abstractNum w:abstractNumId="129">
    <w:nsid w:val="49D0FEAC"/>
    <w:multiLevelType w:val="hybridMultilevel"/>
    <w:lvl w:ilvl="0">
      <w:lvlJc w:val="left"/>
      <w:lvlText w:val="[*]"/>
      <w:numFmt w:val="bullet"/>
      <w:start w:val="1"/>
    </w:lvl>
  </w:abstractNum>
  <w:abstractNum w:abstractNumId="130">
    <w:nsid w:val="4BEE5A5B"/>
    <w:multiLevelType w:val="hybridMultilevel"/>
    <w:lvl w:ilvl="0">
      <w:lvlJc w:val="left"/>
      <w:lvlText w:val="(%1)"/>
      <w:numFmt w:val="lowerRoman"/>
      <w:start w:val="2"/>
    </w:lvl>
  </w:abstractNum>
  <w:abstractNum w:abstractNumId="131">
    <w:nsid w:val="5551B9F3"/>
    <w:multiLevelType w:val="hybridMultilevel"/>
    <w:lvl w:ilvl="0">
      <w:lvlJc w:val="left"/>
      <w:lvlText w:val="[*]"/>
      <w:numFmt w:val="bullet"/>
      <w:start w:val="1"/>
    </w:lvl>
  </w:abstractNum>
  <w:abstractNum w:abstractNumId="132">
    <w:nsid w:val="24F6AB8E"/>
    <w:multiLevelType w:val="hybridMultilevel"/>
    <w:lvl w:ilvl="0">
      <w:lvlJc w:val="left"/>
      <w:lvlText w:val="[*]"/>
      <w:numFmt w:val="bullet"/>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
      <w:numFmt w:val="bullet"/>
      <w:start w:val="1"/>
    </w:lvl>
  </w:abstractNum>
  <w:abstractNum w:abstractNumId="136">
    <w:nsid w:val="1849C29B"/>
    <w:multiLevelType w:val="hybridMultilevel"/>
    <w:lvl w:ilvl="0">
      <w:lvlJc w:val="left"/>
      <w:lvlText w:val="•"/>
      <w:numFmt w:val="bullet"/>
      <w:start w:val="1"/>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
      <w:numFmt w:val="bullet"/>
      <w:start w:val="1"/>
    </w:lvl>
  </w:abstractNum>
  <w:abstractNum w:abstractNumId="139">
    <w:nsid w:val="69E7F3E5"/>
    <w:multiLevelType w:val="hybridMultilevel"/>
    <w:lvl w:ilvl="0">
      <w:lvlJc w:val="left"/>
      <w:lvlText w:val="[*]"/>
      <w:numFmt w:val="bullet"/>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jpe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100" Type="http://schemas.openxmlformats.org/officeDocument/2006/relationships/hyperlink" Target="http://www.sec.gov/Archives/edgar/data/921299/000119312514420380/d824859dex31.htm" TargetMode="External"/><Relationship Id="rId101" Type="http://schemas.openxmlformats.org/officeDocument/2006/relationships/hyperlink" Target="http://www.sec.gov/Archives/edgar/data/921299/000119312514380087/d720189dex34.htm" TargetMode="External"/><Relationship Id="rId102" Type="http://schemas.openxmlformats.org/officeDocument/2006/relationships/hyperlink" Target="http://www.sec.gov/Archives/edgar/data/921299/000119312514420380/d824859dex41.htm" TargetMode="External"/><Relationship Id="rId103" Type="http://schemas.openxmlformats.org/officeDocument/2006/relationships/hyperlink" Target="http://www.sec.gov/Archives/edgar/data/921299/000119312514359619/d720189dex42.htm" TargetMode="External"/><Relationship Id="rId104" Type="http://schemas.openxmlformats.org/officeDocument/2006/relationships/hyperlink" Target="http://www.sec.gov/Archives/edgar/data/921299/000119312514359619/d720189dex47.htm" TargetMode="External"/><Relationship Id="rId105" Type="http://schemas.openxmlformats.org/officeDocument/2006/relationships/hyperlink" Target="http://www.sec.gov/Archives/edgar/data/921299/000119312514359619/d720189dex412.htm" TargetMode="External"/><Relationship Id="rId106" Type="http://schemas.openxmlformats.org/officeDocument/2006/relationships/hyperlink" Target="http://www.sec.gov/Archives/edgar/data/921299/000119312514381669/d72018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2019-12-29T03:24:21Z</dcterms:created>
  <dcterms:modified xsi:type="dcterms:W3CDTF">2019-12-29T03:24:21Z</dcterms:modified>
</cp:coreProperties>
</file>