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gen-20240630.htm"/>
      <w:bookmarkStart w:id="1" w:name="ksfgen20240630"/>
      <w:bookmarkEnd w:id="0"/>
      <w:bookmarkEnd w:id="1"/>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36"/>
        </w:rPr>
        <w:t>F</w:t>
      </w:r>
      <w:r>
        <w:rPr>
          <w:rFonts w:ascii="Times New Roman" w:hAnsi="Times New Roman"/>
          <w:b/>
          <w:color w:val="000000"/>
          <w:sz w:val="36"/>
        </w:rPr>
        <w:t>orm 10-Q</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001-36740</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FIBROGEN,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43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4093" w:type="dxa"/>
        <w:jc w:val="left"/>
        <w:tblInd w:w="0" w:type="dxa"/>
        <w:tblLayout w:type="fixed"/>
        <w:tblCellMar>
          <w:top w:w="28" w:type="dxa"/>
          <w:left w:w="28" w:type="dxa"/>
          <w:bottom w:w="28" w:type="dxa"/>
          <w:right w:w="28" w:type="dxa"/>
        </w:tblCellMar>
      </w:tblPr>
      <w:tblGrid>
        <w:gridCol w:w="3016"/>
        <w:gridCol w:w="14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409 Illinois Street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pPr>
            <w:r>
              <w:rPr/>
              <w:t> </w:t>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94158</w:t>
            </w:r>
          </w:p>
        </w:tc>
      </w:tr>
      <w:tr>
        <w:trPr/>
        <w:tc>
          <w:tcPr>
            <w:tcW w:w="30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978-1200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501"/>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FGEN</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2142"/>
        <w:gridCol w:w="492"/>
        <w:gridCol w:w="2487"/>
        <w:gridCol w:w="537"/>
      </w:tblGrid>
      <w:tr>
        <w:trPr/>
        <w:tc>
          <w:tcPr>
            <w:tcW w:w="21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2142" w:type="dxa"/>
            <w:tcBorders/>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Large accelerated filer </w:t>
            </w:r>
          </w:p>
        </w:tc>
        <w:tc>
          <w:tcPr>
            <w:tcW w:w="492" w:type="dxa"/>
            <w:tcBorders/>
            <w:vAlign w:val="center"/>
          </w:tcPr>
          <w:p>
            <w:pPr>
              <w:pStyle w:val="TableContents"/>
              <w:bidi w:val="0"/>
              <w:spacing w:before="0" w:after="283"/>
              <w:ind w:left="0" w:right="0" w:firstLine="176"/>
              <w:jc w:val="left"/>
              <w:rPr>
                <w:color w:val="000000"/>
              </w:rPr>
            </w:pPr>
            <w:r>
              <w:rPr>
                <w:color w:val="000000"/>
              </w:rPr>
              <w:t>☐</w:t>
            </w:r>
          </w:p>
        </w:tc>
        <w:tc>
          <w:tcPr>
            <w:tcW w:w="2487" w:type="dxa"/>
            <w:tcBorders/>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 xml:space="preserve">Accelerated filer </w:t>
            </w:r>
          </w:p>
        </w:tc>
        <w:tc>
          <w:tcPr>
            <w:tcW w:w="537" w:type="dxa"/>
            <w:tcBorders/>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Non-accelerated filer</w:t>
            </w:r>
          </w:p>
        </w:tc>
        <w:tc>
          <w:tcPr>
            <w:tcW w:w="492" w:type="dxa"/>
            <w:tcBorders/>
            <w:vAlign w:val="center"/>
          </w:tcPr>
          <w:p>
            <w:pPr>
              <w:pStyle w:val="TableContents"/>
              <w:bidi w:val="0"/>
              <w:spacing w:before="0" w:after="283"/>
              <w:ind w:left="0" w:right="0" w:firstLine="176"/>
              <w:jc w:val="left"/>
              <w:rPr>
                <w:color w:val="000000"/>
              </w:rPr>
            </w:pPr>
            <w:r>
              <w:rPr>
                <w:color w:val="000000"/>
              </w:rPr>
              <w:t>☐</w:t>
            </w:r>
          </w:p>
        </w:tc>
        <w:tc>
          <w:tcPr>
            <w:tcW w:w="2487" w:type="dxa"/>
            <w:tcBorders/>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Smaller reporting company</w:t>
            </w:r>
          </w:p>
        </w:tc>
        <w:tc>
          <w:tcPr>
            <w:tcW w:w="537" w:type="dxa"/>
            <w:tcBorders/>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vAlign w:val="center"/>
          </w:tcPr>
          <w:p>
            <w:pPr>
              <w:pStyle w:val="TableContents"/>
              <w:bidi w:val="0"/>
              <w:spacing w:before="0" w:after="283"/>
              <w:ind w:left="0" w:right="0" w:firstLine="176"/>
              <w:jc w:val="left"/>
              <w:rPr/>
            </w:pPr>
            <w:r>
              <w:rPr/>
              <w:t> </w:t>
            </w:r>
          </w:p>
        </w:tc>
        <w:tc>
          <w:tcPr>
            <w:tcW w:w="492" w:type="dxa"/>
            <w:tcBorders/>
            <w:vAlign w:val="center"/>
          </w:tcPr>
          <w:p>
            <w:pPr>
              <w:pStyle w:val="TableContents"/>
              <w:bidi w:val="0"/>
              <w:spacing w:before="0" w:after="283"/>
              <w:ind w:left="0" w:right="0" w:firstLine="176"/>
              <w:jc w:val="left"/>
              <w:rPr>
                <w:sz w:val="4"/>
                <w:szCs w:val="4"/>
              </w:rPr>
            </w:pPr>
            <w:r>
              <w:rPr>
                <w:sz w:val="4"/>
                <w:szCs w:val="4"/>
              </w:rPr>
            </w:r>
          </w:p>
        </w:tc>
        <w:tc>
          <w:tcPr>
            <w:tcW w:w="2487" w:type="dxa"/>
            <w:tcBorders/>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Emerging growth company</w:t>
            </w:r>
          </w:p>
        </w:tc>
        <w:tc>
          <w:tcPr>
            <w:tcW w:w="537" w:type="dxa"/>
            <w:tcBorders/>
            <w:vAlign w:val="center"/>
          </w:tcPr>
          <w:p>
            <w:pPr>
              <w:pStyle w:val="TableContents"/>
              <w:bidi w:val="0"/>
              <w:spacing w:before="0" w:after="283"/>
              <w:ind w:left="176" w:right="0" w:firstLine="176"/>
              <w:jc w:val="left"/>
              <w:rPr>
                <w:color w:val="000000"/>
              </w:rPr>
            </w:pPr>
            <w:r>
              <w:rPr>
                <w:color w:val="00000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Exchange Act Rule 12b-2). Yes ☐ No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number of shares of common stock outstanding as of July 31, 2024 was 100,400,786.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
        <w:gridCol w:w="8625"/>
        <w:gridCol w:w="146"/>
        <w:gridCol w:w="482"/>
      </w:tblGrid>
      <w:tr>
        <w:trPr/>
        <w:tc>
          <w:tcPr>
            <w:tcW w:w="952" w:type="dxa"/>
            <w:tcBorders/>
            <w:vAlign w:val="center"/>
          </w:tcPr>
          <w:p>
            <w:pPr>
              <w:pStyle w:val="TableContents"/>
              <w:bidi w:val="0"/>
              <w:spacing w:before="0" w:after="283"/>
              <w:jc w:val="left"/>
              <w:rPr>
                <w:sz w:val="4"/>
                <w:szCs w:val="4"/>
              </w:rPr>
            </w:pPr>
            <w:r>
              <w:rPr>
                <w:sz w:val="4"/>
                <w:szCs w:val="4"/>
              </w:rPr>
            </w:r>
          </w:p>
        </w:tc>
        <w:tc>
          <w:tcPr>
            <w:tcW w:w="8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57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9577" w:type="dxa"/>
            <w:gridSpan w:val="2"/>
            <w:tcBorders/>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52" w:type="dxa"/>
            <w:tcBorders/>
            <w:vAlign w:val="center"/>
          </w:tcPr>
          <w:p>
            <w:pPr>
              <w:pStyle w:val="TableContents"/>
              <w:bidi w:val="0"/>
              <w:spacing w:before="0" w:after="283"/>
              <w:jc w:val="left"/>
              <w:rPr/>
            </w:pPr>
            <w:r>
              <w:rPr/>
              <w:t> </w:t>
            </w:r>
          </w:p>
        </w:tc>
        <w:tc>
          <w:tcPr>
            <w:tcW w:w="86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25" w:type="dxa"/>
            <w:tcBorders/>
            <w:vAlign w:val="center"/>
          </w:tcPr>
          <w:p>
            <w:pPr>
              <w:pStyle w:val="TableContents"/>
              <w:pBdr/>
              <w:bidi w:val="0"/>
              <w:spacing w:before="0" w:after="283"/>
              <w:ind w:left="0" w:right="0" w:hanging="245"/>
              <w:jc w:val="left"/>
              <w:rPr/>
            </w:pPr>
            <w:hyperlink w:anchor="item_1_condensed_consolidated_financial">
              <w:r>
                <w:rPr>
                  <w:rStyle w:val="InternetLink"/>
                  <w:rFonts w:ascii="Times New Roman" w:hAnsi="Times New Roman"/>
                  <w:color w:val="0000FF"/>
                  <w:sz w:val="20"/>
                  <w:u w:val="single"/>
                </w:rPr>
                <w:t>Financial Statements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condensed_consolidated_balance_sheets">
              <w:r>
                <w:rPr>
                  <w:rStyle w:val="InternetLink"/>
                  <w:rFonts w:ascii="Times New Roman" w:hAnsi="Times New Roman"/>
                  <w:color w:val="0000FF"/>
                  <w:sz w:val="20"/>
                  <w:u w:val="single"/>
                </w:rPr>
                <w:t>Condensed Consolidated Balance Sheets as of June 30, 2024 and December 31, 2023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2024 and 2023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condensed_consolidated_statements_compre">
              <w:r>
                <w:rPr>
                  <w:rStyle w:val="InternetLink"/>
                  <w:rFonts w:ascii="Times New Roman" w:hAnsi="Times New Roman"/>
                  <w:color w:val="0000FF"/>
                  <w:sz w:val="20"/>
                  <w:u w:val="single"/>
                </w:rPr>
                <w:t>Condensed Consolidated Statements of Comprehensive Loss for the Three and Six Months Ended June 30, 2024 and 2023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condensed_consolidated_statements_equity">
              <w:r>
                <w:rPr>
                  <w:rStyle w:val="InternetLink"/>
                  <w:rFonts w:ascii="Times New Roman" w:hAnsi="Times New Roman"/>
                  <w:color w:val="0000FF"/>
                  <w:sz w:val="20"/>
                  <w:u w:val="single"/>
                </w:rPr>
                <w:t>Condensed Consolidated Statements of Changes in Stockholders’ Deficit for the Three and Six Months Ended June 30, 2024 and 2023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2024 and 2023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25" w:type="dxa"/>
            <w:tcBorders/>
            <w:vAlign w:val="center"/>
          </w:tcPr>
          <w:p>
            <w:pPr>
              <w:pStyle w:val="TableContents"/>
              <w:pBdr/>
              <w:bidi w:val="0"/>
              <w:spacing w:before="0" w:after="283"/>
              <w:ind w:left="0" w:right="0" w:hanging="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25" w:type="dxa"/>
            <w:tcBorders/>
            <w:vAlign w:val="center"/>
          </w:tcPr>
          <w:p>
            <w:pPr>
              <w:pStyle w:val="TableContents"/>
              <w:pBdr/>
              <w:bidi w:val="0"/>
              <w:spacing w:before="0" w:after="283"/>
              <w:ind w:left="0" w:right="0" w:hanging="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25" w:type="dxa"/>
            <w:tcBorders/>
            <w:vAlign w:val="center"/>
          </w:tcPr>
          <w:p>
            <w:pPr>
              <w:pStyle w:val="TableContents"/>
              <w:pBdr/>
              <w:bidi w:val="0"/>
              <w:spacing w:before="0" w:after="283"/>
              <w:ind w:left="0" w:right="0" w:hanging="245"/>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52" w:type="dxa"/>
            <w:tcBorders/>
            <w:vAlign w:val="center"/>
          </w:tcPr>
          <w:p>
            <w:pPr>
              <w:pStyle w:val="TableContents"/>
              <w:bidi w:val="0"/>
              <w:spacing w:before="0" w:after="283"/>
              <w:jc w:val="left"/>
              <w:rPr/>
            </w:pPr>
            <w:r>
              <w:rPr/>
              <w:t> </w:t>
            </w:r>
          </w:p>
        </w:tc>
        <w:tc>
          <w:tcPr>
            <w:tcW w:w="86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577" w:type="dxa"/>
            <w:gridSpan w:val="2"/>
            <w:tcBorders/>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52" w:type="dxa"/>
            <w:tcBorders/>
            <w:vAlign w:val="center"/>
          </w:tcPr>
          <w:p>
            <w:pPr>
              <w:pStyle w:val="TableContents"/>
              <w:bidi w:val="0"/>
              <w:spacing w:before="0" w:after="283"/>
              <w:jc w:val="left"/>
              <w:rPr/>
            </w:pPr>
            <w:r>
              <w:rPr/>
              <w:t> </w:t>
            </w:r>
          </w:p>
        </w:tc>
        <w:tc>
          <w:tcPr>
            <w:tcW w:w="86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625" w:type="dxa"/>
            <w:tcBorders/>
            <w:vAlign w:val="center"/>
          </w:tcPr>
          <w:p>
            <w:pPr>
              <w:pStyle w:val="TableContents"/>
              <w:pBdr/>
              <w:bidi w:val="0"/>
              <w:spacing w:before="0" w:after="283"/>
              <w:ind w:left="0" w:right="0" w:hanging="245"/>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625" w:type="dxa"/>
            <w:tcBorders/>
            <w:vAlign w:val="center"/>
          </w:tcPr>
          <w:p>
            <w:pPr>
              <w:pStyle w:val="TableContents"/>
              <w:pBdr/>
              <w:bidi w:val="0"/>
              <w:spacing w:before="0" w:after="283"/>
              <w:ind w:left="0" w:right="0" w:hanging="245"/>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625" w:type="dxa"/>
            <w:tcBorders/>
            <w:vAlign w:val="center"/>
          </w:tcPr>
          <w:p>
            <w:pPr>
              <w:pStyle w:val="TableContents"/>
              <w:pBdr/>
              <w:bidi w:val="0"/>
              <w:spacing w:before="0" w:after="283"/>
              <w:ind w:left="0" w:right="0" w:hanging="245"/>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625" w:type="dxa"/>
            <w:tcBorders/>
            <w:vAlign w:val="center"/>
          </w:tcPr>
          <w:p>
            <w:pPr>
              <w:pStyle w:val="TableContents"/>
              <w:pBdr/>
              <w:bidi w:val="0"/>
              <w:spacing w:before="0" w:after="283"/>
              <w:ind w:left="0" w:right="0" w:hanging="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625" w:type="dxa"/>
            <w:tcBorders/>
            <w:vAlign w:val="center"/>
          </w:tcPr>
          <w:p>
            <w:pPr>
              <w:pStyle w:val="TableContents"/>
              <w:pBdr/>
              <w:bidi w:val="0"/>
              <w:spacing w:before="0" w:after="283"/>
              <w:ind w:left="0" w:right="0" w:hanging="245"/>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625" w:type="dxa"/>
            <w:tcBorders/>
            <w:vAlign w:val="center"/>
          </w:tcPr>
          <w:p>
            <w:pPr>
              <w:pStyle w:val="TableContents"/>
              <w:pBdr/>
              <w:bidi w:val="0"/>
              <w:spacing w:before="0" w:after="283"/>
              <w:ind w:left="0" w:right="0" w:hanging="245"/>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2" w:type="dxa"/>
            <w:tcBorders/>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625" w:type="dxa"/>
            <w:tcBorders/>
            <w:vAlign w:val="center"/>
          </w:tcPr>
          <w:p>
            <w:pPr>
              <w:pStyle w:val="TableContents"/>
              <w:pBdr/>
              <w:bidi w:val="0"/>
              <w:spacing w:before="0" w:after="283"/>
              <w:ind w:left="0" w:right="0" w:hanging="245"/>
              <w:jc w:val="left"/>
              <w:rPr/>
            </w:pPr>
            <w:hyperlink w:anchor="item_6_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52" w:type="dxa"/>
            <w:tcBorders/>
            <w:vAlign w:val="center"/>
          </w:tcPr>
          <w:p>
            <w:pPr>
              <w:pStyle w:val="TableContents"/>
              <w:bidi w:val="0"/>
              <w:spacing w:before="0" w:after="283"/>
              <w:ind w:left="0" w:right="0" w:firstLine="245"/>
              <w:jc w:val="left"/>
              <w:rPr/>
            </w:pPr>
            <w:r>
              <w:rPr/>
              <w:t> </w:t>
            </w:r>
          </w:p>
        </w:tc>
        <w:tc>
          <w:tcPr>
            <w:tcW w:w="8625" w:type="dxa"/>
            <w:tcBorders/>
            <w:vAlign w:val="center"/>
          </w:tcPr>
          <w:p>
            <w:pPr>
              <w:pStyle w:val="TableContents"/>
              <w:pBdr/>
              <w:bidi w:val="0"/>
              <w:spacing w:before="0" w:after="283"/>
              <w:ind w:left="0" w:right="0" w:hanging="245"/>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60" w:after="283"/>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900" w:type="dxa"/>
        <w:jc w:val="left"/>
        <w:tblInd w:w="0" w:type="dxa"/>
        <w:tblLayout w:type="fixed"/>
        <w:tblCellMar>
          <w:top w:w="28" w:type="dxa"/>
          <w:left w:w="28" w:type="dxa"/>
          <w:bottom w:w="28" w:type="dxa"/>
          <w:right w:w="28" w:type="dxa"/>
        </w:tblCellMar>
      </w:tblPr>
      <w:tblGrid>
        <w:gridCol w:w="5946"/>
        <w:gridCol w:w="246"/>
        <w:gridCol w:w="203"/>
        <w:gridCol w:w="922"/>
        <w:gridCol w:w="246"/>
        <w:gridCol w:w="246"/>
        <w:gridCol w:w="271"/>
        <w:gridCol w:w="1229"/>
        <w:gridCol w:w="591"/>
      </w:tblGrid>
      <w:tr>
        <w:trPr/>
        <w:tc>
          <w:tcPr>
            <w:tcW w:w="5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2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2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140,714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113,688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9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121,898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Accounts receivable, net ($4,178</w:t>
            </w:r>
            <w:r>
              <w:rPr>
                <w:rFonts w:ascii="Times New Roman" w:hAnsi="Times New Roman"/>
                <w:color w:val="000000"/>
                <w:sz w:val="20"/>
              </w:rPr>
              <w:t> </w:t>
            </w:r>
            <w:r>
              <w:rPr>
                <w:rFonts w:ascii="Times New Roman" w:hAnsi="Times New Roman"/>
                <w:color w:val="000000"/>
                <w:sz w:val="16"/>
              </w:rPr>
              <w:t>and $6,079</w:t>
            </w:r>
            <w:r>
              <w:rPr>
                <w:rFonts w:ascii="Times New Roman" w:hAnsi="Times New Roman"/>
                <w:color w:val="000000"/>
                <w:sz w:val="20"/>
              </w:rPr>
              <w:t> </w:t>
            </w:r>
            <w:r>
              <w:rPr>
                <w:rFonts w:ascii="Times New Roman" w:hAnsi="Times New Roman"/>
                <w:color w:val="000000"/>
                <w:sz w:val="16"/>
              </w:rPr>
              <w:t>from related parties)</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9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25,397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41,565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2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36,936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209,459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331,559</w:t>
            </w:r>
          </w:p>
        </w:tc>
        <w:tc>
          <w:tcPr>
            <w:tcW w:w="591" w:type="dxa"/>
            <w:tcBorders/>
            <w:shd w:fill="FFFFFF" w:val="cle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time deposits</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591" w:type="dxa"/>
            <w:tcBorders/>
            <w:shd w:fill="CFF0FC" w:val="cle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13,126</w:t>
            </w:r>
          </w:p>
        </w:tc>
        <w:tc>
          <w:tcPr>
            <w:tcW w:w="591" w:type="dxa"/>
            <w:tcBorders/>
            <w:shd w:fill="FFFFFF" w:val="cle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method investment in unconsolidated variable interest entity</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5,290</w:t>
            </w:r>
          </w:p>
        </w:tc>
        <w:tc>
          <w:tcPr>
            <w:tcW w:w="591" w:type="dxa"/>
            <w:tcBorders/>
            <w:shd w:fill="CFF0FC" w:val="cle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61,212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68,093</w:t>
            </w:r>
          </w:p>
        </w:tc>
        <w:tc>
          <w:tcPr>
            <w:tcW w:w="591" w:type="dxa"/>
            <w:tcBorders/>
            <w:shd w:fill="FFFFFF" w:val="cle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2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293,203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interests and deficit</w:t>
            </w:r>
          </w:p>
        </w:tc>
        <w:tc>
          <w:tcPr>
            <w:tcW w:w="2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25" w:type="dxa"/>
            <w:gridSpan w:val="2"/>
            <w:tcBorders/>
            <w:shd w:fill="CFF0FC" w:val="clear"/>
            <w:vAlign w:val="center"/>
          </w:tcPr>
          <w:p>
            <w:pPr>
              <w:pStyle w:val="TableContents"/>
              <w:bidi w:val="0"/>
              <w:spacing w:before="0" w:after="283"/>
              <w:ind w:left="100" w:right="0" w:firstLine="100"/>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Accounts payable ($1,586</w:t>
            </w:r>
            <w:r>
              <w:rPr>
                <w:rFonts w:ascii="Times New Roman" w:hAnsi="Times New Roman"/>
                <w:color w:val="000000"/>
                <w:sz w:val="20"/>
              </w:rPr>
              <w:t> </w:t>
            </w:r>
            <w:r>
              <w:rPr>
                <w:rFonts w:ascii="Times New Roman" w:hAnsi="Times New Roman"/>
                <w:color w:val="000000"/>
                <w:sz w:val="16"/>
              </w:rPr>
              <w:t>and $0</w:t>
            </w:r>
            <w:r>
              <w:rPr>
                <w:rFonts w:ascii="Times New Roman" w:hAnsi="Times New Roman"/>
                <w:color w:val="000000"/>
                <w:sz w:val="20"/>
              </w:rPr>
              <w:t> </w:t>
            </w:r>
            <w:r>
              <w:rPr>
                <w:rFonts w:ascii="Times New Roman" w:hAnsi="Times New Roman"/>
                <w:color w:val="000000"/>
                <w:sz w:val="16"/>
              </w:rPr>
              <w:t>to a related party)</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Accrued and other current liabilities ($10,993</w:t>
            </w:r>
            <w:r>
              <w:rPr>
                <w:rFonts w:ascii="Times New Roman" w:hAnsi="Times New Roman"/>
                <w:color w:val="000000"/>
                <w:sz w:val="20"/>
              </w:rPr>
              <w:t> </w:t>
            </w:r>
            <w:r>
              <w:rPr>
                <w:rFonts w:ascii="Times New Roman" w:hAnsi="Times New Roman"/>
                <w:color w:val="000000"/>
                <w:sz w:val="16"/>
              </w:rPr>
              <w:t>and $39,814</w:t>
            </w:r>
            <w:r>
              <w:rPr>
                <w:rFonts w:ascii="Times New Roman" w:hAnsi="Times New Roman"/>
                <w:color w:val="000000"/>
                <w:sz w:val="20"/>
              </w:rPr>
              <w:t> </w:t>
            </w:r>
            <w:r>
              <w:rPr>
                <w:rFonts w:ascii="Times New Roman" w:hAnsi="Times New Roman"/>
                <w:color w:val="000000"/>
                <w:sz w:val="16"/>
              </w:rPr>
              <w:t>to a related party)</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113,574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172,891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Deferred revenue ($6,111</w:t>
            </w:r>
            <w:r>
              <w:rPr>
                <w:rFonts w:ascii="Times New Roman" w:hAnsi="Times New Roman"/>
                <w:color w:val="000000"/>
                <w:sz w:val="20"/>
              </w:rPr>
              <w:t> </w:t>
            </w:r>
            <w:r>
              <w:rPr>
                <w:rFonts w:ascii="Times New Roman" w:hAnsi="Times New Roman"/>
                <w:color w:val="000000"/>
                <w:sz w:val="16"/>
              </w:rPr>
              <w:t>and $7,220</w:t>
            </w:r>
            <w:r>
              <w:rPr>
                <w:rFonts w:ascii="Times New Roman" w:hAnsi="Times New Roman"/>
                <w:color w:val="000000"/>
                <w:sz w:val="20"/>
              </w:rPr>
              <w:t> </w:t>
            </w:r>
            <w:r>
              <w:rPr>
                <w:rFonts w:ascii="Times New Roman" w:hAnsi="Times New Roman"/>
                <w:color w:val="000000"/>
                <w:sz w:val="16"/>
              </w:rPr>
              <w:t>to related parties)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2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148,589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217,668</w:t>
            </w:r>
          </w:p>
        </w:tc>
        <w:tc>
          <w:tcPr>
            <w:tcW w:w="591" w:type="dxa"/>
            <w:tcBorders/>
            <w:shd w:fill="FFFFFF" w:val="cle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development obligations</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17,763</w:t>
            </w:r>
          </w:p>
        </w:tc>
        <w:tc>
          <w:tcPr>
            <w:tcW w:w="591" w:type="dxa"/>
            <w:tcBorders/>
            <w:shd w:fill="CFF0FC" w:val="cle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Deferred revenue, net of current ($3,292</w:t>
            </w:r>
            <w:r>
              <w:rPr>
                <w:rFonts w:ascii="Times New Roman" w:hAnsi="Times New Roman"/>
                <w:color w:val="000000"/>
                <w:sz w:val="20"/>
              </w:rPr>
              <w:t> </w:t>
            </w:r>
            <w:r>
              <w:rPr>
                <w:rFonts w:ascii="Times New Roman" w:hAnsi="Times New Roman"/>
                <w:color w:val="000000"/>
                <w:sz w:val="16"/>
              </w:rPr>
              <w:t>and $9,705</w:t>
            </w:r>
            <w:r>
              <w:rPr>
                <w:rFonts w:ascii="Times New Roman" w:hAnsi="Times New Roman"/>
                <w:color w:val="000000"/>
                <w:sz w:val="20"/>
              </w:rPr>
              <w:t> </w:t>
            </w:r>
            <w:r>
              <w:rPr>
                <w:rFonts w:ascii="Times New Roman" w:hAnsi="Times New Roman"/>
                <w:color w:val="000000"/>
                <w:sz w:val="16"/>
              </w:rPr>
              <w:t>to a related party)</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131,192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157,555</w:t>
            </w:r>
          </w:p>
        </w:tc>
        <w:tc>
          <w:tcPr>
            <w:tcW w:w="591" w:type="dxa"/>
            <w:tcBorders/>
            <w:shd w:fill="FFFFFF" w:val="cle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non-current</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58,376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66,537</w:t>
            </w:r>
          </w:p>
        </w:tc>
        <w:tc>
          <w:tcPr>
            <w:tcW w:w="591" w:type="dxa"/>
            <w:tcBorders/>
            <w:shd w:fill="CFF0FC" w:val="cle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term loan facilities, non-current</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72,478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71,934</w:t>
            </w:r>
          </w:p>
        </w:tc>
        <w:tc>
          <w:tcPr>
            <w:tcW w:w="591" w:type="dxa"/>
            <w:tcBorders/>
            <w:shd w:fill="FFFFFF" w:val="clear"/>
            <w:vAlign w:val="center"/>
          </w:tcPr>
          <w:p>
            <w:pPr>
              <w:pStyle w:val="TableContents"/>
              <w:bidi w:val="0"/>
              <w:spacing w:before="0" w:after="283"/>
              <w:jc w:val="lef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related to sale of future revenues, non-current</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54,532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51,413</w:t>
            </w:r>
          </w:p>
        </w:tc>
        <w:tc>
          <w:tcPr>
            <w:tcW w:w="591" w:type="dxa"/>
            <w:tcBorders/>
            <w:shd w:fill="CFF0FC" w:val="cle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Other long-term liabilities ($605</w:t>
            </w:r>
            <w:r>
              <w:rPr>
                <w:rFonts w:ascii="Times New Roman" w:hAnsi="Times New Roman"/>
                <w:color w:val="000000"/>
                <w:sz w:val="20"/>
              </w:rPr>
              <w:t> </w:t>
            </w:r>
            <w:r>
              <w:rPr>
                <w:rFonts w:ascii="Times New Roman" w:hAnsi="Times New Roman"/>
                <w:color w:val="000000"/>
                <w:sz w:val="16"/>
              </w:rPr>
              <w:t>and $656</w:t>
            </w:r>
            <w:r>
              <w:rPr>
                <w:rFonts w:ascii="Times New Roman" w:hAnsi="Times New Roman"/>
                <w:color w:val="000000"/>
                <w:sz w:val="20"/>
              </w:rPr>
              <w:t> </w:t>
            </w:r>
            <w:r>
              <w:rPr>
                <w:rFonts w:ascii="Times New Roman" w:hAnsi="Times New Roman"/>
                <w:color w:val="000000"/>
                <w:sz w:val="16"/>
              </w:rPr>
              <w:t>to a related party)</w:t>
            </w:r>
          </w:p>
        </w:tc>
        <w:tc>
          <w:tcPr>
            <w:tcW w:w="2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483,576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585,728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94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2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94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interests</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591" w:type="dxa"/>
            <w:tcBorders/>
            <w:shd w:fill="CFF0FC" w:val="cle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2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125,000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 xml:space="preserve">shares issued </w:t>
              <w:br/>
              <w:t>   and outstanding at June 30, 2024 and December 31, 2023</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225,000</w:t>
            </w:r>
            <w:r>
              <w:rPr>
                <w:rFonts w:ascii="Times New Roman" w:hAnsi="Times New Roman"/>
                <w:color w:val="000000"/>
                <w:sz w:val="20"/>
              </w:rPr>
              <w:t> </w:t>
            </w:r>
            <w:r>
              <w:rPr>
                <w:rFonts w:ascii="Times New Roman" w:hAnsi="Times New Roman"/>
                <w:color w:val="000000"/>
                <w:sz w:val="16"/>
              </w:rPr>
              <w:t xml:space="preserve">shares authorized at June 30, 2024 </w:t>
              <w:br/>
              <w:t>   and December 31, 2023; 100,400</w:t>
            </w:r>
            <w:r>
              <w:rPr>
                <w:rFonts w:ascii="Times New Roman" w:hAnsi="Times New Roman"/>
                <w:color w:val="000000"/>
                <w:sz w:val="20"/>
              </w:rPr>
              <w:t> </w:t>
            </w:r>
            <w:r>
              <w:rPr>
                <w:rFonts w:ascii="Times New Roman" w:hAnsi="Times New Roman"/>
                <w:color w:val="000000"/>
                <w:sz w:val="16"/>
              </w:rPr>
              <w:t>and 98,770</w:t>
            </w:r>
            <w:r>
              <w:rPr>
                <w:rFonts w:ascii="Times New Roman" w:hAnsi="Times New Roman"/>
                <w:color w:val="000000"/>
                <w:sz w:val="20"/>
              </w:rPr>
              <w:t> </w:t>
            </w:r>
            <w:r>
              <w:rPr>
                <w:rFonts w:ascii="Times New Roman" w:hAnsi="Times New Roman"/>
                <w:color w:val="000000"/>
                <w:sz w:val="16"/>
              </w:rPr>
              <w:t xml:space="preserve">shares issued and outstanding at </w:t>
              <w:br/>
              <w:t>   June 30, 2024 and December 31, 2023</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1,660,862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1,643,641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9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2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(1,890,397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(1,841,920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stockholders’ deficit attributable to FibroGen</w:t>
            </w:r>
          </w:p>
        </w:tc>
        <w:tc>
          <w:tcPr>
            <w:tcW w:w="2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(232,340</w:t>
            </w:r>
          </w:p>
        </w:tc>
        <w:tc>
          <w:tcPr>
            <w:tcW w:w="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(204,166</w:t>
            </w:r>
          </w:p>
        </w:tc>
        <w:tc>
          <w:tcPr>
            <w:tcW w:w="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Nonredeemable non-controlling interests</w:t>
            </w:r>
          </w:p>
        </w:tc>
        <w:tc>
          <w:tcPr>
            <w:tcW w:w="2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deficit</w:t>
            </w:r>
          </w:p>
        </w:tc>
        <w:tc>
          <w:tcPr>
            <w:tcW w:w="2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(211,853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redeemable non-controlling interests and deficit</w:t>
            </w:r>
          </w:p>
        </w:tc>
        <w:tc>
          <w:tcPr>
            <w:tcW w:w="2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293,203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423,529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189"/>
        <w:gridCol w:w="146"/>
        <w:gridCol w:w="211"/>
        <w:gridCol w:w="736"/>
        <w:gridCol w:w="246"/>
        <w:gridCol w:w="246"/>
        <w:gridCol w:w="211"/>
        <w:gridCol w:w="781"/>
        <w:gridCol w:w="166"/>
        <w:gridCol w:w="146"/>
        <w:gridCol w:w="211"/>
        <w:gridCol w:w="781"/>
        <w:gridCol w:w="246"/>
        <w:gridCol w:w="246"/>
        <w:gridCol w:w="211"/>
        <w:gridCol w:w="841"/>
        <w:gridCol w:w="591"/>
      </w:tblGrid>
      <w:tr>
        <w:trPr/>
        <w:tc>
          <w:tcPr>
            <w:tcW w:w="4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1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Development and other revenue (includes $319, $1,839, $613</w:t>
              <w:br/>
              <w:t>   and $3,463 from a related party)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 (includes $46,005, $20,512, $73,118 and $41,884</w:t>
              <w:br/>
              <w:t>   from a related party)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1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Drug product revenue, net (includes $729, $14,272, $(455) and $16,381</w:t>
              <w:br/>
              <w:t>   from a related party)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8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189"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41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1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169,964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1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65,455</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18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148,526</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244,618</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1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(41,982</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(164,138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1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8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418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(16,983</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(50,472</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(165,892</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Investment income in unconsolidated variable </w:t>
              <w:br/>
              <w:t>   interest entity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(164,385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1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1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used to calculate</w:t>
              <w:br/>
              <w:t>   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96,218</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587"/>
        <w:gridCol w:w="146"/>
        <w:gridCol w:w="215"/>
        <w:gridCol w:w="753"/>
        <w:gridCol w:w="169"/>
        <w:gridCol w:w="148"/>
        <w:gridCol w:w="215"/>
        <w:gridCol w:w="753"/>
        <w:gridCol w:w="166"/>
        <w:gridCol w:w="146"/>
        <w:gridCol w:w="211"/>
        <w:gridCol w:w="736"/>
        <w:gridCol w:w="166"/>
        <w:gridCol w:w="146"/>
        <w:gridCol w:w="211"/>
        <w:gridCol w:w="841"/>
        <w:gridCol w:w="596"/>
      </w:tblGrid>
      <w:tr>
        <w:trPr/>
        <w:tc>
          <w:tcPr>
            <w:tcW w:w="4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5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(164,385</w:t>
            </w:r>
          </w:p>
        </w:tc>
        <w:tc>
          <w:tcPr>
            <w:tcW w:w="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ind w:left="0" w:right="0" w:firstLine="200"/>
              <w:jc w:val="right"/>
              <w:rPr/>
            </w:pPr>
            <w:r>
              <w:rPr/>
              <w:t> </w:t>
            </w:r>
          </w:p>
        </w:tc>
      </w:tr>
      <w:tr>
        <w:trPr/>
        <w:tc>
          <w:tcPr>
            <w:tcW w:w="45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59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ind w:left="0" w:right="0" w:firstLine="400"/>
              <w:jc w:val="right"/>
              <w:rPr/>
            </w:pPr>
            <w:r>
              <w:rPr/>
              <w:t> </w:t>
            </w:r>
          </w:p>
        </w:tc>
      </w:tr>
      <w:tr>
        <w:trPr/>
        <w:tc>
          <w:tcPr>
            <w:tcW w:w="458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gain (loss) on investments, net of tax effect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(164,915</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8" w:name="condensed_consolidated_statements_equity"/>
      <w:bookmarkEnd w:id="8"/>
      <w:r>
        <w:rPr>
          <w:rFonts w:ascii="Times New Roman" w:hAnsi="Times New Roman"/>
          <w:b/>
          <w:color w:val="000000"/>
          <w:sz w:val="20"/>
        </w:rPr>
        <w:t>CONDENSED CONSOLIDATED STATEMENTS OF CHANGES IN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791"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96"/>
        <w:gridCol w:w="511"/>
        <w:gridCol w:w="146"/>
        <w:gridCol w:w="146"/>
        <w:gridCol w:w="196"/>
        <w:gridCol w:w="826"/>
        <w:gridCol w:w="14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99,474,398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(1,874,853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(207,635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100,399,786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96,623,309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(1,634,393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Consolidation of Fortis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w:t>
              <w:br/>
              <w:t>   under ATM Program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17,276</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2,779</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98,204,243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STATEMENTS OF CHANGES IN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811"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96"/>
        <w:gridCol w:w="511"/>
        <w:gridCol w:w="146"/>
        <w:gridCol w:w="146"/>
        <w:gridCol w:w="196"/>
        <w:gridCol w:w="826"/>
        <w:gridCol w:w="16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93"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98,770,247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(1,841,920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(183,679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100,399,786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Balance at </w:t>
              <w:br/>
              <w: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94,166,086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(1,557,688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Consolidation of Fortis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Change in unrealized gain </w:t>
              <w:br/>
              <w:t>   or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w:t>
              <w:br/>
              <w:t>   translation adjustments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w:t>
              <w:br/>
              <w:t>   under ATM Program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from stock</w:t>
              <w:br/>
              <w:t xml:space="preserve">   plans, net of payroll </w:t>
              <w:br/>
              <w:t>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98,204,243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844" w:type="dxa"/>
        <w:jc w:val="left"/>
        <w:tblInd w:w="0" w:type="dxa"/>
        <w:tblLayout w:type="fixed"/>
        <w:tblCellMar>
          <w:top w:w="28" w:type="dxa"/>
          <w:left w:w="28" w:type="dxa"/>
          <w:bottom w:w="28" w:type="dxa"/>
          <w:right w:w="28" w:type="dxa"/>
        </w:tblCellMar>
      </w:tblPr>
      <w:tblGrid>
        <w:gridCol w:w="5941"/>
        <w:gridCol w:w="146"/>
        <w:gridCol w:w="196"/>
        <w:gridCol w:w="691"/>
        <w:gridCol w:w="166"/>
        <w:gridCol w:w="146"/>
        <w:gridCol w:w="196"/>
        <w:gridCol w:w="751"/>
        <w:gridCol w:w="6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(164,385</w:t>
            </w:r>
          </w:p>
        </w:tc>
        <w:tc>
          <w:tcPr>
            <w:tcW w:w="6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finance lease right-of-use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premium and discount on investments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Investment income in unconsolidated variable interest entity</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Acquired in-process research and development expenses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interest expense related to sale of future revenues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Impairment of investment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Realized loss on sales of available-for-sale securities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6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and other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(57,016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interest expense related to sale of future revenues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interest for finance lease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(104,543</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acquired from consolidation of Fortis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sales of available-for-sale securities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6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investments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senior secured term loan facilities, net of issuance costs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74,078</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transaction costs for senior secured term loan facilities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of finance lease liabilities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6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of lease obligations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payroll taxes on restricted stock unit releases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under ATM Program, net of commissions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48,407</w:t>
            </w:r>
          </w:p>
        </w:tc>
        <w:tc>
          <w:tcPr>
            <w:tcW w:w="6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under employee stock plans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9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FF0FC" w:val="cle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123,017</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 on cash and cash equivalents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and cash equivalents at beginning of period</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and cash equivalents at end of period</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FibroGen, Inc. (“FibroGen” or the “Company”) is headquartered in San Francisco, California, with subsidiary offices in Beijing and Shanghai, People’s Republic of China (“China”). FibroGen is developing and commercializing a diversified pipeline of novel therapeutics that work at the frontier of cancer biology and anemia. </w:t>
      </w:r>
    </w:p>
    <w:p>
      <w:pPr>
        <w:pStyle w:val="TextBody"/>
        <w:bidi w:val="0"/>
        <w:spacing w:before="240" w:after="283"/>
        <w:jc w:val="left"/>
        <w:rPr/>
      </w:pPr>
      <w:r>
        <w:rPr>
          <w:rFonts w:ascii="Times New Roman" w:hAnsi="Times New Roman"/>
          <w:color w:val="000000"/>
          <w:sz w:val="20"/>
        </w:rPr>
        <w:t>Roxadustat is an oral small molecule inhibitor of hypoxia-inducible factor prolyl hydroxylase activity.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xml:space="preserve">) is approved in China, Europe, Japan, and numerous other countries for the treatment of anemia in chronic kidney disease for patients who are on dialysis and not on dialysis. Roxadustat is in clinical development for chemotherapy-induced anemia in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FG-3246 is a first-in-class antibody-drug conjugate targeting a novel epitope on CD46 that is in development for metastatic castration-resistant prostate cancer and other cancer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also has a pipeline of preclinical product candidates, FG-3165 and FG-3175, to address unmet patient needs in oncology.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 For any VIE for which FibroGen is not the primary beneficiary, the Company uses the equity method of accounting.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reportable segment — the discovery, development and commercialization of novel therapeutics to treat serious unmet medical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2023, filed on February 26,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which contemplates the maintenance of a minimum balance of $30 million of unrestricted cash and cash equivalents held in accounts in the U.S., as required under the debt covenants associated with the senior secured term loan facilities, the Company believes that its existing cash and cash equivalents and accounts receivable will be sufficient to meet its anticipated cash requirements for at least the next 12 months from the date of issuance of the financial statements. However, the Company may need additional capital to fund its operations and its liquidity assumptions may materially differ (including assumptions with respect to our research and development expenses, revenue expectations, contractual obligations, ability to repatriate cash from China, partnering or monetization of assets, and others). In addition, the Company may elect to raise additional funds at any time through equity, equity-linked, debt financing arrangements or from other 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used by the Company in its presentation of interim financial results are consistent with those presented in Note 2 to the consolidated financial statements included in the Company’s Annual Report on Form 10-K for the year ended December 31, 2023, filed on February 26,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common shares that would have the effect of increasing diluted earnings per share are considered to be anti-dilutive and as such, these shares are not included in the calculation of diluted earnings per share. The Company reported a net loss for each of the three and six months ended June 30, 2024 and 2023. Therefore, dilutive common shares are not assumed to have been issued since their effect is anti-dilutive for these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bidi w:val="0"/>
        <w:jc w:val="left"/>
        <w:rPr/>
      </w:pPr>
      <w:r>
        <w:rPr/>
        <w:t> </w:t>
      </w:r>
    </w:p>
    <w:tbl>
      <w:tblPr>
        <w:tblW w:w="7527" w:type="dxa"/>
        <w:jc w:val="left"/>
        <w:tblInd w:w="0" w:type="dxa"/>
        <w:tblLayout w:type="fixed"/>
        <w:tblCellMar>
          <w:top w:w="28" w:type="dxa"/>
          <w:left w:w="28" w:type="dxa"/>
          <w:bottom w:w="28" w:type="dxa"/>
          <w:right w:w="28" w:type="dxa"/>
        </w:tblCellMar>
      </w:tblPr>
      <w:tblGrid>
        <w:gridCol w:w="2566"/>
        <w:gridCol w:w="146"/>
        <w:gridCol w:w="170"/>
        <w:gridCol w:w="791"/>
        <w:gridCol w:w="170"/>
        <w:gridCol w:w="170"/>
        <w:gridCol w:w="170"/>
        <w:gridCol w:w="791"/>
        <w:gridCol w:w="146"/>
        <w:gridCol w:w="146"/>
        <w:gridCol w:w="156"/>
        <w:gridCol w:w="723"/>
        <w:gridCol w:w="156"/>
        <w:gridCol w:w="156"/>
        <w:gridCol w:w="156"/>
        <w:gridCol w:w="723"/>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15,072</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13,792</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PRSUs and TSR awards</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19,431</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18,210</w:t>
            </w:r>
          </w:p>
        </w:tc>
        <w:tc>
          <w:tcPr>
            <w:tcW w:w="1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Guidance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No.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which requires all public entities, including public entities with a single reportable segment, to provide in interim and annual periods one or more measures of segment profit or loss used by the chief operating decision maker to allocate resources and assess performance. In addition, this guidance requires disclosures of significant segment expenses and other segment items as well as incremental qualitative disclosures. This guidance is effective for fiscal years beginning after December 15, 2023, and interim periods after December 15, 2024, with retrospective application required, and early adoption permitted. The Company is currently in the process of evaluating the effects of this guidance on its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Collaboration Agreements, License Agreement and Revenues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Astellas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the Company entered into a collaboration agreement with Astellas Pharma Inc.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through June 30, 2024 totaled $105.1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Japan, the Company does not expect to receive most or all of the additional potential milestones under the Astellas Japan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recognized as license revenue and development revenue under the Astellas Japan Agreement were not material for the three and six months ended June 30,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related to consideration received through June 30, 2024 and accounts receivable has been allocated to each of the following performance obligations under the Astellas Japan Agreement (in thousands):</w:t>
      </w:r>
    </w:p>
    <w:tbl>
      <w:tblPr>
        <w:tblW w:w="5613" w:type="dxa"/>
        <w:jc w:val="left"/>
        <w:tblInd w:w="0" w:type="dxa"/>
        <w:tblLayout w:type="fixed"/>
        <w:tblCellMar>
          <w:top w:w="28" w:type="dxa"/>
          <w:left w:w="28" w:type="dxa"/>
          <w:bottom w:w="28" w:type="dxa"/>
          <w:right w:w="28" w:type="dxa"/>
        </w:tblCellMar>
      </w:tblPr>
      <w:tblGrid>
        <w:gridCol w:w="3516"/>
        <w:gridCol w:w="146"/>
        <w:gridCol w:w="331"/>
        <w:gridCol w:w="1229"/>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Astellas Japan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br/>
              <w:t xml:space="preserve"> Through </w:t>
              <w:b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w:t>
            </w:r>
          </w:p>
        </w:tc>
        <w:tc>
          <w:tcPr>
            <w:tcW w:w="146" w:type="dxa"/>
            <w:tcBorders/>
            <w:shd w:fill="CFF0FC" w:val="clear"/>
            <w:vAlign w:val="center"/>
          </w:tcPr>
          <w:p>
            <w:pPr>
              <w:pStyle w:val="TableContents"/>
              <w:bidi w:val="0"/>
              <w:spacing w:before="0" w:after="283"/>
              <w:jc w:val="center"/>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100,347</w:t>
            </w:r>
          </w:p>
        </w:tc>
        <w:tc>
          <w:tcPr>
            <w:tcW w:w="391" w:type="dxa"/>
            <w:tcBorders/>
            <w:shd w:fill="CFF0FC"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revenue</w:t>
            </w:r>
          </w:p>
        </w:tc>
        <w:tc>
          <w:tcPr>
            <w:tcW w:w="146" w:type="dxa"/>
            <w:tcBorders/>
            <w:shd w:fill="FFFFFF" w:val="cle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license and development revenue</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the three months ended June 30, 2024 under the Astellas Japan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received under the Astellas Europe Agreement through June 30, 2024 totaled $685.0 million, excluding drug product revenue that is discussed under the </w:t>
      </w:r>
      <w:r>
        <w:rPr>
          <w:rFonts w:ascii="Times New Roman" w:hAnsi="Times New Roman"/>
          <w:i/>
          <w:color w:val="000000"/>
          <w:sz w:val="20"/>
        </w:rPr>
        <w:t>Drug Product Revenue, Net</w:t>
      </w:r>
      <w:r>
        <w:rPr>
          <w:rFonts w:ascii="Times New Roman" w:hAnsi="Times New Roman"/>
          <w:color w:val="000000"/>
          <w:sz w:val="20"/>
        </w:rPr>
        <w:t xml:space="preserve"> section below. Based on its current development plans for roxadustat in Europe, the Company does not expect to receive most or all of the additional potential milestones under the Astellas Europe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recognized as license revenue and development revenue under the Astellas Europe Agreement were as follows for the three and six months ended June 30, 2024 and 2023 (in thousands):</w:t>
      </w:r>
    </w:p>
    <w:tbl>
      <w:tblPr>
        <w:tblW w:w="9325" w:type="dxa"/>
        <w:jc w:val="left"/>
        <w:tblInd w:w="0" w:type="dxa"/>
        <w:tblLayout w:type="fixed"/>
        <w:tblCellMar>
          <w:top w:w="28" w:type="dxa"/>
          <w:left w:w="28" w:type="dxa"/>
          <w:bottom w:w="28" w:type="dxa"/>
          <w:right w:w="28" w:type="dxa"/>
        </w:tblCellMar>
      </w:tblPr>
      <w:tblGrid>
        <w:gridCol w:w="2326"/>
        <w:gridCol w:w="146"/>
        <w:gridCol w:w="1891"/>
        <w:gridCol w:w="146"/>
        <w:gridCol w:w="280"/>
        <w:gridCol w:w="559"/>
        <w:gridCol w:w="193"/>
        <w:gridCol w:w="193"/>
        <w:gridCol w:w="280"/>
        <w:gridCol w:w="758"/>
        <w:gridCol w:w="146"/>
        <w:gridCol w:w="146"/>
        <w:gridCol w:w="256"/>
        <w:gridCol w:w="511"/>
        <w:gridCol w:w="177"/>
        <w:gridCol w:w="177"/>
        <w:gridCol w:w="256"/>
        <w:gridCol w:w="693"/>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revenue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transaction price related to consideration received through June 30, 2024 and accounts receivable has been allocated to each of the following performance obligations under the Astellas Europe Agreement as follows (in thousands):</w:t>
      </w:r>
    </w:p>
    <w:p>
      <w:pPr>
        <w:pStyle w:val="TextBody"/>
        <w:bidi w:val="0"/>
        <w:jc w:val="left"/>
        <w:rPr/>
      </w:pPr>
      <w:r>
        <w:rPr/>
        <w:t> </w:t>
      </w:r>
    </w:p>
    <w:tbl>
      <w:tblPr>
        <w:tblW w:w="5613" w:type="dxa"/>
        <w:jc w:val="left"/>
        <w:tblInd w:w="0" w:type="dxa"/>
        <w:tblLayout w:type="fixed"/>
        <w:tblCellMar>
          <w:top w:w="28" w:type="dxa"/>
          <w:left w:w="28" w:type="dxa"/>
          <w:bottom w:w="28" w:type="dxa"/>
          <w:right w:w="28" w:type="dxa"/>
        </w:tblCellMar>
      </w:tblPr>
      <w:tblGrid>
        <w:gridCol w:w="3516"/>
        <w:gridCol w:w="146"/>
        <w:gridCol w:w="331"/>
        <w:gridCol w:w="1229"/>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Astellas Europe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br/>
              <w:t xml:space="preserve"> Through </w:t>
              <w:b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618,975</w:t>
            </w:r>
          </w:p>
        </w:tc>
        <w:tc>
          <w:tcPr>
            <w:tcW w:w="391" w:type="dxa"/>
            <w:tcBorders/>
            <w:shd w:fill="CFF0FC"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revenue</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license and development revenue</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was no license revenue or development revenue resulting from changes to estimated variable consideration in the current period relating to performance obligations satisfied or partially satisfied in previous periods for three months ended June 30, 2024 under the Astellas Europe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AstraZeneca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U.S./Rest of World (“RoW”)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(“AstraZeneca U.S./RoW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23, 2024, the Company and AstraZeneca entered into an agreement to terminate the AstraZeneca U.S./RoW Agreement, effective as of February 25, 2024 (“AstraZeneca Termination and Transition Agreement).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aggregate amount of consideration for milestone and upfront payments received under the AstraZeneca U.S./RoW Agreement through the termination totaled $439.0 million, excluding drug product revenue under the Master Supply Agreement with AstraZeneca under the AstraZeneca U.S./RoW Agreement (“AstraZeneca Master Supply Agreement”), entered in 2020, which is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xml:space="preserve"> (“ASC 606”) and recorded a cumulative catch-up adjustment as described under the </w:t>
      </w:r>
      <w:r>
        <w:rPr>
          <w:rFonts w:ascii="Times New Roman" w:hAnsi="Times New Roman"/>
          <w:i/>
          <w:color w:val="000000"/>
          <w:sz w:val="20"/>
        </w:rPr>
        <w:t>Drug Product Revenue, Net</w:t>
      </w:r>
      <w:r>
        <w:rPr>
          <w:rFonts w:ascii="Times New Roman" w:hAnsi="Times New Roman"/>
          <w:color w:val="000000"/>
          <w:sz w:val="20"/>
        </w:rPr>
        <w:t xml:space="preserve"> section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 with AstraZeneca for roxadustat in China, as described below, remains in 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30,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AstraZeneca China Amendment in 2020 as discussed below, and provides for joint development costs (including capital and equipment costs for construction of the manufacturing plant in China), to be shared equally during the development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amount of such consideration received for milestone and upfront payments through June 30, 2024 totaled $77.2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18, 2023, the Company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in the third quarter of 2023 and allocated to performance obligations under the AstraZeneca U.S./RoW Agreement and the AstraZeneca China Agreement. As of June 30, 2024, the $4.0 million milestone was recorded as a contract asset and was fully netted against the contract liabilities (deferred revenue) related to the AstraZeneca China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FibroGen China Anemia Holdings, Ltd., FibroGen (China) Medical Technology Development Co., Ltd. (“FibroGen Beijing”), FibroGen International (Hong Kong) Limited,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Beijing Falikang Pharmaceutical Co., Ltd. (“Falikang”), which performs roxadustat distribution, as well as conducts sales and marketing through AstraZeneca.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 The net product revenue from the sales to Falikang and the net product revenue from direct sales distributors in China are described under </w:t>
      </w:r>
      <w:r>
        <w:rPr>
          <w:rFonts w:ascii="Times New Roman" w:hAnsi="Times New Roman"/>
          <w:i/>
          <w:color w:val="000000"/>
          <w:sz w:val="20"/>
        </w:rPr>
        <w:t>Product Revenue, Net</w:t>
      </w:r>
      <w:r>
        <w:rPr>
          <w:rFonts w:ascii="Times New Roman" w:hAnsi="Times New Roman"/>
          <w:color w:val="000000"/>
          <w:sz w:val="20"/>
        </w:rPr>
        <w:t xml:space="preserve"> section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three months ended March 31, 2024, the Company recorded the final development revenue under the AstraZeneca U.S./RoW Agreement and AstraZeneca China Agreement. Amounts recognized as license revenue and development revenue under the AstraZeneca U.S./RoW Agreement and AstraZeneca China Agreement were as follows for the three and six months ended June 30, 2024 and 2023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5"/>
        <w:gridCol w:w="146"/>
        <w:gridCol w:w="1608"/>
        <w:gridCol w:w="146"/>
        <w:gridCol w:w="254"/>
        <w:gridCol w:w="452"/>
        <w:gridCol w:w="199"/>
        <w:gridCol w:w="175"/>
        <w:gridCol w:w="254"/>
        <w:gridCol w:w="688"/>
        <w:gridCol w:w="146"/>
        <w:gridCol w:w="146"/>
        <w:gridCol w:w="237"/>
        <w:gridCol w:w="474"/>
        <w:gridCol w:w="164"/>
        <w:gridCol w:w="164"/>
        <w:gridCol w:w="237"/>
        <w:gridCol w:w="643"/>
        <w:gridCol w:w="197"/>
      </w:tblGrid>
      <w:tr>
        <w:trPr/>
        <w:tc>
          <w:tcPr>
            <w:tcW w:w="3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U.S./RoW Agreement and AstraZeneca China Agreement</w:t>
            </w:r>
          </w:p>
        </w:tc>
        <w:tc>
          <w:tcPr>
            <w:tcW w:w="146" w:type="dxa"/>
            <w:tcBorders/>
            <w:shd w:fill="CFF0FC" w:val="clear"/>
            <w:vAlign w:val="center"/>
          </w:tcPr>
          <w:p>
            <w:pPr>
              <w:pStyle w:val="TableContents"/>
              <w:bidi w:val="0"/>
              <w:spacing w:before="0" w:after="283"/>
              <w:jc w:val="left"/>
              <w:rPr/>
            </w:pPr>
            <w:r>
              <w:rPr/>
              <w:t> </w:t>
            </w:r>
          </w:p>
        </w:tc>
        <w:tc>
          <w:tcPr>
            <w:tcW w:w="16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revenue</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9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$625.5 million for co-development, information sharing and committee services, and $427.5 million for China performance obligation (with cumulative revenue of $268.9 million through June 30, 2024) that is recognized as product revenue, as described under </w:t>
      </w:r>
      <w:r>
        <w:rPr>
          <w:rFonts w:ascii="Times New Roman" w:hAnsi="Times New Roman"/>
          <w:i/>
          <w:color w:val="000000"/>
          <w:sz w:val="20"/>
        </w:rPr>
        <w:t>Product Revenue, Net</w:t>
      </w:r>
      <w:r>
        <w:rPr>
          <w:rFonts w:ascii="Times New Roman" w:hAnsi="Times New Roman"/>
          <w:color w:val="000000"/>
          <w:sz w:val="20"/>
        </w:rPr>
        <w:t xml:space="preserve"> section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was no license revenue or development revenue resulting from changes to estimated variable consideration in the current period relating to performance obligations satisfied or partially satisfied in previous periods for the three months ended June 30, 2024 under the AstraZeneca U.S./RoW Agreement through the agreement 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from the sales of roxadustat commercial product in China was as follows for the three and six months ended June 30, 2024 and 2023 (in thousands):</w:t>
      </w:r>
    </w:p>
    <w:p>
      <w:pPr>
        <w:pStyle w:val="TextBody"/>
        <w:bidi w:val="0"/>
        <w:jc w:val="left"/>
        <w:rPr/>
      </w:pPr>
      <w:r>
        <w:rPr/>
        <w:t> </w:t>
      </w:r>
    </w:p>
    <w:tbl>
      <w:tblPr>
        <w:tblW w:w="9189" w:type="dxa"/>
        <w:jc w:val="left"/>
        <w:tblInd w:w="0" w:type="dxa"/>
        <w:tblLayout w:type="fixed"/>
        <w:tblCellMar>
          <w:top w:w="28" w:type="dxa"/>
          <w:left w:w="28" w:type="dxa"/>
          <w:bottom w:w="28" w:type="dxa"/>
          <w:right w:w="28" w:type="dxa"/>
        </w:tblCellMar>
      </w:tblPr>
      <w:tblGrid>
        <w:gridCol w:w="3471"/>
        <w:gridCol w:w="146"/>
        <w:gridCol w:w="216"/>
        <w:gridCol w:w="756"/>
        <w:gridCol w:w="170"/>
        <w:gridCol w:w="149"/>
        <w:gridCol w:w="216"/>
        <w:gridCol w:w="756"/>
        <w:gridCol w:w="166"/>
        <w:gridCol w:w="146"/>
        <w:gridCol w:w="211"/>
        <w:gridCol w:w="736"/>
        <w:gridCol w:w="166"/>
        <w:gridCol w:w="146"/>
        <w:gridCol w:w="211"/>
        <w:gridCol w:w="736"/>
        <w:gridCol w:w="79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Sales:</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3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revenue</w:t>
            </w:r>
          </w:p>
        </w:tc>
        <w:tc>
          <w:tcPr>
            <w:tcW w:w="14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17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34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Discounts and rebates</w:t>
            </w:r>
          </w:p>
        </w:tc>
        <w:tc>
          <w:tcPr>
            <w:tcW w:w="146" w:type="dxa"/>
            <w:tcBorders/>
            <w:shd w:fill="CFF0FC" w:val="clear"/>
            <w:vAlign w:val="center"/>
          </w:tcPr>
          <w:p>
            <w:pPr>
              <w:pStyle w:val="TableContents"/>
              <w:bidi w:val="0"/>
              <w:spacing w:before="0" w:after="283"/>
              <w:jc w:val="center"/>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7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returns</w:t>
            </w:r>
          </w:p>
        </w:tc>
        <w:tc>
          <w:tcPr>
            <w:tcW w:w="146" w:type="dxa"/>
            <w:tcBorders/>
            <w:shd w:fill="FFFFFF" w:val="cle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Direct sales revenue, net</w:t>
            </w:r>
          </w:p>
        </w:tc>
        <w:tc>
          <w:tcPr>
            <w:tcW w:w="146" w:type="dxa"/>
            <w:tcBorders/>
            <w:shd w:fill="CFF0FC" w:val="cle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7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34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to Falikang:</w:t>
            </w:r>
          </w:p>
        </w:tc>
        <w:tc>
          <w:tcPr>
            <w:tcW w:w="14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3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transaction price</w:t>
            </w:r>
          </w:p>
        </w:tc>
        <w:tc>
          <w:tcPr>
            <w:tcW w:w="14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49,352</w:t>
            </w:r>
          </w:p>
        </w:tc>
        <w:tc>
          <w:tcPr>
            <w:tcW w:w="17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76,402</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34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Profit share</w:t>
            </w:r>
          </w:p>
        </w:tc>
        <w:tc>
          <w:tcPr>
            <w:tcW w:w="146" w:type="dxa"/>
            <w:tcBorders/>
            <w:shd w:fill="CFF0FC" w:val="cle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transaction price</w:t>
            </w:r>
          </w:p>
        </w:tc>
        <w:tc>
          <w:tcPr>
            <w:tcW w:w="14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27,955</w:t>
            </w:r>
          </w:p>
        </w:tc>
        <w:tc>
          <w:tcPr>
            <w:tcW w:w="17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 (increase) in deferred revenue</w:t>
            </w:r>
          </w:p>
        </w:tc>
        <w:tc>
          <w:tcPr>
            <w:tcW w:w="146" w:type="dxa"/>
            <w:tcBorders/>
            <w:shd w:fill="CFF0FC" w:val="cle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Sales to Falikang revenue, net</w:t>
            </w:r>
          </w:p>
        </w:tc>
        <w:tc>
          <w:tcPr>
            <w:tcW w:w="146" w:type="dxa"/>
            <w:tcBorders/>
            <w:shd w:fill="FFFFFF" w:val="cle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7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product revenue, net</w:t>
            </w:r>
          </w:p>
        </w:tc>
        <w:tc>
          <w:tcPr>
            <w:tcW w:w="146" w:type="dxa"/>
            <w:tcBorders/>
            <w:shd w:fill="CFF0FC" w:val="clear"/>
            <w:vAlign w:val="center"/>
          </w:tcPr>
          <w:p>
            <w:pPr>
              <w:pStyle w:val="TableContents"/>
              <w:bidi w:val="0"/>
              <w:spacing w:before="0" w:after="283"/>
              <w:jc w:val="center"/>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Direct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determined at the individual distributor level. The contract liabilities were included in accrued and other current liabilities in the condensed consolidated balance sheet and the rebates and discounts reflected as reductions to gross accounts receivable for direct sales were immaterial as of June 30, 2024 and December 31, 2023,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to Falikang – China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direct roxadustat product sales to distributors in China are made by Falikang. FibroGen Beijing manufactures and supplies commercial product to Falikang. The net transfer price for FibroGen Beijing’s product sales to Falikang is based on a gross transaction price, which is adjusted to account for the 50/50 profit share for the period.</w:t>
      </w:r>
    </w:p>
    <w:p>
      <w:pPr>
        <w:pStyle w:val="TextBody"/>
        <w:bidi w:val="0"/>
        <w:spacing w:before="240" w:after="283"/>
        <w:jc w:val="left"/>
        <w:rPr>
          <w:rFonts w:ascii="Times New Roman" w:hAnsi="Times New Roman"/>
          <w:sz w:val="20"/>
        </w:rPr>
      </w:pPr>
      <w:r>
        <w:rPr>
          <w:rFonts w:ascii="Times New Roman" w:hAnsi="Times New Roman"/>
          <w:color w:val="000000"/>
          <w:sz w:val="20"/>
        </w:rPr>
        <w:t>The roxadustat sales to Falikang marked the beginning of the Company’s China performance obligation under the Company’s agreements with AstraZeneca</w:t>
      </w:r>
      <w:r>
        <w:rPr>
          <w:rFonts w:ascii="Times New Roman" w:hAnsi="Times New Roman"/>
          <w:i/>
          <w:color w:val="000000"/>
          <w:sz w:val="20"/>
        </w:rPr>
        <w:t xml:space="preserve">. </w:t>
      </w:r>
      <w:r>
        <w:rPr>
          <w:rFonts w:ascii="Times New Roman" w:hAnsi="Times New Roman"/>
          <w:color w:val="000000"/>
          <w:sz w:val="20"/>
        </w:rPr>
        <w:t>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and is expected to continue through 2033, which reflects our best estimates. Any net transaction price in excess of the revenue recognized is added to the deferred balance to date and will be recognized in future periods as the performance obligation is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Periodically, the Company updates its assumptions such as gross transaction price and profit share, performance period, total sales quantity and other inputs including foreign currency translation impact, among others. Following updates to its estimates, the Company recognized $18.1 million and $20.6 million from the previously deferred revenue of the China performance obligation during the three and six months ended June 30, 2024, respectively. The product revenue recognized for the three months ended June 30, 2024 included an increase in revenue of $12.2 million resulting from changes to estimated variable consideration in the current period relating to performance obligation satisfied in previous periods. Comparatively, following updates to its estimates, the Company deferred $3.3 million and $1.2 million from the previously deferred revenue of the China performance obligation during three and six months ended June 30,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related deferred revenue that is considered as a contract liability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9"/>
        <w:gridCol w:w="146"/>
        <w:gridCol w:w="269"/>
        <w:gridCol w:w="1073"/>
        <w:gridCol w:w="166"/>
        <w:gridCol w:w="146"/>
        <w:gridCol w:w="211"/>
        <w:gridCol w:w="736"/>
        <w:gridCol w:w="166"/>
        <w:gridCol w:w="146"/>
        <w:gridCol w:w="352"/>
        <w:gridCol w:w="1133"/>
        <w:gridCol w:w="146"/>
        <w:gridCol w:w="146"/>
        <w:gridCol w:w="255"/>
        <w:gridCol w:w="691"/>
        <w:gridCol w:w="146"/>
        <w:gridCol w:w="146"/>
        <w:gridCol w:w="220"/>
        <w:gridCol w:w="879"/>
        <w:gridCol w:w="213"/>
      </w:tblGrid>
      <w:tr>
        <w:trPr/>
        <w:tc>
          <w:tcPr>
            <w:tcW w:w="2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br/>
              <w:t>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Product revenue - AstraZeneca China </w:t>
              <w:br/>
              <w:t>   performance obligation - deferred revenue</w:t>
            </w:r>
          </w:p>
        </w:tc>
        <w:tc>
          <w:tcPr>
            <w:tcW w:w="146" w:type="dxa"/>
            <w:tcBorders/>
            <w:shd w:fill="CFF0FC" w:val="clear"/>
            <w:vAlign w:val="center"/>
          </w:tcPr>
          <w:p>
            <w:pPr>
              <w:pStyle w:val="TableContents"/>
              <w:bidi w:val="0"/>
              <w:spacing w:before="0" w:after="283"/>
              <w:jc w:val="center"/>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Contract assets and liabilities related to rights and obligations in the same contract are recorded net on the condensed consolidated balance sheets. As of June 30, 2024, deferred revenue included $131.3 million related to China performance obligation, which represents the net of $158.6 million of deferred revenue presented above and a $27.3 million unbilled milestone and co-development revenue under the AstraZeneca China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approximately $3.4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Company’s legal right to offset, at each balance sheet date, the rebates and discounts, mainly related to profit sharing, are presented as reductions to gross accounts receivable from Falikang, which was $2.3 million and $3.0 million as of June 30, 2024 and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Drug 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product revenue from commercial-grade active pharmaceutical ingredient (“API”) or bulk drug product sales to Astellas and AstraZeneca was as follows for the three and six months ended June 30, 2024 and 2023 (in thousands):</w:t>
      </w:r>
    </w:p>
    <w:p>
      <w:pPr>
        <w:pStyle w:val="TextBody"/>
        <w:bidi w:val="0"/>
        <w:jc w:val="left"/>
        <w:rPr/>
      </w:pPr>
      <w:r>
        <w:rPr/>
        <w:t> </w:t>
      </w:r>
    </w:p>
    <w:tbl>
      <w:tblPr>
        <w:tblW w:w="8190" w:type="dxa"/>
        <w:jc w:val="left"/>
        <w:tblInd w:w="0" w:type="dxa"/>
        <w:tblLayout w:type="fixed"/>
        <w:tblCellMar>
          <w:top w:w="28" w:type="dxa"/>
          <w:left w:w="28" w:type="dxa"/>
          <w:bottom w:w="28" w:type="dxa"/>
          <w:right w:w="28" w:type="dxa"/>
        </w:tblCellMar>
      </w:tblPr>
      <w:tblGrid>
        <w:gridCol w:w="2911"/>
        <w:gridCol w:w="146"/>
        <w:gridCol w:w="241"/>
        <w:gridCol w:w="653"/>
        <w:gridCol w:w="189"/>
        <w:gridCol w:w="167"/>
        <w:gridCol w:w="241"/>
        <w:gridCol w:w="773"/>
        <w:gridCol w:w="146"/>
        <w:gridCol w:w="146"/>
        <w:gridCol w:w="211"/>
        <w:gridCol w:w="676"/>
        <w:gridCol w:w="166"/>
        <w:gridCol w:w="146"/>
        <w:gridCol w:w="211"/>
        <w:gridCol w:w="676"/>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w:t>
            </w:r>
          </w:p>
        </w:tc>
        <w:tc>
          <w:tcPr>
            <w:tcW w:w="4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89"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U.S./RoW Agreement</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1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FFFFFF" w:val="clear"/>
            <w:vAlign w:val="center"/>
          </w:tcPr>
          <w:p>
            <w:pPr>
              <w:pStyle w:val="TableContents"/>
              <w:bidi w:val="0"/>
              <w:spacing w:before="0" w:after="283"/>
              <w:jc w:val="center"/>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updates its estimate of variable consideration related to the API shipments fulfilled under the terms of Astellas Japan Amendment at each balance sheet date. As a result, the Company recorded a reduction to the drug product revenue of $0.4 million for the three months ended June 30, 2024. Specifically, the change in estimated variable consideration was based on the API held by Astellas at period end, adjusted to reflect foreign exchange impacts and the changes in the estimated bulk product strength mix intended to be manufactured by Astellas,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the Company updated its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2023, the Company fulfilled two shipment obligations under the terms of Astellas Japan Amendment and recognized related drug product revenue of $14.4 million in the same period. In addition, the Company updated its estimate of variable consideration related to the API shipments fulfilled under the terms of Astellas Japan Amendment, and accordingly recorded a reduction to the drug product revenue of $0.6 million. Specifically, the change in estimated variable consideration was based on the API held by Astellas at period end, adjusted to reflect the changes in the estimated bulk product strength mix intended to be manufactured by Astellas, and foreign exchange impacts,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2023, the Company updated its estimate of variable consideration related to the API shipments fulfilled under the terms of Astellas Japan Amendment, and accordingly recorded an adjustment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the balances related to the API price true-up under the Astellas Japan Agreement were $2.2 million in accrued liabilities and $0.6 million in other long-term liabilities, representing the Company’s best estimate of the timing for these amounts to be paid. As of December 31, 2023, the balances related to the API price true-up under the Astellas Japan Agreement were $1.2 million in accrued liabilities and $0.7 million in other long-term liabilities.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fourth quarter of 2023, the Company transferred bulk drug product for commercial purposes under the terms of the Astellas Europe Agreement and the Astellas EU Supply Agreement, and recognized the related fully-burdened manufacturing costs of $0.8 million as drug product revenue, and recorded $17.7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2023, the Company reclassified $38.7 million from the related deferred revenue to accrued liabilities. As of December 31, 2023, the related balance in accrued liabilities was $38.6 million. The Company further reclassified $5.4 million from the related deferred revenue to accrued liabilities and paid $35.3 million to Astellas during the six months ended June 30, 2024. As of June 30, 2024, the balances related to the bulk drug product price true-up under the Astellas Europe Agreement and the Astellas EU Supply Agreement were $8.8 million in accrued liabilities, representing the Company’s best estimate that these amounts will be paid within the next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royalty revenue of $1.1 million and $0.5 million as drug product revenue from the deferred revenue under the Astellas Europe Agreement during the three months ended June 30, 2024 and 2023, and $2.1 million and $0.8 million for the six months ended June 30, 2024 and 2023, respectively. It is the Company’s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includes a roll-forward of the above-mentioned deferred revenues that are considered as contract liabilities related to drug product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7"/>
        <w:gridCol w:w="146"/>
        <w:gridCol w:w="283"/>
        <w:gridCol w:w="989"/>
        <w:gridCol w:w="166"/>
        <w:gridCol w:w="146"/>
        <w:gridCol w:w="386"/>
        <w:gridCol w:w="1047"/>
        <w:gridCol w:w="146"/>
        <w:gridCol w:w="146"/>
        <w:gridCol w:w="719"/>
        <w:gridCol w:w="1949"/>
        <w:gridCol w:w="146"/>
        <w:gridCol w:w="146"/>
        <w:gridCol w:w="252"/>
        <w:gridCol w:w="755"/>
        <w:gridCol w:w="296"/>
      </w:tblGrid>
      <w:tr>
        <w:trPr/>
        <w:tc>
          <w:tcPr>
            <w:tcW w:w="2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4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to Accrued Liability / Accounts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 deferred revenue:</w:t>
            </w:r>
          </w:p>
        </w:tc>
        <w:tc>
          <w:tcPr>
            <w:tcW w:w="146" w:type="dxa"/>
            <w:tcBorders/>
            <w:shd w:fill="CFF0FC" w:val="clear"/>
            <w:vAlign w:val="center"/>
          </w:tcPr>
          <w:p>
            <w:pPr>
              <w:pStyle w:val="TableContents"/>
              <w:bidi w:val="0"/>
              <w:spacing w:before="0" w:after="283"/>
              <w:jc w:val="center"/>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6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48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FFFFFF" w:val="clear"/>
            <w:vAlign w:val="center"/>
          </w:tcPr>
          <w:p>
            <w:pPr>
              <w:pStyle w:val="TableContents"/>
              <w:bidi w:val="0"/>
              <w:spacing w:before="0" w:after="283"/>
              <w:jc w:val="center"/>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AstraZeneca U.S./RoW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under </w:t>
      </w:r>
      <w:r>
        <w:rPr>
          <w:rFonts w:ascii="Times New Roman" w:hAnsi="Times New Roman"/>
          <w:i/>
          <w:color w:val="000000"/>
          <w:sz w:val="20"/>
        </w:rPr>
        <w:t xml:space="preserve">AstraZeneca Agreements </w:t>
      </w:r>
      <w:r>
        <w:rPr>
          <w:rFonts w:ascii="Times New Roman" w:hAnsi="Times New Roman"/>
          <w:color w:val="000000"/>
          <w:sz w:val="20"/>
        </w:rPr>
        <w:t>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ASC 606 and recorded a cumulative catch-up net adjustment of $25.7 million to the drug product revenue. The related accounts receivable of $26.0 million and the related accrued liabilities of $11.5 million as of March 31, 2024 were settled during the three months ended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Corresponding to the drug product revenue, during the three months ended March 31, 2024, the Company recorded the related cost of goods sold of $21.1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Eluminex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FibroGen exclusively licensed to Eluminex Biosciences (Suzhou) Limited (“Eluminex”) global rights to its investigational biosynthetic cornea derived from recombinant human collagen Type III.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agreement with Eluminex, as amended and restated in January 2022, Eluminex made an $8.0 million upfront payment to FibroGen during the first quarter of 2022.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mid-single-digit to low double-digit royalties based upon worldwide net sales of cornea products, and low single-digit to mid-single-digit royalties based upon worldwide net sales of other recombinant human collagen type III products that are not cornea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first quarter of 2023, the Company recognized a $3.0 million milestone payment based on Eluminex implanting a biosynthetic cornea in the first patient of its clinical trial in China, and a $3.0 million manufacturing related milestone payment. During the second quarter of 2023, the Company recognized a $1.0 million upfront payment under the A&amp;R Eluminex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which occurred by the end of 2023. The related contract manufacturing revenue was recorded as other revenue and included in development and other revenue in the condensed consolidated statement of operations. Such contract manufacturing activity was generally ceased during the first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recognized as revenue under the agreements with Eluminex were as follows for the three and six months ended June 30, 2024 and 2023 (in thousands):</w:t>
      </w:r>
    </w:p>
    <w:p>
      <w:pPr>
        <w:pStyle w:val="TextBody"/>
        <w:bidi w:val="0"/>
        <w:jc w:val="left"/>
        <w:rPr/>
      </w:pPr>
      <w:r>
        <w:rPr/>
        <w:t> </w:t>
      </w:r>
    </w:p>
    <w:tbl>
      <w:tblPr>
        <w:tblW w:w="9310" w:type="dxa"/>
        <w:jc w:val="left"/>
        <w:tblInd w:w="0" w:type="dxa"/>
        <w:tblLayout w:type="fixed"/>
        <w:tblCellMar>
          <w:top w:w="28" w:type="dxa"/>
          <w:left w:w="28" w:type="dxa"/>
          <w:bottom w:w="28" w:type="dxa"/>
          <w:right w:w="28" w:type="dxa"/>
        </w:tblCellMar>
      </w:tblPr>
      <w:tblGrid>
        <w:gridCol w:w="916"/>
        <w:gridCol w:w="146"/>
        <w:gridCol w:w="3286"/>
        <w:gridCol w:w="146"/>
        <w:gridCol w:w="293"/>
        <w:gridCol w:w="480"/>
        <w:gridCol w:w="202"/>
        <w:gridCol w:w="202"/>
        <w:gridCol w:w="293"/>
        <w:gridCol w:w="793"/>
        <w:gridCol w:w="146"/>
        <w:gridCol w:w="146"/>
        <w:gridCol w:w="256"/>
        <w:gridCol w:w="511"/>
        <w:gridCol w:w="177"/>
        <w:gridCol w:w="177"/>
        <w:gridCol w:w="256"/>
        <w:gridCol w:w="693"/>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Eluminex</w:t>
            </w:r>
          </w:p>
        </w:tc>
        <w:tc>
          <w:tcPr>
            <w:tcW w:w="146" w:type="dxa"/>
            <w:tcBorders/>
            <w:shd w:fill="CFF0FC" w:val="clear"/>
            <w:vAlign w:val="center"/>
          </w:tcPr>
          <w:p>
            <w:pPr>
              <w:pStyle w:val="TableContents"/>
              <w:bidi w:val="0"/>
              <w:spacing w:before="0" w:after="283"/>
              <w:jc w:val="left"/>
              <w:rPr/>
            </w:pPr>
            <w:r>
              <w:rPr/>
              <w:t> </w:t>
            </w:r>
          </w:p>
        </w:tc>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 - contract manufacturing</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Variable Interest Entities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Variable Interest Entity - Fortis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May 5, 2023 (the “Option Acquisition Date”), the Company entered into an exclusive option agreement to acquire Fortis Therapeutics, Inc. (“Fortis”) with its novel Phase 1 antibody-drug conjugate, FOR46 (now referred to as “FG-3246”), that targets a novel epitope on CD46 preferentially expressed on certain cancer cells. FG-3246 is in development for the treatment of metastatic castration-resistant prostate cancer with potential applicability in other solid tumors and hematologic malignancies. If FibroGen exercises the option to acquire Fortis, it will pay Fortis an </w:t>
      </w:r>
      <w:r>
        <w:rPr>
          <w:rFonts w:ascii="Times New Roman" w:hAnsi="Times New Roman"/>
          <w:color w:val="212529"/>
          <w:sz w:val="20"/>
        </w:rPr>
        <w:t xml:space="preserve">option exercise payment </w:t>
      </w:r>
      <w:r>
        <w:rPr>
          <w:rFonts w:ascii="Times New Roman" w:hAnsi="Times New Roman"/>
          <w:color w:val="000000"/>
          <w:sz w:val="20"/>
        </w:rPr>
        <w:t xml:space="preserve">of $80.0 million, and thereafter, legacy Fortis shareholders would be eligible to receive from FibroGen up to $200.0 million in contingent payments associated with the achievement of various regulatory approvals. If FibroGen acquires Fortis, it would also be responsible to pay the University of California, San Francisco, an upstream licensor to Fortis, development milestone fees and a single digit royalty on net sales of therapeutic or diagnostic products arising from the </w:t>
      </w:r>
      <w:r>
        <w:rPr>
          <w:rFonts w:ascii="Times New Roman" w:hAnsi="Times New Roman"/>
          <w:color w:val="212529"/>
          <w:sz w:val="20"/>
        </w:rPr>
        <w:t>licensing arrangement between Fortis and University of California, San Francisco</w:t>
      </w:r>
      <w:r>
        <w:rPr>
          <w:rFonts w:ascii="Times New Roman" w:hAnsi="Times New Roman"/>
          <w:color w:val="000000"/>
          <w:sz w:val="20"/>
        </w:rPr>
        <w:t xml:space="preserve">. If FibroGen chooses not to acquire Fortis, its exclusive license to FG-3246 would expire.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As part of the clinical development strategy, FibroGen will continue the work to develop a PET-based biomarker utilizing a radiolabeled version of the targeting antibody for patient selection. Additionally, the Company is obligated to make four quarterly payments totaling $5.4 million to Fortis in support of its continued development obligations, of which the last payment was $1.7 million and made during the three months ended March 31,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guidance under ASC 810, </w:t>
      </w:r>
      <w:r>
        <w:rPr>
          <w:rFonts w:ascii="Times New Roman" w:hAnsi="Times New Roman"/>
          <w:i/>
          <w:color w:val="000000"/>
          <w:sz w:val="20"/>
        </w:rPr>
        <w:t>Consolidation</w:t>
      </w:r>
      <w:r>
        <w:rPr>
          <w:rFonts w:ascii="Times New Roman" w:hAnsi="Times New Roman"/>
          <w:color w:val="000000"/>
          <w:sz w:val="20"/>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Fortis has authorized and issued common shares and Series A preferred shares. As of the Option Acquisition Date and June 30, 2024, the Company owned approximately 2% of Fortis’ Series A preferred shares, which was acquired previously and carried at zero cost. The non-controlling interests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shareholders upon occurrence of certain events out of the Company’s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Option Acquisition Date, Fortis’ net income is allocated to its common shares and preferred shares based on their respective stated rights. Fortis’ net loss is allocated to its common shares only as the holders of preferred shares do not have a contractual obligation to absorb such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total assets and liabilities of Fortis were immaterial. For the three months ended June 30, 2024, Fortis’ net income (losses) was immaterial.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method investment - Unconsolidated VIE - Falikang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Falikang is a distribution entity jointly owned by AstraZeneca and FibroGen Beijing. FibroGen Beijing owns 51.1% of the outstanding shares of Falikang.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guidance under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there have been no such loans.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equity method investment in Falikang was as follows (in thousands):</w:t>
      </w:r>
    </w:p>
    <w:p>
      <w:pPr>
        <w:pStyle w:val="TextBody"/>
        <w:bidi w:val="0"/>
        <w:jc w:val="left"/>
        <w:rPr/>
      </w:pPr>
      <w:r>
        <w:rPr/>
        <w:t> </w:t>
      </w:r>
    </w:p>
    <w:tbl>
      <w:tblPr>
        <w:tblW w:w="9392" w:type="dxa"/>
        <w:jc w:val="left"/>
        <w:tblInd w:w="0" w:type="dxa"/>
        <w:tblLayout w:type="fixed"/>
        <w:tblCellMar>
          <w:top w:w="28" w:type="dxa"/>
          <w:left w:w="28" w:type="dxa"/>
          <w:bottom w:w="28" w:type="dxa"/>
          <w:right w:w="28" w:type="dxa"/>
        </w:tblCellMar>
      </w:tblPr>
      <w:tblGrid>
        <w:gridCol w:w="841"/>
        <w:gridCol w:w="146"/>
        <w:gridCol w:w="414"/>
        <w:gridCol w:w="1326"/>
        <w:gridCol w:w="271"/>
        <w:gridCol w:w="146"/>
        <w:gridCol w:w="403"/>
        <w:gridCol w:w="1097"/>
        <w:gridCol w:w="146"/>
        <w:gridCol w:w="146"/>
        <w:gridCol w:w="429"/>
        <w:gridCol w:w="1161"/>
        <w:gridCol w:w="146"/>
        <w:gridCol w:w="146"/>
        <w:gridCol w:w="288"/>
        <w:gridCol w:w="658"/>
        <w:gridCol w:w="166"/>
        <w:gridCol w:w="146"/>
        <w:gridCol w:w="303"/>
        <w:gridCol w:w="822"/>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of 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Falikang</w:t>
            </w:r>
          </w:p>
        </w:tc>
        <w:tc>
          <w:tcPr>
            <w:tcW w:w="146" w:type="dxa"/>
            <w:tcBorders/>
            <w:shd w:fill="CFF0FC" w:val="clear"/>
            <w:vAlign w:val="center"/>
          </w:tcPr>
          <w:p>
            <w:pPr>
              <w:pStyle w:val="TableContents"/>
              <w:bidi w:val="0"/>
              <w:spacing w:before="0" w:after="283"/>
              <w:jc w:val="center"/>
              <w:rPr/>
            </w:pPr>
            <w:r>
              <w:rPr/>
              <w:t> </w:t>
            </w:r>
          </w:p>
        </w:tc>
        <w:tc>
          <w:tcPr>
            <w:tcW w:w="414" w:type="dxa"/>
            <w:tcBorders/>
            <w:shd w:fill="CFF0FC" w:val="clear"/>
            <w:vAlign w:val="center"/>
          </w:tcPr>
          <w:p>
            <w:pPr>
              <w:pStyle w:val="TableContents"/>
              <w:bidi w:val="0"/>
              <w:spacing w:before="0" w:after="283"/>
              <w:jc w:val="left"/>
              <w:rPr/>
            </w:pPr>
            <w:r>
              <w:rPr/>
              <w:t> </w:t>
            </w:r>
          </w:p>
        </w:tc>
        <w:tc>
          <w:tcPr>
            <w:tcW w:w="13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Falikang is considered a related party to the Company. See Note 9, </w:t>
      </w:r>
      <w:r>
        <w:rPr>
          <w:rFonts w:ascii="Times New Roman" w:hAnsi="Times New Roman"/>
          <w:i/>
          <w:color w:val="000000"/>
          <w:sz w:val="20"/>
        </w:rPr>
        <w:t>Related Party Transactions</w:t>
      </w:r>
      <w:r>
        <w:rPr>
          <w:rFonts w:ascii="Times New Roman" w:hAnsi="Times New Roman"/>
          <w:color w:val="000000"/>
          <w:sz w:val="20"/>
        </w:rPr>
        <w:t>, for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assets that are measured on a recurring basis are as follows (in thousands):</w:t>
      </w:r>
    </w:p>
    <w:tbl>
      <w:tblPr>
        <w:tblW w:w="6925" w:type="dxa"/>
        <w:jc w:val="left"/>
        <w:tblInd w:w="0" w:type="dxa"/>
        <w:tblLayout w:type="fixed"/>
        <w:tblCellMar>
          <w:top w:w="28" w:type="dxa"/>
          <w:left w:w="28" w:type="dxa"/>
          <w:bottom w:w="28" w:type="dxa"/>
          <w:right w:w="28" w:type="dxa"/>
        </w:tblCellMar>
      </w:tblPr>
      <w:tblGrid>
        <w:gridCol w:w="2011"/>
        <w:gridCol w:w="146"/>
        <w:gridCol w:w="211"/>
        <w:gridCol w:w="676"/>
        <w:gridCol w:w="146"/>
        <w:gridCol w:w="146"/>
        <w:gridCol w:w="211"/>
        <w:gridCol w:w="781"/>
        <w:gridCol w:w="146"/>
        <w:gridCol w:w="146"/>
        <w:gridCol w:w="239"/>
        <w:gridCol w:w="39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52,869</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21,891</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88,289</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47,791</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172,190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months ended June 30, 2024. During the three months ended March 31, 2024, a total of $26.3 million of U.S. treasury notes and bills were transferred from Level 1 to Level 2 as such instruments were changed to off-the-run when they were issued before the most recent issue and were still outstanding at measurement day.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consisted of the following (in thousands):</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901"/>
        <w:gridCol w:w="146"/>
        <w:gridCol w:w="239"/>
        <w:gridCol w:w="886"/>
        <w:gridCol w:w="146"/>
        <w:gridCol w:w="146"/>
        <w:gridCol w:w="319"/>
        <w:gridCol w:w="1181"/>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center"/>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63,396</w:t>
            </w:r>
          </w:p>
        </w:tc>
        <w:tc>
          <w:tcPr>
            <w:tcW w:w="39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36,016</w:t>
            </w:r>
          </w:p>
        </w:tc>
        <w:tc>
          <w:tcPr>
            <w:tcW w:w="391" w:type="dxa"/>
            <w:tcBorders/>
            <w:shd w:fill="FFFFFF" w:val="clear"/>
            <w:vAlign w:val="center"/>
          </w:tcPr>
          <w:p>
            <w:pPr>
              <w:pStyle w:val="TableContents"/>
              <w:bidi w:val="0"/>
              <w:spacing w:before="0" w:after="283"/>
              <w:jc w:val="left"/>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w:t>
            </w:r>
          </w:p>
        </w:tc>
        <w:tc>
          <w:tcPr>
            <w:tcW w:w="39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391" w:type="dxa"/>
            <w:tcBorders/>
            <w:shd w:fill="FFFFFF" w:val="clear"/>
            <w:vAlign w:val="center"/>
          </w:tcPr>
          <w:p>
            <w:pPr>
              <w:pStyle w:val="TableContents"/>
              <w:bidi w:val="0"/>
              <w:spacing w:before="0" w:after="283"/>
              <w:jc w:val="left"/>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vAlign w:val="center"/>
          </w:tcPr>
          <w:p>
            <w:pPr>
              <w:pStyle w:val="TableContents"/>
              <w:bidi w:val="0"/>
              <w:spacing w:before="0" w:after="283"/>
              <w:jc w:val="center"/>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June 30, 2024 and December 31, 2023, a total of $39.3 million and $32.2 million of the Company’s cash and cash equivalents were held outside of the U.S. in its foreign subsidiaries to be used primarily for its China operations,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short-term or long-term investments as of June 30, 2024. As of December 31, 2023, the Company’s investments consist primarily of available-for-sale debt investments, and the amortized cost, gross unrealized holding gains or losses, and fair value of the Company’s investments by major investments type are summarized in the tables below (in thousands):</w:t>
      </w:r>
    </w:p>
    <w:p>
      <w:pPr>
        <w:pStyle w:val="TextBody"/>
        <w:bidi w:val="0"/>
        <w:jc w:val="left"/>
        <w:rPr/>
      </w:pPr>
      <w:r>
        <w:rPr/>
        <w:t> </w:t>
      </w:r>
    </w:p>
    <w:tbl>
      <w:tblPr>
        <w:tblW w:w="8381" w:type="dxa"/>
        <w:jc w:val="left"/>
        <w:tblInd w:w="0" w:type="dxa"/>
        <w:tblLayout w:type="fixed"/>
        <w:tblCellMar>
          <w:top w:w="28" w:type="dxa"/>
          <w:left w:w="28" w:type="dxa"/>
          <w:bottom w:w="28" w:type="dxa"/>
          <w:right w:w="28" w:type="dxa"/>
        </w:tblCellMar>
      </w:tblPr>
      <w:tblGrid>
        <w:gridCol w:w="2011"/>
        <w:gridCol w:w="146"/>
        <w:gridCol w:w="265"/>
        <w:gridCol w:w="980"/>
        <w:gridCol w:w="146"/>
        <w:gridCol w:w="146"/>
        <w:gridCol w:w="510"/>
        <w:gridCol w:w="840"/>
        <w:gridCol w:w="146"/>
        <w:gridCol w:w="146"/>
        <w:gridCol w:w="510"/>
        <w:gridCol w:w="840"/>
        <w:gridCol w:w="16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13,992</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52,273</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45,803</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for all available for sale securities in an unrealized loss position as of December 31, 2023, the fair value and gross unrealized loss by length of time the security has been in a continual unrealized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5"/>
        <w:gridCol w:w="146"/>
        <w:gridCol w:w="234"/>
        <w:gridCol w:w="636"/>
        <w:gridCol w:w="146"/>
        <w:gridCol w:w="146"/>
        <w:gridCol w:w="468"/>
        <w:gridCol w:w="772"/>
        <w:gridCol w:w="166"/>
        <w:gridCol w:w="146"/>
        <w:gridCol w:w="234"/>
        <w:gridCol w:w="636"/>
        <w:gridCol w:w="146"/>
        <w:gridCol w:w="146"/>
        <w:gridCol w:w="468"/>
        <w:gridCol w:w="772"/>
        <w:gridCol w:w="166"/>
        <w:gridCol w:w="146"/>
        <w:gridCol w:w="211"/>
        <w:gridCol w:w="676"/>
        <w:gridCol w:w="146"/>
        <w:gridCol w:w="146"/>
        <w:gridCol w:w="468"/>
        <w:gridCol w:w="772"/>
        <w:gridCol w:w="417"/>
      </w:tblGrid>
      <w:tr>
        <w:trPr/>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color w:val="000000"/>
              </w:rPr>
            </w:pPr>
            <w:r>
              <w:rPr>
                <w:color w:val="000000"/>
              </w:rPr>
              <w:t>—</w:t>
            </w:r>
          </w:p>
        </w:tc>
        <w:tc>
          <w:tcPr>
            <w:tcW w:w="417" w:type="dxa"/>
            <w:tcBorders/>
            <w:shd w:fill="FFFFFF" w:val="clear"/>
            <w:vAlign w:val="center"/>
          </w:tcPr>
          <w:p>
            <w:pPr>
              <w:pStyle w:val="TableContents"/>
              <w:bidi w:val="0"/>
              <w:spacing w:before="0" w:after="283"/>
              <w:jc w:val="left"/>
              <w:rPr/>
            </w:pPr>
            <w:r>
              <w:rPr/>
              <w:t> </w:t>
            </w:r>
          </w:p>
        </w:tc>
      </w:tr>
      <w:tr>
        <w:trPr/>
        <w:tc>
          <w:tcPr>
            <w:tcW w:w="17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impairment for its available-for-sale investments during the three and six months ended June 30, 2024 and 2023.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consisted of the following (in thousands):</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1716"/>
        <w:gridCol w:w="146"/>
        <w:gridCol w:w="267"/>
        <w:gridCol w:w="858"/>
        <w:gridCol w:w="146"/>
        <w:gridCol w:w="146"/>
        <w:gridCol w:w="357"/>
        <w:gridCol w:w="1143"/>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391" w:type="dxa"/>
            <w:tcBorders/>
            <w:shd w:fill="CFF0FC"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34,614</w:t>
            </w:r>
          </w:p>
        </w:tc>
        <w:tc>
          <w:tcPr>
            <w:tcW w:w="391" w:type="dxa"/>
            <w:tcBorders/>
            <w:shd w:fill="FFFFFF" w:val="clear"/>
            <w:vAlign w:val="center"/>
          </w:tcPr>
          <w:p>
            <w:pPr>
              <w:pStyle w:val="TableContents"/>
              <w:bidi w:val="0"/>
              <w:spacing w:before="0" w:after="283"/>
              <w:jc w:val="left"/>
              <w:rPr/>
            </w:pPr>
            <w:r>
              <w:rPr/>
              <w:t> </w:t>
            </w:r>
          </w:p>
        </w:tc>
      </w:tr>
      <w:tr>
        <w:trPr/>
        <w:tc>
          <w:tcPr>
            <w:tcW w:w="1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As described under Note 2,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above, resulting from the AstraZeneca Termination and Transition Agreement related to the AstraZeneca U.S./RoW Agreement, the Company was reimbursed $12.6 million for work-in-progress inventory, which was written off and recognized as cost of goods sold during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8010" w:type="dxa"/>
        <w:jc w:val="left"/>
        <w:tblInd w:w="0" w:type="dxa"/>
        <w:tblLayout w:type="fixed"/>
        <w:tblCellMar>
          <w:top w:w="28" w:type="dxa"/>
          <w:left w:w="28" w:type="dxa"/>
          <w:bottom w:w="28" w:type="dxa"/>
          <w:right w:w="28" w:type="dxa"/>
        </w:tblCellMar>
      </w:tblPr>
      <w:tblGrid>
        <w:gridCol w:w="4516"/>
        <w:gridCol w:w="146"/>
        <w:gridCol w:w="250"/>
        <w:gridCol w:w="875"/>
        <w:gridCol w:w="166"/>
        <w:gridCol w:w="146"/>
        <w:gridCol w:w="334"/>
        <w:gridCol w:w="1166"/>
        <w:gridCol w:w="4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26,481</w:t>
            </w:r>
          </w:p>
        </w:tc>
        <w:tc>
          <w:tcPr>
            <w:tcW w:w="41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 from associated contracts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contract assets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proceeds receivable for litigation settlement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41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41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unbilled contract assets as of June 30, 2024 and December 31, 2023 included $23.3 million and $22.5 million, respectively, related to unbilled co-development revenue under the AstraZeneca China Amendment. In addition, the unbilled contract assets as of June 30, 2024 and December 31, 2023 each included the $4.0 million unbilled regulatory milestone payment under the AstraZeneca China Agreement. See the </w:t>
      </w:r>
      <w:r>
        <w:rPr>
          <w:rFonts w:ascii="Times New Roman" w:hAnsi="Times New Roman"/>
          <w:i/>
          <w:color w:val="000000"/>
          <w:sz w:val="20"/>
        </w:rPr>
        <w:t xml:space="preserve">AstraZeneca China Agreement </w:t>
      </w:r>
      <w:r>
        <w:rPr>
          <w:rFonts w:ascii="Times New Roman" w:hAnsi="Times New Roman"/>
          <w:color w:val="000000"/>
          <w:sz w:val="20"/>
        </w:rPr>
        <w:t xml:space="preserve">section in Note 2, </w:t>
      </w:r>
      <w:r>
        <w:rPr>
          <w:rFonts w:ascii="Times New Roman" w:hAnsi="Times New Roman"/>
          <w:i/>
          <w:color w:val="000000"/>
          <w:sz w:val="20"/>
        </w:rPr>
        <w:t>Collaboration Agreements, License Agreement and Revenues</w:t>
      </w:r>
      <w:r>
        <w:rPr>
          <w:rFonts w:ascii="Times New Roman" w:hAnsi="Times New Roman"/>
          <w:color w:val="000000"/>
          <w:sz w:val="20"/>
        </w:rPr>
        <w:t>,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each of June 30, 2024 and December 31, 2023,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See the </w:t>
      </w:r>
      <w:r>
        <w:rPr>
          <w:rFonts w:ascii="Times New Roman" w:hAnsi="Times New Roman"/>
          <w:i/>
          <w:color w:val="000000"/>
          <w:sz w:val="20"/>
        </w:rPr>
        <w:t>Accrued and Other Current Liabilities</w:t>
      </w:r>
      <w:r>
        <w:rPr>
          <w:rFonts w:ascii="Times New Roman" w:hAnsi="Times New Roman"/>
          <w:color w:val="000000"/>
          <w:sz w:val="20"/>
        </w:rPr>
        <w:t xml:space="preserve"> section below, and the </w:t>
      </w:r>
      <w:r>
        <w:rPr>
          <w:rFonts w:ascii="Times New Roman" w:hAnsi="Times New Roman"/>
          <w:i/>
          <w:color w:val="000000"/>
          <w:sz w:val="20"/>
        </w:rPr>
        <w:t xml:space="preserve">Legal Proceedings and Other Matters </w:t>
      </w:r>
      <w:r>
        <w:rPr>
          <w:rFonts w:ascii="Times New Roman" w:hAnsi="Times New Roman"/>
          <w:color w:val="000000"/>
          <w:sz w:val="20"/>
        </w:rPr>
        <w:t xml:space="preserve">section in Note 10, </w:t>
      </w:r>
      <w:r>
        <w:rPr>
          <w:rFonts w:ascii="Times New Roman" w:hAnsi="Times New Roman"/>
          <w:i/>
          <w:color w:val="000000"/>
          <w:sz w:val="20"/>
        </w:rPr>
        <w:t>Commitments and Contingencies</w:t>
      </w:r>
      <w:r>
        <w:rPr>
          <w:rFonts w:ascii="Times New Roman" w:hAnsi="Times New Roman"/>
          <w:color w:val="000000"/>
          <w:sz w:val="20"/>
        </w:rPr>
        <w:t>, for details.</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tbl>
      <w:tblPr>
        <w:tblW w:w="8420" w:type="dxa"/>
        <w:jc w:val="left"/>
        <w:tblInd w:w="0" w:type="dxa"/>
        <w:tblLayout w:type="fixed"/>
        <w:tblCellMar>
          <w:top w:w="28" w:type="dxa"/>
          <w:left w:w="28" w:type="dxa"/>
          <w:bottom w:w="28" w:type="dxa"/>
          <w:right w:w="28" w:type="dxa"/>
        </w:tblCellMar>
      </w:tblPr>
      <w:tblGrid>
        <w:gridCol w:w="4966"/>
        <w:gridCol w:w="146"/>
        <w:gridCol w:w="239"/>
        <w:gridCol w:w="886"/>
        <w:gridCol w:w="146"/>
        <w:gridCol w:w="146"/>
        <w:gridCol w:w="319"/>
        <w:gridCol w:w="1181"/>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clinical trial accruals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27,663</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API and bulk drug product price true-up</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50,978</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settlement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accruals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20,267</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cost related</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co-promotion expenses - current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Roxadustat profit share to AstraZeneca</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taxes and other taxes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7,103</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liability related to sale of future revenues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172,891</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The accrued liabilities of $11.0 million and $51.0 million for API and bulk drug product price true-up as of June 30, 2024 and December 31, 2023, respectively,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During the three months ended June 30, 2024, the Company paid $35.3 million to Astellas and $11.5 million to AstraZeneca related to accrued amounts. See the </w:t>
      </w:r>
      <w:r>
        <w:rPr>
          <w:rFonts w:ascii="Times New Roman" w:hAnsi="Times New Roman"/>
          <w:i/>
          <w:color w:val="000000"/>
          <w:sz w:val="20"/>
        </w:rPr>
        <w:t xml:space="preserve">Drug Product Revenue, Net </w:t>
      </w:r>
      <w:r>
        <w:rPr>
          <w:rFonts w:ascii="Times New Roman" w:hAnsi="Times New Roman"/>
          <w:color w:val="000000"/>
          <w:sz w:val="20"/>
        </w:rPr>
        <w:t xml:space="preserve">section in Note 2,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2024 and December 31, 2023, the accrued litigation settlement of $28.5 million was related to the Company’s agreement in principle with plaintiffs to settle the class action lawsuit, as mentioned above. See the </w:t>
      </w:r>
      <w:r>
        <w:rPr>
          <w:rFonts w:ascii="Times New Roman" w:hAnsi="Times New Roman"/>
          <w:i/>
          <w:color w:val="000000"/>
          <w:sz w:val="20"/>
        </w:rPr>
        <w:t>Legal Proceedings and Other Matters</w:t>
      </w:r>
      <w:r>
        <w:rPr>
          <w:rFonts w:ascii="Times New Roman" w:hAnsi="Times New Roman"/>
          <w:color w:val="000000"/>
          <w:sz w:val="20"/>
        </w:rPr>
        <w:t xml:space="preserve"> section in Note 10, </w:t>
      </w:r>
      <w:r>
        <w:rPr>
          <w:rFonts w:ascii="Times New Roman" w:hAnsi="Times New Roman"/>
          <w:i/>
          <w:color w:val="000000"/>
          <w:sz w:val="20"/>
        </w:rPr>
        <w:t>Commitments and Contingencies</w:t>
      </w:r>
      <w:r>
        <w:rPr>
          <w:rFonts w:ascii="Times New Roman" w:hAnsi="Times New Roman"/>
          <w:color w:val="000000"/>
          <w:sz w:val="20"/>
        </w:rPr>
        <w:t>,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recorded an accrued inventory related cost of $8.5 million as of June 30, 2024, as part of the cost of goods sold resulting from the AstraZeneca Termination and Transition Agreement, discussed under Note 2, </w:t>
      </w:r>
      <w:r>
        <w:rPr>
          <w:rFonts w:ascii="Times New Roman" w:hAnsi="Times New Roman"/>
          <w:i/>
          <w:color w:val="000000"/>
          <w:sz w:val="20"/>
        </w:rPr>
        <w:t>Collaboration Agreements, License Agreement and Revenues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Senior Secured Term Loan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29,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 million initial term loan (the “Initial Term Loan”), (ii) a $37.5 million delayed draw term loan that will be funded upon the achievement of certain clinical development milestones (“Delayed Draw Term Loan 1”) and, (iii) an uncommitted delayed draw term loan of up to $37.5 million to be funded at the Lenders sole discretion, (“Delayed Draw Term Loan 2” and, together with the Initial Term Loan and Delayed Draw Term Loan 1, the “Term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Financing Agreement, the Lenders have funded the Initial Term Loan. The clinical development milestones which could have triggered Delayed Draw Term Loan 1 were not achieved, and the Lenders have not funded Delayed Draw Term Loan 2. As such, these features expired during 2023. The Company has determined that certain other features embedded within the Loan should be bifurcated and accounted for separately as a derivative. At inception and as of June 30, 2024, the fair values of such derivatives were negligible due to the low probability of the underlying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the three and six months ended June 30, 2024 and 2023. The Company recorded interest expense of $2.9 million and $5.8 million, respectively, for the three and six months ended June 30, 2024. The Company recorded interest expense of $1.7 million for the three and six months ended June 30, 2023. As of June 30, 2024, the related accrued interest was $0.4 million. The Company was in compliance with all debt covenants associated with the senior secured term loan facilities as of June 30, 2024, including maintaining a minimum balance of $30 million of unrestricted cash and cash equivalents held in accounts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senior secured term loan facilities as of June 30, 2024 were as follows (in thousands):</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5891"/>
        <w:gridCol w:w="146"/>
        <w:gridCol w:w="267"/>
        <w:gridCol w:w="858"/>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senior secured term loan facilities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Unamortized issuance costs and transaction costs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facilities, ending balance</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Current Portion classified to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facilities, non-current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Liability Related to Sale of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NovaQuest will retain this entitlement until it has reached the Payment Cap, at which point 100% of such revenue interest on future global net sales of Astellas will revert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15.63% as of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of the liability related to sale of future revenues for the six months ended June 30, 2024:</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5891"/>
        <w:gridCol w:w="146"/>
        <w:gridCol w:w="346"/>
        <w:gridCol w:w="1109"/>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beginning balance</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57,067</w:t>
            </w:r>
          </w:p>
        </w:tc>
        <w:tc>
          <w:tcPr>
            <w:tcW w:w="291" w:type="dxa"/>
            <w:tcBorders/>
            <w:shd w:fill="CFF0FC"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recognized</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 ending balance</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8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Current portion classified to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revenues, non-current</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During the three and six months ended June 30, 2024, the Company recognized, under Astellas Agreements, development revenue of $0.3 million and $0.6 million, respectively, and drug product revenue of $0.7 million and $(0.5) million, respectively. See Note 2, </w:t>
      </w:r>
      <w:r>
        <w:rPr>
          <w:rFonts w:ascii="Times New Roman" w:hAnsi="Times New Roman"/>
          <w:i/>
          <w:color w:val="000000"/>
          <w:sz w:val="20"/>
        </w:rPr>
        <w:t>Collaboration Agreements, License Agreement and Revenue</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2024, the Company recognized the related interest expense of $1.7 million and $3.7 million, respectively. During the three and six months ended June 30, 2023, the Company recognized the related interest expense of $1.3 million and $3.6 million, respectively. During the first quarter of 2024, the Company paid $5.7 million accrued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current estimates of drug product revenue and revenue from milestone payments under the Astellas Agreements, and taking into the consideration of the terms discussed above, the Company anticipates reaching a Payment Cap up to $125.0 million by 2031.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Benefits from income tax for the three and six months ended June 30, 2024 and 2023 were primarily due to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Astellas is an equity investor in the Company and is considered a related party. The Company recorded license and development revenue related to collaboration agreements with Astellas of $0.3 million and $1.8 million for the three months ended June 30, 2024 and 2023, and $0.6 million and $3.5 million for the six months ended June 30, 2024 and 2023, respectively. In addition, the Company recorded drug product revenue from Astellas of $0.7 million and $14.3 million for the three months ended June 30, 2024 and 2023, and $(0.5) million and $16.4 million for the six months ended June 30, 2024 and 2023, respectively. See Note 2, </w:t>
      </w:r>
      <w:r>
        <w:rPr>
          <w:rFonts w:ascii="Times New Roman" w:hAnsi="Times New Roman"/>
          <w:i/>
          <w:color w:val="000000"/>
          <w:sz w:val="20"/>
        </w:rPr>
        <w:t>Collaboration Agreements, License Agreement and Revenues</w:t>
      </w:r>
      <w:r>
        <w:rPr>
          <w:rFonts w:ascii="Times New Roman" w:hAnsi="Times New Roman"/>
          <w:color w:val="000000"/>
          <w:sz w:val="20"/>
        </w:rPr>
        <w:t>, for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expense related to collaboration agreements with Astellas was immaterial for each of the three and six months ended June 30,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accounts receivable from Astellas were $0.3 million and $0.8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total deferred revenue from Astellas was $9.4 million and $16.9 million,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As of June 30, 2024, the</w:t>
      </w:r>
      <w:r>
        <w:rPr>
          <w:rFonts w:ascii="Times New Roman" w:hAnsi="Times New Roman"/>
          <w:color w:val="FF0000"/>
          <w:sz w:val="20"/>
        </w:rPr>
        <w:t xml:space="preserve"> </w:t>
      </w:r>
      <w:r>
        <w:rPr>
          <w:rFonts w:ascii="Times New Roman" w:hAnsi="Times New Roman"/>
          <w:color w:val="000000"/>
          <w:sz w:val="20"/>
        </w:rPr>
        <w:t>amounts due to Astellas, included in accrued and other current liabilities, and other long-term liabilities, totaled $11.6 million. As of December 31, 2023, the amount due to Astellas, included in accrued and other current liabilities, and other long-term liabilities, totaled $40.5 million.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Falikang, an entity jointly owned by FibroGen Beijing and AstraZeneca, is an unconsolidated VIE accounted for as an equity method investment, and considered as a related party to the Company. FibroGen Beijing owns 51.1% of Falikang’s equity. See the </w:t>
      </w:r>
      <w:r>
        <w:rPr>
          <w:rFonts w:ascii="Times New Roman" w:hAnsi="Times New Roman"/>
          <w:i/>
          <w:color w:val="000000"/>
          <w:sz w:val="20"/>
        </w:rPr>
        <w:t>Equity method investment - Unconsolidated VIE - Falikang</w:t>
      </w:r>
      <w:r>
        <w:rPr>
          <w:rFonts w:ascii="Times New Roman" w:hAnsi="Times New Roman"/>
          <w:color w:val="000000"/>
          <w:sz w:val="20"/>
        </w:rPr>
        <w:t xml:space="preserve"> section of Note 3, </w:t>
      </w:r>
      <w:r>
        <w:rPr>
          <w:rFonts w:ascii="Times New Roman" w:hAnsi="Times New Roman"/>
          <w:i/>
          <w:color w:val="000000"/>
          <w:sz w:val="20"/>
        </w:rPr>
        <w:t>Variable Interest Entities</w:t>
      </w:r>
      <w:r>
        <w:rPr>
          <w:rFonts w:ascii="Times New Roman" w:hAnsi="Times New Roman"/>
          <w:color w:val="000000"/>
          <w:sz w:val="20"/>
        </w:rPr>
        <w:t xml:space="preserve">, for details.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net product revenue from Falikang was $46.0 million and $20.5 million for the three months ended June 30, 2024 and 2023, and $73.1 million and $41.9 million for the six months ended June 30, 2024 and 2023, respectively. See the </w:t>
      </w:r>
      <w:r>
        <w:rPr>
          <w:rFonts w:ascii="Times New Roman" w:hAnsi="Times New Roman"/>
          <w:i/>
          <w:color w:val="000000"/>
          <w:sz w:val="20"/>
        </w:rPr>
        <w:t xml:space="preserve">Product Revenue, Net </w:t>
      </w:r>
      <w:r>
        <w:rPr>
          <w:rFonts w:ascii="Times New Roman" w:hAnsi="Times New Roman"/>
          <w:color w:val="000000"/>
          <w:sz w:val="20"/>
        </w:rPr>
        <w:t xml:space="preserve">section in Note 2, </w:t>
      </w:r>
      <w:r>
        <w:rPr>
          <w:rFonts w:ascii="Times New Roman" w:hAnsi="Times New Roman"/>
          <w:i/>
          <w:color w:val="000000"/>
          <w:sz w:val="20"/>
        </w:rPr>
        <w:t>Collaboration Agreements, License Agreement and Revenues</w:t>
      </w:r>
      <w:r>
        <w:rPr>
          <w:rFonts w:ascii="Times New Roman" w:hAnsi="Times New Roman"/>
          <w:color w:val="000000"/>
          <w:sz w:val="20"/>
        </w:rPr>
        <w:t>,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investment income in Falikang was $1.2 million and $0.6 million for the three months ended June 30, 2024 and 2023 and $1.8 million and $1.3 million for the six months ended June 30, 2024 and 2023, respectively. As of June 30, 2024 and December 31, 2023, the Company’s equity method investment in Falikang was $6.9 million and $5.3 million, respectively. See the </w:t>
      </w:r>
      <w:r>
        <w:rPr>
          <w:rFonts w:ascii="Times New Roman" w:hAnsi="Times New Roman"/>
          <w:i/>
          <w:color w:val="000000"/>
          <w:sz w:val="20"/>
        </w:rPr>
        <w:t>Equity method investment - Unconsolidated VIE - Falikang</w:t>
      </w:r>
      <w:r>
        <w:rPr>
          <w:rFonts w:ascii="Times New Roman" w:hAnsi="Times New Roman"/>
          <w:color w:val="000000"/>
          <w:sz w:val="20"/>
        </w:rPr>
        <w:t xml:space="preserve"> section of Note 3, </w:t>
      </w:r>
      <w:r>
        <w:rPr>
          <w:rFonts w:ascii="Times New Roman" w:hAnsi="Times New Roman"/>
          <w:i/>
          <w:color w:val="000000"/>
          <w:sz w:val="20"/>
        </w:rPr>
        <w:t>Variable Interest Entities</w:t>
      </w:r>
      <w:r>
        <w:rPr>
          <w:rFonts w:ascii="Times New Roman" w:hAnsi="Times New Roman"/>
          <w:color w:val="000000"/>
          <w:sz w:val="20"/>
        </w:rPr>
        <w:t xml:space="preserve">, for details. The other income from Falikang was immaterial for each of the three and six months ended June 30,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accounts receivable, net, from Falikang, were $3.8 million and $5.2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Contract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Company had outstanding total non-cancelable purchase obligations of $19.7 million, including $11.2 million for manufacture and supply of pamrevlumab, $0.8 million for manufacture and supply of roxadustat, and $7.6 million for other purchases and programs. The Company expects to fulfill its commitments under these agreements in the normal course of business, and as such, no liability has been recorded.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Company’s license agreements provide for periodic maintenance fees over specified time periods, as well as payments by the Company upon the achievement of development, regulatory and commercial milestones. As of June 30, 2024, future milestone payments for research and preclinical stage development programs consisted of up to approximately $697.9 million in total potential future milestone payments under the Company’s license agreements with HiFiBiO (HK) Ltd. (d.b.a. HiFiBiO Therapeutics)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the Company had $73.9 million of operating lease liabilities.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see Note 6, </w:t>
      </w:r>
      <w:r>
        <w:rPr>
          <w:rFonts w:ascii="Times New Roman" w:hAnsi="Times New Roman"/>
          <w:i/>
          <w:color w:val="000000"/>
          <w:sz w:val="20"/>
        </w:rPr>
        <w:t>Senior Secured Term Loan Facilities</w:t>
      </w:r>
      <w:r>
        <w:rPr>
          <w:rFonts w:ascii="Times New Roman" w:hAnsi="Times New Roman"/>
          <w:color w:val="000000"/>
          <w:sz w:val="20"/>
        </w:rPr>
        <w:t xml:space="preserve"> and Note 7, </w:t>
      </w:r>
      <w:r>
        <w:rPr>
          <w:rFonts w:ascii="Times New Roman" w:hAnsi="Times New Roman"/>
          <w:i/>
          <w:color w:val="000000"/>
          <w:sz w:val="20"/>
        </w:rPr>
        <w:t xml:space="preserve">Liability Related to Sale of Future Revenues </w:t>
      </w:r>
      <w:r>
        <w:rPr>
          <w:rFonts w:ascii="Times New Roman" w:hAnsi="Times New Roman"/>
          <w:color w:val="000000"/>
          <w:sz w:val="20"/>
        </w:rPr>
        <w:t>for details of the related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condensed consolidated balance sheet as of June 30, 2024, as the Company could not predict the ultimate outcome of these matters, or reasonably estimate the potential exposure.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April 2021 and May 2021, five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On October 17, 2023, the parties reached an agreement in principle to settle the class action at $28.5 million. Accordingly, as of December 31, 2023, the Company recorded the $28.5 million in accrued and other current liabilities in the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The determination that the recorded receivables are probable of collection is based on the terms of the applicable insurance policies and communications with the insurers. The Court preliminarily approved the settlement on February 13, 2024 and approved the settlement Plan of Allocations on May 28, 2024 and Plaintiffs’ motion for attorney’s fees on August 1, 2024, reserving further orders on the final judgment until after the claims and distribution process was completed. Another case, filed on May 25, 2023, against the same defendants, asserting similar claims as the class action and additional common-law and California state fraud claims was voluntarily dismissed on December 20,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Between July 30, 2021 and April 3, 2024, seven shareholder derivative complaints were filed, naming as defendants certain of our current and former officers and certain current and former members of our board, as well as FibroGen as nominal defendants (the “Derivative Lawsuits”). Of these Derivative Lawsuits, four were filed in the Delaware Court of Chancery (the “Delaware Chancery Derivative Actions”), two were filed in the U.S. District Court for the District of Delaware (the “Delaware Federal Derivative Actions”), and one was filed in the U.S. District Court for the Northern District of California (the “California Federal Derivative Action”). The plaintiffs assert state and federal claims based on some of the same alleged misstatements as the securities class action complaint. The complaints seek unspecified damages, attorneys’ fees, and other costs. The status of the seven Derivative Lawsuits is currently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Two of the Delaware Chancery Derivative Actions, filed on April 14, 2022, and June 1, 2023, have been consolidated (the “Delaware Chancery Consolidated Derivative”). On February 1, 2024, Defendants moved to dismiss the Delaware Chancery Consolidated Derivative action and a hearing on the motion was held on May 9, 2024. In the other two Delaware Chancery Derivative Actions, filed in the Delaware Court of Chancery on December 3, 2023 and April 3, 2024, Defendants have not been formally served, though the parties are in the process of negotiating a stay of the actions pending resolution of the motion to dismiss the Delaware Chancery Consolidated Derivative 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of the Delaware Federal Derivative Actions remain stayed pending resolution of the motion to dismiss the Delaware Chancery Consolidated Derivative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California Federal Derivative Action was voluntarily dismissed on January 22,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that the claims asserted in the Derivative Lawsuits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fourth quarter of 2021, the Company received a subpoena from the SEC requesting documents related to roxadustat’s pooled cardiovascular safety data. The SEC followed up with a subpoena for additional documents in the second quarter of 2024.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2022 and 2024, the Company’s Board of Directors received six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such additional demands.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Subsequent Event</w:t>
      </w:r>
    </w:p>
    <w:p>
      <w:pPr>
        <w:pStyle w:val="TextBody"/>
        <w:bidi w:val="0"/>
        <w:spacing w:before="120" w:after="283"/>
        <w:jc w:val="left"/>
        <w:rPr>
          <w:rFonts w:ascii="Times New Roman" w:hAnsi="Times New Roman"/>
          <w:sz w:val="20"/>
        </w:rPr>
      </w:pPr>
      <w:r>
        <w:rPr>
          <w:rFonts w:ascii="Times New Roman" w:hAnsi="Times New Roman"/>
          <w:color w:val="000000"/>
          <w:sz w:val="20"/>
        </w:rPr>
        <w:t>On July 30, 2024, the Company reported results from Pancreatic Cancer Action Network’s (“PanCAN’s”) Precision Promise</w:t>
      </w:r>
      <w:r>
        <w:rPr>
          <w:rFonts w:ascii="Times New Roman" w:hAnsi="Times New Roman"/>
          <w:color w:val="000000"/>
          <w:sz w:val="13"/>
        </w:rPr>
        <w:t xml:space="preserve">SM </w:t>
      </w:r>
      <w:r>
        <w:rPr>
          <w:rFonts w:ascii="Times New Roman" w:hAnsi="Times New Roman"/>
          <w:color w:val="000000"/>
          <w:sz w:val="20"/>
        </w:rPr>
        <w:t>adaptive trial platform that included pamrevlumab, its antibody developed to inhibit the activity of CTGF, in combination with standard-of-care chemotherapy treatments for pancreatic cancer, for patients with metastatic pancreatic cancer. The pamrevlumab experimental arm in PanCAN’s Precision Promise Phase 2/3 adaptive platform trial did not meet the primary endpoint of overall survival as determined by the protocol pre-specified Bayesian statistical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30, 2024, the Company also reported results from LAPIS, its double-blind placebo-controlled Phase 3 clinical program for pamrevlumab in 284 LAPC patients randomized at a 1:1 ratio to receive either pamrevlumab or placebo, in each case in combination with chemotherapy (either FOLFIRINOX or gemcitabine plus nab-paclitaxel). The study did not meet the primary endpoint of overall survival.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Responding to the above results, the Company is implementing an immediate and significant cost reduction plan in the U.S., including terminating pamrevlumab research and development investment and expeditiously wind down remaining obligations, and reducing U.S. workforce by approximately 75% (the Company notified employees on August 2, 2024). The Company expects that the majority of the restructuring charges related to the headcount reductions, primarily consisting of notice period and severance payments, accrued vacation and employee benefits contributions, will be recognized in the second half of 2024, and that the implementation of the headcount reductions, including cash payments, will be substantially complete by the end of the first quarter of 2025. The Company may incur additional expenses not currently contemplated due to events associated with these cost reduction measures. </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2023 filed with the SEC on February 26, 2024 (“2023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headquartered in San Francisco, California, with subsidiary offices in Beijing and Shanghai, People’s Republic of China (“China”). FibroGen, Inc. (“FibroGen” or the “Company”) is developing and commercializing a diversified pipeline of novel therapeutics that work at the frontier of cancer biology and anemia. </w:t>
      </w:r>
    </w:p>
    <w:p>
      <w:pPr>
        <w:pStyle w:val="TextBody"/>
        <w:bidi w:val="0"/>
        <w:spacing w:before="240" w:after="283"/>
        <w:jc w:val="left"/>
        <w:rPr/>
      </w:pPr>
      <w:r>
        <w:rPr>
          <w:rFonts w:ascii="Times New Roman" w:hAnsi="Times New Roman"/>
          <w:color w:val="000000"/>
          <w:sz w:val="20"/>
        </w:rPr>
        <w:t>Roxadustat is an oral small molecule inhibitor of hypoxia-inducible factor prolyl hydroxylase (“HIF-PH”) activity.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xml:space="preserve">) is approved in China, Europe, Japan, and numerous other countries for the treatment of anemia in chronic kidney disease (“CKD”) for patients who are on dialysis and not on dialysis. Roxadustat is in clinical development for chemotherapy-induced anemia (“CIA”) in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FG-3246 is a first-in-class antibody-drug conjugate targeting a novel epitope on CD46 that is in development for metastatic castration-resistant prostate cancer and other cancer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also has a pipeline of preclinical product candidates, FG-3165 and FG-3175, to address unmet patient needs in oncology.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jc w:val="left"/>
        <w:rPr/>
      </w:pPr>
      <w:r>
        <w:rPr/>
        <w:t> </w:t>
      </w:r>
    </w:p>
    <w:tbl>
      <w:tblPr>
        <w:tblW w:w="8945" w:type="dxa"/>
        <w:jc w:val="left"/>
        <w:tblInd w:w="0" w:type="dxa"/>
        <w:tblLayout w:type="fixed"/>
        <w:tblCellMar>
          <w:top w:w="28" w:type="dxa"/>
          <w:left w:w="28" w:type="dxa"/>
          <w:bottom w:w="28" w:type="dxa"/>
          <w:right w:w="28" w:type="dxa"/>
        </w:tblCellMar>
      </w:tblPr>
      <w:tblGrid>
        <w:gridCol w:w="3076"/>
        <w:gridCol w:w="146"/>
        <w:gridCol w:w="212"/>
        <w:gridCol w:w="740"/>
        <w:gridCol w:w="167"/>
        <w:gridCol w:w="146"/>
        <w:gridCol w:w="212"/>
        <w:gridCol w:w="786"/>
        <w:gridCol w:w="166"/>
        <w:gridCol w:w="146"/>
        <w:gridCol w:w="239"/>
        <w:gridCol w:w="886"/>
        <w:gridCol w:w="166"/>
        <w:gridCol w:w="146"/>
        <w:gridCol w:w="301"/>
        <w:gridCol w:w="1199"/>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1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 share data)</w:t>
            </w:r>
          </w:p>
        </w:tc>
        <w:tc>
          <w:tcPr>
            <w:tcW w:w="211" w:type="dxa"/>
            <w:tcBorders/>
            <w:shd w:fill="FFFFFF" w:val="cle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 of Operations</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50,641</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80,480</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61,560</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244,618</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(164,385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vAlign w:val="center"/>
          </w:tcPr>
          <w:p>
            <w:pPr>
              <w:pStyle w:val="TableContents"/>
              <w:bidi w:val="0"/>
              <w:spacing w:before="0" w:after="283"/>
              <w:jc w:val="center"/>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113,688</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center"/>
              <w:rPr/>
            </w:pPr>
            <w:r>
              <w:rPr/>
              <w:t> </w:t>
            </w:r>
          </w:p>
        </w:tc>
        <w:tc>
          <w:tcPr>
            <w:tcW w:w="952"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121,898</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revenue for the three and six months ended June 30, 2024 included primarily the revenue recognized related to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$49.6 million and $80.2 million from roxadustat commercial sales in China, mostly from sales to Beijing Falikang Pharmaceutical Co. Ltd. (“Falikang”);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$0.7 million and a net reduction of $0.5 million to drug product revenue related to active pharmaceutical ingredient (“API”) deliveries to Astellas Pharma Inc. (“Astellas”); in addition, $25.7 million cumulative catch-up net adjustment in the drug product revenue, for the six months ended June 30, 2024, as a result of terminating the AstraZeneca AB (“AstraZeneca”) U.S./RoW Agreement, effective as of February 25, 2024 (“AstraZeneca Termination and Transition Agreement”), with the exception of South Korea;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$0.3 million and $1.1 million of development and other revenue recognized mainly under our collaboration agreements with our partners Astellas and AstraZeneca.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comparison, our revenue for the three and six months ended June 30, 2023 included primarily the revenue recognized related to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$23.9 million and $48.0 million of net product revenue from roxadustat commercial sales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$14.3 million and $16.4 million of drug product revenue related to API deliveries to Astellas;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$4.1 million and $7.8 million of development and other revenue recognized primarily under our collaboration agreements with our partners Astellas and AstraZeneca;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million upfront payment for the second quarter of 2023 and a $3.0 million milestone payment based on Eluminex Biosciences (Suzhou) Limited (“Eluminex”) implanting a biosynthetic cornea in the first patient of its clinical trial in China and a $3.0 million manufacturing related milestone payment in the first quarter of 2023 for the first quarter of 2023, recognized under our license agreement and amendments with Eluminex.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costs and expenses for the three and six months ended June 30, 2024 decreased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$24.6 million one-time, non-cash charge of acquired in-process research and development (“IPR&amp;D”) expenses, in the prior year periods, associated with the exclusive license for FG-3246 from Fortis Therapeutics, Inc. (“Fortis”) and the acquisition of Fortis;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$17.7 million and $32.2 million lower clinical trial expenses primarily associated with the wind down on Phase 2/3 trials for pamrevlumab for the treatment of metastatic pancreatic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$10.4 million and $24.6 million lower employee-related expenses primarily due to the impact from reduction in force actions in July 2023 and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$7.3 million and $14.6 million lower stock-based compensation primarily resulting from significantly lower stock price and cancellations of stock options and restricted stock units due to reduced headcount;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$4.8 million and $7.3 million lower outside services expenses due to cancellation of certain programs to streamline operations and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$2.5 million and $5.5 million lower facilities-related expenses due to cost control efforts and lower depreciation expense as certain property and equipment reached their useful lives in prior year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 million and $5.4 million lower drug development expenses associated with drug substance activities and logistic expenses related to pamrevlumab which was largely completed;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$3.1 million lower legal expenses for the six months ended June 30, 2024 primarily due to lower activities in corporate legal, legal proceedings and intellectual properties;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$21.1 million one-time cost of goods sold recorded for the six months ended June 30, 2024 correspondingly to the above-mentioned drug product revenue resulting from the AstraZeneca Termination and Transition Agreement related to the AstraZeneca U.S./RoW Agreement, as defined further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2024, we had a net loss of $48.5 million, or a net loss per basic and diluted share of $0.49, as compared to a net loss of $164.4 million, or a net loss per basic and diluted share of $1.71, for the same period a year ago, due to increases in revenue and decreases in operating costs and expenses as discussed above.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Cash and cash equivalents, investments, and accounts receivable totaled $147.1 million at June 30, 2024, a decrease of $101.0 million from December 31, 2023, primarily due to the cash used in operations as discussed under the </w:t>
      </w:r>
      <w:r>
        <w:rPr>
          <w:rFonts w:ascii="Times New Roman" w:hAnsi="Times New Roman"/>
          <w:i/>
          <w:color w:val="000000"/>
          <w:sz w:val="20"/>
        </w:rPr>
        <w:t>Liquidity and Capital Resources</w:t>
      </w:r>
      <w:r>
        <w:rPr>
          <w:rFonts w:ascii="Times New Roman" w:hAnsi="Times New Roman"/>
          <w:color w:val="000000"/>
          <w:sz w:val="20"/>
        </w:rPr>
        <w:t xml:space="preserve"> 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Development and Research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an overview of our clinical, commercial, and research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for the Treatment of Anemia in Chronic Kidney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our commercial-stage product, an oral small molecule inhibitor of HIF-PH activity that acts by stimulating the body’s natural pathway of erythropoiesis, or red blood cell production. </w:t>
      </w:r>
    </w:p>
    <w:p>
      <w:pPr>
        <w:pStyle w:val="TextBody"/>
        <w:bidi w:val="0"/>
        <w:spacing w:before="240" w:after="283"/>
        <w:jc w:val="left"/>
        <w:rPr/>
      </w:pPr>
      <w:r>
        <w:rPr>
          <w:rFonts w:ascii="Times New Roman" w:hAnsi="Times New Roman"/>
          <w:color w:val="000000"/>
          <w:sz w:val="20"/>
        </w:rPr>
        <w:t>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is approved in China, Europe, Japan, and numerous other countries for the treatment of anemia in CKD for patients who are on dialysis and not on dialysis.</w:t>
      </w:r>
    </w:p>
    <w:p>
      <w:pPr>
        <w:pStyle w:val="TextBody"/>
        <w:bidi w:val="0"/>
        <w:spacing w:before="240" w:after="283"/>
        <w:jc w:val="left"/>
        <w:rPr/>
      </w:pPr>
      <w:r>
        <w:rPr>
          <w:rFonts w:ascii="Times New Roman" w:hAnsi="Times New Roman"/>
          <w:color w:val="000000"/>
          <w:sz w:val="20"/>
        </w:rPr>
        <w:t xml:space="preserve">In China, roxadustat (tradename: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continues to see significant volume growth in the treatment of anemia caused by CKD in non-dialysis and dialysis patients. In the second quarter of 2024, roxadustat achieved an over 33% increase in sales volume relative to the second quarter of 2023. As of May 2024, roxadustat was the top CKD anemia brand in China with approximately 46% value share within the segment of erythropoiesis stimulating agents and HIF-PH inhibitors. Our composition of matter patent in China expired in the second quarter of 2024 and the China Health Authority has approved two generic roxadustat applications for marketing.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for the Treatment of Chemotherapy-Induced Anemia</w:t>
      </w:r>
    </w:p>
    <w:p>
      <w:pPr>
        <w:pStyle w:val="TextBody"/>
        <w:bidi w:val="0"/>
        <w:spacing w:before="120" w:after="283"/>
        <w:jc w:val="left"/>
        <w:rPr/>
      </w:pPr>
      <w:r>
        <w:rPr>
          <w:rFonts w:ascii="Times New Roman" w:hAnsi="Times New Roman"/>
          <w:color w:val="000000"/>
          <w:sz w:val="20"/>
        </w:rPr>
        <w:t>In May 2023, we announced positive topline data from our Phase 3 clinical study of roxadustat for treatment of anemia in patients receiving concurrent chemotherapy treatment for non-myeloid malignancies in China.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demonstrated non-inferiority compared to recombinant erythropoietin alfa (SEPO</w:t>
      </w:r>
      <w:r>
        <w:rPr>
          <w:rFonts w:ascii="Times New Roman" w:hAnsi="Times New Roman"/>
          <w:color w:val="000000"/>
          <w:sz w:val="13"/>
        </w:rPr>
        <w:t>®</w:t>
      </w:r>
      <w:r>
        <w:rPr>
          <w:rFonts w:ascii="Times New Roman" w:hAnsi="Times New Roman"/>
          <w:color w:val="000000"/>
          <w:sz w:val="20"/>
        </w:rPr>
        <w:t>) on the primary endpoint of change in hemoglobin level from baseline to the average level during Weeks 9-13.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preliminary safety analysis, the adverse event profile of roxadustat was generally consistent with previous findings and supportive of a positive benefit risk in this patient population.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total of 159 patients with non-myeloid malignancy (solid tumor) with a baseline hemoglobin level at or below 10 g/dL were enrolled into this Phase 3, randomized, open-label, active-controlled study investigating the efficacy and safety of roxadustat for treatment of CIA. Patients were randomly assigned roxadustat or erythropoietin alfa three times per week, during a treatment period of 12 weeks, with an additional 4-week follow-up period. We recently presented results from this study in an oral presentation at the European Society for Medical Oncology Congress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supplemental new drug application for roxadustat in CIA was accepted by the China Health Authority in August 2023, and we expect an approval decision in the second half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CIA is one of the most common side effects of chemotherapy, it is frequently undertreated. CIA can adversely affect long-term patient outcomes, as anemia limits both quality of life and the ability of patients to continue chemotherapy treatment. The incidence and severity of CIA depends on a variety of factors. This includes the type of cancer and the treatment, including the type of chemotherapy, schedule, and intensity of therapy. It also depends on whether the patient has received prior myelosuppressive chemotherapy, radiation therapy, or both. Almost 80% of cancer patients in China receiving chemotherapy develop anemia. Approximately 50% of cancer patients in China receiving chemotherapy develop severe anemia that merits treatment (hemoglobin under 10g/dL). In China, over 3 million cancer patients undergo chemotherapy.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FG-3246: Prostate Cancer; Potential Additional Cancer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obtained an exclusive license to develop FG-3246 (previously FOR46) in metastatic castration-resistant prostate cancer (“mCRPC”) and other cancer indications. FG-3246 is a first-in-class antibody-drug conjugate targeting a novel epitope on CD46 that is expressed at high levels in certain tumor types with limited expression in most normal tissues. The cytotoxic payload of FG-3246 is monomethyl auristatin E, an anti-mitotic agent that has been utilized in four commercially approved antibody-drug conjugate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FG-3246 demonstrated monotherapy efficacy in a Phase 1 clinical study in heavily-pretreated (and not biomarker selected) patients with mCRPC. Results included a median radiographic progression-free survival of 8.7 months and a PSA50 response in 36% of evaluable patients. For RECIST evaluable patients, 20% met the criteria of a partial response, or measurable reduction in tumor size of ≥ 30%, with a median duration of response of 7.5 months. FG-3246 demonstrated an acceptable safety profile, with adverse events consistent with those observed in other antibody drug conjugate therapies with a monomethyl auristatin E payload, and included infusion related reactions, fatigue, weight loss, neutropenia, and peripheral neuropathy. We plan to meet with the FDA to discuss the development pathway, and we anticipate initiation of a Phase 2 monotherapy dose optimization study of FG-3246 for mCRPC in the first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we announced positive interim results from the dose escalation portion of the investigator-sponsored Phase 1b/2 study conducted by the University of California, San Francisco (“UCSF”) of FG-3246 in combination with enzalutamide in patients with mCRPC at the 2024 American Society of Clinical Oncology Annual Meeting. The presentation includes data from 17 biomarker unselected patients in the dose escalation portion of the trial. Over 70% of the patients in the study received at least two prior androgen receptor signaling inhibitors, which included prior enzalutamide treatment. Dose escalation was explored with and without prophylactic granulocyte colony-stimulating factor (“G-CSF”) support. The primary endpoint was determination of the maximally tolerated dose of FG-3246 in combination with enzalutamide. The combination treatment demonstrated an encouraging preliminary estimate of median radiographic progression free survival of 10.2 months. The maximally tolerated dose was established at 2.1 mg/kg adjusted body weight, with primary G-CSF prophylaxis, in combination with enzalutamide 160 mg/day. The most frequent adverse events were consistent with other monomethyl auristatin E-based antibody drug conjugates and included fatigue, weight loss, elevated transaminases, neutropenia, and peripheral neuropathy. We expect topline results from the Phase 2 portion of this study of FG-3246 in combination with enzalutamide in the first half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of the CD46-targeted PET biomarker is currently underway with UCSF, a collaborator of Fortis. We are also exploring additional potential tumor indications in which CD46 is commonly expressed.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Pamrevlumab: Monoclonal Antibody Targeting Connective Tissue Growth Factor</w:t>
      </w:r>
    </w:p>
    <w:p>
      <w:pPr>
        <w:pStyle w:val="TextBody"/>
        <w:bidi w:val="0"/>
        <w:spacing w:before="120" w:after="283"/>
        <w:jc w:val="left"/>
        <w:rPr>
          <w:rFonts w:ascii="Times New Roman" w:hAnsi="Times New Roman"/>
          <w:sz w:val="20"/>
        </w:rPr>
      </w:pPr>
      <w:r>
        <w:rPr>
          <w:rFonts w:ascii="Times New Roman" w:hAnsi="Times New Roman"/>
          <w:color w:val="000000"/>
          <w:sz w:val="20"/>
        </w:rPr>
        <w:t>In July 2024, we reported results from Pancreatic Cancer Action Network’s (“PanCAN’s”) Precision Promise</w:t>
      </w:r>
      <w:r>
        <w:rPr>
          <w:rFonts w:ascii="Times New Roman" w:hAnsi="Times New Roman"/>
          <w:color w:val="000000"/>
          <w:sz w:val="13"/>
        </w:rPr>
        <w:t>SM</w:t>
      </w:r>
      <w:r>
        <w:rPr>
          <w:rFonts w:ascii="Times New Roman" w:hAnsi="Times New Roman"/>
          <w:color w:val="000000"/>
          <w:sz w:val="20"/>
        </w:rPr>
        <w:t xml:space="preserve"> adaptive trial platform that included pamrevlumab, our antibody developed to inhibit the activity of connective tissue growth factor, in combination with standard-of-care chemotherapy treatments for pancreatic cancer (gemcitabine and Abraxane®), for patients with metastatic pancreatic cancer.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pamrevlumab experimental arm in PanCAN’s Precision Promise Phase 2/3 adaptive platform trial did not meet the primary endpoint of overall survival as determined by the protocol pre-specified Bayesian statistical analysis.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both 1L and 2L pamrevlumab treatment groups graduated into Stage 2 of PanCAN’s Precision Promise study, the hazard ratio for the primary overall survival analysis assumed a common hazard ratio to estimate a single treatment effect for both 1L and 2L pamrevlumab patients combined compared to patients treated with gemcitabine + nab-paclitaxel. In addition, the pre-specified Bayesian model utilized a hierarchical model that included the borrowing of data from the mFOLFIRINOX control arm to the gemcitabine + nab-paclitaxel control arm for the primary efficacy analysis. The pre-specified primary efficacy analysis was performed in a modified intention-to-treat (“mITT”) population that included only subjects who initiated treatment. The mITT population in the pamrevlumab arm was comprised of a total of 102 patients in the 1L treatment group and 111 patients in the 2L treatment group and the gemcitabine + nab-paclitaxel control arm was comprised of a total of 34 patients in the 1L treatment group and 36 patients in the 2L treatment group.</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Primary Overall Survival Analysis as Determined by Pre-Specified Bayesian Statistical Analysis (mITT Population)</w:t>
      </w:r>
    </w:p>
    <w:tbl>
      <w:tblPr>
        <w:tblW w:w="8011" w:type="dxa"/>
        <w:jc w:val="left"/>
        <w:tblInd w:w="0" w:type="dxa"/>
        <w:tblLayout w:type="fixed"/>
        <w:tblCellMar>
          <w:top w:w="28" w:type="dxa"/>
          <w:left w:w="28" w:type="dxa"/>
          <w:bottom w:w="28" w:type="dxa"/>
          <w:right w:w="28" w:type="dxa"/>
        </w:tblCellMar>
      </w:tblPr>
      <w:tblGrid>
        <w:gridCol w:w="2221"/>
        <w:gridCol w:w="915"/>
        <w:gridCol w:w="1494"/>
        <w:gridCol w:w="1550"/>
        <w:gridCol w:w="1831"/>
      </w:tblGrid>
      <w:tr>
        <w:trPr/>
        <w:tc>
          <w:tcPr>
            <w:tcW w:w="222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222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959"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Bayesian Model Common Hazard Ratio (“HR”)</w:t>
            </w:r>
          </w:p>
        </w:tc>
        <w:tc>
          <w:tcPr>
            <w:tcW w:w="183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Posterior Probability</w:t>
            </w:r>
          </w:p>
        </w:tc>
      </w:tr>
      <w:tr>
        <w:trPr/>
        <w:tc>
          <w:tcPr>
            <w:tcW w:w="222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Median</w:t>
            </w:r>
          </w:p>
        </w:tc>
        <w:tc>
          <w:tcPr>
            <w:tcW w:w="14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Mean (SD)</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w:t>
            </w:r>
          </w:p>
        </w:tc>
        <w:tc>
          <w:tcPr>
            <w:tcW w:w="18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Pr(HR &lt; 1)</w:t>
            </w:r>
          </w:p>
        </w:tc>
      </w:tr>
      <w:tr>
        <w:trPr/>
        <w:tc>
          <w:tcPr>
            <w:tcW w:w="22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Primary Efficacy Analysis</w:t>
            </w:r>
          </w:p>
        </w:tc>
        <w:tc>
          <w:tcPr>
            <w:tcW w:w="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1.170</w:t>
            </w:r>
          </w:p>
        </w:tc>
        <w:tc>
          <w:tcPr>
            <w:tcW w:w="14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1.184 (0.175)</w:t>
            </w:r>
          </w:p>
        </w:tc>
        <w:tc>
          <w:tcPr>
            <w:tcW w:w="155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(0.882, 1.563)</w:t>
            </w:r>
          </w:p>
        </w:tc>
        <w:tc>
          <w:tcPr>
            <w:tcW w:w="18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0.13977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we also reported results from LAPIS, our double-blind placebo-controlled Phase 3 clinical program for pamrevlumab in 284 patients with locally advanced unresectable pancreatic cancer randomized at a 1:1 ratio to receive either pamrevlumab or placebo, in each case in combination with chemotherapy (either FOLFIRINOX or gemcitabine plus nab-paclitaxel).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study did not meet the primary endpoint of overall survival (stratified log-rank p-value=0.55). Median overall survival of 17.3 months was observed in the pamrevlumab combined with gemcitabine + nab-paclitaxel or FOLFIRINOX arm compared to median overall survival of 17.9 months in the control arm of placebo combined with gemcitabine + nab-paclitaxel or FOLFIRINOX (HR: 1.08; 95% CI – 0.83 to 1.41).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preliminary safety analyses across both studies indicate that the safety profile of pamrevlumab combined with gemcitabine + nab-paclitaxel or FOLFIRINOX was generally well tolerated with an acceptable safety profile in pancreatic cancer patients. No clinically meaningful differences in treatment emergent adverse events were seen between the treatment arms.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Preclinical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pipeline consists of two antibodies for immuno-oncology that are in investigational new drug application-enabling studies.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FG-3165 </w:t>
      </w:r>
      <w:r>
        <w:rPr>
          <w:rFonts w:ascii="Times New Roman" w:hAnsi="Times New Roman"/>
          <w:color w:val="000000"/>
          <w:sz w:val="20"/>
        </w:rPr>
        <w:t>is a galectin-9 (“Gal9”) targeted antibody under development for treatment of solid tumors characterized by high Gal9 levels of expression. Gal9 has been reported to bind to multiple immune checkpoints on lymphocytes that suppress T and natural killer cell activation, and it is a driver of cancer progression in acute myeloid leukemia. In preclinical studies FG-3165 and its variants inhibit Gal9 mediated T cell death, and also promotes anti-tumor immune responses in combination with other immune checkpoint targeted drugs. In June 2024, we received FDA clearance for our investigational new drug application for FG-3165.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FG-3175 </w:t>
      </w:r>
      <w:r>
        <w:rPr>
          <w:rFonts w:ascii="Times New Roman" w:hAnsi="Times New Roman"/>
          <w:color w:val="000000"/>
          <w:sz w:val="20"/>
        </w:rPr>
        <w:t>is a c-c motif chemokine receptor 8 (“CCR8”) targeted antibody under development for treatment of solid tumors that are highly infiltrated by CCR8-positive T regulatory cells. T regulatory cells contribute to an immune suppressed tumor microenvironment, and multiple preclinical studies have demonstrated immune activation and tumor regression following depletion of this cell type from the tumor microenvironment. FG-3175 is a variant of our previous lead anti-CCR8 antibody, FG-3163, and was deemed to be a superior clinical candidate following extended characterization of both antibodies. FG-3175 has enhanced antibody dependent cellular cytotoxicity activity and induces potent killing of CCR8 expressing cells by natural killer cells in in vitro assay systems.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from and Option to Acquire Fortis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5, 2023, we entered into an exclusive option agreement to acquire Fortis with its novel Phase 1 antibody-drug conjugate, FG-3246 (previously FOR46), that targets a novel epitope on CD46 preferentially expressed on certain cancer cells. FG-3246 is in development for the treatment of mCRPC with potential applicability in other solid tumors and hematologic malignancies.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FibroGen have made four quarterly payments totaling $5.4 million to Fortis in support of its continued development obligations, of which the last payment was $1.7 million and was made during the three months ended March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this transaction, see the </w:t>
      </w:r>
      <w:r>
        <w:rPr>
          <w:rFonts w:ascii="Times New Roman" w:hAnsi="Times New Roman"/>
          <w:i/>
          <w:color w:val="000000"/>
          <w:sz w:val="20"/>
        </w:rPr>
        <w:t>Consolidated Variable Interest Entity - Fortis</w:t>
      </w:r>
      <w:r>
        <w:rPr>
          <w:rFonts w:ascii="Times New Roman" w:hAnsi="Times New Roman"/>
          <w:color w:val="000000"/>
          <w:sz w:val="20"/>
        </w:rPr>
        <w:t xml:space="preserve"> section in Note 3, </w:t>
      </w:r>
      <w:r>
        <w:rPr>
          <w:rFonts w:ascii="Times New Roman" w:hAnsi="Times New Roman"/>
          <w:i/>
          <w:color w:val="000000"/>
          <w:sz w:val="20"/>
        </w:rPr>
        <w:t>Variable Interest Entities</w:t>
      </w:r>
      <w:r>
        <w:rPr>
          <w:rFonts w:ascii="Times New Roman" w:hAnsi="Times New Roman"/>
          <w:color w:val="000000"/>
          <w:sz w:val="20"/>
        </w:rPr>
        <w:t>, to the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from HiFiBiO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2021, we entered into an exclusive license and option agreement with HiFiBiO (HK) Ltd. (d.b.a. HiFiBiO Therapeutics) (“HiFiBiO”), pursuant to which we exclusively licensed from HiFiBiO all product candidates in HiFiBiO’s Galectin-9 program and subsequently exclusively licensed all product candidates in HiFiBiO’s CCR8 program. In addition to the upfront payments we previously paid, HiFiBiO may receive up to a total of $345 million in future clinical, regulatory, and commercial milestone payments for each program. HiFiBiO will also be eligible to receive tiered royalties based upon worldwide net sales. </w:t>
      </w:r>
    </w:p>
    <w:p>
      <w:pPr>
        <w:pStyle w:val="TextBody"/>
        <w:bidi w:val="0"/>
        <w:spacing w:before="360" w:after="283"/>
        <w:jc w:val="left"/>
        <w:rPr>
          <w:rFonts w:ascii="Times New Roman" w:hAnsi="Times New Roman"/>
          <w:sz w:val="20"/>
        </w:rPr>
      </w:pPr>
      <w:r>
        <w:rPr>
          <w:rFonts w:ascii="Times New Roman" w:hAnsi="Times New Roman"/>
          <w:b/>
          <w:color w:val="000000"/>
          <w:sz w:val="20"/>
        </w:rPr>
        <w:t>Exclusive License to Eluminex</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FibroGen and Eluminex entered into an Amended and Restated Exclusive License Agreement (“A&amp;R Eluminex Agreement”) in order to add to the license rights to recombinant human collagen Type I (in addition to the rights to collagen Type III that were already licensed).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the </w:t>
      </w:r>
      <w:r>
        <w:rPr>
          <w:rFonts w:ascii="Times New Roman" w:hAnsi="Times New Roman"/>
          <w:i/>
          <w:color w:val="000000"/>
          <w:sz w:val="20"/>
        </w:rPr>
        <w:t xml:space="preserve">Eluminex Agreement </w:t>
      </w:r>
      <w:r>
        <w:rPr>
          <w:rFonts w:ascii="Times New Roman" w:hAnsi="Times New Roman"/>
          <w:color w:val="000000"/>
          <w:sz w:val="20"/>
        </w:rPr>
        <w:t xml:space="preserve">section in Note 2, </w:t>
      </w:r>
      <w:r>
        <w:rPr>
          <w:rFonts w:ascii="Times New Roman" w:hAnsi="Times New Roman"/>
          <w:i/>
          <w:color w:val="000000"/>
          <w:sz w:val="20"/>
        </w:rPr>
        <w:t>Collaboration Agreements, License Agreement and Revenues,</w:t>
      </w:r>
      <w:r>
        <w:rPr>
          <w:rFonts w:ascii="Times New Roman" w:hAnsi="Times New Roman"/>
          <w:color w:val="000000"/>
          <w:sz w:val="20"/>
        </w:rPr>
        <w:t xml:space="preserve">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Partnerships for Roxadustat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current and future research, development, manufacturing and commercialization efforts with respect to roxadustat depend on funds from our collaboration agreements with Astellas and AstraZeneca. See Note 2, </w:t>
      </w:r>
      <w:r>
        <w:rPr>
          <w:rFonts w:ascii="Times New Roman" w:hAnsi="Times New Roman"/>
          <w:i/>
          <w:color w:val="000000"/>
          <w:sz w:val="20"/>
        </w:rPr>
        <w:t>Collaboration Agreements, License Agreement and Revenues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June 30, 2024 totaled $790.1 million. Based on the current development plans for roxadustat in Japan and Europe, we do not expect to receive most or all of the additional potential milestones under the Astellas Japan Agreement or the Astellas Europe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we and Astellas entered into an amendment to the Astellas Japan Agreement that allows Astellas to manufacture roxadustat drug product for commercialization in Japan (the “Astellas Japan Amendment”). The related drug product revenue was $(0.4) million and $13.8 million for the three months ended June 30, 2024 and 2023, and ($2.6) million and $15.5 million for the six months ended June 30,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$1.1 million and $0.5 million for the three months ended June 30, 2024 and 2023, and $2.1 million and $0.8 million for the six months ended June 30,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AstraZeneca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23, 2024, we entered into an agreement to terminate the AstraZeneca U.S./RoW Agreement with AstraZeneca, effective as of February 25, 2024.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FibroGen and AstraZeneca settled the outstanding balances relating to past transactions under the AstraZeneca Master Supply Agreement. Accordingly, during the three months ended March 31, 2024, we recorded a cumulative catch-up net adjustment of $25.7 million to the drug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June 30, 2024 totaled $77.2 million.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 w:hAnsi="Times New Roman"/>
          <w:i/>
          <w:color w:val="000000"/>
          <w:sz w:val="20"/>
        </w:rPr>
        <w:t>AstraZeneca China Amendment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18, 2023, we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U.S./RoW Agreement and the AstraZeneca China Agreement, $3.5 million of which was recognized as revenue during the third quarter of 2023 from performance obligations satisfied or partially satisfied. As of June 30, 2024, the $4.0 million milestone was recorded as a contract asset and was fully netted against the contract liabilities (deferred revenue) related to the AstraZeneca China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AstraZeneca China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Falikang, which performs roxadustat distribution, as well as conducts sales and marketing through AstraZeneca.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Substantially all direct roxadustat product sales to distributors in China are made by Falikang, while we expect that FibroGen Beijing will continue to sell roxadustat product directly in one province in China. FibroGen Beijing manufactures and supplies commercial product to Falikang based on an agreed upon transfer price, which includes gross transaction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net product revenue of $49.6 million and $23.9 million for the three months ended June 30, 2024 and 2023, and $80.2 million and $48.0 million for the six months ended June 30, 2024 and 2023, respectively, majority of which were from the sales to Falikang.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11560" w:type="dxa"/>
        <w:jc w:val="left"/>
        <w:tblInd w:w="0" w:type="dxa"/>
        <w:tblLayout w:type="fixed"/>
        <w:tblCellMar>
          <w:top w:w="28" w:type="dxa"/>
          <w:left w:w="28" w:type="dxa"/>
          <w:bottom w:w="28" w:type="dxa"/>
          <w:right w:w="28" w:type="dxa"/>
        </w:tblCellMar>
      </w:tblPr>
      <w:tblGrid>
        <w:gridCol w:w="1416"/>
        <w:gridCol w:w="146"/>
        <w:gridCol w:w="211"/>
        <w:gridCol w:w="676"/>
        <w:gridCol w:w="146"/>
        <w:gridCol w:w="146"/>
        <w:gridCol w:w="211"/>
        <w:gridCol w:w="676"/>
        <w:gridCol w:w="146"/>
        <w:gridCol w:w="146"/>
        <w:gridCol w:w="211"/>
        <w:gridCol w:w="736"/>
        <w:gridCol w:w="166"/>
        <w:gridCol w:w="146"/>
        <w:gridCol w:w="146"/>
        <w:gridCol w:w="481"/>
        <w:gridCol w:w="166"/>
        <w:gridCol w:w="271"/>
        <w:gridCol w:w="146"/>
        <w:gridCol w:w="211"/>
        <w:gridCol w:w="781"/>
        <w:gridCol w:w="146"/>
        <w:gridCol w:w="146"/>
        <w:gridCol w:w="211"/>
        <w:gridCol w:w="676"/>
        <w:gridCol w:w="146"/>
        <w:gridCol w:w="146"/>
        <w:gridCol w:w="211"/>
        <w:gridCol w:w="676"/>
        <w:gridCol w:w="166"/>
        <w:gridCol w:w="146"/>
        <w:gridCol w:w="146"/>
        <w:gridCol w:w="481"/>
        <w:gridCol w:w="166"/>
        <w:gridCol w:w="716"/>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16"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Development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revenue includes co-development and other development related services. We recognize development services as revenue in the period in which they are billed to our partners, excluding China. As of June 30, 2024, we do not expect to incur significant future co-development services. For China co-development services, we defer revenue until we begin to transfer control of the manufactured commercial product to AstraZeneca, which commenced in the first quarter of 2021, and we expect to continue through 2033, which reflects our best estimates. Other revenues consist of contract manufacturing revenue, patent transfer and sales of research and development material, which have not been material for any of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product revenue when our customer obtains control of promised goods or services in an amount that reflects the consideration we expect to receive in exchange for those goods 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AstraZeneca U.S./RoW Agreement was terminated on February 23, 2024 (except for South Korea), while the AstraZeneca China Agreement and relationship continue unaffected. In the future, we will continue generating revenue from collaboration agreements in the form of milestone payments and royalties on drug product sales, and from product sales. We expect that any revenues we generate will fluctuate from quarter to quarter due to the uncertain timing and amount of such payments and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increased $6.3 million, or 14%, for the three months ended June 30, 2024, and increased $26.1 million, or 32%, for the six months ended June 30, 2024,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License Revenue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146"/>
        <w:gridCol w:w="211"/>
        <w:gridCol w:w="347"/>
        <w:gridCol w:w="146"/>
        <w:gridCol w:w="146"/>
        <w:gridCol w:w="211"/>
        <w:gridCol w:w="573"/>
        <w:gridCol w:w="146"/>
        <w:gridCol w:w="146"/>
        <w:gridCol w:w="211"/>
        <w:gridCol w:w="631"/>
        <w:gridCol w:w="166"/>
        <w:gridCol w:w="146"/>
        <w:gridCol w:w="146"/>
        <w:gridCol w:w="481"/>
        <w:gridCol w:w="166"/>
        <w:gridCol w:w="271"/>
        <w:gridCol w:w="146"/>
        <w:gridCol w:w="211"/>
        <w:gridCol w:w="346"/>
        <w:gridCol w:w="146"/>
        <w:gridCol w:w="146"/>
        <w:gridCol w:w="211"/>
        <w:gridCol w:w="572"/>
        <w:gridCol w:w="146"/>
        <w:gridCol w:w="146"/>
        <w:gridCol w:w="211"/>
        <w:gridCol w:w="631"/>
        <w:gridCol w:w="166"/>
        <w:gridCol w:w="146"/>
        <w:gridCol w:w="146"/>
        <w:gridCol w:w="481"/>
        <w:gridCol w:w="166"/>
        <w:gridCol w:w="722"/>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tcBorders/>
            <w:shd w:fill="FFFFFF" w:val="clear"/>
            <w:vAlign w:val="center"/>
          </w:tcPr>
          <w:p>
            <w:pPr>
              <w:pStyle w:val="TableContents"/>
              <w:bidi w:val="0"/>
              <w:spacing w:before="0" w:after="283"/>
              <w:jc w:val="center"/>
              <w:rPr/>
            </w:pPr>
            <w:r>
              <w:rPr/>
              <w:t> </w:t>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tcBorders/>
            <w:shd w:fill="FFFFFF" w:val="clear"/>
            <w:vAlign w:val="center"/>
          </w:tcPr>
          <w:p>
            <w:pPr>
              <w:pStyle w:val="TableContents"/>
              <w:bidi w:val="0"/>
              <w:spacing w:before="0" w:after="283"/>
              <w:jc w:val="center"/>
              <w:rPr/>
            </w:pPr>
            <w:r>
              <w:rPr/>
              <w:t> </w:t>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95"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22" w:type="dxa"/>
            <w:tcBorders/>
            <w:shd w:fill="FFFFFF" w:val="clear"/>
            <w:vAlign w:val="center"/>
          </w:tcPr>
          <w:p>
            <w:pPr>
              <w:pStyle w:val="TableContents"/>
              <w:bidi w:val="0"/>
              <w:spacing w:before="0" w:after="283"/>
              <w:jc w:val="center"/>
              <w:rPr/>
            </w:pPr>
            <w:r>
              <w:rPr/>
              <w:t> </w:t>
            </w:r>
          </w:p>
        </w:tc>
      </w:tr>
      <w:tr>
        <w:trPr/>
        <w:tc>
          <w:tcPr>
            <w:tcW w:w="1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center"/>
              <w:rPr/>
            </w:pPr>
            <w:r>
              <w:rPr/>
              <w:t> </w:t>
            </w:r>
          </w:p>
        </w:tc>
        <w:tc>
          <w:tcPr>
            <w:tcW w:w="55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22" w:type="dxa"/>
            <w:tcBorders/>
            <w:shd w:fill="CFF0FC" w:val="clear"/>
            <w:vAlign w:val="center"/>
          </w:tcPr>
          <w:p>
            <w:pPr>
              <w:pStyle w:val="TableContents"/>
              <w:bidi w:val="0"/>
              <w:spacing w:before="0" w:after="283"/>
              <w:ind w:left="0" w:right="0" w:firstLine="200"/>
              <w:jc w:val="left"/>
              <w:rPr/>
            </w:pPr>
            <w:r>
              <w:rPr/>
              <w:t> </w:t>
            </w:r>
          </w:p>
        </w:tc>
      </w:tr>
      <w:tr>
        <w:trPr/>
        <w:tc>
          <w:tcPr>
            <w:tcW w:w="1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Eluminex</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1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license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license revenue during the three and six months ended June 30, 2024. License revenue recognized for three and six months ended June 30, 2023 included $1.0 million upfront payment under the A&amp;R Eluminex Agreement. License revenue recognized for the six months ended June 30, 2023 also included a $3.0 million milestone payment based on Eluminex implanting a biosynthetic cornea in the first patient of its clinical trial in China, and a $3.0 million manufacturing related milestone payment when such milestones were achieved.</w:t>
      </w:r>
    </w:p>
    <w:p>
      <w:pPr>
        <w:pStyle w:val="TextBody"/>
        <w:bidi w:val="0"/>
        <w:jc w:val="left"/>
        <w:rPr/>
      </w:pPr>
      <w:r>
        <w:rPr/>
        <w:t>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Development and Other Revenue</w:t>
      </w:r>
    </w:p>
    <w:p>
      <w:pPr>
        <w:pStyle w:val="TextBody"/>
        <w:bidi w:val="0"/>
        <w:jc w:val="left"/>
        <w:rPr/>
      </w:pPr>
      <w:r>
        <w:rPr/>
        <w:t> </w:t>
      </w:r>
    </w:p>
    <w:tbl>
      <w:tblPr>
        <w:tblW w:w="10820" w:type="dxa"/>
        <w:jc w:val="left"/>
        <w:tblInd w:w="0" w:type="dxa"/>
        <w:tblLayout w:type="fixed"/>
        <w:tblCellMar>
          <w:top w:w="28" w:type="dxa"/>
          <w:left w:w="28" w:type="dxa"/>
          <w:bottom w:w="28" w:type="dxa"/>
          <w:right w:w="28" w:type="dxa"/>
        </w:tblCellMar>
      </w:tblPr>
      <w:tblGrid>
        <w:gridCol w:w="1586"/>
        <w:gridCol w:w="146"/>
        <w:gridCol w:w="211"/>
        <w:gridCol w:w="421"/>
        <w:gridCol w:w="166"/>
        <w:gridCol w:w="146"/>
        <w:gridCol w:w="211"/>
        <w:gridCol w:w="571"/>
        <w:gridCol w:w="146"/>
        <w:gridCol w:w="146"/>
        <w:gridCol w:w="211"/>
        <w:gridCol w:w="631"/>
        <w:gridCol w:w="166"/>
        <w:gridCol w:w="146"/>
        <w:gridCol w:w="146"/>
        <w:gridCol w:w="481"/>
        <w:gridCol w:w="166"/>
        <w:gridCol w:w="271"/>
        <w:gridCol w:w="146"/>
        <w:gridCol w:w="211"/>
        <w:gridCol w:w="571"/>
        <w:gridCol w:w="146"/>
        <w:gridCol w:w="146"/>
        <w:gridCol w:w="211"/>
        <w:gridCol w:w="571"/>
        <w:gridCol w:w="146"/>
        <w:gridCol w:w="146"/>
        <w:gridCol w:w="211"/>
        <w:gridCol w:w="631"/>
        <w:gridCol w:w="166"/>
        <w:gridCol w:w="146"/>
        <w:gridCol w:w="146"/>
        <w:gridCol w:w="376"/>
        <w:gridCol w:w="166"/>
        <w:gridCol w:w="716"/>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06"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revenue:</w:t>
            </w:r>
          </w:p>
        </w:tc>
        <w:tc>
          <w:tcPr>
            <w:tcW w:w="146" w:type="dxa"/>
            <w:tcBorders/>
            <w:shd w:fill="CFF0FC" w:val="clear"/>
            <w:vAlign w:val="center"/>
          </w:tcPr>
          <w:p>
            <w:pPr>
              <w:pStyle w:val="TableContents"/>
              <w:bidi w:val="0"/>
              <w:spacing w:before="0" w:after="283"/>
              <w:jc w:val="center"/>
              <w:rPr/>
            </w:pPr>
            <w:r>
              <w:rPr/>
              <w:t> </w:t>
            </w:r>
          </w:p>
        </w:tc>
        <w:tc>
          <w:tcPr>
            <w:tcW w:w="6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Astellas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AstraZeneca</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development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development and other revenue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Development and other revenue decreased $4.9 million, or 95%, for the three months ended June 30, 2024, and decreased $7.9 million, or 87%, for the six months ended June 30, 2024, respectively, compared to the same periods a year ago.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revenue recognized under our collaboration agreements with Astellas for the three and six months ended June 30, 2024 was impacted by the decrease in co-development billings due to the closeout activities under our collaboration agreements with Astellas for roxadustat.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revenue recognized under our collaboration agreements with AstraZeneca for the three and six months ended June 30, 2024 was the final development revenue as a result of the termination of the AstraZeneca U.S./RoW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revenue recognized for the six months ended June 30, 2024 included our contract manufacturing agreement with Eluminex, under which we are responsible for supplying the cornea product at 110% of our product manufacturing costs until our manufacturing technology is fully transferred to Eluminex, which occurred by the end of 2023. Other revenue recognized for the three and six months ended June 30, 2023 also included revenue from sales of certain research and development material.</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Product Revenue, Net</w:t>
      </w:r>
    </w:p>
    <w:p>
      <w:pPr>
        <w:pStyle w:val="TextBody"/>
        <w:bidi w:val="0"/>
        <w:jc w:val="left"/>
        <w:rPr/>
      </w:pPr>
      <w:r>
        <w:rPr/>
        <w:t> </w:t>
      </w:r>
    </w:p>
    <w:tbl>
      <w:tblPr>
        <w:tblW w:w="11670" w:type="dxa"/>
        <w:jc w:val="left"/>
        <w:tblInd w:w="0" w:type="dxa"/>
        <w:tblLayout w:type="fixed"/>
        <w:tblCellMar>
          <w:top w:w="28" w:type="dxa"/>
          <w:left w:w="28" w:type="dxa"/>
          <w:bottom w:w="28" w:type="dxa"/>
          <w:right w:w="28" w:type="dxa"/>
        </w:tblCellMar>
      </w:tblPr>
      <w:tblGrid>
        <w:gridCol w:w="1221"/>
        <w:gridCol w:w="146"/>
        <w:gridCol w:w="211"/>
        <w:gridCol w:w="736"/>
        <w:gridCol w:w="166"/>
        <w:gridCol w:w="146"/>
        <w:gridCol w:w="211"/>
        <w:gridCol w:w="736"/>
        <w:gridCol w:w="166"/>
        <w:gridCol w:w="146"/>
        <w:gridCol w:w="211"/>
        <w:gridCol w:w="676"/>
        <w:gridCol w:w="166"/>
        <w:gridCol w:w="146"/>
        <w:gridCol w:w="146"/>
        <w:gridCol w:w="481"/>
        <w:gridCol w:w="166"/>
        <w:gridCol w:w="271"/>
        <w:gridCol w:w="146"/>
        <w:gridCol w:w="211"/>
        <w:gridCol w:w="736"/>
        <w:gridCol w:w="166"/>
        <w:gridCol w:w="146"/>
        <w:gridCol w:w="211"/>
        <w:gridCol w:w="736"/>
        <w:gridCol w:w="166"/>
        <w:gridCol w:w="146"/>
        <w:gridCol w:w="211"/>
        <w:gridCol w:w="676"/>
        <w:gridCol w:w="166"/>
        <w:gridCol w:w="146"/>
        <w:gridCol w:w="146"/>
        <w:gridCol w:w="631"/>
        <w:gridCol w:w="166"/>
        <w:gridCol w:w="716"/>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2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Sales: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left"/>
              <w:rPr/>
            </w:pPr>
            <w:r>
              <w:rPr/>
              <w:t> </w:t>
            </w:r>
          </w:p>
        </w:tc>
      </w:tr>
      <w:tr>
        <w:trPr/>
        <w:tc>
          <w:tcPr>
            <w:tcW w:w="1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Discounts and rebates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returns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Direct sales revenue,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2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to Falikang:</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left"/>
              <w:rPr/>
            </w:pPr>
            <w:r>
              <w:rPr/>
              <w:t> </w:t>
            </w:r>
          </w:p>
        </w:tc>
      </w:tr>
      <w:tr>
        <w:trPr/>
        <w:tc>
          <w:tcPr>
            <w:tcW w:w="1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transaction price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Profit share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transaction price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 in deferred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Sales to Falikang revenue, net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2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product revenue,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Substantially all direct product sales to distributors in China have been made by Falikang, while FibroGen Beijing continues to sell product directly in one province in China. Total product revenue, net increased $25.8 million, or 108%, for the three months ended June 30, 2024, and increased $32.1 million, or 67%, for the six months ended June 30, 2024, respectively, compared to the same periods a year ago.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product revenue from direct sales to distributors in an amount that reflects the consideration that we expect to be entitled to in exchange for those products, net of various sales rebates and discounts. Product revenue from direct sales, increased $0.3 million, or 8%, for the three months ended June 30, 2024, and increased $0.9 million, or 15%, for the six months ended June 30, 2024, respectively, compared to the same periods a year ago, due to the increase in sales volume during the current year periods, offset by lower government-listed price. The total discounts and rebates were immaterial for each of the three and six months ended June 30,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FibroGen Beijing manufactures and supplies commercial product to Falikang based on a gross transaction price, adjusted for the estimated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to Falikang revenue, net increased $25.5 million, or 124%, for the three months ended June 30, 2024, and increased $31.2 million, or 75%, for the six months ended June 30, 2024, respectively, compared to the same periods a year ago. The gross transaction price increased $7.2 million, and the calculated profit share increased $3.1 million for the three months ended June 30, 2024, and the gross transaction price increased $16.5 million, and the calculated profit share increased $7.1 million for the six months ended June 30, 2024, respectively, compared to the same periods a year ago, primarily due to the increase in sales volume during the current 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Periodically, we update our assumptions such as gross transaction price, profit share, performance period, total sales quantity and other inputs including foreign currency translation impact, among others. Following updates to our estimates, we recognized $18.1 million and $20.6 million for the three and six months ended June 30, 2024, respectively, from the previously deferred revenue of the China performance obligation. Comparatively, we deferred $3.3 million and $1.2 million for the three and six months ended June 30, 2023, respectively, from the net transfer price to Falikang, which was included in the related deferred revenue of the China performance obligation.</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Drug Product Revenue, Net</w:t>
      </w:r>
    </w:p>
    <w:tbl>
      <w:tblPr>
        <w:tblW w:w="11235" w:type="dxa"/>
        <w:jc w:val="left"/>
        <w:tblInd w:w="0" w:type="dxa"/>
        <w:tblLayout w:type="fixed"/>
        <w:tblCellMar>
          <w:top w:w="28" w:type="dxa"/>
          <w:left w:w="28" w:type="dxa"/>
          <w:bottom w:w="28" w:type="dxa"/>
          <w:right w:w="28" w:type="dxa"/>
        </w:tblCellMar>
      </w:tblPr>
      <w:tblGrid>
        <w:gridCol w:w="1326"/>
        <w:gridCol w:w="146"/>
        <w:gridCol w:w="211"/>
        <w:gridCol w:w="571"/>
        <w:gridCol w:w="166"/>
        <w:gridCol w:w="146"/>
        <w:gridCol w:w="211"/>
        <w:gridCol w:w="676"/>
        <w:gridCol w:w="146"/>
        <w:gridCol w:w="146"/>
        <w:gridCol w:w="211"/>
        <w:gridCol w:w="736"/>
        <w:gridCol w:w="166"/>
        <w:gridCol w:w="146"/>
        <w:gridCol w:w="146"/>
        <w:gridCol w:w="481"/>
        <w:gridCol w:w="166"/>
        <w:gridCol w:w="271"/>
        <w:gridCol w:w="146"/>
        <w:gridCol w:w="211"/>
        <w:gridCol w:w="676"/>
        <w:gridCol w:w="166"/>
        <w:gridCol w:w="146"/>
        <w:gridCol w:w="211"/>
        <w:gridCol w:w="676"/>
        <w:gridCol w:w="146"/>
        <w:gridCol w:w="146"/>
        <w:gridCol w:w="211"/>
        <w:gridCol w:w="736"/>
        <w:gridCol w:w="166"/>
        <w:gridCol w:w="146"/>
        <w:gridCol w:w="146"/>
        <w:gridCol w:w="481"/>
        <w:gridCol w:w="166"/>
        <w:gridCol w:w="591"/>
      </w:tblGrid>
      <w:tr>
        <w:trPr/>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6"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product revenue, net:</w:t>
            </w:r>
          </w:p>
        </w:tc>
        <w:tc>
          <w:tcPr>
            <w:tcW w:w="146" w:type="dxa"/>
            <w:tcBorders/>
            <w:shd w:fill="CFF0FC" w:val="clear"/>
            <w:vAlign w:val="center"/>
          </w:tcPr>
          <w:p>
            <w:pPr>
              <w:pStyle w:val="TableContents"/>
              <w:bidi w:val="0"/>
              <w:spacing w:before="0" w:after="283"/>
              <w:jc w:val="center"/>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Astellas Japan Agreement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Astellas Europe Agreement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AstraZeneca U.S./RoW Agreement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1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drug product revenue,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 product revenue, net decreased $13.5 million, or 95%, for the three months ended June 30, 2024, and increased $8.8 million, or 54%, for the six months ended June 30, 2024, respectively, compared to the same periods a year ago.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Japan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2024, we updated our estimate of variable consideration related to the API shipments fulfilled under the terms of Astellas Japan Amendment, and accordingly recorded a reduction to the drug product revenue of $0.4 million. Specifically, the change in estimated variable consideration was based on the API held by Astellas at period end, adjusted to reflect the foreign exchange impacts and the changes in the estimated bulk product strength mix intended to be manufactured by Astellas, among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2024, we updated our estimate of variable consideration related to the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second quarter of 2023, we fulfilled two shipment obligations under the terms of Astellas Japan Amendment and recognized related drug product revenue of $14.4 million in the same period. In addition, we updated our estimate of variable consideration related to the API shipments fulfilled under the terms of Astellas Japan Amendment, and accordingly recorded a reduction to the drug product revenue of $0.6 million. Specifically, the change in estimated variable consideration was based on the API held by Astellas at period end, adjusted to reflect the changes in the estimated bulk product strength mix intended to be manufactured by Astellas, and foreign exchange impacts,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2023, we updated our estimate of variable consideration related to the API shipments fulfilled under the terms of Astellas Japan Amendment, and accordingly recorded adjustments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 balances related to the API price true-up under the Astellas Japan Agreement were $2.2 million in accrued liabilities and $0.6 million in other long-term liabilities, representing our best estimate of the timing for these amounts to be paid. As of December 31, 2023, the related balances were $1.2 million in accrued liabilities and $0.7 million in other long-term liabilities.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Astellas Europe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updated our estimate of variable consideration related to the bulk drug product transferred under the terms of the Astellas Europe Agreement and the Astellas EU Supply Agreement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reclassified from the related deferred revenue to accrued liabilities and as of December 31, 2023, the related balance in accrued liabilities was $38.6 million. We further reclassified $5.4 million from the related deferred revenue to accrued liabilities and paid $35.3 million to Astellas during the six months ended June 30, 2024. As of June 30, 2024, the balances related to the bulk drug product price true-up under the Astellas Europe Agreement and the Astellas EU Supply Agreement were $8.8 million in accrued liabilities, representing our best estimate that these amounts will be paid within the next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recognized royalty revenue as drug product revenue, from the deferred revenue under the Astellas Europe Agreement, of $1.1 million and $0.5 million for the three months ended June 30, 2024 and 2023, and $2.1 million and $0.8 million for the six months ended June 30, 2024 and 2023, respectively. It is our best estimate that the remainder of the deferred revenue will be recognized as revenue and when uncertainty is resolved, based on the performance of roxadustat product sales in the Astellas territory.</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 U.S./RoW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above, pursuant to the AstraZeneca Termination and Transition Agreement related to the AstraZeneca U.S./RoW Agreement, FibroGen and AstraZeneca settled the outstanding balances relating to past transactions under the AstraZeneca Master Supply Agreement. Accordingly, during the three months ended March 31, 2024, we accounted for the termination of the AstraZeneca U.S./RoW agreement as a contract modification under the ASC 606 and recorded a cumulative catch-up net adjustment of $25.7 million to the drug product revenue. The related accounts receivable of $26.0 million and the related accrued liabilities of $11.5 million as of March 31, 2024 were settled during the three months ended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Costs and Expenses</w:t>
      </w:r>
    </w:p>
    <w:p>
      <w:pPr>
        <w:pStyle w:val="TextBody"/>
        <w:bidi w:val="0"/>
        <w:jc w:val="left"/>
        <w:rPr/>
      </w:pPr>
      <w:r>
        <w:rPr/>
        <w:t> </w:t>
      </w:r>
    </w:p>
    <w:tbl>
      <w:tblPr>
        <w:tblW w:w="11740" w:type="dxa"/>
        <w:jc w:val="left"/>
        <w:tblInd w:w="0" w:type="dxa"/>
        <w:tblLayout w:type="fixed"/>
        <w:tblCellMar>
          <w:top w:w="28" w:type="dxa"/>
          <w:left w:w="28" w:type="dxa"/>
          <w:bottom w:w="28" w:type="dxa"/>
          <w:right w:w="28" w:type="dxa"/>
        </w:tblCellMar>
      </w:tblPr>
      <w:tblGrid>
        <w:gridCol w:w="1491"/>
        <w:gridCol w:w="146"/>
        <w:gridCol w:w="211"/>
        <w:gridCol w:w="676"/>
        <w:gridCol w:w="146"/>
        <w:gridCol w:w="146"/>
        <w:gridCol w:w="211"/>
        <w:gridCol w:w="781"/>
        <w:gridCol w:w="146"/>
        <w:gridCol w:w="146"/>
        <w:gridCol w:w="211"/>
        <w:gridCol w:w="736"/>
        <w:gridCol w:w="166"/>
        <w:gridCol w:w="146"/>
        <w:gridCol w:w="146"/>
        <w:gridCol w:w="376"/>
        <w:gridCol w:w="166"/>
        <w:gridCol w:w="271"/>
        <w:gridCol w:w="146"/>
        <w:gridCol w:w="211"/>
        <w:gridCol w:w="781"/>
        <w:gridCol w:w="146"/>
        <w:gridCol w:w="146"/>
        <w:gridCol w:w="211"/>
        <w:gridCol w:w="781"/>
        <w:gridCol w:w="146"/>
        <w:gridCol w:w="146"/>
        <w:gridCol w:w="211"/>
        <w:gridCol w:w="736"/>
        <w:gridCol w:w="166"/>
        <w:gridCol w:w="146"/>
        <w:gridCol w:w="146"/>
        <w:gridCol w:w="421"/>
        <w:gridCol w:w="166"/>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2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operating costs and expenses decreased $70.8 million, or 53%, and decreased $96.1 million, or 39%, for the six months ended June 30, 2024,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Cost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goods sold decreased $0.5 million, or 9%, for the three months ended June 30, 2024, and increased $21.7 million, or 236%, for the six months ended June 30, 2024, respectively, compared to the same periods a year ago.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above, during the three months ended March 31, 2024, we recorded a cumulative catch-up net adjustment to the drug product revenue resulting from the AstraZeneca Termination and Transition Agreement related to the AstraZeneca U.S./RoW Agreement. Correspondingly, we recorded the related cost of goods sold of $21.1 million during the three months ended March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$5.0 million and $3.6 million for the three months ended June 30, 2024 and 2023, and $9.4 million and $6.8 million for the six months ended June 30, 2024, respectively. Cost of goods sold in China increased as compared to the prior year periods due to the increases in the sales volume.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goods sold also included manufacturing costs related to our contract manufacturing revenue from Eluminex, which was immaterial for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IPR&amp;D assets that have no alternative future use other than in a particular research and development project. We have implemented efforts to streamline operations to align with our business goals in the second half of 2023. As a result, research and development expenses have decreased and may continue to decrease in certain areas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three and six months ended June 30, 2024 and 2023:</w:t>
      </w:r>
    </w:p>
    <w:tbl>
      <w:tblPr>
        <w:tblW w:w="9340" w:type="dxa"/>
        <w:jc w:val="left"/>
        <w:tblInd w:w="0" w:type="dxa"/>
        <w:tblLayout w:type="fixed"/>
        <w:tblCellMar>
          <w:top w:w="28" w:type="dxa"/>
          <w:left w:w="28" w:type="dxa"/>
          <w:bottom w:w="28" w:type="dxa"/>
          <w:right w:w="28" w:type="dxa"/>
        </w:tblCellMar>
      </w:tblPr>
      <w:tblGrid>
        <w:gridCol w:w="1684"/>
        <w:gridCol w:w="163"/>
        <w:gridCol w:w="1887"/>
        <w:gridCol w:w="146"/>
        <w:gridCol w:w="231"/>
        <w:gridCol w:w="741"/>
        <w:gridCol w:w="160"/>
        <w:gridCol w:w="160"/>
        <w:gridCol w:w="231"/>
        <w:gridCol w:w="741"/>
        <w:gridCol w:w="146"/>
        <w:gridCol w:w="271"/>
        <w:gridCol w:w="211"/>
        <w:gridCol w:w="676"/>
        <w:gridCol w:w="146"/>
        <w:gridCol w:w="146"/>
        <w:gridCol w:w="211"/>
        <w:gridCol w:w="781"/>
        <w:gridCol w:w="146"/>
        <w:gridCol w:w="271"/>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8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Phase of</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 Candidate</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684"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8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Pamrevlumab</w:t>
            </w:r>
          </w:p>
        </w:tc>
        <w:tc>
          <w:tcPr>
            <w:tcW w:w="163" w:type="dxa"/>
            <w:tcBorders/>
            <w:shd w:fill="CFF0FC" w:val="clear"/>
            <w:vAlign w:val="center"/>
          </w:tcPr>
          <w:p>
            <w:pPr>
              <w:pStyle w:val="TableContents"/>
              <w:bidi w:val="0"/>
              <w:spacing w:before="0" w:after="283"/>
              <w:jc w:val="left"/>
              <w:rPr/>
            </w:pPr>
            <w:r>
              <w:rPr/>
              <w:t> </w:t>
            </w:r>
          </w:p>
        </w:tc>
        <w:tc>
          <w:tcPr>
            <w:tcW w:w="18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2/3</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19,915</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Roxadustat</w:t>
            </w:r>
          </w:p>
        </w:tc>
        <w:tc>
          <w:tcPr>
            <w:tcW w:w="163"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 Phase 3</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FG-3246</w:t>
            </w:r>
          </w:p>
        </w:tc>
        <w:tc>
          <w:tcPr>
            <w:tcW w:w="163" w:type="dxa"/>
            <w:tcBorders/>
            <w:shd w:fill="CFF0FC" w:val="clear"/>
            <w:vAlign w:val="center"/>
          </w:tcPr>
          <w:p>
            <w:pPr>
              <w:pStyle w:val="TableContents"/>
              <w:bidi w:val="0"/>
              <w:spacing w:before="0" w:after="283"/>
              <w:jc w:val="left"/>
              <w:rPr/>
            </w:pPr>
            <w:r>
              <w:rPr/>
              <w:t> </w:t>
            </w:r>
          </w:p>
        </w:tc>
        <w:tc>
          <w:tcPr>
            <w:tcW w:w="18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Phase 1</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FG-3165</w:t>
            </w:r>
          </w:p>
        </w:tc>
        <w:tc>
          <w:tcPr>
            <w:tcW w:w="163"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734"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734" w:type="dxa"/>
            <w:gridSpan w:val="3"/>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Included $24.6 million one-time, non-cash acquired IPR&amp;D expenses associated with the recent exclusive license for FG-3246 from Fortis and the acquisition of Fortis.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decreased $61.4 million, or 64%, for the three months ended June 30, 2024, and decreased $97.5 million, or 57%, for the six months ended June 30, 2024,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$24.6 million one-time, non-cash charge of acquired IPR&amp;D expenses, in the prior year periods, associated with the exclusive license for FG-3246 from Fortis and the acquisition of Fortis;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$17.7 million and $32.2 million in clinical trials costs primarily associated with the wind down on Phase 2/3 trials for pamrevlumab for the treatment of metastatic pancreatic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 of $6.0 million and $17.0 million in employee-related costs primarily due to the impact from reduction in force actions in July 2023 and cost control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$3.6 million and $7.3 million in facilities-related expenses due to cost control efforts and lower depreciation expense as certain Property and equipment reached their useful lives in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$3.6 million and $7.2 million in stock-based compensation primarily resulting from significantly lower stock price and cancellations of stock options and restricted stock units due to reduced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$2.5 million and $5.4 million in drug development expenses associated with drug substance activities and logistic expenses related to pamrevlumab which was largely completed;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$2.2 million and $4.3 million in outside services expenses primarily related to cancellation of certain programs to streamline operations and cost control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We have implemented efforts to streamline operations to align with our business goals in the second half of 2023. As a result, SG&amp;A expenses have decreased in certain areas and may continue to decrease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SG&amp;A expenses decreased $8.9 million, or 29%, for the three months ended June 30, 2024, and decreased $20.4 million, or 31%, for the six months ended June 30, 2024, compared to the same periods a year ago, primarily as a result of the net effect of the following,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$3.7 million and $7.4 million in stock-based compensation primarily resulting from significantly lower stock price and cancellations of stock options and restricted stock units due to reduced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$2.9 million and $7.6 million in employee-related costs primarily due to the impact from reduction in force actions in July 2023 and cost control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$2.6 million and $3.0 million in outside services expenses due to cancellation of certain programs and cost control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 of $3.1 million in legal expenses for the six months ended June 30, 2024 primarily due to lower activities in corporate legal, legal proceedings and intellectual properties.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Net</w:t>
      </w:r>
    </w:p>
    <w:p>
      <w:pPr>
        <w:pStyle w:val="TextBody"/>
        <w:bidi w:val="0"/>
        <w:jc w:val="left"/>
        <w:rPr/>
      </w:pPr>
      <w:r>
        <w:rPr/>
        <w:t> </w:t>
      </w:r>
    </w:p>
    <w:tbl>
      <w:tblPr>
        <w:tblW w:w="10995" w:type="dxa"/>
        <w:jc w:val="left"/>
        <w:tblInd w:w="0" w:type="dxa"/>
        <w:tblLayout w:type="fixed"/>
        <w:tblCellMar>
          <w:top w:w="28" w:type="dxa"/>
          <w:left w:w="28" w:type="dxa"/>
          <w:bottom w:w="28" w:type="dxa"/>
          <w:right w:w="28" w:type="dxa"/>
        </w:tblCellMar>
      </w:tblPr>
      <w:tblGrid>
        <w:gridCol w:w="1176"/>
        <w:gridCol w:w="146"/>
        <w:gridCol w:w="211"/>
        <w:gridCol w:w="631"/>
        <w:gridCol w:w="166"/>
        <w:gridCol w:w="146"/>
        <w:gridCol w:w="211"/>
        <w:gridCol w:w="631"/>
        <w:gridCol w:w="166"/>
        <w:gridCol w:w="146"/>
        <w:gridCol w:w="211"/>
        <w:gridCol w:w="631"/>
        <w:gridCol w:w="166"/>
        <w:gridCol w:w="146"/>
        <w:gridCol w:w="146"/>
        <w:gridCol w:w="571"/>
        <w:gridCol w:w="166"/>
        <w:gridCol w:w="271"/>
        <w:gridCol w:w="146"/>
        <w:gridCol w:w="211"/>
        <w:gridCol w:w="631"/>
        <w:gridCol w:w="166"/>
        <w:gridCol w:w="146"/>
        <w:gridCol w:w="211"/>
        <w:gridCol w:w="631"/>
        <w:gridCol w:w="166"/>
        <w:gridCol w:w="146"/>
        <w:gridCol w:w="211"/>
        <w:gridCol w:w="631"/>
        <w:gridCol w:w="166"/>
        <w:gridCol w:w="146"/>
        <w:gridCol w:w="146"/>
        <w:gridCol w:w="421"/>
        <w:gridCol w:w="166"/>
        <w:gridCol w:w="716"/>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9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net: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(expenses),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1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interest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represents the interest related to the senior secured term loan facilities, interest related to sale of future revenues and interest related to the Technology Development Center of the Republic of Finland product development obligations.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increased $1.7 million, or 56%, for the three months ended June 30, 2024, and increased $4.3 million, or 80%, for the six months ended June 30, 2024, respectively, compared to the same periods a year ago, primarily due to the higher interest expense related to the senior secured term loan facilities. The loan was drawn in the middle of the second quarter of 2023, and therefore, the related interest expense only the represented partial prior year periods. See Note 6, </w:t>
      </w:r>
      <w:r>
        <w:rPr>
          <w:rFonts w:ascii="Times New Roman" w:hAnsi="Times New Roman"/>
          <w:i/>
          <w:color w:val="000000"/>
          <w:sz w:val="20"/>
        </w:rPr>
        <w:t>Senior Secured Term Loan Facilities,</w:t>
      </w:r>
      <w:r>
        <w:rPr>
          <w:rFonts w:ascii="Times New Roman" w:hAnsi="Times New Roman"/>
          <w:color w:val="000000"/>
          <w:sz w:val="20"/>
        </w:rPr>
        <w:t xml:space="preserve"> to the condensed consolidated financial statements for details.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Income and Other Income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and other income (expenses), net decreased $3.9 million, or 148%, and decreased $2.4 million, or 65%, for the six months ended June 30, 2024, respectively, compared to the same periods a year ago, primarily due to foreign currency transaction losses and lower interest income resulting from lower investment balances.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tbl>
      <w:tblPr>
        <w:tblW w:w="8596" w:type="dxa"/>
        <w:jc w:val="left"/>
        <w:tblInd w:w="0" w:type="dxa"/>
        <w:tblLayout w:type="fixed"/>
        <w:tblCellMar>
          <w:top w:w="28" w:type="dxa"/>
          <w:left w:w="28" w:type="dxa"/>
          <w:bottom w:w="28" w:type="dxa"/>
          <w:right w:w="28" w:type="dxa"/>
        </w:tblCellMar>
      </w:tblPr>
      <w:tblGrid>
        <w:gridCol w:w="2251"/>
        <w:gridCol w:w="146"/>
        <w:gridCol w:w="211"/>
        <w:gridCol w:w="736"/>
        <w:gridCol w:w="166"/>
        <w:gridCol w:w="271"/>
        <w:gridCol w:w="146"/>
        <w:gridCol w:w="211"/>
        <w:gridCol w:w="736"/>
        <w:gridCol w:w="166"/>
        <w:gridCol w:w="271"/>
        <w:gridCol w:w="146"/>
        <w:gridCol w:w="211"/>
        <w:gridCol w:w="736"/>
        <w:gridCol w:w="166"/>
        <w:gridCol w:w="271"/>
        <w:gridCol w:w="146"/>
        <w:gridCol w:w="211"/>
        <w:gridCol w:w="841"/>
        <w:gridCol w:w="166"/>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42" w:type="dxa"/>
            <w:gridSpan w:val="1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2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Benefits from income taxes for the three and six months ended June 30, 2024 and 2023 were primarily due to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Income in Unconsolidated Variable Interest Entity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Investment income in unconsolidated variable interest entity represented our proportionate share of the reported profits of Falikang, an unconsolidated variable interest entity accounted for under the equity method, which was immaterial for the three and six months ended June 30, 2024 and 2023. See </w:t>
      </w:r>
      <w:r>
        <w:rPr>
          <w:rFonts w:ascii="Times New Roman" w:hAnsi="Times New Roman"/>
          <w:i/>
          <w:color w:val="000000"/>
          <w:sz w:val="20"/>
        </w:rPr>
        <w:t>Equity method investment - Unconsolidated VIE - Falikang</w:t>
      </w:r>
      <w:r>
        <w:rPr>
          <w:rFonts w:ascii="Times New Roman" w:hAnsi="Times New Roman"/>
          <w:color w:val="000000"/>
          <w:sz w:val="20"/>
        </w:rPr>
        <w:t xml:space="preserve"> section of Note 3, </w:t>
      </w:r>
      <w:r>
        <w:rPr>
          <w:rFonts w:ascii="Times New Roman" w:hAnsi="Times New Roman"/>
          <w:i/>
          <w:color w:val="000000"/>
          <w:sz w:val="20"/>
        </w:rPr>
        <w:t>Variable Interest Entities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November 4, 2022, we entered into a Revenue Interest Financing Agreement (“RIFA”) with NovaQuest Capital Management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7,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27,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we may issue and sell, from time to time and through the Sales Agents, shares of our common stock having an aggregate offering price of up to $200.0 million (the “ATM Program”). Under the ATM Program, we sold a total of 2,472,090 shares of our common stock and received net proceeds of approximately $48.4 million during the first and second quarter of 2023.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29, 2023, we entered into the Financing Agreement with investment funds managed by Morgan Stanley Tactical Value,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For additional details about this financing transaction, see Note 6, </w:t>
      </w:r>
      <w:r>
        <w:rPr>
          <w:rFonts w:ascii="Times New Roman" w:hAnsi="Times New Roman"/>
          <w:i/>
          <w:color w:val="000000"/>
          <w:sz w:val="20"/>
        </w:rPr>
        <w:t>Senior Secured Revolving Line of Credit</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we had cash and cash equivalents of $140.7 million, compared to $113.7 million as of December 31, 2023. Cash is invested in accordance with our investment policy, primarily with a view to liquidity and capital preservation. Investments, consisting of available-for-sale securities, and stated at fair value, are also available as a source of liquidity. As of June 30, 2024, we did not have any short-term investments, compared to short-term investments of $121.9 million as of December 31, 2023. As of June 30, 2024, a total of $39.3 million of our cash and cash equivalents was held outside of the U.S. in our foreign subsidiaries, substantially all held in China, to be used primarily for our China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color w:val="000000"/>
          <w:sz w:val="20"/>
        </w:rPr>
        <w:t>Our long-term plans for distributing cash flows from FibroGen Beijing may involve any number of scenarios including keeping the money onshore to fund future expansion of our China operations or paying down certain debt obligations. During the three and six months ended June 30, 2024, FibroGen Beijing made a total of $10.8 million and $27.3 million repayments of intercompany loans, respectively. Our capital contributions to FibroGen Beijing and the liquidity position of FibroGen Beijing depend on many factors, including those set forth under Part II, Item 1A “</w:t>
      </w:r>
      <w:r>
        <w:rPr>
          <w:rFonts w:ascii="Times New Roman" w:hAnsi="Times New Roman"/>
          <w:i/>
          <w:color w:val="000000"/>
          <w:sz w:val="20"/>
        </w:rPr>
        <w:t>Risk Factors</w:t>
      </w:r>
      <w:r>
        <w:rPr>
          <w:rFonts w:ascii="Times New Roman" w:hAnsi="Times New Roman"/>
          <w:color w:val="000000"/>
          <w:sz w:val="20"/>
        </w:rPr>
        <w:t xml:space="preserve">” in this Quarterly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Sources and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set forth below (in thousands):</w:t>
      </w:r>
    </w:p>
    <w:p>
      <w:pPr>
        <w:pStyle w:val="TextBody"/>
        <w:bidi w:val="0"/>
        <w:spacing w:before="20" w:after="283"/>
        <w:jc w:val="left"/>
        <w:rPr/>
      </w:pPr>
      <w:r>
        <w:rPr/>
        <w:t> </w:t>
      </w:r>
    </w:p>
    <w:tbl>
      <w:tblPr>
        <w:tblW w:w="8399" w:type="dxa"/>
        <w:jc w:val="left"/>
        <w:tblInd w:w="0" w:type="dxa"/>
        <w:tblLayout w:type="fixed"/>
        <w:tblCellMar>
          <w:top w:w="28" w:type="dxa"/>
          <w:left w:w="28" w:type="dxa"/>
          <w:bottom w:w="28" w:type="dxa"/>
          <w:right w:w="28" w:type="dxa"/>
        </w:tblCellMar>
      </w:tblPr>
      <w:tblGrid>
        <w:gridCol w:w="5286"/>
        <w:gridCol w:w="146"/>
        <w:gridCol w:w="211"/>
        <w:gridCol w:w="781"/>
        <w:gridCol w:w="166"/>
        <w:gridCol w:w="146"/>
        <w:gridCol w:w="211"/>
        <w:gridCol w:w="841"/>
        <w:gridCol w:w="611"/>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(212,162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89,197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$99.2 million for the six months ended June 30, 2024 and consisted primarily of net loss of $48.5 million adjusted for non-operating cash items of $15.8 million, and a net decrease in operating assets and liabilities of $66.5 million. The significant non-operating cash items included stock-based compensation expense of $17.4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$52.7 million, primarily driven by payment of $35.3 million to Astellas and $11.5 million to AstraZeneca related to accrued API and bulk drug product price true-up; bonus and severance payouts totaling $19.1 million, offset by accrued inventory related cost of $8.5 million as of June 30, 2024, as part of the cost of goods sold resulting from the above-mentioned termination of the AstraZeneca U.S./RoW agreement. The accrued and other liabilities were also impacted by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Deferred revenue decreased $29.5 million, primarily related to the $20.6 million product revenue recognized from the previously deferred revenue of the China performance obligation during the six months ended June 30, 2023. See the </w:t>
      </w:r>
      <w:r>
        <w:rPr>
          <w:rFonts w:ascii="Times New Roman" w:hAnsi="Times New Roman"/>
          <w:i/>
          <w:color w:val="000000"/>
          <w:sz w:val="20"/>
        </w:rPr>
        <w:t xml:space="preserve">Product Revenue, Net </w:t>
      </w:r>
      <w:r>
        <w:rPr>
          <w:rFonts w:ascii="Times New Roman" w:hAnsi="Times New Roman"/>
          <w:color w:val="000000"/>
          <w:sz w:val="20"/>
        </w:rPr>
        <w:t xml:space="preserve">section in Note 2, </w:t>
      </w:r>
      <w:r>
        <w:rPr>
          <w:rFonts w:ascii="Times New Roman" w:hAnsi="Times New Roman"/>
          <w:i/>
          <w:color w:val="000000"/>
          <w:sz w:val="20"/>
        </w:rPr>
        <w:t>Collaboration Agreements, License Agreement and Revenues,</w:t>
      </w:r>
      <w:r>
        <w:rPr>
          <w:color w:val="000000"/>
        </w:rPr>
        <w:t xml:space="preserve"> </w:t>
      </w:r>
      <w:r>
        <w:rPr>
          <w:rFonts w:ascii="Times New Roman" w:hAnsi="Times New Roman"/>
          <w:color w:val="000000"/>
          <w:sz w:val="20"/>
        </w:rPr>
        <w:t xml:space="preserve">to the condensed consolidated financial statements for details. In addition, the decrease in deferred revenue was also related to the $2.1 million royalty revenue recognized from the deferred revenue under the Astellas Europe Agreement, and the reclassification of $5.4 million to accrued liabilities, resulting from changes in estimated variable consideration associated with the bulk drug product transferred to Astellas under the terms of the Astellas Europe Agreement and the Astellas EU Supply Agreement during the six months ended June 30, 2023. See the </w:t>
      </w:r>
      <w:r>
        <w:rPr>
          <w:rFonts w:ascii="Times New Roman" w:hAnsi="Times New Roman"/>
          <w:i/>
          <w:color w:val="000000"/>
          <w:sz w:val="20"/>
        </w:rPr>
        <w:t xml:space="preserve">Drug Product Revenue, Net </w:t>
      </w:r>
      <w:r>
        <w:rPr>
          <w:rFonts w:ascii="Times New Roman" w:hAnsi="Times New Roman"/>
          <w:color w:val="000000"/>
          <w:sz w:val="20"/>
        </w:rPr>
        <w:t xml:space="preserve">section in Note 2, </w:t>
      </w:r>
      <w:r>
        <w:rPr>
          <w:rFonts w:ascii="Times New Roman" w:hAnsi="Times New Roman"/>
          <w:i/>
          <w:color w:val="000000"/>
          <w:sz w:val="20"/>
        </w:rPr>
        <w:t>Collaboration Agreements, License Agreement and Revenues,</w:t>
      </w:r>
      <w:r>
        <w:rPr>
          <w:color w:val="000000"/>
        </w:rPr>
        <w:t xml:space="preserve"> </w:t>
      </w:r>
      <w:r>
        <w:rPr>
          <w:rFonts w:ascii="Times New Roman" w:hAnsi="Times New Roman"/>
          <w:color w:val="000000"/>
          <w:sz w:val="20"/>
        </w:rPr>
        <w:t>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payable decreased $8.0 million, primarily driven by the timing of invoicing and payments;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Accrued interest expense related to sale of future revenues decreased $1.9 million due to the $5.7 million interest paid, offset by the interest expense of $3.7 million accrued during the six months ended June 30, 2024. See Note 7, </w:t>
      </w:r>
      <w:r>
        <w:rPr>
          <w:rFonts w:ascii="Times New Roman" w:hAnsi="Times New Roman"/>
          <w:i/>
          <w:color w:val="000000"/>
          <w:sz w:val="20"/>
        </w:rPr>
        <w:t>Liability Related to Sale of Future Revenues,</w:t>
      </w:r>
      <w:r>
        <w:rPr>
          <w:color w:val="000000"/>
        </w:rPr>
        <w:t xml:space="preserve"> </w:t>
      </w:r>
      <w:r>
        <w:rPr>
          <w:rFonts w:ascii="Times New Roman" w:hAnsi="Times New Roman"/>
          <w:color w:val="000000"/>
          <w:sz w:val="20"/>
        </w:rPr>
        <w:t>to the condensed consolidated financial statements for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decreased $15.6 million primarily driven by the $12.6 million of work-in-progress inventory that was reimbursed as part of the above-mentioned termination of the AstraZeneca U.S./RoW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decreased $6.0 million, primarily driven by the receipt of the billings under our collaboration and license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$4.5 million, primarily due to the reimbursements from the insurance for the legal fees associated with the class action lawsuit, which is recoverable under our insurance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$212.2 million for the six months ended June 30, 2023 and consisted primarily of net loss of $164.4 million adjusted for non-operating cash items of $64.0 million, and a net decrease in operating assets and liabilities of $111.8 million. The significant non-operating cash items included stock-based compensation expense of $32.0 million, acquired IPR&amp;D expenses associated with the acquisition of Fortis of $24.6 million, depreciation expense of $5.0 million and non-cash interest expense related to sale of future revenues of $3.6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liabilities decreased $57.0 million, primarily related to the movements related to API and bulk drug product price true-up, resulting from changes in estimated variable consideration associated with the API shipments fulfilled under the terms of the Astellas Japan Amendment, and the bulk drug product transferred under the terms of the Astellas Europe Agreement and the Astellas EU Supply Agreement, including the payment of $57.4 million previously accrued balance made during the current year period. The accrued and other liabilities were also impacted by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decreased $25.6 million, primarily related to the reclassification of $24.0 million to accrued liabilities, resulting from changes in estimated variable consideration associated with the bulk drug product transferred to Astellas under the terms of the Astellas Europe Agreement and the Astellas EU Supply Agreement during the current year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decreased $20.8 million, primarily driven by the payments made for the historical co-promotion expenses to AstraZeneca during the current year period, as well as the timing of invoicing and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increased $10.0 million, primarily driven by the receivable related to the API shipments to Astellas during the second quarter of 2023, as well as the timing of the receipt of payments and the billings under our collaboration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decreased $4.2 million, primarily due to less prepayments made for roxadustat and pamrevlumab clinical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increased $2.0 million, driven by the increased inventory level primarily related to FibroGen Beijing’s productions of roxadustat for commercial sales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 primarily consist of purchases of property and equipment, purchases of investments, purchase of acquired IPR&amp;D assets and proceeds from the maturity and sale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$123.5 million for the six months ended June 30, 2024 and consisted of $132.2 million of proceeds from maturities of investments, partially offset by $8.6 million of cash used in purchases of available-for-sale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$89.2 million for the six months ended June 30, 2023 and consisted primarily of $192.9 million of proceeds from maturities of investments, partially offset by $104.5 million of cash used in purchases of available-for-sale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primarily reflect proceeds from strategic financing arrangements, proceeds from the issuance of our common stock, cash paid for payroll taxes on restricted stock unit releases, and repayments of our lease liabilities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immaterial for the six months ended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$123.0 million for the six months ended June 30, 2023 and consisted primarily of $71.3 million net proceeds from senior secured term loan facilities, $48.4 million net proceeds received under the ATM Program, $3.7 million of proceeds from the issuance of common stock upon exercise of stock options and purchases under our Employee Stock 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sz w:val="20"/>
        </w:rPr>
      </w:pPr>
      <w:r>
        <w:rPr>
          <w:rFonts w:ascii="Times New Roman" w:hAnsi="Times New Roman"/>
          <w:color w:val="000000"/>
          <w:sz w:val="20"/>
        </w:rPr>
        <w:t>We generate revenue from commercial sales of roxadustat product in China, Japan and Europe. Even with the expectation of increases in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hAnsi="Times New Roman"/>
          <w:i/>
          <w:color w:val="000000"/>
          <w:sz w:val="20"/>
        </w:rPr>
        <w:t>Risk Factors</w:t>
      </w:r>
      <w:r>
        <w:rPr>
          <w:rFonts w:ascii="Times New Roman" w:hAnsi="Times New Roman"/>
          <w:color w:val="000000"/>
          <w:sz w:val="20"/>
        </w:rPr>
        <w:t>” in this Quarterly Report on Form 10-Q, as well as unknown factors that may adversely affect our business. We anticipate that we will need substantial additional funding in connection with our continuing operations.</w:t>
      </w:r>
    </w:p>
    <w:p>
      <w:pPr>
        <w:pStyle w:val="TextBody"/>
        <w:bidi w:val="0"/>
        <w:spacing w:before="240" w:after="283"/>
        <w:jc w:val="left"/>
        <w:rPr>
          <w:rFonts w:ascii="Times New Roman" w:hAnsi="Times New Roman"/>
          <w:sz w:val="20"/>
        </w:rPr>
      </w:pPr>
      <w:r>
        <w:rPr>
          <w:rFonts w:ascii="Times New Roman" w:hAnsi="Times New Roman"/>
          <w:color w:val="000000"/>
          <w:sz w:val="20"/>
        </w:rPr>
        <w:t>Based on our current operating plan, which contemplates the maintenance of a minimum balance of $30 million of unrestricted cash and cash equivalents held in accounts in the U.S., as required under the debt covenants associated with the senior secured term loan facilities, we believe that our existing cash and cash equivalents and accounts receivable, together with the proceeds from senior secured term loan facilities in the second quarter of 2023, the financing amount under the RIFA received in the fourth quarter of 2022, and the net proceeds received under our ATM program in the first half of 2023, as well as the cost savings we have implemented (including from the reduction in workforce in July 2023), and the significant cost reduction plan in the U.S., responding to the recent pamrevlumab results announced in July 2024 (including terminating pamrevlumab research and development investment and expeditiously wind down remaining obligations, and reduction in U.S. workforce) will be sufficient to meet our anticipated cash requirements for at least the next 12 months from the date of issuance of the financial statements included in this Quarterly Report on Form 10-Q. However, we may need additional capital to fund our operations, and our liquidity assumptions may materially differ (including assumptions with respect to our research and development expenses, revenue expectations, contractual obligations, ability to repatriate cash from China, partnering or monetization of assets, and others).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 w:hAnsi="Times New Roman"/>
          <w:i/>
          <w:color w:val="000000"/>
          <w:sz w:val="20"/>
        </w:rPr>
        <w:t>Risk Factors</w:t>
      </w:r>
      <w:r>
        <w:rPr>
          <w:rFonts w:ascii="Times New Roman" w:hAnsi="Times New Roman"/>
          <w:color w:val="000000"/>
          <w:sz w:val="20"/>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funding, we could delay, reduce or eliminate research and development programs, product portfolio development or future commercialization efforts which could adversely affect our business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$73.9 million of operating lease liabilities. The material cash requirements related to our lease liabilities included $18.6 million expected to be paid within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we had outstanding total non-cancelable purchase obligations of $19.7 million, including $11.2 million for manufacture and supply of pamrevlumab, $0.8 million for manufacture and supply of roxadustat, and $7.6 million for other purchases and programs. We expect to fulfill our commitments under these agreements in the normal course of business, and as such, no liability has been recorded. The material cash requirements related to our non-cancelable purchase obligations included $14.7 million expected to be paid within the next 12 months.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Financing Agreement with Morgan Stanley Tactical Value, as of June 30, 2024, we had $72.5 million of senior secured term loan facilities balance on the condensed consolidated balance sheets, which are not subject for repayment until May 2026. Meanwhile, we are obliged to pay interest on a monthly basis, for which we expect to pay a total of $10.5 million within the next 12 months. See Note 6, </w:t>
      </w:r>
      <w:r>
        <w:rPr>
          <w:rFonts w:ascii="Times New Roman" w:hAnsi="Times New Roman"/>
          <w:i/>
          <w:color w:val="000000"/>
          <w:sz w:val="20"/>
        </w:rPr>
        <w:t>Senior Secured Term Loan Facilities</w:t>
      </w:r>
      <w:r>
        <w:rPr>
          <w:rFonts w:ascii="Times New Roman" w:hAnsi="Times New Roman"/>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RIFA with NovaQuest, as of June 30, 2024, we had $55.2 million of liability related to sale of future revenues on the condensed consolidated balance sheets, $0.6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7,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license agreements provide for periodic maintenance fees over specified time periods, as well as payments by the Company upon the achievement of development, regulatory and commercial milestones. As of June 30, 2024,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estimates and judgments during the three and six months ended June 30, 2024 compared with the disclosures in Part II, Item 7 of our 2023 Form 10-K.</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three and six months ended June 30, 2024, we believe there were no material changes to our exposure to market risks as set forth in Part II, Item 7A “</w:t>
      </w:r>
      <w:r>
        <w:rPr>
          <w:rFonts w:ascii="Times New Roman" w:hAnsi="Times New Roman"/>
          <w:i/>
          <w:color w:val="000000"/>
          <w:sz w:val="20"/>
        </w:rPr>
        <w:t>Quantitative and Qualitative Disclosures About Market Risk”</w:t>
      </w:r>
      <w:r>
        <w:rPr>
          <w:rFonts w:ascii="Times New Roman" w:hAnsi="Times New Roman"/>
          <w:color w:val="000000"/>
          <w:sz w:val="20"/>
        </w:rPr>
        <w:t xml:space="preserve"> in our 2023 Form 10-K.</w:t>
      </w:r>
    </w:p>
    <w:p>
      <w:pPr>
        <w:pStyle w:val="TextBody"/>
        <w:bidi w:val="0"/>
        <w:spacing w:before="36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June 30, 2024,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evaluation, the Principal Executive Officer and Principal Financial Officer have concluded that our disclosure controls and procedures were effective at the reasonable assurance level as of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three months ended June 30, 2024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June 30, 2024, as we could not predict the ultimate outcome of these matters, or reasonably estimate the potential exposure.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marked with an asterisk (*) those risks described below that reflect substantive changes from the risks described under Part I, Item 1A “Risk Factors” included in our Annual Report on Form 10-K for the year ended December 31, 2023, filed on February 26,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FibroGen will depend on a number of factors, many of which are beyond our control and involve risks, including but not limited to the following: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products roxadustat and FG-3246.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and obtainment of marketing authorization are very difficult endeavors, and we may ultimately be unable to obtain regulatory approval for our various product candidates in one or more jurisdictions and one or more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Phase 1, and Phase 2 clinical trial results may not be indicative of the results that may be obtained in larger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ongoing or planned clinical trials will need to be redesigned based on interim results or if we will be able to achieve sufficient patient enrollment or complete planned clinical trials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manufacturers or we cannot properly manufacture the appropriate volume of product, we may experience delays in development, regulatory approval, launch, or successful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substantial competition in the discovery, development and commercialization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were terminated or if our partners were unwilling or unable to contribute or participate in these collaborations, our ability to successfully develop and commercialize the relevant product candidate would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preclinical and clinical trial contractors do not properly perform their agreed-upon obligations, we may not be able to obtain or may be delayed in receiving regulatory approvals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shortfalls, delays, or excesses in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some foreign countries do not protect proprietary rights to the same extent as do the laws of the U.S., and we may encounter significant problems in securing and defending our intellectual property rights outside the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highly uncertain and we may not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operations in China and are seeking approval to commercialize our product candidates outside of the U.S., and a number of risks associated with international operations could materially and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in China is highly regulated and such regulations are subject to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risk of manufacturing disruption due to geopolitical tensions in China and related to U.S. legislation impacting WuXi AppTec and Wuxi Biologics.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in successfully growing and sustaining sales of roxadustat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prices of any product candidates that we develop will be subject to pricing control in China and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FibroGen Beijing would be subject to restrictions on paying dividends or making other payments to us, which may restrict our ability to satisfy our liquidity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foreign operations, particularly those in China, are subject to significant risks involving the protection of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with respect to the China legal system and regulations could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China’s economic, governmental, or social conditions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products roxadustat and FG-3246.</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invested substantially in the research and development of pamrevlumab and roxadustat.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negative pamrevlumab data released in July 2024 and the termination of pamrevlumab development, the future value drivers for FibroGen, Inc. (“FibroGen” or the “Company”) now depend in large part on the continued commercial success of roxadustat and the development of FG-3246, which is in clinical development for metastatic castration-resistant prostate cancer.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co-commercialize roxadustat in the People’s Republic of China (“China”) with AstraZeneca AB (“AstraZeneca”) and develop roxadustat in China in chemotherapy-induced anemia. We continue to co-commercialize roxadustat in Japan and Europe with Astellas Pharma Inc. (“Astellas”).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see great potential value in our early development oncology pipeline, these programs are years away from commercialization, and the success of any development program is not guaranteed.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and obtaining marketing authorization is a very difficult endeavor and we may ultimately be unable to obtain regulatory approval for our various product candidates in one or more jurisdictions and in one or more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manufacturing, marketing, and selling of our products and product candidates are and will continue to be subject to extensive and rigorous review and regulation by numerous government authorities in the United States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take actions or impose requirements that delay, limit or deny approval of our product candidates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regulatory authorities that additional information (including additional preclinical or clinical data or trials) is necessary to demonstrate the safety and efficacy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exhibiting an unacceptable safety signal at any stage of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the clinical research organizations (“CROs”) or investigators that conduct clinical trials on our behalf, to comply with regulations or GCPs, clinical trial protocols, or contractual agreements, which may adversely impact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over whether to accept results from clinical trial sites in a country where the standard of care is potentially different from that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either by us or third-party contractors manufacturing our product candidates to maintain current good manufacturing practices (“cGMP”), successfully pass inspection, or meet other applicable manufacturing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by regulatory authorities to exclude the use of patient data from unreliable clinical trials, or disagreement with our interpretation of the data from our preclinical trials and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collaboration partners to perform or complete their clinical programs in a timely manner,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many of which are beyond our control, could delay or jeopardize our or our collaboration partners’ abilities to obtain regulatory approval for our product candidates in one or more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our clinical trials are successful, regulatory authorities may not agree that our completed clinical trials provide adequate data on safety or efficacy. Approval by one regulatory authority does not ensure approval by any other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Phase 1, and Phase 2 clinical trial results may not be indicative of the results that may be obtained in larger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may face similar setbacks.</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know whether our ongoing or planned clinical trials will need to be redesigned based on interim results or if we will be able to achieve sufficient patient enrollment or complete planned clinical trials on schedule.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obtain required regulatory or institutional review board approval or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reach timely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recruit, enroll and retain patients through the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recruitment, enrollment, or retention, clinical site initiation, or retention problems associated with civil unrest or military conflicts around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maintain clinical sites in compliance with clinical trial protocols or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initiate or add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to manufacture sufficient quantities of product candidate for use in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enrolling a sufficient number of patients to conduct our clinical trials as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trial operations or trial site by the FDA or other regulatory authorities resulting in the imposition of a clinical hold, warning letter, or other regulatory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criteria for and design of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clinical trials of competitive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perceptions of the potential advantages of our product candidates being studied in relation to available therapies or other products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and our trial sites’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and collect patient data adequately during and after treatment.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development plan becoming longer and more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terminating some of our clinical trials for the product candidates or specific indications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increasing the data and information required to approve our product candidates and imposing other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terminating our existing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or all of these events may cause the development of our product candidates to be delayed or terminated, which could materially and adversely affect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of our product candidates may not uncover all possible adverse effects that patients may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manufacturers or we cannot properly manufacture the appropriate volume of product, we may experience delays in development, regulatory approval, launch or successful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our clinical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collaboration partner, may not be able to accurately forecast clinical or commercial supply requirements and we may not meet or we may exceed our requirements as to quantities, scale-up, yield, cost, potency or quality in compliance with cGMP.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amount of roxadustat and pamrevlumab in storage. While we have limited obligations and responsibilities for supplying pamrevlumab after terminating its development program, there is a risk that physicians may want to seek treatment for their patients with pamrevlumab and we may not be able to supply it to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pStyle w:val="TextBody"/>
        <w:bidi w:val="0"/>
        <w:spacing w:before="240" w:after="283"/>
        <w:jc w:val="left"/>
        <w:rPr>
          <w:rFonts w:ascii="Times New Roman" w:hAnsi="Times New Roman"/>
          <w:sz w:val="20"/>
        </w:rPr>
      </w:pPr>
      <w:r>
        <w:rPr>
          <w:rFonts w:ascii="Times New Roman" w:hAnsi="Times New Roman"/>
          <w:color w:val="000000"/>
          <w:sz w:val="20"/>
        </w:rPr>
        <w:t>Please see also our risk factor titled “</w:t>
      </w:r>
      <w:r>
        <w:rPr>
          <w:rFonts w:ascii="Times New Roman" w:hAnsi="Times New Roman"/>
          <w:i/>
          <w:color w:val="000000"/>
          <w:sz w:val="20"/>
        </w:rPr>
        <w:t>We may have shortfalls, delays, or excesses in manufacturing.</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even an experienced third-party manufacturer, may encounter difficulties in production. Difficulties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challenges associated with scale-up and attaining sufficient manufacturing yields;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additional suppliers and validation/qualification of additional facilities to meet growing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issues, including coordination of multiple contractors in our supply chain and securing necessary licenses (such as export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availability and shelf-life requirements of raw materials and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stability and product shelf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maintenance issues or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quality assurance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and capital required to manufacture large quantities of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regulatory requirements that vary in each country where a product might be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capacity or forecasting limitations and scheduling availability in contracted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pandemics, floods, storms, earthquakes, tsunamis, and droughts, or accidents such as fire, that affect facilities, possibly limit or postpone production, and increase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license to proprietary starting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For example, the Precision Promise study employs a Bayesian statistical methodology for analysis of the study primary endpoint, and while PanCAN consulted with the FDA regarding the study design and statistical methodology, there is a risk that the FDA may employ different statistical methodologies in their review, and may not view positive study results as sufficient for regulatory approval.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in the discovery, development and commercialization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Our composition of matter patent in China expired in the second quarter of 2024, and as of June 30, 2024, the China Health Authority has accepted abbreviated new drug applications for over 20 generic roxadustat applicants and approved two for marketing.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any or all of these potential competitive products may negatively impact the development and potential for success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of the product candidate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profile and perceptions of safety of our product candidates relative to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healthcare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candidate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or exclusion of the product candidate from treatment guidelines established by various physician groups and the viewpoints of influential physicians with respect to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the product candidate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pricing and reimbursement by third parties and government authorities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unfavorable publicity relating to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In addition, see the risk factor titled “</w:t>
      </w:r>
      <w:r>
        <w:rPr>
          <w:rFonts w:ascii="Times New Roman" w:hAnsi="Times New Roman"/>
          <w:i/>
          <w:color w:val="000000"/>
          <w:sz w:val="20"/>
        </w:rPr>
        <w:t>Our product candidates may cause or have attributed to them undesirable side effects or have other properties that delay or prevent their regulatory approval or limit their commercial potential</w:t>
      </w:r>
      <w:r>
        <w:rPr>
          <w:rFonts w:ascii="Times New Roman" w:hAnsi="Times New Roman"/>
          <w:color w:val="000000"/>
          <w:sz w:val="20"/>
        </w:rPr>
        <w:t>” above.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360" w:after="283"/>
        <w:jc w:val="left"/>
        <w:rPr>
          <w:rFonts w:ascii="Times New Roman" w:hAnsi="Times New Roman"/>
          <w:sz w:val="20"/>
        </w:rPr>
      </w:pPr>
      <w:r>
        <w:rPr>
          <w:rFonts w:ascii="Times New Roman" w:hAnsi="Times New Roman"/>
          <w:b/>
          <w:i/>
          <w:color w:val="000000"/>
          <w:sz w:val="20"/>
        </w:rPr>
        <w:t>No or limited reimbursement or insurance coverage of our approved products, by third-party payors may render our products less attractive to patients and healthcare providers.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applicable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collaborations were terminated or if our partners were unwilling or unable to contribute or participate in the collaborations, our ability to successfully develop and commercialize the relevant product candidate would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Evaluation Agreement with Fortis Therapeutics, Inc. (“Fortis”) under which we rely, in part, on Fortis and its development partners, including University of California, San Francisco, for the continued development of FOR46 (now referred to as “FG-3246”). While we control development of FG-3246 up to the 4-year evaluation period, we will be doing so under our investigational new drug application that references Fortis’s investigational new drug application. If Fortis were unable or unwilling to continue their development efforts or cooperate with ours, our ability to develop FG-3246 would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recently terminated the AstraZeneca U.S./RoW Agreement (except for South Korea), we have active collaboration agreements with respect to the development and commercialization of roxadustat with Astellas and with AstraZeneca in China and South Korea. These agreements provide for reimbursement of our development costs by our collaboration partners and also provide for the commercialization of roxadustat throughout the major territories of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agreements with Astellas and AstraZeneca provide them with the right to terminate their agreements with us upon the occurrence of negative clinical results, delays in the development and commercialization of our product candidates or adverse regulatory requirements or guidance. In addition, each of those agreements provides our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commercialize roxadustat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instance, the AstraZeneca U.S./RoW Agreement was terminated on February 23, 2024 (except for South Korea). Although our ongoing collaboration agreement with AstraZeneca for the development and commercialization of roxadustat for the treatment of anemia in China (the “AstraZeneca China Agreement”) continues in full force and is unaffected, this eliminates any additional potential milestones or other payments AstraZeneca would have made under the AstraZeneca U.S./RoW Agreement except for potentially in South Korea. Such payments were remote due to our withdrawal of the U.S. new drug application for chronic kidney disease anemia. And while we are now investigating new licensing opportunities for roxadustat, there can be no assurance that we will find such a partner or be able to agree to a license on reasonable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our collaboration partners are unsuccessful in their commercialization efforts (particularly in Europe and China), our results will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heavily on university, hospital,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requirements can occur through periodic inspections of trial sponsors, principal investigators, and trial sites.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ensure the quality and accuracy of our data remains uncompromised and reliable, our third-party service providers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rely, and expect to continue to rely, on third parties to conduct many aspects of our product manufacturing and distribution, and these third parties may terminate these agreements or not perform satisfactorily.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operating manufacturing facilities at this time other than our roxadustat manufacturing facilities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manufacturing agreements, termination fees associated with such termination, or nonrenewal of manufacturing agreements with third parties may negatively impact our planned development and commercialization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technology,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for FibroGen to meet timing and volume obligations to Astellas or other partners due to insufficient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have shortfalls, delays, or excesses in manufacturing.*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made certain manufacturing and financial commitments to Samsung Biologics Co., Ltd. (“Samsung”), and we will no longer require the quantities of pamrevlumab we had expected given our termination of pamrevlumab development. There is a risk we will still be required to pay certain financial obligations to Samsung or that we are not able to mitigate these risks sufficiently.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on the results of our clinical trials. We may be subject to payments to Samsung or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also be additional delays in importing or exporting products, intermediates, or raw materials between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one of our suppliers, Catalent, was recently acquired by a private company, which could add additional risk to our ability to manufacture at such supplier, including entering into new or extended agreements with this supplier.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efforts to protect our proprietary and exclusively licensed technologies are not adequate,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pPr>
      <w:r>
        <w:rPr>
          <w:rFonts w:ascii="Times New Roman" w:hAnsi="Times New Roman"/>
          <w:color w:val="000000"/>
          <w:sz w:val="20"/>
        </w:rPr>
        <w:t>Intellectual property protecting our roxadustat product is either being challenged or will expire at various times in the coming years, raising the possibility of generic competition. Our composition of matter patent in China expired in the second quarter of 2024 and the China Health Authority has approved two generic roxadustat applications for marketing. The introduction of generic competition for a patented branded medicine typically results in a significant and rapid reduction in net sales and operating income for the branded product because generic manufacturers typically offer their unpatented versions at sharply lower prices. Such competition can occur after successful challenges to intellectual property rights or the regular expiration of the term of the patent or other intellectual property rights. Such competition can also result from a Declaration of Public Interest or the compulsory licensing of our drugs by governments, or from a general weakening of intellectual property laws in certain countries around the world. In addition, generic manufacturers sometimes take an aggressive approach to challenging intellectual property rights, including conducting so-called “launches at risk” of products that are still under legal challenge for infringement before final resolution of legal proceedings. In China, numerous generic manufacturers have filed abbreviated new drug applications seeking marketing approval for generic versions of our EVRENZO</w:t>
      </w:r>
      <w:r>
        <w:rPr>
          <w:rFonts w:ascii="Times New Roman" w:hAnsi="Times New Roman"/>
          <w:color w:val="000000"/>
          <w:sz w:val="13"/>
        </w:rPr>
        <w:t>TM</w:t>
      </w:r>
      <w:r>
        <w:rPr>
          <w:rFonts w:ascii="Times New Roman" w:hAnsi="Times New Roman"/>
          <w:color w:val="000000"/>
          <w:sz w:val="20"/>
        </w:rPr>
        <w:t xml:space="preserve"> product (</w:t>
      </w:r>
      <w:r>
        <w:rPr>
          <w:rFonts w:eastAsia="Times New Roman"/>
          <w:color w:val="000000"/>
          <w:sz w:val="20"/>
        </w:rPr>
        <w:t>爱瑞卓</w:t>
      </w:r>
      <w:r>
        <w:rPr>
          <w:rFonts w:ascii="Times New Roman" w:hAnsi="Times New Roman"/>
          <w:color w:val="000000"/>
          <w:sz w:val="20"/>
        </w:rPr>
        <w:t>®️, roxadustat). While we are taking steps to both defend our roxadustat patents and challenge these abbreviated new drug application filers, the outcome is uncertain.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hAnsi="Times New Roman"/>
          <w:i/>
          <w:color w:val="000000"/>
          <w:sz w:val="20"/>
        </w:rPr>
        <w:t>inter partes</w:t>
      </w:r>
      <w:r>
        <w:rPr>
          <w:rFonts w:ascii="Times New Roman" w:hAnsi="Times New Roman"/>
          <w:color w:val="000000"/>
          <w:sz w:val="20"/>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disputes may be costly, time consuming, and may negatively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may depend on our avoiding infringement of the patents and other proprietary rights of third parties as well as on enforcing our patents and other proprietary rights against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Any litigation involving defense against claims of infringement, regardless of the merit of such claims, would involve substantial litigation expense and would be a substantial diversion of management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have challenged and may again challenge our patents and patent applications. In particular, patent challenges have been filed against our crystal form patents in Europe and China, and against our photostable formulations patent in Europe. While both our European Patent No. 3470397 (the “`397 Patent”), which claims formulations comprising the commercial crystalline form of roxadustat, and our European Patent No. 3003284 (the “`284 Patent”), which claims photostable formulations of roxadustat, were upheld in opposition, the opponents have appealed the decisions in both cases.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compromise our brand and reputation and have a material adverse effect on our business,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not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U.S., laws, regulations, and industry standards govern data privacy and security. For example, the European Union’s General Data Protection Regulation (“GDPR”), the United Kingdom’s GDPR, Brazil’s General Data Protection Law (Lei Geral de Proteção de Dados Pessoais) (Law No. 13,709/2018), and China’s Personal Information Protection Law (“PIPL”) impose strict requirements for processing personal data, including health-related information. For example, under the European Union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are subject to new and emerging data privacy regimes in Asia, including China’s PIPL, Japan’s Act on the Protection of Personal Information, and Singapore’s Personal Data Protection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companies that transfer personal data out of the European Economic Area and the United Kingdom to other jurisdictions are subject to scrutiny from regulators, individual litigants, and activities groups.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employees and personnel could use generative artificial intelligence (“AI”) technologies to perform certain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Preparing for and complying with these obligations requires us to devote resources and may necessitate changes to our services, information technologies, systems, and practices and to those of any third parties that process personal data on our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laws and regulations governing corruption, which require us to maintain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it may result in material misstatements in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implemented an enterprise resource planning system in the first quarter of 2023, which replaced our existing operating and financial systems, to improve the efficiency of certain financial and transactional processes. 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The impact of U.S. healthcare reform may adversely affect 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on February 14, 2023, HHS released a report outlining three new models for testing by the Centers for Medicare &amp; Medicaid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Roxadustat is considered a Class 2 substance on the 2019 World Anti-Doping Agency Prohibited List that could limit sales and increase security and distribution costs for our partners and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may engage in misconduct or improper activities, which could result in significant liability or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including intentional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FDA regulations or similar regulations of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accurate information to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manufacturing standards we have established;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data privacy and security laws protecting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federal and state healthcare fraud and abuse laws and regulations and similar laws and regulations established and enforced by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FCPA and other anti-bribery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financial information or data accurately;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 unauthorized activities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or safety laws and regulations, we could incur fines, penalties 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established operations in China and are seeking approval to commercialize our product candidates outside of the U.S., and a number of risks associated with international operations could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pandemics.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The pharmaceutical industry in China is highly regulated and such regulations are subject to change.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pStyle w:val="TextBody"/>
        <w:bidi w:val="0"/>
        <w:spacing w:before="360" w:after="283"/>
        <w:jc w:val="left"/>
        <w:rPr>
          <w:rFonts w:ascii="Times New Roman" w:hAnsi="Times New Roman"/>
          <w:sz w:val="20"/>
        </w:rPr>
      </w:pPr>
      <w:r>
        <w:rPr>
          <w:rFonts w:ascii="Times New Roman" w:hAnsi="Times New Roman"/>
          <w:b/>
          <w:i/>
          <w:color w:val="000000"/>
          <w:sz w:val="20"/>
        </w:rPr>
        <w:t>The China-operations portion of our audit is conducted by PricewaterhouseCoopers Zhong Tian LLP, an independent registered public accounting firm headquartered in China.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audit work incurred for the audit report included in our Annual Report on Form 10-K for the year ended December 31, 2023, filed on February 26, 2024, was performed by the U.S.-based independent registered public accounting firm we have retained, PricewaterhouseCoopers LLP, which is headquartered in the U.S. and was not identified in the report issued by the PCAOB on December 16,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estimate that between 20% and 30% of the total audit hours for our December 31, 2023 audit were provided by PricewaterhouseCoopers Zhong Tian LLP located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 (such period further reduced to two years by the enactment of the Accelerating Holding Foreign Companies Accountable Act (the “AHFCAA”) on December 29,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HFCAA does not apply to registrants that retain a principal accountant that is headquartered in the U.S. and subject to PCAOB inspection. 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Accordingly, the HFCAA does not currently apply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PCAOB issued a report on December 16, 2021 on its determination that it was unable to inspect or investigate completely PCAOB-registered accounting firms headquartered in China and in Hong Kong, such as PricewaterhouseCoopers Zhong Tian LLP, on December 15, 2022, it announced that it was able to conduct inspections and investigations of such accounting firms in 2022 and vacated its previous 2021 determinations accordingly. While vacating those determinations, however,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though we currently view the likelihood to be remote, if our operations fundamentally change in a way that requires our independent registered public accounting firm be located in China or Hong Kong in order to comply with the standards of the PCAOB regarding principal auditor, then the HFCAA would apply to us, which consequences could include the potential delisting of our stock from the Nasdaq Global Select Market and prohibition from trading in the over-the counter market in the U.S. Such a restriction would negatively impact our ability to raise capital. Additionally, we cannot rule out the possibility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and China relations, as well as relations with other countries, and/or regulations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two manufacturing facilities in China, with one located in Beijing and the other in Cangzhou, Hebei.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obligated to comply with cGMP requirements but there can be no assurance that we will maintain all of the appropriate licenses required to manufacture our product candidates for clinical and commercial use in China. In addition to our product suppliers,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but there can be no assurance that our efforts will continue to be successful in meeting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of manufacturing disruption due to geopolitical tensions in China and related to U.S. legislation impacting WuXi AppTec and WuXi Biologics.*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and companies that do business with WuXi Biologics.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difficulties in successfully growing and sustaining sales of roxadustat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AstraZeneca and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Roxadustat’s recent inclusion in the 2023 National Reimbursement Drug List came with a limited 7% price reduction. Such reimbursement pricing for China is effective for a standard two-year period (between January 1, 2024, and December 31, 2025). However, after four generics are approved in China, there is a substantial risk of being subject to the country’s volume-based purchasing program whereby a national tender could be called for roxadustat. If a tender is called for roxadustat, our access to the market as the originator drug would be significantly constrained and our price would be further reduced.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roxadustat in China may also be limited due to the complex nature of the healthcare system, low average personal income, pricing controls, still developing infrastructure, and potentially rapid competition from other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retail prices of any product candidates that we develop will be subject to pricing control in China and elsewhere.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are unpredictable, which may cause potential revenues from the sales of roxadustat to fluctuate from period to period.</w:t>
      </w:r>
    </w:p>
    <w:p>
      <w:pPr>
        <w:pStyle w:val="TextBody"/>
        <w:bidi w:val="0"/>
        <w:spacing w:before="360" w:after="283"/>
        <w:jc w:val="left"/>
        <w:rPr>
          <w:rFonts w:ascii="Times New Roman" w:hAnsi="Times New Roman"/>
          <w:sz w:val="20"/>
        </w:rPr>
      </w:pPr>
      <w:r>
        <w:rPr>
          <w:rFonts w:ascii="Times New Roman" w:hAnsi="Times New Roman"/>
          <w:b/>
          <w:i/>
          <w:color w:val="000000"/>
          <w:sz w:val="20"/>
        </w:rPr>
        <w:t>FibroGen (China) Medical Technology Development Co., Ltd. (“FibroGen Beijing”) would be subject to restrictions on paying dividends or making other payments to us, which may restrict our ability to satisfy our liquidity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2024, approximately $39.3 million of our cash and cash equivalents is held in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capital contributions from us to FibroGen Beijing must be approved by the Ministry of Commerce in China, and failure to obtain such approval may materially and adversely affect the liquidity position of FibroGen Beijing.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currency exchange rate fluctuations and currency exchange restrictions with respect to our operations in China as well as our partner</w:t>
      </w:r>
      <w:r>
        <w:rPr>
          <w:rFonts w:ascii="Times New Roman" w:hAnsi="Times New Roman"/>
          <w:color w:val="000000"/>
          <w:sz w:val="20"/>
        </w:rPr>
        <w:t>’</w:t>
      </w:r>
      <w:r>
        <w:rPr>
          <w:rFonts w:ascii="Times New Roman" w:hAnsi="Times New Roman"/>
          <w:b/>
          <w:i/>
          <w:color w:val="000000"/>
          <w:sz w:val="20"/>
        </w:rPr>
        <w:t>s operations in Japan and Europe,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FibroGen Beijing’s funds are held in banks that do not provide insurance, the failure of any bank in which FibroGen Beijing deposits its funds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tax inefficiencies associated with our offshore corporate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foreign operations, particularly those in China, are subject to significant risks involving the protection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Uncertainties with respect to the China legal system and regulations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China’s economic, governmental, or social conditions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Chinese requirements, approvals or permissions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required to obtain certain approvals from Chinese authorities before transferring certain scientific data abroad or to foreign parties or entities established or actually controlled by them.</w:t>
      </w:r>
    </w:p>
    <w:p>
      <w:pPr>
        <w:pStyle w:val="TextBody"/>
        <w:bidi w:val="0"/>
        <w:spacing w:before="240" w:after="283"/>
        <w:jc w:val="left"/>
        <w:rPr>
          <w:rFonts w:ascii="Times New Roman" w:hAnsi="Times New Roman"/>
          <w:sz w:val="20"/>
        </w:rPr>
      </w:pPr>
      <w:r>
        <w:rPr>
          <w:rFonts w:ascii="Times New Roman" w:hAnsi="Times New Roman"/>
          <w:color w:val="000000"/>
          <w:sz w:val="20"/>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hAnsi="Times New Roman"/>
          <w:i/>
          <w:color w:val="000000"/>
          <w:sz w:val="20"/>
        </w:rPr>
        <w:t>Uncertainties with respect to the China legal system and regulations could have a material adverse effect on us.</w:t>
      </w:r>
      <w:r>
        <w:rPr>
          <w:rFonts w:ascii="Times New Roman" w:hAnsi="Times New Roman"/>
          <w:color w:val="000000"/>
          <w:sz w:val="20"/>
        </w:rPr>
        <w:t>” There can be no assurance that we will not be subject to new or changing requirements, approvals or permissions in the future in order to operate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If the Chinese government determines that our corporate structure does not comply with Chinese regulations, or if Chinese regulations change or are interpreted differently in the future, the value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hAnsi="Times New Roman"/>
          <w:i/>
          <w:color w:val="000000"/>
          <w:sz w:val="20"/>
        </w:rPr>
        <w:t>Uncertainties with respect to the China legal system and regulations could have a material adverse effect on us.</w:t>
      </w:r>
      <w:r>
        <w:rPr>
          <w:rFonts w:ascii="Times New Roman" w:hAnsi="Times New Roman"/>
          <w:color w:val="000000"/>
          <w:sz w:val="20"/>
        </w:rPr>
        <w:t>” If in the future the Chinese government determines that our corporate structure does not comply with Chinese regulations, or if Chinese laws or regulations change or are interpreted differently from our understanding of these laws and regulations, the value of our common stock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in China subject us to various Chinese labor and social insurance laws, and our failure to comply with such laws may materially and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two lead product candidates in clinical development, roxadustat for chemotherapy-induced anemia in China, and FG-3246 for metastatic castration-resistant prostate cancer.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2023, 2022 and 2021 were $284.2 million, $293.7 million and $290.0 million, respectively. As of June 30, 2024, we had an accumulated deficit of $1.9 billion. As of June 30, 2024, we had capital resources from cash and cash equivalents of $140.7 million. In addition, as of June 30, 2024, we had $6.4 million of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chronic kidney disease,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will continue to expend substantial resources for the foreseeable future as we continue our operations in China and continue our clinical development efforts on FG-3246.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Based on our current operating plan, which contemplates the maintenance of a minimum balance of $30 million of unrestricted cash and cash equivalents held in accounts in the U.S., as required under the debt covenants associated with the senior secured term loan facilities, we believe that our existing cash and cash equivalents and accounts receivable, cash flows from commercial sales and sales of drug product, and expected third-party collaboration revenues will allow us to fund our operating plans through at least 12 months from the date of issuance of these consolidated financial statements. However, we may need additional capital to fund our operations, and our liquidity assumptions may materially differ (including assumptions with respect to our research and development expenses, revenue expectations, contractual obligations, ability to repatriate cash from China, partnering or monetization of assets, and others).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funding, we could delay, reduce or eliminate research and development programs, product portfolio development or future commercialization efforts which could adversely affect our business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recognize an impairment of our long-lived assets, which could adversely affect our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4, 2022, we entered into a $50 million RIFA financing with NovaQuest with respect to our revenues from Astellas’ sales of roxadustat in Europe, Japan and the other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material inducement for NovaQuest to enter into the RIFA, we granted NovaQuest a security interest over our rights, title and interest in and to the revenue interest payments and intellectual property related to roxadustat and the Astellas territories.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2023, we entered into a financing agreement (“Financing Agreement”) with a $75 million senior secured term loan with investment funds managed by Morgan Stanley Tactical Value, as lenders, and Wilmington Trust, National Association, as the administrative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Financing Agreement with Morgan Stanley Tactical Value requires us to maintain a minimum balance of $30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details about these financing transactions, see Note 6, </w:t>
      </w:r>
      <w:r>
        <w:rPr>
          <w:rFonts w:ascii="Times New Roman" w:hAnsi="Times New Roman"/>
          <w:i/>
          <w:color w:val="000000"/>
          <w:sz w:val="20"/>
        </w:rPr>
        <w:t xml:space="preserve">Senior Secured Term Loan Facilities </w:t>
      </w:r>
      <w:r>
        <w:rPr>
          <w:rFonts w:ascii="Times New Roman" w:hAnsi="Times New Roman"/>
          <w:color w:val="000000"/>
          <w:sz w:val="20"/>
        </w:rPr>
        <w:t xml:space="preserve">and Note 7, </w:t>
      </w:r>
      <w:r>
        <w:rPr>
          <w:rFonts w:ascii="Times New Roman" w:hAnsi="Times New Roman"/>
          <w:i/>
          <w:color w:val="000000"/>
          <w:sz w:val="20"/>
        </w:rPr>
        <w:t>Liability Related to Sale of Future Revenues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these financing transactions could have significant negative consequences for our shareholders, and our business, results of operations and financial condition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obtain additional non-dilutive financing or enter into collaboration or partnership agreements of a certain size;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dedication of a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we incur additional debt, the risks described above could increase. A default in one of such agreements could trigger a default in the other. Any of the above risks would negatively impact our ability to operate our business and obtain additional debt or equity financing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Most of our recent revenue has been earned through our roxadustat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either our Astellas collaboration or our AstraZeneca China collaboration were to be terminated, we could have a sudden decrease of revenue and require significant additional capital in order to help fund our operations. If adequate funds or partners are not available to us on a timely basis or on favorable terms, we may be required to delay, limit, reduce or terminate development or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managing our growth and expanding our operations,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 </w:t>
      </w:r>
    </w:p>
    <w:p>
      <w:pPr>
        <w:pStyle w:val="TextBody"/>
        <w:bidi w:val="0"/>
        <w:spacing w:before="360" w:after="283"/>
        <w:jc w:val="left"/>
        <w:rPr>
          <w:rFonts w:ascii="Times New Roman" w:hAnsi="Times New Roman"/>
          <w:sz w:val="20"/>
        </w:rPr>
      </w:pPr>
      <w:r>
        <w:rPr>
          <w:rFonts w:ascii="Times New Roman" w:hAnsi="Times New Roman"/>
          <w:b/>
          <w:i/>
          <w:color w:val="000000"/>
          <w:sz w:val="20"/>
        </w:rPr>
        <w:t>Loss of senior management and key personnel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members of our senior management team. The loss of the services of any of our senior management could significantly impact the development and commercialization of our products and product candidates and our ability to successfully implement our business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also significant competition, in particular in the San Francisco Bay Area, for the hiring of experienced and qualified personnel, which increases the importance of retention of our existing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14, 2023 and December 11, 2023, FibroGen approved a reduction to its U.S. workforce of approximately 32% and 7.4% to lower its operating expenses, causing the loss of valuable skills, experience, and productivity. Furthermore, employee turnover and other risks described above may be exacerbated by the restructuring as well as recent stock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continue to attract and retain personnel with the quality and experience applicable to our product candidates, our ability to pursue our strategy will be limited and our business and operations would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risks associated with litigation, investigations, regulatory proceedings, and other legal matters, any of which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have to limit commercial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further development of unapproved product candidates or significantly reduced demand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costs and expenses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time and resources across the entire organization, including our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product withdrawals or labeling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our collaboration relationships or disputes with our collaboration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negatively impacting our other product candidates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would suffer in the event of computer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In particular, severe ransomware attacks are becoming increasingly prevalent and can lead to significant interruptions in our operations, loss of </w:t>
      </w:r>
      <w:r>
        <w:rPr>
          <w:rFonts w:ascii="Times New Roman" w:hAnsi="Times New Roman"/>
          <w:color w:val="000000"/>
          <w:sz w:val="20"/>
        </w:rPr>
        <w:t xml:space="preserve">confidential, proprietary, and </w:t>
      </w:r>
      <w:r>
        <w:rPr>
          <w:rFonts w:ascii="Times New Roman" w:hAnsi="Times New Roman"/>
          <w:color w:val="231F20"/>
          <w:sz w:val="20"/>
        </w:rPr>
        <w:t xml:space="preserve">sensitive data and income, reputational harm, and diversion of funds. While it is possible that extortion payments may alleviate the negative impact of a ransomware attack, we may be unwilling or unable to make such payments.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headquarters are located near known earthquake fault zones.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be highly volatile, and you may not be able to resell your shares at or above your purchase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at times experienced price volatility and may continue to be volatile. For example, during the 12-month period ended June 30, 2024, the closing price of our common stock on The Nasdaq Global Select Market has ranged from $0.38 per share to $2.83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release of results of and regulatory updates regarding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issues with respect to our product candidates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 candidates and any approved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financial condition and operating results, which will be significantly affected by the manner in which we recognize revenue from the achievement of milestones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collaborations and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of a collaboration or the inability to establish additional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legislation or other regulatory developments affecting our product candidates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the biotechnology industry and particular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of the government of China, including those related to the pharmaceutical industry as well as industrial policy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other U.S. publicly traded companies with significant operations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for biopharmaceutical stocks;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other factors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10,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acquisitions that could dilute stockholders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stock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debt and assume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amortization expenses related to intangible assets or incur large and immediate write-offs.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integrating the purchased business, products or technologies, or employees or other assets of the acquisition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to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or undisclosed liabilities of the acquired asset or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their day-to-day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reprioritization of our development programs and even cessation of development and commercialization of our current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operating results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entrance into markets in which we have limited or no prior experience;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particularly those of the acquired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complete any acquisitions or effectively integrate the operations, products or personnel gained through any such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pursuant to a resolution adopted by a majority of the total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prior to the end of their term only for cause;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or the majority vote of our Board of Directors to amend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the holders of our common stock to amend the classification of our Board of Directors into three classes and to amend certain other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tax provision or exposure to additional tax liabilities could adversely affect our earnings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regulations in the U.S. and other jurisdictions in which we operate are extremely complex and subject to change. Changes in tax regulations could have an adverse effect on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Tariffs imposed by the U.S. and those imposed in response by other countries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designates courts located in Delaware as the sole forum for certain proceedings,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plan to pay dividends. Capital appreciation will be your sole possible source of gain,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or our share price could be negatively affected as a result of shareholder proposals or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5997"/>
        <w:gridCol w:w="146"/>
        <w:gridCol w:w="528"/>
        <w:gridCol w:w="146"/>
        <w:gridCol w:w="843"/>
        <w:gridCol w:w="146"/>
        <w:gridCol w:w="631"/>
        <w:gridCol w:w="146"/>
        <w:gridCol w:w="727"/>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7"/>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9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10/23/2014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11/21/2014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Common Stock Purchase Agreement by and between FibroGen, Inc. and AstraZeneca AB, dated as of October 20, 2014.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10/24/2014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FibroGen, Inc. 2024 Equity Incentive Plan</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6/7/2024</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10_2.htm">
              <w:r>
                <w:rPr>
                  <w:rStyle w:val="InternetLink"/>
                  <w:rFonts w:ascii="Times New Roman" w:hAnsi="Times New Roman"/>
                  <w:color w:val="0000FF"/>
                  <w:sz w:val="20"/>
                  <w:u w:val="single"/>
                </w:rPr>
                <w:t>First Amended and Restated Evaluation Agreement by and between FibroGen, Inc. and Fortis Therapeutics, Inc., dated June 6,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10_3.htm">
              <w:r>
                <w:rPr>
                  <w:rStyle w:val="InternetLink"/>
                  <w:rFonts w:ascii="Times New Roman" w:hAnsi="Times New Roman"/>
                  <w:color w:val="0000FF"/>
                  <w:sz w:val="20"/>
                  <w:u w:val="single"/>
                </w:rPr>
                <w:t>First Amended and Restated Option Agreement and Plan of Merger by and among FibroGen, Inc., Fortis Therapeutics, Inc. and Shareholder Representative Services LLC, as Sellers’ Representative, dated June 6,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10_4.htm">
              <w:r>
                <w:rPr>
                  <w:rStyle w:val="InternetLink"/>
                  <w:rFonts w:ascii="Times New Roman" w:hAnsi="Times New Roman"/>
                  <w:color w:val="0000FF"/>
                  <w:sz w:val="20"/>
                  <w:u w:val="single"/>
                </w:rPr>
                <w:t>Form of Restricted Stock Unit Grant Notice and Award Agreement</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10_5.htm">
              <w:r>
                <w:rPr>
                  <w:rStyle w:val="InternetLink"/>
                  <w:rFonts w:ascii="Times New Roman" w:hAnsi="Times New Roman"/>
                  <w:color w:val="0000FF"/>
                  <w:sz w:val="20"/>
                  <w:u w:val="single"/>
                </w:rPr>
                <w:t>Form of Stock Option Grant Notice and Option Agreement</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1.htm">
              <w:r>
                <w:rPr>
                  <w:rStyle w:val="InternetLink"/>
                  <w:rFonts w:ascii="Times New Roman" w:hAnsi="Times New Roman"/>
                  <w:color w:val="0000FF"/>
                  <w:sz w:val="20"/>
                  <w:u w:val="single"/>
                </w:rPr>
                <w:t>Certification of Chief Executive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2.htm">
              <w:r>
                <w:rPr>
                  <w:rStyle w:val="InternetLink"/>
                  <w:rFonts w:ascii="Times New Roman" w:hAnsi="Times New Roman"/>
                  <w:color w:val="0000FF"/>
                  <w:sz w:val="20"/>
                  <w:u w:val="single"/>
                </w:rPr>
                <w:t>Certification of Chief Financial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2_1.htm">
              <w:r>
                <w:rPr>
                  <w:rStyle w:val="InternetLink"/>
                  <w:rFonts w:ascii="Times New Roman" w:hAnsi="Times New Roman"/>
                  <w:color w:val="0000FF"/>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4949" w:type="dxa"/>
        <w:jc w:val="left"/>
        <w:tblInd w:w="0" w:type="dxa"/>
        <w:tblLayout w:type="fixed"/>
        <w:tblCellMar>
          <w:top w:w="28" w:type="dxa"/>
          <w:left w:w="28" w:type="dxa"/>
          <w:bottom w:w="28" w:type="dxa"/>
          <w:right w:w="28" w:type="dxa"/>
        </w:tblCellMar>
      </w:tblPr>
      <w:tblGrid>
        <w:gridCol w:w="1846"/>
        <w:gridCol w:w="146"/>
        <w:gridCol w:w="451"/>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FibroGen, Inc.</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1846"/>
        <w:gridCol w:w="146"/>
        <w:gridCol w:w="451"/>
        <w:gridCol w:w="41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Juan Graham</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Juan Graham</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0"/>
        </w:rPr>
      </w:pPr>
      <w:bookmarkStart w:id="23" w:name="fgen-ex10_2.htm"/>
      <w:bookmarkStart w:id="24" w:name="ksfgenex10_2"/>
      <w:bookmarkEnd w:id="23"/>
      <w:bookmarkEnd w:id="24"/>
      <w:r>
        <w:rPr>
          <w:rFonts w:ascii="Times New Roman" w:hAnsi="Times New Roman"/>
          <w:i/>
          <w:color w:val="000000"/>
          <w:sz w:val="20"/>
        </w:rPr>
        <w:t>CONFIDENTIAL</w:t>
      </w:r>
      <w:r>
        <w:br w:type="page"/>
      </w:r>
    </w:p>
    <w:p>
      <w:pPr>
        <w:pStyle w:val="TextBody"/>
        <w:bidi w:val="0"/>
        <w:jc w:val="right"/>
        <w:rPr>
          <w:rFonts w:ascii="Times New Roman" w:hAnsi="Times New Roman"/>
          <w:i/>
          <w:color w:val="000000"/>
          <w:sz w:val="20"/>
        </w:rPr>
      </w:pPr>
      <w:r>
        <w:rPr>
          <w:rFonts w:ascii="Times New Roman" w:hAnsi="Times New Roman"/>
          <w:i/>
          <w:color w:val="000000"/>
          <w:sz w:val="20"/>
        </w:rPr>
        <w:t>EXECUTION VERSION</w:t>
      </w:r>
    </w:p>
    <w:p>
      <w:pPr>
        <w:pStyle w:val="TextBody"/>
        <w:bidi w:val="0"/>
        <w:spacing w:before="0" w:after="480"/>
        <w:jc w:val="left"/>
        <w:rPr/>
      </w:pPr>
      <w:r>
        <w:rPr/>
        <w:t> </w:t>
      </w:r>
    </w:p>
    <w:p>
      <w:pPr>
        <w:pStyle w:val="TextBody"/>
        <w:bidi w:val="0"/>
        <w:spacing w:before="0" w:after="480"/>
        <w:jc w:val="both"/>
        <w:rPr>
          <w:rFonts w:ascii="Times New Roman" w:hAnsi="Times New Roman"/>
          <w:b/>
          <w:color w:val="000000"/>
          <w:sz w:val="20"/>
        </w:rPr>
      </w:pPr>
      <w:r>
        <w:rPr>
          <w:rFonts w:ascii="Times New Roman" w:hAnsi="Times New Roman"/>
          <w:b/>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right"/>
        <w:rPr/>
      </w:pPr>
      <w:r>
        <w:rPr/>
        <w:t> </w:t>
      </w:r>
    </w:p>
    <w:p>
      <w:pPr>
        <w:pStyle w:val="TextBody"/>
        <w:bidi w:val="0"/>
        <w:jc w:val="righ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first amended and restated</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Evaluation AGREEMENT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BY AND BETWEEN</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FIBROGEN,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AND</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FORTIS Therapeutics,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JUNE 6,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FIRST AMENDED AND RESTATED</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EVALUATION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First Amended and Restated Evaluation Agreement</w:t>
      </w:r>
      <w:r>
        <w:rPr>
          <w:rFonts w:ascii="Times New Roman" w:hAnsi="Times New Roman"/>
          <w:color w:val="000000"/>
          <w:sz w:val="20"/>
        </w:rPr>
        <w:t xml:space="preserve"> (this “</w:t>
      </w:r>
      <w:r>
        <w:rPr>
          <w:rFonts w:ascii="Times New Roman" w:hAnsi="Times New Roman"/>
          <w:color w:val="000000"/>
          <w:sz w:val="20"/>
          <w:u w:val="single"/>
        </w:rPr>
        <w:t>Agreement</w:t>
      </w:r>
      <w:r>
        <w:rPr>
          <w:rFonts w:ascii="Times New Roman" w:hAnsi="Times New Roman"/>
          <w:color w:val="000000"/>
          <w:sz w:val="20"/>
        </w:rPr>
        <w:t>”) is entered into as of June 6, 2024 (the “</w:t>
      </w:r>
      <w:r>
        <w:rPr>
          <w:rFonts w:ascii="Times New Roman" w:hAnsi="Times New Roman"/>
          <w:color w:val="000000"/>
          <w:sz w:val="20"/>
          <w:u w:val="single"/>
        </w:rPr>
        <w:t>Restatement Effective Date</w:t>
      </w:r>
      <w:r>
        <w:rPr>
          <w:rFonts w:ascii="Times New Roman" w:hAnsi="Times New Roman"/>
          <w:color w:val="000000"/>
          <w:sz w:val="20"/>
        </w:rPr>
        <w:t xml:space="preserve">”) by and between </w:t>
      </w:r>
      <w:r>
        <w:rPr>
          <w:rFonts w:ascii="Times New Roman" w:hAnsi="Times New Roman"/>
          <w:b/>
          <w:color w:val="000000"/>
          <w:sz w:val="20"/>
        </w:rPr>
        <w:t xml:space="preserve">FIBROGEN, INC., </w:t>
      </w:r>
      <w:r>
        <w:rPr>
          <w:rFonts w:ascii="Times New Roman" w:hAnsi="Times New Roman"/>
          <w:color w:val="000000"/>
          <w:sz w:val="20"/>
        </w:rPr>
        <w:t>a Delaware corporation, with its principal place of business at 409 Illinois Street, San Francisco, California 94158 (“</w:t>
      </w:r>
      <w:r>
        <w:rPr>
          <w:rFonts w:ascii="Times New Roman" w:hAnsi="Times New Roman"/>
          <w:color w:val="000000"/>
          <w:sz w:val="20"/>
          <w:u w:val="single"/>
        </w:rPr>
        <w:t>FibroGen</w:t>
      </w:r>
      <w:r>
        <w:rPr>
          <w:rFonts w:ascii="Times New Roman" w:hAnsi="Times New Roman"/>
          <w:color w:val="000000"/>
          <w:sz w:val="20"/>
        </w:rPr>
        <w:t xml:space="preserve">”), and </w:t>
      </w:r>
      <w:r>
        <w:rPr>
          <w:rFonts w:ascii="Times New Roman" w:hAnsi="Times New Roman"/>
          <w:b/>
          <w:color w:val="000000"/>
          <w:sz w:val="20"/>
        </w:rPr>
        <w:t>FORTIS THERAPEUTICS, INC.</w:t>
      </w:r>
      <w:r>
        <w:rPr>
          <w:rFonts w:ascii="Times New Roman" w:hAnsi="Times New Roman"/>
          <w:color w:val="000000"/>
          <w:sz w:val="20"/>
        </w:rPr>
        <w:t>, having an address at 11099 North Torrey Pines Road, Suite 290, La Jolla, CA 92037 (“</w:t>
      </w:r>
      <w:r>
        <w:rPr>
          <w:rFonts w:ascii="Times New Roman" w:hAnsi="Times New Roman"/>
          <w:color w:val="000000"/>
          <w:sz w:val="20"/>
          <w:u w:val="single"/>
        </w:rPr>
        <w:t>Fortis</w:t>
      </w:r>
      <w:r>
        <w:rPr>
          <w:rFonts w:ascii="Times New Roman" w:hAnsi="Times New Roman"/>
          <w:color w:val="000000"/>
          <w:sz w:val="20"/>
        </w:rPr>
        <w:t>”). FibroGen and Fortis may be referred to herein individually as a “</w:t>
      </w:r>
      <w:r>
        <w:rPr>
          <w:rFonts w:ascii="Times New Roman" w:hAnsi="Times New Roman"/>
          <w:color w:val="000000"/>
          <w:sz w:val="20"/>
          <w:u w:val="single"/>
        </w:rPr>
        <w:t>Party</w:t>
      </w:r>
      <w:r>
        <w:rPr>
          <w:rFonts w:ascii="Times New Roman" w:hAnsi="Times New Roman"/>
          <w:color w:val="000000"/>
          <w:sz w:val="20"/>
        </w:rPr>
        <w:t>”, or collectively as the “</w:t>
      </w:r>
      <w:r>
        <w:rPr>
          <w:rFonts w:ascii="Times New Roman" w:hAnsi="Times New Roman"/>
          <w:color w:val="000000"/>
          <w:sz w:val="20"/>
          <w:u w:val="single"/>
        </w:rPr>
        <w:t>Parties</w:t>
      </w:r>
      <w:r>
        <w:rPr>
          <w:rFonts w:ascii="Times New Roman" w:hAnsi="Times New Roman"/>
          <w:color w:val="000000"/>
          <w:sz w:val="20"/>
        </w:rPr>
        <w: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RECITALS</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FibroGen and Fortis are parties to an Option Agreement and Plan of Merger dated as of May 5, 2023, as amended and restated concurrently with the amendment and restatement of this Agreement (the “</w:t>
      </w:r>
      <w:r>
        <w:rPr>
          <w:rFonts w:ascii="Times New Roman" w:hAnsi="Times New Roman"/>
          <w:color w:val="000000"/>
          <w:sz w:val="20"/>
          <w:u w:val="single"/>
        </w:rPr>
        <w:t>Option and Merger Agreement</w:t>
      </w:r>
      <w:r>
        <w:rPr>
          <w:rFonts w:ascii="Times New Roman" w:hAnsi="Times New Roman"/>
          <w:color w:val="000000"/>
          <w:sz w:val="20"/>
        </w:rPr>
        <w:t>”) pursuant to which Fortis granted to FibroGen an option to consummate the Merger (as defined below), pursuant to the terms of the Option and Merger Agreement;</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in order to evaluate whether FibroGen will exercise its Option (as defined below), FibroGen and Fortis entered into an evaluation agreement (the “</w:t>
      </w:r>
      <w:r>
        <w:rPr>
          <w:rFonts w:ascii="Times New Roman" w:hAnsi="Times New Roman"/>
          <w:color w:val="000000"/>
          <w:sz w:val="20"/>
          <w:u w:val="single"/>
        </w:rPr>
        <w:t>Original Agreement</w:t>
      </w:r>
      <w:r>
        <w:rPr>
          <w:rFonts w:ascii="Times New Roman" w:hAnsi="Times New Roman"/>
          <w:color w:val="000000"/>
          <w:sz w:val="20"/>
        </w:rPr>
        <w:t>”) dated May 5, 2023 (the “</w:t>
      </w:r>
      <w:r>
        <w:rPr>
          <w:rFonts w:ascii="Times New Roman" w:hAnsi="Times New Roman"/>
          <w:color w:val="000000"/>
          <w:sz w:val="20"/>
          <w:u w:val="single"/>
        </w:rPr>
        <w:t>Effective Date</w:t>
      </w:r>
      <w:r>
        <w:rPr>
          <w:rFonts w:ascii="Times New Roman" w:hAnsi="Times New Roman"/>
          <w:color w:val="000000"/>
          <w:sz w:val="20"/>
        </w:rPr>
        <w:t>”), pursuant to which the Parties agreed to conduct certain activities for the development of certain drug candidates, including FOR46, and for the evaluation by FibroGen of existing Fortis assets including the Products, pursuant to the terms and conditions of this Agreement;</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as of the Effective Date, Fortis and UCSF (as defined below) have entered into the Fourth UCSF Amendment (as defined below) to amend certain terms of the UCSF License (as defined below) as they apply with respect to this Agreement;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desire to amend and restate the Original Agreement to clarify the Parties’ understanding regarding certain data transfer and regulatory obligations of FibroGen by entering into this Agreement, which shall supersede and replace the Original Agreement in its entirety effective upon the Restatement Effective Date.</w:t>
      </w:r>
    </w:p>
    <w:p>
      <w:pPr>
        <w:pStyle w:val="TextBody"/>
        <w:bidi w:val="0"/>
        <w:spacing w:before="0" w:after="2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foregoing and the mutual agreements set forth below, and other good and valuable consideration, the receipt and sufficiency of which are hereby acknowledged, the Parties hereby agree as follows: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1</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DEFINITIONS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left"/>
        <w:rPr/>
      </w:pPr>
      <w:r>
        <w:rPr>
          <w:color w:val="000000"/>
        </w:rPr>
        <w:t>“</w:t>
      </w:r>
      <w:r>
        <w:rPr>
          <w:rFonts w:ascii="Times New Roman" w:hAnsi="Times New Roman"/>
          <w:color w:val="000000"/>
          <w:sz w:val="20"/>
          <w:u w:val="single"/>
        </w:rPr>
        <w:t>Affiliate</w:t>
      </w:r>
      <w:r>
        <w:rPr>
          <w:color w:val="000000"/>
        </w:rPr>
        <w:t xml:space="preserve">” </w:t>
      </w:r>
      <w:r>
        <w:rPr>
          <w:rFonts w:ascii="Times New Roman" w:hAnsi="Times New Roman"/>
          <w:color w:val="000000"/>
          <w:sz w:val="20"/>
        </w:rPr>
        <w:t>means, with respect to a particular Party, any Person that directly or indirectly, through one or more intermediaries, controls, is controlled by, or is under common control with such Party, wherein “control” means the power to direct or cause the direction of the management or policies of a Party or Person, whether through ownership of more than fifty percent (50%) voting securities of such Party or Person, by contract, by board of director membership or representation, or otherwise. Subject to the foregoing, a Person shall only be deemed an Affiliate of a Party under this Agreement solely for the period it qualifies as an Affiliate under this definition. For purposes hereof, with respect to any investor in Fortis that is an Affiliate of Fortis, the portfolio companies of that investor shall not be deemed to be an Affiliate of Fortis solely by virtue of the fact that Fortis and such other portfolio companies are deemed to be under the common control of such investor.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left"/>
        <w:rPr/>
      </w:pPr>
      <w:r>
        <w:rPr>
          <w:color w:val="000000"/>
        </w:rPr>
        <w:t>“</w:t>
      </w:r>
      <w:r>
        <w:rPr>
          <w:rFonts w:ascii="Times New Roman" w:hAnsi="Times New Roman"/>
          <w:color w:val="000000"/>
          <w:sz w:val="20"/>
          <w:u w:val="single"/>
        </w:rPr>
        <w:t>Agreement</w:t>
      </w:r>
      <w:r>
        <w:rPr>
          <w:color w:val="000000"/>
        </w:rPr>
        <w:t xml:space="preserve">” </w:t>
      </w:r>
      <w:r>
        <w:rPr>
          <w:rFonts w:ascii="Times New Roman" w:hAnsi="Times New Roman"/>
          <w:color w:val="000000"/>
          <w:sz w:val="20"/>
        </w:rPr>
        <w:t>is defined in the preamble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left"/>
        <w:rPr/>
      </w:pPr>
      <w:r>
        <w:rPr>
          <w:color w:val="000000"/>
        </w:rPr>
        <w:t>“</w:t>
      </w:r>
      <w:r>
        <w:rPr>
          <w:rFonts w:ascii="Times New Roman" w:hAnsi="Times New Roman"/>
          <w:color w:val="000000"/>
          <w:sz w:val="20"/>
          <w:u w:val="single"/>
        </w:rPr>
        <w:t>Alliance Manager</w:t>
      </w:r>
      <w:r>
        <w:rPr>
          <w:color w:val="000000"/>
        </w:rPr>
        <w:t xml:space="preserve">” </w:t>
      </w:r>
      <w:r>
        <w:rPr>
          <w:rFonts w:ascii="Times New Roman" w:hAnsi="Times New Roman"/>
          <w:color w:val="000000"/>
          <w:sz w:val="20"/>
        </w:rPr>
        <w:t>is defined in Section 3.1(a).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left"/>
        <w:rPr/>
      </w:pPr>
      <w:r>
        <w:rPr>
          <w:color w:val="000000"/>
        </w:rPr>
        <w:t>“</w:t>
      </w:r>
      <w:r>
        <w:rPr>
          <w:rFonts w:ascii="Times New Roman" w:hAnsi="Times New Roman"/>
          <w:color w:val="000000"/>
          <w:sz w:val="20"/>
          <w:u w:val="single"/>
        </w:rPr>
        <w:t>Applicable Law</w:t>
      </w:r>
      <w:r>
        <w:rPr>
          <w:color w:val="000000"/>
        </w:rPr>
        <w:t xml:space="preserve">” </w:t>
      </w:r>
      <w:r>
        <w:rPr>
          <w:rFonts w:ascii="Times New Roman" w:hAnsi="Times New Roman"/>
          <w:color w:val="000000"/>
          <w:sz w:val="20"/>
        </w:rPr>
        <w:t>means any applicable federal, state, territorial, foreign or local law, common law, statute, ordinance, judicial decision, rule, regulation or code of any Governmental Authority, including, as applicable, the FFDCA, Public Health Service Act (42 U.S.C. § 262 et seq.), U.S. Patent Act (35 U.S.C. §1 et seq.), Federal Civil False Claims Act (31 U.S.C. §3729 et seq.), and the Anti-Kickback Statute (42 U.S.C. §1320a-7b et seq.), all as amended from time to time, together with any rules, regulations, and compliance guidance promulgated thereunder.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left"/>
        <w:rPr/>
      </w:pPr>
      <w:r>
        <w:rPr>
          <w:color w:val="000000"/>
        </w:rPr>
        <w:t>“</w:t>
      </w:r>
      <w:r>
        <w:rPr>
          <w:rFonts w:ascii="Times New Roman" w:hAnsi="Times New Roman"/>
          <w:color w:val="000000"/>
          <w:sz w:val="20"/>
          <w:u w:val="single"/>
        </w:rPr>
        <w:t>Assignable Subcontractor Agreement</w:t>
      </w:r>
      <w:r>
        <w:rPr>
          <w:color w:val="000000"/>
        </w:rPr>
        <w:t xml:space="preserve">” </w:t>
      </w:r>
      <w:r>
        <w:rPr>
          <w:rFonts w:ascii="Times New Roman" w:hAnsi="Times New Roman"/>
          <w:color w:val="000000"/>
          <w:sz w:val="20"/>
        </w:rPr>
        <w:t>means an agreement between FibroGen or any of its Affiliates and a Subcontractor that (a) relates solely to the performance of Development Activities under the Study Plan, (b) where the Subcontractor is [*], and (c)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left"/>
        <w:rPr/>
      </w:pPr>
      <w:r>
        <w:rPr>
          <w:color w:val="000000"/>
        </w:rPr>
        <w:t>“</w:t>
      </w:r>
      <w:r>
        <w:rPr>
          <w:rFonts w:ascii="Times New Roman" w:hAnsi="Times New Roman"/>
          <w:color w:val="000000"/>
          <w:sz w:val="20"/>
          <w:u w:val="single"/>
        </w:rPr>
        <w:t>Bankruptcy Laws</w:t>
      </w:r>
      <w:r>
        <w:rPr>
          <w:color w:val="000000"/>
        </w:rPr>
        <w:t xml:space="preserve">” </w:t>
      </w:r>
      <w:r>
        <w:rPr>
          <w:rFonts w:ascii="Times New Roman" w:hAnsi="Times New Roman"/>
          <w:color w:val="000000"/>
          <w:sz w:val="20"/>
        </w:rPr>
        <w:t>is defined in Section 11.4(b).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left"/>
        <w:rPr/>
      </w:pPr>
      <w:r>
        <w:rPr>
          <w:color w:val="000000"/>
        </w:rPr>
        <w:t>“</w:t>
      </w:r>
      <w:r>
        <w:rPr>
          <w:rFonts w:ascii="Times New Roman" w:hAnsi="Times New Roman"/>
          <w:color w:val="000000"/>
          <w:sz w:val="20"/>
          <w:u w:val="single"/>
        </w:rPr>
        <w:t>BLA</w:t>
      </w:r>
      <w:r>
        <w:rPr>
          <w:color w:val="000000"/>
        </w:rPr>
        <w:t xml:space="preserve">” </w:t>
      </w:r>
      <w:r>
        <w:rPr>
          <w:rFonts w:ascii="Times New Roman" w:hAnsi="Times New Roman"/>
          <w:color w:val="000000"/>
          <w:sz w:val="20"/>
        </w:rPr>
        <w:t xml:space="preserve">means a Biologics License Application or supplement thereto submitted to FDA under 42 U.S.C. §262 and the regulations promulgated thereunder.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left"/>
        <w:rPr/>
      </w:pPr>
      <w:r>
        <w:rPr>
          <w:color w:val="000000"/>
        </w:rPr>
        <w:t>“</w:t>
      </w:r>
      <w:r>
        <w:rPr>
          <w:rFonts w:ascii="Times New Roman" w:hAnsi="Times New Roman"/>
          <w:color w:val="000000"/>
          <w:sz w:val="20"/>
          <w:u w:val="single"/>
        </w:rPr>
        <w:t>Breaching Party</w:t>
      </w:r>
      <w:r>
        <w:rPr>
          <w:color w:val="000000"/>
        </w:rPr>
        <w:t xml:space="preserve">” </w:t>
      </w:r>
      <w:r>
        <w:rPr>
          <w:rFonts w:ascii="Times New Roman" w:hAnsi="Times New Roman"/>
          <w:color w:val="000000"/>
          <w:sz w:val="20"/>
        </w:rPr>
        <w:t>is defined in Section 11.3(a).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left"/>
        <w:rPr/>
      </w:pPr>
      <w:r>
        <w:rPr>
          <w:color w:val="000000"/>
        </w:rPr>
        <w:t>“</w:t>
      </w:r>
      <w:r>
        <w:rPr>
          <w:rFonts w:ascii="Times New Roman" w:hAnsi="Times New Roman"/>
          <w:color w:val="000000"/>
          <w:sz w:val="20"/>
          <w:u w:val="single"/>
        </w:rPr>
        <w:t>Business Day</w:t>
      </w:r>
      <w:r>
        <w:rPr>
          <w:color w:val="000000"/>
        </w:rPr>
        <w:t xml:space="preserve">” </w:t>
      </w:r>
      <w:r>
        <w:rPr>
          <w:rFonts w:ascii="Times New Roman" w:hAnsi="Times New Roman"/>
          <w:color w:val="000000"/>
          <w:sz w:val="20"/>
        </w:rPr>
        <w:t>means a day other than Saturday, Sunday or any other day on which commercial banks located in San Francisco or San Diego, California, U.S.A. are authorized or obligated by Applicable Law to close.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w:t>
      </w:r>
    </w:p>
    <w:p>
      <w:pPr>
        <w:pStyle w:val="TextBody"/>
        <w:bidi w:val="0"/>
        <w:spacing w:before="0" w:after="240"/>
        <w:jc w:val="left"/>
        <w:rPr/>
      </w:pPr>
      <w:r>
        <w:rPr>
          <w:color w:val="000000"/>
        </w:rPr>
        <w:t>“</w:t>
      </w:r>
      <w:r>
        <w:rPr>
          <w:rFonts w:ascii="Times New Roman" w:hAnsi="Times New Roman"/>
          <w:color w:val="000000"/>
          <w:sz w:val="20"/>
          <w:u w:val="single"/>
        </w:rPr>
        <w:t>Calendar Quarter</w:t>
      </w:r>
      <w:r>
        <w:rPr>
          <w:color w:val="000000"/>
        </w:rPr>
        <w:t xml:space="preserve">” </w:t>
      </w:r>
      <w:r>
        <w:rPr>
          <w:rFonts w:ascii="Times New Roman" w:hAnsi="Times New Roman"/>
          <w:color w:val="000000"/>
          <w:sz w:val="20"/>
        </w:rPr>
        <w:t>means the respective periods of three (3) consecutive calendar months ending on March 31, June 30, September 30 or December 31, during the Term, or the applicable part thereof during the first or last calendar quarter of the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w:t>
      </w:r>
    </w:p>
    <w:p>
      <w:pPr>
        <w:pStyle w:val="TextBody"/>
        <w:bidi w:val="0"/>
        <w:spacing w:before="0" w:after="240"/>
        <w:jc w:val="left"/>
        <w:rPr/>
      </w:pPr>
      <w:r>
        <w:rPr>
          <w:color w:val="000000"/>
        </w:rPr>
        <w:t>“</w:t>
      </w:r>
      <w:r>
        <w:rPr>
          <w:rFonts w:ascii="Times New Roman" w:hAnsi="Times New Roman"/>
          <w:color w:val="000000"/>
          <w:sz w:val="20"/>
          <w:u w:val="single"/>
        </w:rPr>
        <w:t>Calendar Year</w:t>
      </w:r>
      <w:r>
        <w:rPr>
          <w:color w:val="000000"/>
        </w:rPr>
        <w:t xml:space="preserve">” </w:t>
      </w:r>
      <w:r>
        <w:rPr>
          <w:rFonts w:ascii="Times New Roman" w:hAnsi="Times New Roman"/>
          <w:color w:val="000000"/>
          <w:sz w:val="20"/>
        </w:rPr>
        <w:t>means any calendar year ending on December 31, or the applicable part thereof during the first or last year of the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w:t>
      </w:r>
    </w:p>
    <w:p>
      <w:pPr>
        <w:pStyle w:val="TextBody"/>
        <w:bidi w:val="0"/>
        <w:spacing w:before="0" w:after="240"/>
        <w:jc w:val="left"/>
        <w:rPr/>
      </w:pPr>
      <w:r>
        <w:rPr>
          <w:color w:val="000000"/>
        </w:rPr>
        <w:t>“</w:t>
      </w:r>
      <w:r>
        <w:rPr>
          <w:rFonts w:ascii="Times New Roman" w:hAnsi="Times New Roman"/>
          <w:color w:val="000000"/>
          <w:sz w:val="20"/>
          <w:u w:val="single"/>
        </w:rPr>
        <w:t>CD46 Agent</w:t>
      </w:r>
      <w:r>
        <w:rPr>
          <w:color w:val="000000"/>
        </w:rPr>
        <w:t xml:space="preserve">” </w:t>
      </w:r>
      <w:r>
        <w:rPr>
          <w:rFonts w:ascii="Times New Roman" w:hAnsi="Times New Roman"/>
          <w:color w:val="000000"/>
          <w:sz w:val="20"/>
        </w:rPr>
        <w:t xml:space="preserve">means any CD46-targeting agents or antibodies Controlled by Fortis [*], as further described in </w:t>
      </w:r>
      <w:r>
        <w:rPr>
          <w:rFonts w:ascii="Times New Roman" w:hAnsi="Times New Roman"/>
          <w:color w:val="000000"/>
          <w:sz w:val="20"/>
          <w:u w:val="single"/>
        </w:rPr>
        <w:t>Schedule 1.12</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w:t>
      </w:r>
    </w:p>
    <w:p>
      <w:pPr>
        <w:pStyle w:val="TextBody"/>
        <w:bidi w:val="0"/>
        <w:spacing w:before="0" w:after="240"/>
        <w:jc w:val="left"/>
        <w:rPr/>
      </w:pPr>
      <w:r>
        <w:rPr>
          <w:color w:val="000000"/>
        </w:rPr>
        <w:t>“</w:t>
      </w:r>
      <w:r>
        <w:rPr>
          <w:rFonts w:ascii="Times New Roman" w:hAnsi="Times New Roman"/>
          <w:color w:val="000000"/>
          <w:sz w:val="20"/>
          <w:u w:val="single"/>
        </w:rPr>
        <w:t>CDA</w:t>
      </w:r>
      <w:r>
        <w:rPr>
          <w:color w:val="000000"/>
        </w:rPr>
        <w:t xml:space="preserve">” </w:t>
      </w:r>
      <w:r>
        <w:rPr>
          <w:rFonts w:ascii="Times New Roman" w:hAnsi="Times New Roman"/>
          <w:color w:val="000000"/>
          <w:sz w:val="20"/>
        </w:rPr>
        <w:t>means that certain Mutual Confidential Disclosure Agreement [*] between the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w:t>
      </w:r>
    </w:p>
    <w:p>
      <w:pPr>
        <w:pStyle w:val="TextBody"/>
        <w:bidi w:val="0"/>
        <w:spacing w:before="0" w:after="240"/>
        <w:jc w:val="left"/>
        <w:rPr/>
      </w:pPr>
      <w:r>
        <w:rPr>
          <w:color w:val="000000"/>
        </w:rPr>
        <w:t>“</w:t>
      </w:r>
      <w:r>
        <w:rPr>
          <w:rFonts w:ascii="Times New Roman" w:hAnsi="Times New Roman"/>
          <w:color w:val="000000"/>
          <w:sz w:val="20"/>
          <w:u w:val="single"/>
        </w:rPr>
        <w:t>CDR</w:t>
      </w:r>
      <w:r>
        <w:rPr>
          <w:color w:val="000000"/>
        </w:rPr>
        <w:t xml:space="preserve">” </w:t>
      </w:r>
      <w:r>
        <w:rPr>
          <w:rFonts w:ascii="Times New Roman" w:hAnsi="Times New Roman"/>
          <w:color w:val="000000"/>
          <w:sz w:val="20"/>
        </w:rPr>
        <w:t>means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1.15</w:t>
      </w:r>
    </w:p>
    <w:p>
      <w:pPr>
        <w:pStyle w:val="TextBody"/>
        <w:bidi w:val="0"/>
        <w:spacing w:before="0" w:after="240"/>
        <w:jc w:val="left"/>
        <w:rPr/>
      </w:pPr>
      <w:r>
        <w:rPr>
          <w:color w:val="000000"/>
        </w:rPr>
        <w:t>“</w:t>
      </w:r>
      <w:r>
        <w:rPr>
          <w:rFonts w:ascii="Times New Roman" w:hAnsi="Times New Roman"/>
          <w:color w:val="000000"/>
          <w:sz w:val="20"/>
          <w:u w:val="single"/>
        </w:rPr>
        <w:t>Claim</w:t>
      </w:r>
      <w:r>
        <w:rPr>
          <w:color w:val="000000"/>
        </w:rPr>
        <w:t xml:space="preserve">” </w:t>
      </w:r>
      <w:r>
        <w:rPr>
          <w:rFonts w:ascii="Times New Roman" w:hAnsi="Times New Roman"/>
          <w:color w:val="000000"/>
          <w:sz w:val="20"/>
        </w:rPr>
        <w:t>is defined in Section 13.1.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1.16</w:t>
      </w:r>
    </w:p>
    <w:p>
      <w:pPr>
        <w:pStyle w:val="TextBody"/>
        <w:bidi w:val="0"/>
        <w:spacing w:before="0" w:after="240"/>
        <w:jc w:val="left"/>
        <w:rPr/>
      </w:pPr>
      <w:r>
        <w:rPr>
          <w:color w:val="000000"/>
        </w:rPr>
        <w:t>“</w:t>
      </w:r>
      <w:r>
        <w:rPr>
          <w:rFonts w:ascii="Times New Roman" w:hAnsi="Times New Roman"/>
          <w:color w:val="000000"/>
          <w:sz w:val="20"/>
          <w:u w:val="single"/>
        </w:rPr>
        <w:t>Clinical Study Report</w:t>
      </w:r>
      <w:r>
        <w:rPr>
          <w:color w:val="000000"/>
        </w:rPr>
        <w:t xml:space="preserve">” </w:t>
      </w:r>
      <w:r>
        <w:rPr>
          <w:rFonts w:ascii="Times New Roman" w:hAnsi="Times New Roman"/>
          <w:color w:val="000000"/>
          <w:sz w:val="20"/>
        </w:rPr>
        <w:t>means a report containing the results of a Clinical Trial of a pharmaceutical product that is consistent in content and format with Applicable Law and regulatory guidance and with the guidelines of the International Conference on Harmonisation of Technical Requirements for Registration of Pharmaceuticals for Human Use (ICH) on Structure and Content of Clinical Study Reports.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1.17</w:t>
      </w:r>
    </w:p>
    <w:p>
      <w:pPr>
        <w:pStyle w:val="TextBody"/>
        <w:bidi w:val="0"/>
        <w:spacing w:before="0" w:after="240"/>
        <w:jc w:val="left"/>
        <w:rPr/>
      </w:pPr>
      <w:r>
        <w:rPr>
          <w:color w:val="000000"/>
        </w:rPr>
        <w:t>“</w:t>
      </w:r>
      <w:r>
        <w:rPr>
          <w:rFonts w:ascii="Times New Roman" w:hAnsi="Times New Roman"/>
          <w:color w:val="000000"/>
          <w:sz w:val="20"/>
          <w:u w:val="single"/>
        </w:rPr>
        <w:t>Clinical Trial</w:t>
      </w:r>
      <w:r>
        <w:rPr>
          <w:color w:val="000000"/>
        </w:rPr>
        <w:t xml:space="preserve">” </w:t>
      </w:r>
      <w:r>
        <w:rPr>
          <w:rFonts w:ascii="Times New Roman" w:hAnsi="Times New Roman"/>
          <w:color w:val="000000"/>
          <w:sz w:val="20"/>
        </w:rPr>
        <w:t>means any human clinical study or trial of a pharmaceutical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1.18</w:t>
      </w:r>
    </w:p>
    <w:p>
      <w:pPr>
        <w:pStyle w:val="TextBody"/>
        <w:bidi w:val="0"/>
        <w:spacing w:before="0" w:after="240"/>
        <w:jc w:val="left"/>
        <w:rPr/>
      </w:pPr>
      <w:r>
        <w:rPr>
          <w:color w:val="000000"/>
        </w:rPr>
        <w:t>“</w:t>
      </w:r>
      <w:r>
        <w:rPr>
          <w:rFonts w:ascii="Times New Roman" w:hAnsi="Times New Roman"/>
          <w:color w:val="000000"/>
          <w:sz w:val="20"/>
          <w:u w:val="single"/>
        </w:rPr>
        <w:t>COI</w:t>
      </w:r>
      <w:r>
        <w:rPr>
          <w:color w:val="000000"/>
        </w:rPr>
        <w:t xml:space="preserve">” </w:t>
      </w:r>
      <w:r>
        <w:rPr>
          <w:rFonts w:ascii="Times New Roman" w:hAnsi="Times New Roman"/>
          <w:color w:val="000000"/>
          <w:sz w:val="20"/>
        </w:rPr>
        <w:t>means COI Pharmaceuticals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1.19</w:t>
      </w:r>
    </w:p>
    <w:p>
      <w:pPr>
        <w:pStyle w:val="TextBody"/>
        <w:bidi w:val="0"/>
        <w:spacing w:before="0" w:after="240"/>
        <w:jc w:val="left"/>
        <w:rPr/>
      </w:pPr>
      <w:r>
        <w:rPr>
          <w:color w:val="000000"/>
        </w:rPr>
        <w:t>“</w:t>
      </w:r>
      <w:r>
        <w:rPr>
          <w:rFonts w:ascii="Times New Roman" w:hAnsi="Times New Roman"/>
          <w:color w:val="000000"/>
          <w:sz w:val="20"/>
          <w:u w:val="single"/>
        </w:rPr>
        <w:t>COI STA Agreement</w:t>
      </w:r>
      <w:r>
        <w:rPr>
          <w:color w:val="000000"/>
        </w:rPr>
        <w:t xml:space="preserve">” </w:t>
      </w:r>
      <w:r>
        <w:rPr>
          <w:rFonts w:ascii="Times New Roman" w:hAnsi="Times New Roman"/>
          <w:color w:val="000000"/>
          <w:sz w:val="20"/>
        </w:rPr>
        <w:t>means that certain Master Services Agreement [*], between STA Pharmaceutical Hong Kong Limited and COI.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1.20</w:t>
      </w:r>
    </w:p>
    <w:p>
      <w:pPr>
        <w:pStyle w:val="TextBody"/>
        <w:bidi w:val="0"/>
        <w:spacing w:before="0" w:after="240"/>
        <w:jc w:val="left"/>
        <w:rPr/>
      </w:pPr>
      <w:r>
        <w:rPr>
          <w:color w:val="000000"/>
        </w:rPr>
        <w:t>“</w:t>
      </w:r>
      <w:r>
        <w:rPr>
          <w:rFonts w:ascii="Times New Roman" w:hAnsi="Times New Roman"/>
          <w:color w:val="000000"/>
          <w:sz w:val="20"/>
          <w:u w:val="single"/>
        </w:rPr>
        <w:t>Collaboration Data</w:t>
      </w:r>
      <w:r>
        <w:rPr>
          <w:color w:val="000000"/>
        </w:rPr>
        <w:t xml:space="preserve">” </w:t>
      </w:r>
      <w:r>
        <w:rPr>
          <w:rFonts w:ascii="Times New Roman" w:hAnsi="Times New Roman"/>
          <w:color w:val="000000"/>
          <w:sz w:val="20"/>
        </w:rPr>
        <w:t>is defined in Section 8.3(a).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w:t>
      </w:r>
    </w:p>
    <w:p>
      <w:pPr>
        <w:pStyle w:val="TextBody"/>
        <w:bidi w:val="0"/>
        <w:spacing w:before="0" w:after="240"/>
        <w:jc w:val="left"/>
        <w:rPr/>
      </w:pPr>
      <w:r>
        <w:rPr>
          <w:color w:val="000000"/>
        </w:rPr>
        <w:t>“</w:t>
      </w:r>
      <w:r>
        <w:rPr>
          <w:rFonts w:ascii="Times New Roman" w:hAnsi="Times New Roman"/>
          <w:color w:val="000000"/>
          <w:sz w:val="20"/>
          <w:u w:val="single"/>
        </w:rPr>
        <w:t>Collaboration IP</w:t>
      </w:r>
      <w:r>
        <w:rPr>
          <w:color w:val="000000"/>
        </w:rPr>
        <w:t xml:space="preserve">” </w:t>
      </w:r>
      <w:r>
        <w:rPr>
          <w:rFonts w:ascii="Times New Roman" w:hAnsi="Times New Roman"/>
          <w:color w:val="000000"/>
          <w:sz w:val="20"/>
        </w:rPr>
        <w:t>means, collectively, the Collaboration Patent Rights and the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w:t>
      </w:r>
    </w:p>
    <w:p>
      <w:pPr>
        <w:pStyle w:val="TextBody"/>
        <w:bidi w:val="0"/>
        <w:spacing w:before="0" w:after="240"/>
        <w:jc w:val="left"/>
        <w:rPr/>
      </w:pPr>
      <w:r>
        <w:rPr>
          <w:color w:val="000000"/>
        </w:rPr>
        <w:t>“</w:t>
      </w:r>
      <w:r>
        <w:rPr>
          <w:rFonts w:ascii="Times New Roman" w:hAnsi="Times New Roman"/>
          <w:color w:val="000000"/>
          <w:sz w:val="20"/>
          <w:u w:val="single"/>
        </w:rPr>
        <w:t>Collaboration Know-How</w:t>
      </w:r>
      <w:r>
        <w:rPr>
          <w:color w:val="000000"/>
        </w:rPr>
        <w:t xml:space="preserve">” </w:t>
      </w:r>
      <w:r>
        <w:rPr>
          <w:rFonts w:ascii="Times New Roman" w:hAnsi="Times New Roman"/>
          <w:color w:val="000000"/>
          <w:sz w:val="20"/>
        </w:rPr>
        <w:t>means any Know-How, other than FibroGen Other Collaboration Know-How, that is discovered, developed, invented, created or generated by or on behalf of either Party (including through its Affiliates or Subcontractors), either solely or jointly, in the course of conducting activities under this Agreement or otherwise in the course of the research and use of the Products during the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w:t>
      </w:r>
    </w:p>
    <w:p>
      <w:pPr>
        <w:pStyle w:val="TextBody"/>
        <w:bidi w:val="0"/>
        <w:spacing w:before="0" w:after="240"/>
        <w:jc w:val="left"/>
        <w:rPr/>
      </w:pPr>
      <w:r>
        <w:rPr>
          <w:color w:val="000000"/>
        </w:rPr>
        <w:t>“</w:t>
      </w:r>
      <w:r>
        <w:rPr>
          <w:rFonts w:ascii="Times New Roman" w:hAnsi="Times New Roman"/>
          <w:color w:val="000000"/>
          <w:sz w:val="20"/>
          <w:u w:val="single"/>
        </w:rPr>
        <w:t>Collaboration Patent Right</w:t>
      </w:r>
      <w:r>
        <w:rPr>
          <w:color w:val="000000"/>
        </w:rPr>
        <w:t xml:space="preserve">” </w:t>
      </w:r>
      <w:r>
        <w:rPr>
          <w:rFonts w:ascii="Times New Roman" w:hAnsi="Times New Roman"/>
          <w:color w:val="000000"/>
          <w:sz w:val="20"/>
        </w:rPr>
        <w:t>means any Patent Right that claims any invention included in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w:t>
      </w:r>
    </w:p>
    <w:p>
      <w:pPr>
        <w:pStyle w:val="TextBody"/>
        <w:bidi w:val="0"/>
        <w:spacing w:before="0" w:after="240"/>
        <w:jc w:val="left"/>
        <w:rPr/>
      </w:pPr>
      <w:r>
        <w:rPr>
          <w:color w:val="000000"/>
        </w:rPr>
        <w:t>“</w:t>
      </w:r>
      <w:r>
        <w:rPr>
          <w:rFonts w:ascii="Times New Roman" w:hAnsi="Times New Roman"/>
          <w:color w:val="000000"/>
          <w:sz w:val="20"/>
          <w:u w:val="single"/>
        </w:rPr>
        <w:t>Commercialize</w:t>
      </w:r>
      <w:r>
        <w:rPr>
          <w:color w:val="000000"/>
        </w:rPr>
        <w:t xml:space="preserve">” </w:t>
      </w:r>
      <w:r>
        <w:rPr>
          <w:rFonts w:ascii="Times New Roman" w:hAnsi="Times New Roman"/>
          <w:color w:val="000000"/>
          <w:sz w:val="20"/>
        </w:rPr>
        <w:t>or “</w:t>
      </w:r>
      <w:r>
        <w:rPr>
          <w:rFonts w:ascii="Times New Roman" w:hAnsi="Times New Roman"/>
          <w:color w:val="000000"/>
          <w:sz w:val="20"/>
          <w:u w:val="single"/>
        </w:rPr>
        <w:t>Commercialization</w:t>
      </w:r>
      <w:r>
        <w:rPr>
          <w:color w:val="000000"/>
        </w:rPr>
        <w:t xml:space="preserve">” </w:t>
      </w:r>
      <w:r>
        <w:rPr>
          <w:rFonts w:ascii="Times New Roman" w:hAnsi="Times New Roman"/>
          <w:color w:val="000000"/>
          <w:sz w:val="20"/>
        </w:rPr>
        <w:t>means, with respect to a product, all activities, whether initiated or conducted prior to or following Regulatory Approval for such product, undertaken in support of the promotion, marketing, sale and distribution (including importing, exporting, transporting, customs clearance, warehousing, invoicing, handling and delivering product to customers) of such product, including: (a) sales force efforts, detailing, advertising, marketing and promotional materials, sales and distribution, pricing, contracting managed markets and medical affairs, including publications, medical education, medical information, clinical science liaison activities, investigator initiated sponsored research programs and health economics and outcomes research, (b) the preparation, filing, and maintenance of Regulatory Materials, including the filing of annual updates, but excluding any such activities relating to obtaining the first, and only the first, Regulatory Approval for such product, (c) post-approval Clinical Trials and (d) other similar activities directly relating to such product. “Commercialize” means to engage in Commercialization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1.25</w:t>
      </w:r>
    </w:p>
    <w:p>
      <w:pPr>
        <w:pStyle w:val="TextBody"/>
        <w:bidi w:val="0"/>
        <w:spacing w:before="0" w:after="240"/>
        <w:jc w:val="left"/>
        <w:rPr/>
      </w:pPr>
      <w:r>
        <w:rPr>
          <w:color w:val="000000"/>
        </w:rPr>
        <w:t>“</w:t>
      </w:r>
      <w:r>
        <w:rPr>
          <w:rFonts w:ascii="Times New Roman" w:hAnsi="Times New Roman"/>
          <w:color w:val="000000"/>
          <w:sz w:val="20"/>
          <w:u w:val="single"/>
        </w:rPr>
        <w:t>Commercially Reasonable Efforts</w:t>
      </w:r>
      <w:r>
        <w:rPr>
          <w:color w:val="000000"/>
        </w:rPr>
        <w:t xml:space="preserve">” </w:t>
      </w:r>
      <w:r>
        <w:rPr>
          <w:rFonts w:ascii="Times New Roman" w:hAnsi="Times New Roman"/>
          <w:color w:val="000000"/>
          <w:sz w:val="20"/>
        </w:rPr>
        <w:t>means,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1.26</w:t>
      </w:r>
    </w:p>
    <w:p>
      <w:pPr>
        <w:pStyle w:val="TextBody"/>
        <w:bidi w:val="0"/>
        <w:spacing w:before="0" w:after="240"/>
        <w:jc w:val="left"/>
        <w:rPr/>
      </w:pPr>
      <w:r>
        <w:rPr>
          <w:color w:val="000000"/>
        </w:rPr>
        <w:t>“</w:t>
      </w:r>
      <w:r>
        <w:rPr>
          <w:rFonts w:ascii="Times New Roman" w:hAnsi="Times New Roman"/>
          <w:color w:val="000000"/>
          <w:sz w:val="20"/>
          <w:u w:val="single"/>
        </w:rPr>
        <w:t>Complaining Party</w:t>
      </w:r>
      <w:r>
        <w:rPr>
          <w:color w:val="000000"/>
        </w:rPr>
        <w:t xml:space="preserve">” </w:t>
      </w:r>
      <w:r>
        <w:rPr>
          <w:rFonts w:ascii="Times New Roman" w:hAnsi="Times New Roman"/>
          <w:color w:val="000000"/>
          <w:sz w:val="20"/>
        </w:rPr>
        <w:t>is defined in Section 12.1(b).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1.27</w:t>
      </w:r>
    </w:p>
    <w:p>
      <w:pPr>
        <w:pStyle w:val="TextBody"/>
        <w:bidi w:val="0"/>
        <w:spacing w:before="0" w:after="240"/>
        <w:jc w:val="left"/>
        <w:rPr/>
      </w:pPr>
      <w:r>
        <w:rPr>
          <w:color w:val="000000"/>
        </w:rPr>
        <w:t>“</w:t>
      </w:r>
      <w:r>
        <w:rPr>
          <w:rFonts w:ascii="Times New Roman" w:hAnsi="Times New Roman"/>
          <w:color w:val="000000"/>
          <w:sz w:val="20"/>
          <w:u w:val="single"/>
        </w:rPr>
        <w:t>Complete</w:t>
      </w:r>
      <w:r>
        <w:rPr>
          <w:rFonts w:ascii="Times New Roman" w:hAnsi="Times New Roman"/>
          <w:color w:val="000000"/>
          <w:sz w:val="20"/>
        </w:rPr>
        <w:t>,” “</w:t>
      </w:r>
      <w:r>
        <w:rPr>
          <w:rFonts w:ascii="Times New Roman" w:hAnsi="Times New Roman"/>
          <w:color w:val="000000"/>
          <w:sz w:val="20"/>
          <w:u w:val="single"/>
        </w:rPr>
        <w:t>Completed</w:t>
      </w:r>
      <w:r>
        <w:rPr>
          <w:rFonts w:ascii="Times New Roman" w:hAnsi="Times New Roman"/>
          <w:color w:val="000000"/>
          <w:sz w:val="20"/>
        </w:rPr>
        <w:t>,” or “</w:t>
      </w:r>
      <w:r>
        <w:rPr>
          <w:rFonts w:ascii="Times New Roman" w:hAnsi="Times New Roman"/>
          <w:color w:val="000000"/>
          <w:sz w:val="20"/>
          <w:u w:val="single"/>
        </w:rPr>
        <w:t>Completion</w:t>
      </w:r>
      <w:r>
        <w:rPr>
          <w:color w:val="000000"/>
        </w:rPr>
        <w:t xml:space="preserve">” </w:t>
      </w:r>
      <w:r>
        <w:rPr>
          <w:rFonts w:ascii="Times New Roman" w:hAnsi="Times New Roman"/>
          <w:color w:val="000000"/>
          <w:sz w:val="20"/>
        </w:rPr>
        <w:t>means, with respect to a Clinical Trial, the point in time at which database lock for such trial has occurred and, if such trial has a statistical analysis plan, the primary endpoint and key safety data (including tables, listings and figures generated based on that database lock) under the statistical analysis plan for such trial are available.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1.28</w:t>
      </w:r>
    </w:p>
    <w:p>
      <w:pPr>
        <w:pStyle w:val="TextBody"/>
        <w:bidi w:val="0"/>
        <w:spacing w:before="0" w:after="240"/>
        <w:jc w:val="left"/>
        <w:rPr/>
      </w:pPr>
      <w:r>
        <w:rPr>
          <w:color w:val="000000"/>
        </w:rPr>
        <w:t>“</w:t>
      </w:r>
      <w:r>
        <w:rPr>
          <w:rFonts w:ascii="Times New Roman" w:hAnsi="Times New Roman"/>
          <w:color w:val="000000"/>
          <w:sz w:val="20"/>
          <w:u w:val="single"/>
        </w:rPr>
        <w:t>Confidential Information</w:t>
      </w:r>
      <w:r>
        <w:rPr>
          <w:color w:val="000000"/>
        </w:rPr>
        <w:t xml:space="preserve">” </w:t>
      </w:r>
      <w:r>
        <w:rPr>
          <w:rFonts w:ascii="Times New Roman" w:hAnsi="Times New Roman"/>
          <w:color w:val="000000"/>
          <w:sz w:val="20"/>
        </w:rPr>
        <w:t>means all non-public or proprietary information disclosed by a Party to the other Party under this Agreement, 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 association with, filings with any Regulatory Authority, data, including pharmacological, toxicological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(including Materials), and the like, without regard as to whether any of the foregoing is marked “confidential” or “proprietary,” or disclosed in oral, written, graphic, or electronic form. Confidential Information includes all “Confidential Information” as defined under the CDA between the Parties and disclosed pursuant to the CDA prior to the Effective Date.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1.29</w:t>
      </w:r>
    </w:p>
    <w:p>
      <w:pPr>
        <w:pStyle w:val="TextBody"/>
        <w:bidi w:val="0"/>
        <w:spacing w:before="0" w:after="240"/>
        <w:jc w:val="left"/>
        <w:rPr/>
      </w:pPr>
      <w:r>
        <w:rPr>
          <w:color w:val="000000"/>
        </w:rPr>
        <w:t>“</w:t>
      </w:r>
      <w:r>
        <w:rPr>
          <w:rFonts w:ascii="Times New Roman" w:hAnsi="Times New Roman"/>
          <w:color w:val="000000"/>
          <w:sz w:val="20"/>
          <w:u w:val="single"/>
        </w:rPr>
        <w:t>Control</w:t>
      </w:r>
      <w:r>
        <w:rPr>
          <w:color w:val="000000"/>
        </w:rPr>
        <w:t xml:space="preserve">” </w:t>
      </w:r>
      <w:r>
        <w:rPr>
          <w:rFonts w:ascii="Times New Roman" w:hAnsi="Times New Roman"/>
          <w:color w:val="000000"/>
          <w:sz w:val="20"/>
        </w:rPr>
        <w:t>means, with respect to any Know-How, Patent Right or other intellectual property right, possession (through ownership, exclusive license/sublicense right or otherwise) by a Party, including its Controlled Affiliates, of the ability (without taking into account any rights granted by one Party to the other Party under the terms of this Agreement) to grant access, a license or a sublicense to such Know-How, Patent Right or other intellectual property right without violating the terms of any agreement or other arrangement with, or necessitating the consent of, any Third Party, at such time as the Party would be first required under this Agreement to grant the other Party such access, license or sublicense.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1.30</w:t>
      </w:r>
    </w:p>
    <w:p>
      <w:pPr>
        <w:pStyle w:val="TextBody"/>
        <w:bidi w:val="0"/>
        <w:spacing w:before="0" w:after="240"/>
        <w:jc w:val="left"/>
        <w:rPr/>
      </w:pPr>
      <w:r>
        <w:rPr>
          <w:color w:val="000000"/>
        </w:rPr>
        <w:t>“</w:t>
      </w:r>
      <w:r>
        <w:rPr>
          <w:rFonts w:ascii="Times New Roman" w:hAnsi="Times New Roman"/>
          <w:color w:val="000000"/>
          <w:sz w:val="20"/>
          <w:u w:val="single"/>
        </w:rPr>
        <w:t>Controlled Affiliate</w:t>
      </w:r>
      <w:r>
        <w:rPr>
          <w:color w:val="000000"/>
        </w:rPr>
        <w:t xml:space="preserve">” </w:t>
      </w:r>
      <w:r>
        <w:rPr>
          <w:rFonts w:ascii="Times New Roman" w:hAnsi="Times New Roman"/>
          <w:color w:val="000000"/>
          <w:sz w:val="20"/>
        </w:rPr>
        <w:t>means, with respect to a party to this Agreement, any other Person that is controlled (as such term is defined in Section 1.1) by such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1.31</w:t>
      </w:r>
    </w:p>
    <w:p>
      <w:pPr>
        <w:pStyle w:val="TextBody"/>
        <w:bidi w:val="0"/>
        <w:spacing w:before="0" w:after="240"/>
        <w:jc w:val="left"/>
        <w:rPr/>
      </w:pPr>
      <w:r>
        <w:rPr>
          <w:color w:val="000000"/>
        </w:rPr>
        <w:t>“</w:t>
      </w:r>
      <w:r>
        <w:rPr>
          <w:rFonts w:ascii="Times New Roman" w:hAnsi="Times New Roman"/>
          <w:color w:val="000000"/>
          <w:sz w:val="20"/>
          <w:u w:val="single"/>
        </w:rPr>
        <w:t>CREATE Act</w:t>
      </w:r>
      <w:r>
        <w:rPr>
          <w:color w:val="000000"/>
        </w:rPr>
        <w:t xml:space="preserve">” </w:t>
      </w:r>
      <w:r>
        <w:rPr>
          <w:rFonts w:ascii="Times New Roman" w:hAnsi="Times New Roman"/>
          <w:color w:val="000000"/>
          <w:sz w:val="20"/>
        </w:rPr>
        <w:t>means the Cooperative Research and Technology Enhancement Act of 2004, 35 U.S.C. § 103(c)(2)-(c)(3).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w:t>
      </w:r>
    </w:p>
    <w:p>
      <w:pPr>
        <w:pStyle w:val="TextBody"/>
        <w:bidi w:val="0"/>
        <w:spacing w:before="0" w:after="240"/>
        <w:jc w:val="left"/>
        <w:rPr/>
      </w:pPr>
      <w:r>
        <w:rPr>
          <w:color w:val="000000"/>
        </w:rPr>
        <w:t>“</w:t>
      </w:r>
      <w:r>
        <w:rPr>
          <w:rFonts w:ascii="Times New Roman" w:hAnsi="Times New Roman"/>
          <w:color w:val="000000"/>
          <w:sz w:val="20"/>
          <w:u w:val="single"/>
        </w:rPr>
        <w:t>Cure Period</w:t>
      </w:r>
      <w:r>
        <w:rPr>
          <w:color w:val="000000"/>
        </w:rPr>
        <w:t xml:space="preserve">” </w:t>
      </w:r>
      <w:r>
        <w:rPr>
          <w:rFonts w:ascii="Times New Roman" w:hAnsi="Times New Roman"/>
          <w:color w:val="000000"/>
          <w:sz w:val="20"/>
        </w:rPr>
        <w:t>is defined in Section 11.3(a).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1.33</w:t>
      </w:r>
    </w:p>
    <w:p>
      <w:pPr>
        <w:pStyle w:val="TextBody"/>
        <w:bidi w:val="0"/>
        <w:spacing w:before="0" w:after="240"/>
        <w:jc w:val="left"/>
        <w:rPr/>
      </w:pPr>
      <w:r>
        <w:rPr>
          <w:color w:val="000000"/>
        </w:rPr>
        <w:t>“</w:t>
      </w:r>
      <w:r>
        <w:rPr>
          <w:rFonts w:ascii="Times New Roman" w:hAnsi="Times New Roman"/>
          <w:color w:val="000000"/>
          <w:sz w:val="20"/>
          <w:u w:val="single"/>
        </w:rPr>
        <w:t>Development</w:t>
      </w:r>
      <w:r>
        <w:rPr>
          <w:color w:val="000000"/>
        </w:rPr>
        <w:t xml:space="preserve">” </w:t>
      </w:r>
      <w:r>
        <w:rPr>
          <w:rFonts w:ascii="Times New Roman" w:hAnsi="Times New Roman"/>
          <w:color w:val="000000"/>
          <w:sz w:val="20"/>
        </w:rPr>
        <w:t>means, with respect to a product, all non-clinical and clinical drug development activities, including research, discovery, toxicology, pharmacology, and other non-clinical efforts, statistical analysis, formulation development, delivery system development, manufacturing development, statistical analysis, the performance of Clinical Trials, including the Manufacturing of such product for use in the Clinical Trials, or other activities reasonably necessary in order to obtain, but not maintain, Regulatory Approval of such product. “Development” will exclude all Commercialization activities. When used as a verb, “Develop” means to engage in Development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w:t>
      </w:r>
    </w:p>
    <w:p>
      <w:pPr>
        <w:pStyle w:val="TextBody"/>
        <w:bidi w:val="0"/>
        <w:spacing w:before="0" w:after="240"/>
        <w:jc w:val="left"/>
        <w:rPr/>
      </w:pPr>
      <w:r>
        <w:rPr>
          <w:color w:val="000000"/>
        </w:rPr>
        <w:t>“</w:t>
      </w:r>
      <w:r>
        <w:rPr>
          <w:rFonts w:ascii="Times New Roman" w:hAnsi="Times New Roman"/>
          <w:color w:val="000000"/>
          <w:sz w:val="20"/>
          <w:u w:val="single"/>
        </w:rPr>
        <w:t>Development Activities</w:t>
      </w:r>
      <w:r>
        <w:rPr>
          <w:color w:val="000000"/>
        </w:rPr>
        <w:t xml:space="preserve">” </w:t>
      </w:r>
      <w:r>
        <w:rPr>
          <w:rFonts w:ascii="Times New Roman" w:hAnsi="Times New Roman"/>
          <w:color w:val="000000"/>
          <w:sz w:val="20"/>
        </w:rPr>
        <w:t>is defined in Section 5.1.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1.35</w:t>
      </w:r>
    </w:p>
    <w:p>
      <w:pPr>
        <w:pStyle w:val="TextBody"/>
        <w:bidi w:val="0"/>
        <w:spacing w:before="0" w:after="240"/>
        <w:jc w:val="left"/>
        <w:rPr/>
      </w:pPr>
      <w:r>
        <w:rPr>
          <w:color w:val="000000"/>
        </w:rPr>
        <w:t>“</w:t>
      </w:r>
      <w:r>
        <w:rPr>
          <w:rFonts w:ascii="Times New Roman" w:hAnsi="Times New Roman"/>
          <w:color w:val="000000"/>
          <w:sz w:val="20"/>
          <w:u w:val="single"/>
        </w:rPr>
        <w:t>Development Costs</w:t>
      </w:r>
      <w:r>
        <w:rPr>
          <w:color w:val="000000"/>
        </w:rPr>
        <w:t xml:space="preserve">” </w:t>
      </w:r>
      <w:r>
        <w:rPr>
          <w:rFonts w:ascii="Times New Roman" w:hAnsi="Times New Roman"/>
          <w:color w:val="000000"/>
          <w:sz w:val="20"/>
        </w:rPr>
        <w:t>is defined in Section 11.6(b).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1.36</w:t>
      </w:r>
    </w:p>
    <w:p>
      <w:pPr>
        <w:pStyle w:val="TextBody"/>
        <w:bidi w:val="0"/>
        <w:spacing w:before="0" w:after="240"/>
        <w:jc w:val="left"/>
        <w:rPr/>
      </w:pPr>
      <w:r>
        <w:rPr>
          <w:color w:val="000000"/>
        </w:rPr>
        <w:t>“</w:t>
      </w:r>
      <w:r>
        <w:rPr>
          <w:rFonts w:ascii="Times New Roman" w:hAnsi="Times New Roman"/>
          <w:color w:val="000000"/>
          <w:sz w:val="20"/>
          <w:u w:val="single"/>
        </w:rPr>
        <w:t>Development Fee Schedule</w:t>
      </w:r>
      <w:r>
        <w:rPr>
          <w:color w:val="000000"/>
        </w:rPr>
        <w:t xml:space="preserve">” </w:t>
      </w:r>
      <w:r>
        <w:rPr>
          <w:rFonts w:ascii="Times New Roman" w:hAnsi="Times New Roman"/>
          <w:color w:val="000000"/>
          <w:sz w:val="20"/>
        </w:rPr>
        <w:t>is defined in Section 7.1.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1.37</w:t>
      </w:r>
    </w:p>
    <w:p>
      <w:pPr>
        <w:pStyle w:val="TextBody"/>
        <w:bidi w:val="0"/>
        <w:spacing w:before="0" w:after="240"/>
        <w:jc w:val="left"/>
        <w:rPr/>
      </w:pPr>
      <w:r>
        <w:rPr>
          <w:color w:val="000000"/>
        </w:rPr>
        <w:t>“</w:t>
      </w:r>
      <w:r>
        <w:rPr>
          <w:rFonts w:ascii="Times New Roman" w:hAnsi="Times New Roman"/>
          <w:color w:val="000000"/>
          <w:sz w:val="20"/>
          <w:u w:val="single"/>
        </w:rPr>
        <w:t>Development Fees</w:t>
      </w:r>
      <w:r>
        <w:rPr>
          <w:color w:val="000000"/>
        </w:rPr>
        <w:t xml:space="preserve">” </w:t>
      </w:r>
      <w:r>
        <w:rPr>
          <w:rFonts w:ascii="Times New Roman" w:hAnsi="Times New Roman"/>
          <w:color w:val="000000"/>
          <w:sz w:val="20"/>
        </w:rPr>
        <w:t>is defined in Section 7.1.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1.38</w:t>
      </w:r>
    </w:p>
    <w:p>
      <w:pPr>
        <w:pStyle w:val="TextBody"/>
        <w:bidi w:val="0"/>
        <w:spacing w:before="0" w:after="240"/>
        <w:jc w:val="left"/>
        <w:rPr/>
      </w:pPr>
      <w:r>
        <w:rPr>
          <w:color w:val="000000"/>
        </w:rPr>
        <w:t>“</w:t>
      </w:r>
      <w:r>
        <w:rPr>
          <w:rFonts w:ascii="Times New Roman" w:hAnsi="Times New Roman"/>
          <w:color w:val="000000"/>
          <w:sz w:val="20"/>
          <w:u w:val="single"/>
        </w:rPr>
        <w:t>Development Force Majeure Event</w:t>
      </w:r>
      <w:r>
        <w:rPr>
          <w:color w:val="000000"/>
        </w:rPr>
        <w:t xml:space="preserve">” </w:t>
      </w:r>
      <w:r>
        <w:rPr>
          <w:rFonts w:ascii="Times New Roman" w:hAnsi="Times New Roman"/>
          <w:color w:val="000000"/>
          <w:sz w:val="20"/>
        </w:rPr>
        <w:t>means a Force Majeure Event causing the failure or delay in the achievement of any Development Activities under the Study Plan or any related, Manufacturing activities that are reasonably necessary, based on the design of the then-current Study Plan, (i) [*], or (ii)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1.39</w:t>
      </w:r>
    </w:p>
    <w:p>
      <w:pPr>
        <w:pStyle w:val="TextBody"/>
        <w:bidi w:val="0"/>
        <w:spacing w:before="0" w:after="240"/>
        <w:jc w:val="left"/>
        <w:rPr/>
      </w:pPr>
      <w:r>
        <w:rPr>
          <w:color w:val="000000"/>
        </w:rPr>
        <w:t>“</w:t>
      </w:r>
      <w:r>
        <w:rPr>
          <w:rFonts w:ascii="Times New Roman" w:hAnsi="Times New Roman"/>
          <w:color w:val="000000"/>
          <w:sz w:val="20"/>
          <w:u w:val="single"/>
        </w:rPr>
        <w:t>Disclosing Party</w:t>
      </w:r>
      <w:r>
        <w:rPr>
          <w:color w:val="000000"/>
        </w:rPr>
        <w:t xml:space="preserve">” </w:t>
      </w:r>
      <w:r>
        <w:rPr>
          <w:rFonts w:ascii="Times New Roman" w:hAnsi="Times New Roman"/>
          <w:color w:val="000000"/>
          <w:sz w:val="20"/>
        </w:rPr>
        <w:t>is defined in Section 10.1.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1.40</w:t>
      </w:r>
    </w:p>
    <w:p>
      <w:pPr>
        <w:pStyle w:val="TextBody"/>
        <w:bidi w:val="0"/>
        <w:spacing w:before="0" w:after="240"/>
        <w:jc w:val="left"/>
        <w:rPr/>
      </w:pPr>
      <w:r>
        <w:rPr>
          <w:color w:val="000000"/>
        </w:rPr>
        <w:t>“</w:t>
      </w:r>
      <w:r>
        <w:rPr>
          <w:rFonts w:ascii="Times New Roman" w:hAnsi="Times New Roman"/>
          <w:color w:val="000000"/>
          <w:sz w:val="20"/>
          <w:u w:val="single"/>
        </w:rPr>
        <w:t>Dispute Notice</w:t>
      </w:r>
      <w:r>
        <w:rPr>
          <w:color w:val="000000"/>
        </w:rPr>
        <w:t xml:space="preserve">” </w:t>
      </w:r>
      <w:r>
        <w:rPr>
          <w:rFonts w:ascii="Times New Roman" w:hAnsi="Times New Roman"/>
          <w:color w:val="000000"/>
          <w:sz w:val="20"/>
        </w:rPr>
        <w:t>is defined in Section 12.1(b).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w:t>
      </w:r>
    </w:p>
    <w:p>
      <w:pPr>
        <w:pStyle w:val="TextBody"/>
        <w:bidi w:val="0"/>
        <w:spacing w:before="0" w:after="240"/>
        <w:jc w:val="left"/>
        <w:rPr/>
      </w:pPr>
      <w:r>
        <w:rPr>
          <w:color w:val="000000"/>
        </w:rPr>
        <w:t>“</w:t>
      </w:r>
      <w:r>
        <w:rPr>
          <w:rFonts w:ascii="Times New Roman" w:hAnsi="Times New Roman"/>
          <w:color w:val="000000"/>
          <w:sz w:val="20"/>
          <w:u w:val="single"/>
        </w:rPr>
        <w:t>Dispute(s)</w:t>
      </w:r>
      <w:r>
        <w:rPr>
          <w:color w:val="000000"/>
        </w:rPr>
        <w:t xml:space="preserve">” </w:t>
      </w:r>
      <w:r>
        <w:rPr>
          <w:rFonts w:ascii="Times New Roman" w:hAnsi="Times New Roman"/>
          <w:color w:val="000000"/>
          <w:sz w:val="20"/>
        </w:rPr>
        <w:t>is defined in Section 12.1(a).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w:t>
      </w:r>
    </w:p>
    <w:p>
      <w:pPr>
        <w:pStyle w:val="TextBody"/>
        <w:bidi w:val="0"/>
        <w:spacing w:before="0" w:after="240"/>
        <w:jc w:val="left"/>
        <w:rPr/>
      </w:pPr>
      <w:r>
        <w:rPr>
          <w:color w:val="000000"/>
        </w:rPr>
        <w:t>“</w:t>
      </w:r>
      <w:r>
        <w:rPr>
          <w:rFonts w:ascii="Times New Roman" w:hAnsi="Times New Roman"/>
          <w:color w:val="000000"/>
          <w:sz w:val="20"/>
          <w:u w:val="single"/>
        </w:rPr>
        <w:t>Effective Date</w:t>
      </w:r>
      <w:r>
        <w:rPr>
          <w:color w:val="000000"/>
        </w:rPr>
        <w:t xml:space="preserve">” </w:t>
      </w:r>
      <w:r>
        <w:rPr>
          <w:rFonts w:ascii="Times New Roman" w:hAnsi="Times New Roman"/>
          <w:color w:val="000000"/>
          <w:sz w:val="20"/>
        </w:rPr>
        <w:t>is defined in the recitals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1.43</w:t>
      </w:r>
    </w:p>
    <w:p>
      <w:pPr>
        <w:pStyle w:val="TextBody"/>
        <w:bidi w:val="0"/>
        <w:spacing w:before="0" w:after="240"/>
        <w:jc w:val="left"/>
        <w:rPr/>
      </w:pPr>
      <w:r>
        <w:rPr>
          <w:color w:val="000000"/>
        </w:rPr>
        <w:t>“</w:t>
      </w:r>
      <w:r>
        <w:rPr>
          <w:rFonts w:ascii="Times New Roman" w:hAnsi="Times New Roman"/>
          <w:color w:val="000000"/>
          <w:sz w:val="20"/>
          <w:u w:val="single"/>
        </w:rPr>
        <w:t>EMA</w:t>
      </w:r>
      <w:r>
        <w:rPr>
          <w:color w:val="000000"/>
        </w:rPr>
        <w:t xml:space="preserve">” </w:t>
      </w:r>
      <w:r>
        <w:rPr>
          <w:rFonts w:ascii="Times New Roman" w:hAnsi="Times New Roman"/>
          <w:color w:val="000000"/>
          <w:sz w:val="20"/>
        </w:rPr>
        <w:t>means the European Medicines Agency or any successor agency or authority having substantially the same function.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1.44</w:t>
      </w:r>
    </w:p>
    <w:p>
      <w:pPr>
        <w:pStyle w:val="TextBody"/>
        <w:bidi w:val="0"/>
        <w:spacing w:before="0" w:after="240"/>
        <w:jc w:val="left"/>
        <w:rPr/>
      </w:pPr>
      <w:r>
        <w:rPr>
          <w:color w:val="000000"/>
        </w:rPr>
        <w:t>“</w:t>
      </w:r>
      <w:r>
        <w:rPr>
          <w:rFonts w:ascii="Times New Roman" w:hAnsi="Times New Roman"/>
          <w:color w:val="000000"/>
          <w:sz w:val="20"/>
          <w:u w:val="single"/>
        </w:rPr>
        <w:t>EOP1 Meeting</w:t>
      </w:r>
      <w:r>
        <w:rPr>
          <w:color w:val="000000"/>
        </w:rPr>
        <w:t xml:space="preserve">” </w:t>
      </w:r>
      <w:r>
        <w:rPr>
          <w:rFonts w:ascii="Times New Roman" w:hAnsi="Times New Roman"/>
          <w:color w:val="000000"/>
          <w:sz w:val="20"/>
        </w:rPr>
        <w:t>means a Type B meeting with the FDA [*], to review the data from such Phase 1 Clinical Trial and reach agreement on plans for Phase 2 Clinical Trials program.</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1.45</w:t>
      </w:r>
    </w:p>
    <w:p>
      <w:pPr>
        <w:pStyle w:val="TextBody"/>
        <w:bidi w:val="0"/>
        <w:spacing w:before="0" w:after="240"/>
        <w:jc w:val="left"/>
        <w:rPr/>
      </w:pPr>
      <w:r>
        <w:rPr>
          <w:color w:val="000000"/>
        </w:rPr>
        <w:t>“</w:t>
      </w:r>
      <w:r>
        <w:rPr>
          <w:rFonts w:ascii="Times New Roman" w:hAnsi="Times New Roman"/>
          <w:color w:val="000000"/>
          <w:sz w:val="20"/>
          <w:u w:val="single"/>
        </w:rPr>
        <w:t>EOP2 Meeting</w:t>
      </w:r>
      <w:r>
        <w:rPr>
          <w:color w:val="000000"/>
        </w:rPr>
        <w:t xml:space="preserve">” </w:t>
      </w:r>
      <w:r>
        <w:rPr>
          <w:rFonts w:ascii="Times New Roman" w:hAnsi="Times New Roman"/>
          <w:color w:val="000000"/>
          <w:sz w:val="20"/>
        </w:rPr>
        <w:t>means a Type B meeting with the FDA [*], to evaluate the plans for the Phase 3 Clinical Trial program and protocols, and to identify any additional information necessary to support a marketing application for the uses under investigation.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1.46</w:t>
      </w:r>
    </w:p>
    <w:p>
      <w:pPr>
        <w:pStyle w:val="TextBody"/>
        <w:bidi w:val="0"/>
        <w:spacing w:before="0" w:after="240"/>
        <w:jc w:val="left"/>
        <w:rPr/>
      </w:pPr>
      <w:r>
        <w:rPr>
          <w:color w:val="000000"/>
        </w:rPr>
        <w:t>“</w:t>
      </w:r>
      <w:r>
        <w:rPr>
          <w:rFonts w:ascii="Times New Roman" w:hAnsi="Times New Roman"/>
          <w:color w:val="000000"/>
          <w:sz w:val="20"/>
          <w:u w:val="single"/>
        </w:rPr>
        <w:t>EU</w:t>
      </w:r>
      <w:r>
        <w:rPr>
          <w:color w:val="000000"/>
        </w:rPr>
        <w:t xml:space="preserve">” </w:t>
      </w:r>
      <w:r>
        <w:rPr>
          <w:rFonts w:ascii="Times New Roman" w:hAnsi="Times New Roman"/>
          <w:color w:val="000000"/>
          <w:sz w:val="20"/>
        </w:rPr>
        <w:t>means all of the European Union member states as of the applicable time during the Term.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1.47</w:t>
      </w:r>
    </w:p>
    <w:p>
      <w:pPr>
        <w:pStyle w:val="TextBody"/>
        <w:bidi w:val="0"/>
        <w:spacing w:before="0" w:after="240"/>
        <w:jc w:val="left"/>
        <w:rPr/>
      </w:pPr>
      <w:r>
        <w:rPr>
          <w:color w:val="000000"/>
        </w:rPr>
        <w:t>“</w:t>
      </w:r>
      <w:r>
        <w:rPr>
          <w:rFonts w:ascii="Times New Roman" w:hAnsi="Times New Roman"/>
          <w:color w:val="000000"/>
          <w:sz w:val="20"/>
          <w:u w:val="single"/>
        </w:rPr>
        <w:t>Evaluation Activities</w:t>
      </w:r>
      <w:r>
        <w:rPr>
          <w:color w:val="000000"/>
        </w:rPr>
        <w:t xml:space="preserve">” </w:t>
      </w:r>
      <w:r>
        <w:rPr>
          <w:rFonts w:ascii="Times New Roman" w:hAnsi="Times New Roman"/>
          <w:color w:val="000000"/>
          <w:sz w:val="20"/>
        </w:rPr>
        <w:t>is defined in Section 5.1.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1.48</w:t>
      </w:r>
    </w:p>
    <w:p>
      <w:pPr>
        <w:pStyle w:val="TextBody"/>
        <w:bidi w:val="0"/>
        <w:spacing w:before="0" w:after="240"/>
        <w:jc w:val="left"/>
        <w:rPr/>
      </w:pPr>
      <w:r>
        <w:rPr>
          <w:color w:val="000000"/>
        </w:rPr>
        <w:t>“</w:t>
      </w:r>
      <w:r>
        <w:rPr>
          <w:rFonts w:ascii="Times New Roman" w:hAnsi="Times New Roman"/>
          <w:color w:val="000000"/>
          <w:sz w:val="20"/>
          <w:u w:val="single"/>
        </w:rPr>
        <w:t>Executive Officers</w:t>
      </w:r>
      <w:r>
        <w:rPr>
          <w:color w:val="000000"/>
        </w:rPr>
        <w:t xml:space="preserve">” </w:t>
      </w:r>
      <w:r>
        <w:rPr>
          <w:rFonts w:ascii="Times New Roman" w:hAnsi="Times New Roman"/>
          <w:color w:val="000000"/>
          <w:sz w:val="20"/>
        </w:rPr>
        <w:t>is defined in Section 12.1(b).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1.49</w:t>
      </w:r>
    </w:p>
    <w:p>
      <w:pPr>
        <w:pStyle w:val="TextBody"/>
        <w:bidi w:val="0"/>
        <w:spacing w:before="0" w:after="240"/>
        <w:jc w:val="left"/>
        <w:rPr/>
      </w:pPr>
      <w:r>
        <w:rPr>
          <w:color w:val="000000"/>
        </w:rPr>
        <w:t>“</w:t>
      </w:r>
      <w:r>
        <w:rPr>
          <w:rFonts w:ascii="Times New Roman" w:hAnsi="Times New Roman"/>
          <w:color w:val="000000"/>
          <w:sz w:val="20"/>
          <w:u w:val="single"/>
        </w:rPr>
        <w:t>Existing Inventory</w:t>
      </w:r>
      <w:r>
        <w:rPr>
          <w:color w:val="000000"/>
        </w:rPr>
        <w:t xml:space="preserve">” </w:t>
      </w:r>
      <w:r>
        <w:rPr>
          <w:rFonts w:ascii="Times New Roman" w:hAnsi="Times New Roman"/>
          <w:color w:val="000000"/>
          <w:sz w:val="20"/>
        </w:rPr>
        <w:t>is defined in Section 5.10(a).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1.50</w:t>
      </w:r>
    </w:p>
    <w:p>
      <w:pPr>
        <w:pStyle w:val="TextBody"/>
        <w:bidi w:val="0"/>
        <w:spacing w:before="0" w:after="240"/>
        <w:jc w:val="left"/>
        <w:rPr/>
      </w:pPr>
      <w:r>
        <w:rPr>
          <w:color w:val="000000"/>
        </w:rPr>
        <w:t>“</w:t>
      </w:r>
      <w:r>
        <w:rPr>
          <w:rFonts w:ascii="Times New Roman" w:hAnsi="Times New Roman"/>
          <w:color w:val="000000"/>
          <w:sz w:val="20"/>
          <w:u w:val="single"/>
        </w:rPr>
        <w:t>Exploit</w:t>
      </w:r>
      <w:r>
        <w:rPr>
          <w:color w:val="000000"/>
        </w:rPr>
        <w:t xml:space="preserve">” </w:t>
      </w:r>
      <w:r>
        <w:rPr>
          <w:rFonts w:ascii="Times New Roman" w:hAnsi="Times New Roman"/>
          <w:color w:val="000000"/>
          <w:sz w:val="20"/>
        </w:rPr>
        <w:t>or “</w:t>
      </w:r>
      <w:r>
        <w:rPr>
          <w:rFonts w:ascii="Times New Roman" w:hAnsi="Times New Roman"/>
          <w:color w:val="000000"/>
          <w:sz w:val="20"/>
          <w:u w:val="single"/>
        </w:rPr>
        <w:t>Exploitation</w:t>
      </w:r>
      <w:r>
        <w:rPr>
          <w:color w:val="000000"/>
        </w:rPr>
        <w:t xml:space="preserve">” </w:t>
      </w:r>
      <w:r>
        <w:rPr>
          <w:rFonts w:ascii="Times New Roman" w:hAnsi="Times New Roman"/>
          <w:color w:val="000000"/>
          <w:sz w:val="20"/>
        </w:rPr>
        <w:t>means to research, make, have made, distribute, import, export, use, have used, sell, have sold, or offer for sale, including to Develop, Commercialize, register, modify, enhance, improve, Manufacture, have Manufactured or otherwise dispose 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1.51</w:t>
      </w:r>
    </w:p>
    <w:p>
      <w:pPr>
        <w:pStyle w:val="TextBody"/>
        <w:bidi w:val="0"/>
        <w:spacing w:before="0" w:after="240"/>
        <w:jc w:val="left"/>
        <w:rPr/>
      </w:pPr>
      <w:r>
        <w:rPr>
          <w:color w:val="000000"/>
        </w:rPr>
        <w:t>“</w:t>
      </w:r>
      <w:r>
        <w:rPr>
          <w:rFonts w:ascii="Times New Roman" w:hAnsi="Times New Roman"/>
          <w:color w:val="000000"/>
          <w:sz w:val="20"/>
          <w:u w:val="single"/>
        </w:rPr>
        <w:t>FDA</w:t>
      </w:r>
      <w:r>
        <w:rPr>
          <w:color w:val="000000"/>
        </w:rPr>
        <w:t xml:space="preserve">” </w:t>
      </w:r>
      <w:r>
        <w:rPr>
          <w:rFonts w:ascii="Times New Roman" w:hAnsi="Times New Roman"/>
          <w:color w:val="000000"/>
          <w:sz w:val="20"/>
        </w:rPr>
        <w:t>means the U.S. Food and Drug Administration, or any successor agency thereto.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1.52</w:t>
      </w:r>
    </w:p>
    <w:p>
      <w:pPr>
        <w:pStyle w:val="TextBody"/>
        <w:bidi w:val="0"/>
        <w:spacing w:before="0" w:after="240"/>
        <w:jc w:val="left"/>
        <w:rPr/>
      </w:pPr>
      <w:r>
        <w:rPr>
          <w:color w:val="000000"/>
        </w:rPr>
        <w:t>“</w:t>
      </w:r>
      <w:r>
        <w:rPr>
          <w:rFonts w:ascii="Times New Roman" w:hAnsi="Times New Roman"/>
          <w:color w:val="000000"/>
          <w:sz w:val="20"/>
          <w:u w:val="single"/>
        </w:rPr>
        <w:t>FFDCA</w:t>
      </w:r>
      <w:r>
        <w:rPr>
          <w:color w:val="000000"/>
        </w:rPr>
        <w:t xml:space="preserve">” </w:t>
      </w:r>
      <w:r>
        <w:rPr>
          <w:rFonts w:ascii="Times New Roman" w:hAnsi="Times New Roman"/>
          <w:color w:val="000000"/>
          <w:sz w:val="20"/>
        </w:rPr>
        <w:t>means the United States Federal Food, Drug, and Cosmetic Act, as amended.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1.53</w:t>
      </w:r>
    </w:p>
    <w:p>
      <w:pPr>
        <w:pStyle w:val="TextBody"/>
        <w:bidi w:val="0"/>
        <w:spacing w:before="0" w:after="240"/>
        <w:jc w:val="left"/>
        <w:rPr/>
      </w:pPr>
      <w:r>
        <w:rPr>
          <w:color w:val="000000"/>
        </w:rPr>
        <w:t>“</w:t>
      </w:r>
      <w:r>
        <w:rPr>
          <w:rFonts w:ascii="Times New Roman" w:hAnsi="Times New Roman"/>
          <w:color w:val="000000"/>
          <w:sz w:val="20"/>
          <w:u w:val="single"/>
        </w:rPr>
        <w:t>FibroGen</w:t>
      </w:r>
      <w:r>
        <w:rPr>
          <w:color w:val="000000"/>
        </w:rPr>
        <w:t xml:space="preserve">” </w:t>
      </w:r>
      <w:r>
        <w:rPr>
          <w:rFonts w:ascii="Times New Roman" w:hAnsi="Times New Roman"/>
          <w:color w:val="000000"/>
          <w:sz w:val="20"/>
        </w:rPr>
        <w:t>is defined in the preamble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1.54</w:t>
      </w:r>
    </w:p>
    <w:p>
      <w:pPr>
        <w:pStyle w:val="TextBody"/>
        <w:bidi w:val="0"/>
        <w:spacing w:before="0" w:after="240"/>
        <w:jc w:val="left"/>
        <w:rPr/>
      </w:pPr>
      <w:r>
        <w:rPr>
          <w:color w:val="000000"/>
        </w:rPr>
        <w:t>“</w:t>
      </w:r>
      <w:r>
        <w:rPr>
          <w:rFonts w:ascii="Times New Roman" w:hAnsi="Times New Roman"/>
          <w:color w:val="000000"/>
          <w:sz w:val="20"/>
          <w:u w:val="single"/>
        </w:rPr>
        <w:t>FibroGen Background IP</w:t>
      </w:r>
      <w:r>
        <w:rPr>
          <w:color w:val="000000"/>
        </w:rPr>
        <w:t xml:space="preserve">” </w:t>
      </w:r>
      <w:r>
        <w:rPr>
          <w:rFonts w:ascii="Times New Roman" w:hAnsi="Times New Roman"/>
          <w:color w:val="000000"/>
          <w:sz w:val="20"/>
        </w:rPr>
        <w:t>means, collectively, the FibroGen Background Patent Rights and the FibroGen Background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1.55</w:t>
      </w:r>
    </w:p>
    <w:p>
      <w:pPr>
        <w:pStyle w:val="TextBody"/>
        <w:bidi w:val="0"/>
        <w:spacing w:before="0" w:after="240"/>
        <w:jc w:val="left"/>
        <w:rPr/>
      </w:pPr>
      <w:r>
        <w:rPr>
          <w:color w:val="000000"/>
        </w:rPr>
        <w:t>“</w:t>
      </w:r>
      <w:r>
        <w:rPr>
          <w:rFonts w:ascii="Times New Roman" w:hAnsi="Times New Roman"/>
          <w:color w:val="000000"/>
          <w:sz w:val="20"/>
          <w:u w:val="single"/>
        </w:rPr>
        <w:t>FibroGen Background Know-How</w:t>
      </w:r>
      <w:r>
        <w:rPr>
          <w:color w:val="000000"/>
        </w:rPr>
        <w:t xml:space="preserve">” </w:t>
      </w:r>
      <w:r>
        <w:rPr>
          <w:rFonts w:ascii="Times New Roman" w:hAnsi="Times New Roman"/>
          <w:color w:val="000000"/>
          <w:sz w:val="20"/>
        </w:rPr>
        <w:t>means any Know-How, excluding all FibroGen Other Collaboration Know-How and Collaboration Know-How, that is Controlled by FibroGen on the Effective Date or that comes into the Control of FibroGen during the Term (other than through the grant of a license by Fortis under this Agreement) independent of its activities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1.56</w:t>
      </w:r>
    </w:p>
    <w:p>
      <w:pPr>
        <w:pStyle w:val="TextBody"/>
        <w:bidi w:val="0"/>
        <w:spacing w:before="0" w:after="240"/>
        <w:jc w:val="left"/>
        <w:rPr/>
      </w:pPr>
      <w:r>
        <w:rPr>
          <w:color w:val="000000"/>
        </w:rPr>
        <w:t>“</w:t>
      </w:r>
      <w:r>
        <w:rPr>
          <w:rFonts w:ascii="Times New Roman" w:hAnsi="Times New Roman"/>
          <w:color w:val="000000"/>
          <w:sz w:val="20"/>
          <w:u w:val="single"/>
        </w:rPr>
        <w:t>FibroGen Background Patent Right</w:t>
      </w:r>
      <w:r>
        <w:rPr>
          <w:color w:val="000000"/>
        </w:rPr>
        <w:t xml:space="preserve">” </w:t>
      </w:r>
      <w:r>
        <w:rPr>
          <w:rFonts w:ascii="Times New Roman" w:hAnsi="Times New Roman"/>
          <w:color w:val="000000"/>
          <w:sz w:val="20"/>
        </w:rPr>
        <w:t>means any Patent Right, excluding all FibroGen Other Collaboration Patent Rights and Collaboration Patent Rights, that is Controlled by FibroGen on the Effective Date or that comes into the Control of FibroGen during the Term (other than through the grant of a license by Fortis) independent of its activities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1.57</w:t>
      </w:r>
    </w:p>
    <w:p>
      <w:pPr>
        <w:pStyle w:val="TextBody"/>
        <w:bidi w:val="0"/>
        <w:spacing w:before="0" w:after="240"/>
        <w:jc w:val="left"/>
        <w:rPr/>
      </w:pPr>
      <w:r>
        <w:rPr>
          <w:color w:val="000000"/>
        </w:rPr>
        <w:t>“</w:t>
      </w:r>
      <w:r>
        <w:rPr>
          <w:rFonts w:ascii="Times New Roman" w:hAnsi="Times New Roman"/>
          <w:color w:val="000000"/>
          <w:sz w:val="20"/>
          <w:u w:val="single"/>
        </w:rPr>
        <w:t>FibroGen Clinical Studies</w:t>
      </w:r>
      <w:r>
        <w:rPr>
          <w:color w:val="000000"/>
        </w:rPr>
        <w:t xml:space="preserve">” </w:t>
      </w:r>
      <w:r>
        <w:rPr>
          <w:rFonts w:ascii="Times New Roman" w:hAnsi="Times New Roman"/>
          <w:color w:val="000000"/>
          <w:sz w:val="20"/>
        </w:rPr>
        <w:t>means (a) a Phase 2 Clinical Trial or any portion of the Phase 2/3 Clinical Trial of a Product that is a PET-driven mCRPC study investigating FOR46 and PET46, and (b) a Phase 1b Clinical Trial that is a tumor expansion study investigating FOR46.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1.58</w:t>
      </w:r>
    </w:p>
    <w:p>
      <w:pPr>
        <w:pStyle w:val="TextBody"/>
        <w:bidi w:val="0"/>
        <w:spacing w:before="0" w:after="240"/>
        <w:jc w:val="left"/>
        <w:rPr/>
      </w:pPr>
      <w:r>
        <w:rPr>
          <w:color w:val="000000"/>
        </w:rPr>
        <w:t>“</w:t>
      </w:r>
      <w:r>
        <w:rPr>
          <w:rFonts w:ascii="Times New Roman" w:hAnsi="Times New Roman"/>
          <w:color w:val="000000"/>
          <w:sz w:val="20"/>
          <w:u w:val="single"/>
        </w:rPr>
        <w:t>FibroGen Indemnitee</w:t>
      </w:r>
      <w:r>
        <w:rPr>
          <w:color w:val="000000"/>
        </w:rPr>
        <w:t xml:space="preserve">” </w:t>
      </w:r>
      <w:r>
        <w:rPr>
          <w:rFonts w:ascii="Times New Roman" w:hAnsi="Times New Roman"/>
          <w:color w:val="000000"/>
          <w:sz w:val="20"/>
        </w:rPr>
        <w:t>is defined in Section 13.2.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1.59</w:t>
      </w:r>
    </w:p>
    <w:p>
      <w:pPr>
        <w:pStyle w:val="TextBody"/>
        <w:bidi w:val="0"/>
        <w:spacing w:before="0" w:after="240"/>
        <w:jc w:val="left"/>
        <w:rPr/>
      </w:pPr>
      <w:r>
        <w:rPr>
          <w:color w:val="000000"/>
        </w:rPr>
        <w:t>“</w:t>
      </w:r>
      <w:r>
        <w:rPr>
          <w:rFonts w:ascii="Times New Roman" w:hAnsi="Times New Roman"/>
          <w:color w:val="000000"/>
          <w:sz w:val="20"/>
          <w:u w:val="single"/>
        </w:rPr>
        <w:t>FibroGen Other Collaboration Data</w:t>
      </w:r>
      <w:r>
        <w:rPr>
          <w:color w:val="000000"/>
        </w:rPr>
        <w:t xml:space="preserve">” </w:t>
      </w:r>
      <w:r>
        <w:rPr>
          <w:rFonts w:ascii="Times New Roman" w:hAnsi="Times New Roman"/>
          <w:color w:val="000000"/>
          <w:sz w:val="20"/>
        </w:rPr>
        <w:t>is defined in Section 8.3(b).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1.60</w:t>
      </w:r>
    </w:p>
    <w:p>
      <w:pPr>
        <w:pStyle w:val="TextBody"/>
        <w:bidi w:val="0"/>
        <w:spacing w:before="0" w:after="240"/>
        <w:jc w:val="left"/>
        <w:rPr/>
      </w:pPr>
      <w:r>
        <w:rPr>
          <w:color w:val="000000"/>
        </w:rPr>
        <w:t>“</w:t>
      </w:r>
      <w:r>
        <w:rPr>
          <w:rFonts w:ascii="Times New Roman" w:hAnsi="Times New Roman"/>
          <w:color w:val="000000"/>
          <w:sz w:val="20"/>
          <w:u w:val="single"/>
        </w:rPr>
        <w:t>FibroGen Other Collaboration IP</w:t>
      </w:r>
      <w:r>
        <w:rPr>
          <w:color w:val="000000"/>
        </w:rPr>
        <w:t xml:space="preserve">” </w:t>
      </w:r>
      <w:r>
        <w:rPr>
          <w:rFonts w:ascii="Times New Roman" w:hAnsi="Times New Roman"/>
          <w:color w:val="000000"/>
          <w:sz w:val="20"/>
        </w:rPr>
        <w:t>means, collectively, the FibroGen Other Collaboration Patent Rights and the FibroGen Other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1.61</w:t>
      </w:r>
    </w:p>
    <w:p>
      <w:pPr>
        <w:pStyle w:val="TextBody"/>
        <w:bidi w:val="0"/>
        <w:spacing w:before="0" w:after="240"/>
        <w:jc w:val="left"/>
        <w:rPr/>
      </w:pPr>
      <w:r>
        <w:rPr>
          <w:color w:val="000000"/>
        </w:rPr>
        <w:t>“</w:t>
      </w:r>
      <w:r>
        <w:rPr>
          <w:rFonts w:ascii="Times New Roman" w:hAnsi="Times New Roman"/>
          <w:color w:val="000000"/>
          <w:sz w:val="20"/>
          <w:u w:val="single"/>
        </w:rPr>
        <w:t>FibroGen Other Collaboration Know-How</w:t>
      </w:r>
      <w:r>
        <w:rPr>
          <w:color w:val="000000"/>
        </w:rPr>
        <w:t xml:space="preserve">” </w:t>
      </w:r>
      <w:r>
        <w:rPr>
          <w:rFonts w:ascii="Times New Roman" w:hAnsi="Times New Roman"/>
          <w:color w:val="000000"/>
          <w:sz w:val="20"/>
        </w:rPr>
        <w:t>means any Know-How that (a) is discovered, developed, invented, created or generated solely by or on behalf of FibroGen (including through its Affiliates or Subcontractors) in the course of conducting activities under this Agreement or otherwise in the course of the research and use of the Products during the Term, and (b) is not [*] related to any of the Products or Modified Products.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1.62</w:t>
      </w:r>
    </w:p>
    <w:p>
      <w:pPr>
        <w:pStyle w:val="TextBody"/>
        <w:bidi w:val="0"/>
        <w:spacing w:before="0" w:after="240"/>
        <w:jc w:val="left"/>
        <w:rPr/>
      </w:pPr>
      <w:r>
        <w:rPr>
          <w:color w:val="000000"/>
        </w:rPr>
        <w:t>“</w:t>
      </w:r>
      <w:r>
        <w:rPr>
          <w:rFonts w:ascii="Times New Roman" w:hAnsi="Times New Roman"/>
          <w:color w:val="000000"/>
          <w:sz w:val="20"/>
          <w:u w:val="single"/>
        </w:rPr>
        <w:t>FibroGen Other Collaboration Patent Right</w:t>
      </w:r>
      <w:r>
        <w:rPr>
          <w:color w:val="000000"/>
        </w:rPr>
        <w:t xml:space="preserve">” </w:t>
      </w:r>
      <w:r>
        <w:rPr>
          <w:rFonts w:ascii="Times New Roman" w:hAnsi="Times New Roman"/>
          <w:color w:val="000000"/>
          <w:sz w:val="20"/>
        </w:rPr>
        <w:t>means any Patent Right that claims any invention included in FibroGen Other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1.63</w:t>
      </w:r>
    </w:p>
    <w:p>
      <w:pPr>
        <w:pStyle w:val="TextBody"/>
        <w:bidi w:val="0"/>
        <w:spacing w:before="0" w:after="240"/>
        <w:jc w:val="left"/>
        <w:rPr/>
      </w:pPr>
      <w:r>
        <w:rPr>
          <w:color w:val="000000"/>
        </w:rPr>
        <w:t>“</w:t>
      </w:r>
      <w:r>
        <w:rPr>
          <w:rFonts w:ascii="Times New Roman" w:hAnsi="Times New Roman"/>
          <w:color w:val="000000"/>
          <w:sz w:val="20"/>
          <w:u w:val="single"/>
        </w:rPr>
        <w:t>Field</w:t>
      </w:r>
      <w:r>
        <w:rPr>
          <w:color w:val="000000"/>
        </w:rPr>
        <w:t xml:space="preserve">” </w:t>
      </w:r>
      <w:r>
        <w:rPr>
          <w:rFonts w:ascii="Times New Roman" w:hAnsi="Times New Roman"/>
          <w:color w:val="000000"/>
          <w:sz w:val="20"/>
        </w:rPr>
        <w:t>means all fields.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1.64</w:t>
      </w:r>
    </w:p>
    <w:p>
      <w:pPr>
        <w:pStyle w:val="TextBody"/>
        <w:bidi w:val="0"/>
        <w:spacing w:before="0" w:after="240"/>
        <w:jc w:val="left"/>
        <w:rPr/>
      </w:pPr>
      <w:r>
        <w:rPr>
          <w:color w:val="000000"/>
        </w:rPr>
        <w:t>“</w:t>
      </w:r>
      <w:r>
        <w:rPr>
          <w:rFonts w:ascii="Times New Roman" w:hAnsi="Times New Roman"/>
          <w:color w:val="000000"/>
          <w:sz w:val="20"/>
          <w:u w:val="single"/>
        </w:rPr>
        <w:t>FOR46</w:t>
      </w:r>
      <w:r>
        <w:rPr>
          <w:color w:val="000000"/>
        </w:rPr>
        <w:t xml:space="preserve">” </w:t>
      </w:r>
      <w:r>
        <w:rPr>
          <w:rFonts w:ascii="Times New Roman" w:hAnsi="Times New Roman"/>
          <w:color w:val="000000"/>
          <w:sz w:val="20"/>
        </w:rPr>
        <w:t xml:space="preserve">means a CD46-targeting antibody drug conjugate Controlled by Fortis, as further described in </w:t>
      </w:r>
      <w:r>
        <w:rPr>
          <w:rFonts w:ascii="Times New Roman" w:hAnsi="Times New Roman"/>
          <w:color w:val="000000"/>
          <w:sz w:val="20"/>
          <w:u w:val="single"/>
        </w:rPr>
        <w:t>Schedule 1.64</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1.65</w:t>
      </w:r>
    </w:p>
    <w:p>
      <w:pPr>
        <w:pStyle w:val="TextBody"/>
        <w:bidi w:val="0"/>
        <w:spacing w:before="0" w:after="240"/>
        <w:jc w:val="left"/>
        <w:rPr/>
      </w:pPr>
      <w:r>
        <w:rPr>
          <w:color w:val="000000"/>
        </w:rPr>
        <w:t>“</w:t>
      </w:r>
      <w:r>
        <w:rPr>
          <w:rFonts w:ascii="Times New Roman" w:hAnsi="Times New Roman"/>
          <w:color w:val="000000"/>
          <w:sz w:val="20"/>
          <w:u w:val="single"/>
        </w:rPr>
        <w:t>Force Majeure Event</w:t>
      </w:r>
      <w:r>
        <w:rPr>
          <w:color w:val="000000"/>
        </w:rPr>
        <w:t xml:space="preserve">” </w:t>
      </w:r>
      <w:r>
        <w:rPr>
          <w:rFonts w:ascii="Times New Roman" w:hAnsi="Times New Roman"/>
          <w:color w:val="000000"/>
          <w:sz w:val="20"/>
        </w:rPr>
        <w:t>means act of God, plague, pandemic or any escalation or worsening or subsequent waves thereof, epidemic, hurricane, tornado, tsunami, flood, volcanic eruption, earthquake, nuclear incident, war, invasion, hostilities (whether war is declared or not), terrorist threats or acts, riot or other civil unrest, national or regional emergency or other natural or man-made disaster, or similar event or condition beyond the reasonable control, and not the result of the fault or negligence, of the affected Party or Person and such Party had been unable to overcome such act or event with the exercise of due diligence.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1.66</w:t>
      </w:r>
    </w:p>
    <w:p>
      <w:pPr>
        <w:pStyle w:val="TextBody"/>
        <w:bidi w:val="0"/>
        <w:spacing w:before="0" w:after="240"/>
        <w:jc w:val="left"/>
        <w:rPr/>
      </w:pPr>
      <w:r>
        <w:rPr>
          <w:color w:val="000000"/>
        </w:rPr>
        <w:t>“</w:t>
      </w:r>
      <w:r>
        <w:rPr>
          <w:rFonts w:ascii="Times New Roman" w:hAnsi="Times New Roman"/>
          <w:color w:val="000000"/>
          <w:sz w:val="20"/>
          <w:u w:val="single"/>
        </w:rPr>
        <w:t>Fortis</w:t>
      </w:r>
      <w:r>
        <w:rPr>
          <w:color w:val="000000"/>
        </w:rPr>
        <w:t xml:space="preserve">” </w:t>
      </w:r>
      <w:r>
        <w:rPr>
          <w:rFonts w:ascii="Times New Roman" w:hAnsi="Times New Roman"/>
          <w:color w:val="000000"/>
          <w:sz w:val="20"/>
        </w:rPr>
        <w:t>is defined in the preamble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1.67</w:t>
      </w:r>
    </w:p>
    <w:p>
      <w:pPr>
        <w:pStyle w:val="TextBody"/>
        <w:bidi w:val="0"/>
        <w:spacing w:before="0" w:after="240"/>
        <w:jc w:val="left"/>
        <w:rPr/>
      </w:pPr>
      <w:r>
        <w:rPr>
          <w:color w:val="000000"/>
        </w:rPr>
        <w:t>“</w:t>
      </w:r>
      <w:r>
        <w:rPr>
          <w:rFonts w:ascii="Times New Roman" w:hAnsi="Times New Roman"/>
          <w:color w:val="000000"/>
          <w:sz w:val="20"/>
          <w:u w:val="single"/>
        </w:rPr>
        <w:t>Fortis Additional Product Requirement</w:t>
      </w:r>
      <w:r>
        <w:rPr>
          <w:color w:val="000000"/>
        </w:rPr>
        <w:t xml:space="preserve">” </w:t>
      </w:r>
      <w:r>
        <w:rPr>
          <w:rFonts w:ascii="Times New Roman" w:hAnsi="Times New Roman"/>
          <w:color w:val="000000"/>
          <w:sz w:val="20"/>
        </w:rPr>
        <w:t>is defined in Section 5.10(a).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1.68</w:t>
      </w:r>
    </w:p>
    <w:p>
      <w:pPr>
        <w:pStyle w:val="TextBody"/>
        <w:bidi w:val="0"/>
        <w:spacing w:before="0" w:after="240"/>
        <w:jc w:val="left"/>
        <w:rPr/>
      </w:pPr>
      <w:r>
        <w:rPr>
          <w:color w:val="000000"/>
        </w:rPr>
        <w:t>“</w:t>
      </w:r>
      <w:r>
        <w:rPr>
          <w:rFonts w:ascii="Times New Roman" w:hAnsi="Times New Roman"/>
          <w:color w:val="000000"/>
          <w:sz w:val="20"/>
          <w:u w:val="single"/>
        </w:rPr>
        <w:t>Fortis Background IP</w:t>
      </w:r>
      <w:r>
        <w:rPr>
          <w:color w:val="000000"/>
        </w:rPr>
        <w:t xml:space="preserve">” </w:t>
      </w:r>
      <w:r>
        <w:rPr>
          <w:rFonts w:ascii="Times New Roman" w:hAnsi="Times New Roman"/>
          <w:color w:val="000000"/>
          <w:sz w:val="20"/>
        </w:rPr>
        <w:t>means, collectively, the Fortis Background Patent Rights and the Fortis Background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1.69</w:t>
      </w:r>
    </w:p>
    <w:p>
      <w:pPr>
        <w:pStyle w:val="TextBody"/>
        <w:bidi w:val="0"/>
        <w:spacing w:before="0" w:after="240"/>
        <w:jc w:val="left"/>
        <w:rPr/>
      </w:pPr>
      <w:r>
        <w:rPr>
          <w:color w:val="000000"/>
        </w:rPr>
        <w:t>“</w:t>
      </w:r>
      <w:r>
        <w:rPr>
          <w:rFonts w:ascii="Times New Roman" w:hAnsi="Times New Roman"/>
          <w:color w:val="000000"/>
          <w:sz w:val="20"/>
          <w:u w:val="single"/>
        </w:rPr>
        <w:t>Fortis Background Know-How</w:t>
      </w:r>
      <w:r>
        <w:rPr>
          <w:color w:val="000000"/>
        </w:rPr>
        <w:t xml:space="preserve">” </w:t>
      </w:r>
      <w:r>
        <w:rPr>
          <w:rFonts w:ascii="Times New Roman" w:hAnsi="Times New Roman"/>
          <w:color w:val="000000"/>
          <w:sz w:val="20"/>
        </w:rPr>
        <w:t>means any Know-How, other than Collaboration Know-How, that is Controlled by Fortis on the Effective Date or that comes into the Control of Fortis during the Term (other than through the grant of a license by FibroGen under this Agreement) independent of its activities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1.70</w:t>
      </w:r>
    </w:p>
    <w:p>
      <w:pPr>
        <w:pStyle w:val="TextBody"/>
        <w:bidi w:val="0"/>
        <w:spacing w:before="0" w:after="240"/>
        <w:jc w:val="left"/>
        <w:rPr/>
      </w:pPr>
      <w:r>
        <w:rPr>
          <w:color w:val="000000"/>
        </w:rPr>
        <w:t>“</w:t>
      </w:r>
      <w:r>
        <w:rPr>
          <w:rFonts w:ascii="Times New Roman" w:hAnsi="Times New Roman"/>
          <w:color w:val="000000"/>
          <w:sz w:val="20"/>
          <w:u w:val="single"/>
        </w:rPr>
        <w:t>Fortis Background Patent Right</w:t>
      </w:r>
      <w:r>
        <w:rPr>
          <w:color w:val="000000"/>
        </w:rPr>
        <w:t xml:space="preserve">” </w:t>
      </w:r>
      <w:r>
        <w:rPr>
          <w:rFonts w:ascii="Times New Roman" w:hAnsi="Times New Roman"/>
          <w:color w:val="000000"/>
          <w:sz w:val="20"/>
        </w:rPr>
        <w:t>means any Patent Right, other than a Collaboration Patent Right, that (a) is Controlled by Fortis on the Effective Date or that comes into the Control of Fortis during the Term (other than through the grant of a license by FibroGen under this Agreement) independent of its activities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1.71</w:t>
      </w:r>
    </w:p>
    <w:p>
      <w:pPr>
        <w:pStyle w:val="TextBody"/>
        <w:bidi w:val="0"/>
        <w:spacing w:before="0" w:after="240"/>
        <w:jc w:val="left"/>
        <w:rPr/>
      </w:pPr>
      <w:r>
        <w:rPr>
          <w:color w:val="000000"/>
        </w:rPr>
        <w:t>“</w:t>
      </w:r>
      <w:r>
        <w:rPr>
          <w:rFonts w:ascii="Times New Roman" w:hAnsi="Times New Roman"/>
          <w:color w:val="000000"/>
          <w:sz w:val="20"/>
          <w:u w:val="single"/>
        </w:rPr>
        <w:t>Fortis Clinical Studies</w:t>
      </w:r>
      <w:r>
        <w:rPr>
          <w:color w:val="000000"/>
        </w:rPr>
        <w:t xml:space="preserve">” </w:t>
      </w:r>
      <w:r>
        <w:rPr>
          <w:rFonts w:ascii="Times New Roman" w:hAnsi="Times New Roman"/>
          <w:color w:val="000000"/>
          <w:sz w:val="20"/>
        </w:rPr>
        <w:t>means (a) NCT03575819, a Phase 1 Study of FOR46 in Patients with Metastatic Castration Resistant Prostate Cancer (mCRPC) (also known as FOR46-001), (b) NCT05011188, FOR46 in Combination with Enzalutamide in Patients with Metastatic Castration Resistant Prostate Cancer, and (c) NCT05245006, PET Imaging Study of 89Zr-DFO-YS5 (“</w:t>
      </w:r>
      <w:r>
        <w:rPr>
          <w:rFonts w:ascii="Times New Roman" w:hAnsi="Times New Roman"/>
          <w:color w:val="000000"/>
          <w:sz w:val="20"/>
          <w:u w:val="single"/>
        </w:rPr>
        <w:t>PET Technical Study</w:t>
      </w:r>
      <w:r>
        <w:rPr>
          <w:color w:val="000000"/>
        </w:rPr>
        <w:t>”</w:t>
      </w:r>
      <w:r>
        <w:rPr>
          <w:rFonts w:ascii="Times New Roman" w:hAnsi="Times New Roman"/>
          <w:color w:val="000000"/>
          <w:sz w:val="20"/>
        </w:rPr>
        <w:t>) (each of (b) and (c), a “</w:t>
      </w:r>
      <w:r>
        <w:rPr>
          <w:rFonts w:ascii="Times New Roman" w:hAnsi="Times New Roman"/>
          <w:color w:val="000000"/>
          <w:sz w:val="20"/>
          <w:u w:val="single"/>
        </w:rPr>
        <w:t>UCSF Study</w:t>
      </w:r>
      <w:r>
        <w:rPr>
          <w:color w:val="00000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1.72</w:t>
      </w:r>
    </w:p>
    <w:p>
      <w:pPr>
        <w:pStyle w:val="TextBody"/>
        <w:bidi w:val="0"/>
        <w:spacing w:before="0" w:after="240"/>
        <w:jc w:val="left"/>
        <w:rPr/>
      </w:pPr>
      <w:r>
        <w:rPr>
          <w:color w:val="000000"/>
        </w:rPr>
        <w:t>“</w:t>
      </w:r>
      <w:r>
        <w:rPr>
          <w:rFonts w:ascii="Times New Roman" w:hAnsi="Times New Roman"/>
          <w:color w:val="000000"/>
          <w:sz w:val="20"/>
          <w:u w:val="single"/>
        </w:rPr>
        <w:t>Fortis Development Activities</w:t>
      </w:r>
      <w:r>
        <w:rPr>
          <w:color w:val="000000"/>
        </w:rPr>
        <w:t xml:space="preserve">” </w:t>
      </w:r>
      <w:r>
        <w:rPr>
          <w:rFonts w:ascii="Times New Roman" w:hAnsi="Times New Roman"/>
          <w:color w:val="000000"/>
          <w:sz w:val="20"/>
        </w:rPr>
        <w:t>is defined in Section 11.6(a).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1.73</w:t>
      </w:r>
    </w:p>
    <w:p>
      <w:pPr>
        <w:pStyle w:val="TextBody"/>
        <w:bidi w:val="0"/>
        <w:spacing w:before="0" w:after="240"/>
        <w:jc w:val="left"/>
        <w:rPr/>
      </w:pPr>
      <w:r>
        <w:rPr>
          <w:color w:val="000000"/>
        </w:rPr>
        <w:t>“</w:t>
      </w:r>
      <w:r>
        <w:rPr>
          <w:rFonts w:ascii="Times New Roman" w:hAnsi="Times New Roman"/>
          <w:color w:val="000000"/>
          <w:sz w:val="20"/>
          <w:u w:val="single"/>
        </w:rPr>
        <w:t>Fortis Indemnitee</w:t>
      </w:r>
      <w:r>
        <w:rPr>
          <w:color w:val="000000"/>
        </w:rPr>
        <w:t xml:space="preserve">” </w:t>
      </w:r>
      <w:r>
        <w:rPr>
          <w:rFonts w:ascii="Times New Roman" w:hAnsi="Times New Roman"/>
          <w:color w:val="000000"/>
          <w:sz w:val="20"/>
        </w:rPr>
        <w:t>is defined in Section 13.1.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1.74</w:t>
      </w:r>
    </w:p>
    <w:p>
      <w:pPr>
        <w:pStyle w:val="TextBody"/>
        <w:bidi w:val="0"/>
        <w:spacing w:before="0" w:after="240"/>
        <w:jc w:val="left"/>
        <w:rPr/>
      </w:pPr>
      <w:r>
        <w:rPr>
          <w:color w:val="000000"/>
        </w:rPr>
        <w:t>“</w:t>
      </w:r>
      <w:r>
        <w:rPr>
          <w:rFonts w:ascii="Times New Roman" w:hAnsi="Times New Roman"/>
          <w:color w:val="000000"/>
          <w:sz w:val="20"/>
          <w:u w:val="single"/>
        </w:rPr>
        <w:t>Fortis In-License</w:t>
      </w:r>
      <w:r>
        <w:rPr>
          <w:color w:val="000000"/>
        </w:rPr>
        <w:t xml:space="preserve">” </w:t>
      </w:r>
      <w:r>
        <w:rPr>
          <w:rFonts w:ascii="Times New Roman" w:hAnsi="Times New Roman"/>
          <w:color w:val="000000"/>
          <w:sz w:val="20"/>
        </w:rPr>
        <w:t xml:space="preserve">means each license agreement set forth in </w:t>
      </w:r>
      <w:r>
        <w:rPr>
          <w:rFonts w:ascii="Times New Roman" w:hAnsi="Times New Roman"/>
          <w:color w:val="000000"/>
          <w:sz w:val="20"/>
          <w:u w:val="single"/>
        </w:rPr>
        <w:t>Schedule 1.74.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1.75</w:t>
      </w:r>
    </w:p>
    <w:p>
      <w:pPr>
        <w:pStyle w:val="TextBody"/>
        <w:bidi w:val="0"/>
        <w:spacing w:before="0" w:after="240"/>
        <w:jc w:val="left"/>
        <w:rPr/>
      </w:pPr>
      <w:r>
        <w:rPr>
          <w:color w:val="000000"/>
        </w:rPr>
        <w:t>“</w:t>
      </w:r>
      <w:r>
        <w:rPr>
          <w:rFonts w:ascii="Times New Roman" w:hAnsi="Times New Roman"/>
          <w:color w:val="000000"/>
          <w:sz w:val="20"/>
          <w:u w:val="single"/>
        </w:rPr>
        <w:t>Fortis IP</w:t>
      </w:r>
      <w:r>
        <w:rPr>
          <w:color w:val="000000"/>
        </w:rPr>
        <w:t xml:space="preserve">” </w:t>
      </w:r>
      <w:r>
        <w:rPr>
          <w:rFonts w:ascii="Times New Roman" w:hAnsi="Times New Roman"/>
          <w:color w:val="000000"/>
          <w:sz w:val="20"/>
        </w:rPr>
        <w:t>means, collectively, the Fortis Know-How and the Fortis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1.76</w:t>
      </w:r>
    </w:p>
    <w:p>
      <w:pPr>
        <w:pStyle w:val="TextBody"/>
        <w:bidi w:val="0"/>
        <w:spacing w:before="0" w:after="240"/>
        <w:jc w:val="left"/>
        <w:rPr/>
      </w:pPr>
      <w:r>
        <w:rPr>
          <w:color w:val="000000"/>
        </w:rPr>
        <w:t>“</w:t>
      </w:r>
      <w:r>
        <w:rPr>
          <w:rFonts w:ascii="Times New Roman" w:hAnsi="Times New Roman"/>
          <w:color w:val="000000"/>
          <w:sz w:val="20"/>
          <w:u w:val="single"/>
        </w:rPr>
        <w:t>Fortis Know-How</w:t>
      </w:r>
      <w:r>
        <w:rPr>
          <w:color w:val="000000"/>
        </w:rPr>
        <w:t xml:space="preserve">” </w:t>
      </w:r>
      <w:r>
        <w:rPr>
          <w:rFonts w:ascii="Times New Roman" w:hAnsi="Times New Roman"/>
          <w:color w:val="000000"/>
          <w:sz w:val="20"/>
        </w:rPr>
        <w:t>means, collectively, the Fortis Background Know-How and the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1.78</w:t>
      </w:r>
    </w:p>
    <w:p>
      <w:pPr>
        <w:pStyle w:val="TextBody"/>
        <w:bidi w:val="0"/>
        <w:spacing w:before="0" w:after="240"/>
        <w:jc w:val="left"/>
        <w:rPr/>
      </w:pPr>
      <w:r>
        <w:rPr>
          <w:color w:val="000000"/>
        </w:rPr>
        <w:t>“</w:t>
      </w:r>
      <w:r>
        <w:rPr>
          <w:rFonts w:ascii="Times New Roman" w:hAnsi="Times New Roman"/>
          <w:color w:val="000000"/>
          <w:sz w:val="20"/>
          <w:u w:val="single"/>
        </w:rPr>
        <w:t>Fortis IP Infringement</w:t>
      </w:r>
      <w:r>
        <w:rPr>
          <w:color w:val="000000"/>
        </w:rPr>
        <w:t xml:space="preserve">” </w:t>
      </w:r>
      <w:r>
        <w:rPr>
          <w:rFonts w:ascii="Times New Roman" w:hAnsi="Times New Roman"/>
          <w:color w:val="000000"/>
          <w:sz w:val="20"/>
        </w:rPr>
        <w:t>is defined in Section 8.7(a).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1.79</w:t>
      </w:r>
    </w:p>
    <w:p>
      <w:pPr>
        <w:pStyle w:val="TextBody"/>
        <w:bidi w:val="0"/>
        <w:spacing w:before="0" w:after="240"/>
        <w:jc w:val="left"/>
        <w:rPr/>
      </w:pPr>
      <w:r>
        <w:rPr>
          <w:color w:val="000000"/>
        </w:rPr>
        <w:t>“</w:t>
      </w:r>
      <w:r>
        <w:rPr>
          <w:rFonts w:ascii="Times New Roman" w:hAnsi="Times New Roman"/>
          <w:color w:val="000000"/>
          <w:sz w:val="20"/>
          <w:u w:val="single"/>
        </w:rPr>
        <w:t>Fortis IP Infringement Action</w:t>
      </w:r>
      <w:r>
        <w:rPr>
          <w:color w:val="000000"/>
        </w:rPr>
        <w:t xml:space="preserve">” </w:t>
      </w:r>
      <w:r>
        <w:rPr>
          <w:rFonts w:ascii="Times New Roman" w:hAnsi="Times New Roman"/>
          <w:color w:val="000000"/>
          <w:sz w:val="20"/>
        </w:rPr>
        <w:t>is defined in Section 8.7(b)(i).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1.80</w:t>
      </w:r>
    </w:p>
    <w:p>
      <w:pPr>
        <w:pStyle w:val="TextBody"/>
        <w:bidi w:val="0"/>
        <w:spacing w:before="0" w:after="240"/>
        <w:jc w:val="left"/>
        <w:rPr/>
      </w:pPr>
      <w:r>
        <w:rPr>
          <w:color w:val="000000"/>
        </w:rPr>
        <w:t>“</w:t>
      </w:r>
      <w:r>
        <w:rPr>
          <w:rFonts w:ascii="Times New Roman" w:hAnsi="Times New Roman"/>
          <w:color w:val="000000"/>
          <w:sz w:val="20"/>
          <w:u w:val="single"/>
        </w:rPr>
        <w:t>Fortis Patent Enforcing Party</w:t>
      </w:r>
      <w:r>
        <w:rPr>
          <w:color w:val="000000"/>
        </w:rPr>
        <w:t xml:space="preserve">” </w:t>
      </w:r>
      <w:r>
        <w:rPr>
          <w:rFonts w:ascii="Times New Roman" w:hAnsi="Times New Roman"/>
          <w:color w:val="000000"/>
          <w:sz w:val="20"/>
        </w:rPr>
        <w:t>is defined in Section 8.7(b)(ii).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1.81</w:t>
      </w:r>
    </w:p>
    <w:p>
      <w:pPr>
        <w:pStyle w:val="TextBody"/>
        <w:bidi w:val="0"/>
        <w:spacing w:before="0" w:after="240"/>
        <w:jc w:val="left"/>
        <w:rPr/>
      </w:pPr>
      <w:r>
        <w:rPr>
          <w:color w:val="000000"/>
        </w:rPr>
        <w:t>“</w:t>
      </w:r>
      <w:r>
        <w:rPr>
          <w:rFonts w:ascii="Times New Roman" w:hAnsi="Times New Roman"/>
          <w:color w:val="000000"/>
          <w:sz w:val="20"/>
          <w:u w:val="single"/>
        </w:rPr>
        <w:t>Fortis Patent Non-Enforcing Party</w:t>
      </w:r>
      <w:r>
        <w:rPr>
          <w:color w:val="000000"/>
        </w:rPr>
        <w:t xml:space="preserve">” </w:t>
      </w:r>
      <w:r>
        <w:rPr>
          <w:rFonts w:ascii="Times New Roman" w:hAnsi="Times New Roman"/>
          <w:color w:val="000000"/>
          <w:sz w:val="20"/>
        </w:rPr>
        <w:t>is defined in Section 8.7(b)(ii).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1.82</w:t>
      </w:r>
    </w:p>
    <w:p>
      <w:pPr>
        <w:pStyle w:val="TextBody"/>
        <w:bidi w:val="0"/>
        <w:spacing w:before="0" w:after="240"/>
        <w:jc w:val="left"/>
        <w:rPr/>
      </w:pPr>
      <w:r>
        <w:rPr>
          <w:color w:val="000000"/>
        </w:rPr>
        <w:t>“</w:t>
      </w:r>
      <w:r>
        <w:rPr>
          <w:rFonts w:ascii="Times New Roman" w:hAnsi="Times New Roman"/>
          <w:color w:val="000000"/>
          <w:sz w:val="20"/>
          <w:u w:val="single"/>
        </w:rPr>
        <w:t>Fortis Patent Rights</w:t>
      </w:r>
      <w:r>
        <w:rPr>
          <w:color w:val="000000"/>
        </w:rPr>
        <w:t xml:space="preserve">” </w:t>
      </w:r>
      <w:r>
        <w:rPr>
          <w:rFonts w:ascii="Times New Roman" w:hAnsi="Times New Roman"/>
          <w:color w:val="000000"/>
          <w:sz w:val="20"/>
        </w:rPr>
        <w:t>means, collectively, the Fortis Background Patent Rights and the Collaboration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1.83</w:t>
      </w:r>
    </w:p>
    <w:p>
      <w:pPr>
        <w:pStyle w:val="TextBody"/>
        <w:bidi w:val="0"/>
        <w:spacing w:before="0" w:after="240"/>
        <w:jc w:val="left"/>
        <w:rPr/>
      </w:pPr>
      <w:r>
        <w:rPr>
          <w:color w:val="000000"/>
        </w:rPr>
        <w:t>“</w:t>
      </w:r>
      <w:r>
        <w:rPr>
          <w:rFonts w:ascii="Times New Roman" w:hAnsi="Times New Roman"/>
          <w:color w:val="000000"/>
          <w:sz w:val="20"/>
          <w:u w:val="single"/>
        </w:rPr>
        <w:t>Fourth UCSF Amendment</w:t>
      </w:r>
      <w:r>
        <w:rPr>
          <w:color w:val="000000"/>
        </w:rPr>
        <w:t xml:space="preserve">” </w:t>
      </w:r>
      <w:r>
        <w:rPr>
          <w:rFonts w:ascii="Times New Roman" w:hAnsi="Times New Roman"/>
          <w:color w:val="000000"/>
          <w:sz w:val="20"/>
        </w:rPr>
        <w:t>is defined in Section 1.142.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1.84</w:t>
      </w:r>
    </w:p>
    <w:p>
      <w:pPr>
        <w:pStyle w:val="TextBody"/>
        <w:bidi w:val="0"/>
        <w:spacing w:before="0" w:after="240"/>
        <w:jc w:val="left"/>
        <w:rPr/>
      </w:pPr>
      <w:r>
        <w:rPr>
          <w:color w:val="000000"/>
        </w:rPr>
        <w:t>“</w:t>
      </w:r>
      <w:r>
        <w:rPr>
          <w:rFonts w:ascii="Times New Roman" w:hAnsi="Times New Roman"/>
          <w:color w:val="000000"/>
          <w:sz w:val="20"/>
          <w:u w:val="single"/>
        </w:rPr>
        <w:t>FTE</w:t>
      </w:r>
      <w:r>
        <w:rPr>
          <w:color w:val="000000"/>
        </w:rPr>
        <w:t xml:space="preserve">” </w:t>
      </w:r>
      <w:r>
        <w:rPr>
          <w:rFonts w:ascii="Times New Roman" w:hAnsi="Times New Roman"/>
          <w:color w:val="000000"/>
          <w:sz w:val="20"/>
        </w:rPr>
        <w:t>means, with respect to a Party and the performance of an activity, the work carried out by one or more qualified employees, contractors or consultants of such Party or its Affiliates devoted to or in direct support of such activity, where the work of an FTE shall be considered full-time based on [*] and, in the case of work that is less than full-time, will be pro-rated based on the actual number of hours expended by such FTE.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1.85</w:t>
      </w:r>
    </w:p>
    <w:p>
      <w:pPr>
        <w:pStyle w:val="TextBody"/>
        <w:bidi w:val="0"/>
        <w:spacing w:before="0" w:after="240"/>
        <w:jc w:val="left"/>
        <w:rPr/>
      </w:pPr>
      <w:r>
        <w:rPr>
          <w:color w:val="000000"/>
        </w:rPr>
        <w:t>“</w:t>
      </w:r>
      <w:r>
        <w:rPr>
          <w:rFonts w:ascii="Times New Roman" w:hAnsi="Times New Roman"/>
          <w:color w:val="000000"/>
          <w:sz w:val="20"/>
          <w:u w:val="single"/>
        </w:rPr>
        <w:t>FTE Cost</w:t>
      </w:r>
      <w:r>
        <w:rPr>
          <w:color w:val="000000"/>
        </w:rPr>
        <w:t xml:space="preserve">” </w:t>
      </w:r>
      <w:r>
        <w:rPr>
          <w:rFonts w:ascii="Times New Roman" w:hAnsi="Times New Roman"/>
          <w:color w:val="000000"/>
          <w:sz w:val="20"/>
        </w:rPr>
        <w:t>means, with respect to a Party and the performance of an activity, the amount calculated by multiplying the FTE Rate by the number of FTEs expended by such Party or its Affiliates over the course of such activity.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1.86</w:t>
      </w:r>
    </w:p>
    <w:p>
      <w:pPr>
        <w:pStyle w:val="TextBody"/>
        <w:bidi w:val="0"/>
        <w:spacing w:before="0" w:after="240"/>
        <w:jc w:val="left"/>
        <w:rPr/>
      </w:pPr>
      <w:r>
        <w:rPr>
          <w:color w:val="000000"/>
        </w:rPr>
        <w:t>“</w:t>
      </w:r>
      <w:r>
        <w:rPr>
          <w:rFonts w:ascii="Times New Roman" w:hAnsi="Times New Roman"/>
          <w:color w:val="000000"/>
          <w:sz w:val="20"/>
          <w:u w:val="single"/>
        </w:rPr>
        <w:t>FTE Rate</w:t>
      </w:r>
      <w:r>
        <w:rPr>
          <w:color w:val="000000"/>
        </w:rPr>
        <w:t xml:space="preserve">” </w:t>
      </w:r>
      <w:r>
        <w:rPr>
          <w:rFonts w:ascii="Times New Roman" w:hAnsi="Times New Roman"/>
          <w:color w:val="000000"/>
          <w:sz w:val="20"/>
        </w:rPr>
        <w:t>means a rate of [*] per full-time FTE per Calendar Year; provided that such rate shall be increased or decreased [*], or an alternative methodology that is mutually agreed to by both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1.87</w:t>
      </w:r>
    </w:p>
    <w:p>
      <w:pPr>
        <w:pStyle w:val="TextBody"/>
        <w:bidi w:val="0"/>
        <w:spacing w:before="0" w:after="240"/>
        <w:jc w:val="left"/>
        <w:rPr/>
      </w:pPr>
      <w:r>
        <w:rPr>
          <w:color w:val="000000"/>
        </w:rPr>
        <w:t>“</w:t>
      </w:r>
      <w:r>
        <w:rPr>
          <w:rFonts w:ascii="Times New Roman" w:hAnsi="Times New Roman"/>
          <w:color w:val="000000"/>
          <w:sz w:val="20"/>
          <w:u w:val="single"/>
        </w:rPr>
        <w:t>Good Clinical Practices</w:t>
      </w:r>
      <w:r>
        <w:rPr>
          <w:rFonts w:ascii="Times New Roman" w:hAnsi="Times New Roman"/>
          <w:color w:val="000000"/>
          <w:sz w:val="20"/>
        </w:rPr>
        <w:t>,” “</w:t>
      </w:r>
      <w:r>
        <w:rPr>
          <w:rFonts w:ascii="Times New Roman" w:hAnsi="Times New Roman"/>
          <w:color w:val="000000"/>
          <w:sz w:val="20"/>
          <w:u w:val="single"/>
        </w:rPr>
        <w:t>GCP</w:t>
      </w:r>
      <w:r>
        <w:rPr>
          <w:color w:val="000000"/>
        </w:rPr>
        <w:t xml:space="preserve">” </w:t>
      </w:r>
      <w:r>
        <w:rPr>
          <w:rFonts w:ascii="Times New Roman" w:hAnsi="Times New Roman"/>
          <w:color w:val="000000"/>
          <w:sz w:val="20"/>
        </w:rPr>
        <w:t>or “</w:t>
      </w:r>
      <w:r>
        <w:rPr>
          <w:rFonts w:ascii="Times New Roman" w:hAnsi="Times New Roman"/>
          <w:color w:val="000000"/>
          <w:sz w:val="20"/>
          <w:u w:val="single"/>
        </w:rPr>
        <w:t>cGCP</w:t>
      </w:r>
      <w:r>
        <w:rPr>
          <w:color w:val="000000"/>
        </w:rPr>
        <w:t xml:space="preserve">” </w:t>
      </w:r>
      <w:r>
        <w:rPr>
          <w:rFonts w:ascii="Times New Roman" w:hAnsi="Times New Roman"/>
          <w:color w:val="000000"/>
          <w:sz w:val="20"/>
        </w:rPr>
        <w:t>means, with respect to any applicable jurisdiction, the then-current standards, practices and procedures for clinical trials for pharmaceuticals promulgated or endorsed by the applicable Regulatory Authority in such jurisdiction as set forth in the Applicable Laws of such jurisdiction, including, with respect to the United States, 21 C.F.R. Parts 11, 50, 54, 56 and 312, the guidelines titled “Guidance for Industry E6 Good Clinical Practice: Consolidated Guidance” and related regulatory requirements imposed by the FDA, and with respect to jurisdictions outside the United States, comparable regulatory standards, practices and procedures promulgated by the EMA, PMDA or other Regulatory Authority, as applicable, including any applicable quality guidelines promulgated under the International Conference on Harmonization (“</w:t>
      </w:r>
      <w:r>
        <w:rPr>
          <w:rFonts w:ascii="Times New Roman" w:hAnsi="Times New Roman"/>
          <w:color w:val="000000"/>
          <w:sz w:val="20"/>
          <w:u w:val="single"/>
        </w:rPr>
        <w:t>ICH</w:t>
      </w:r>
      <w:r>
        <w:rPr>
          <w:color w:val="000000"/>
        </w:rPr>
        <w:t>”</w:t>
      </w:r>
      <w:r>
        <w:rPr>
          <w:rFonts w:ascii="Times New Roman" w:hAnsi="Times New Roman"/>
          <w:color w:val="000000"/>
          <w:sz w:val="20"/>
        </w:rPr>
        <w:t>), in each case as they may be updated from time to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1.88</w:t>
      </w:r>
    </w:p>
    <w:p>
      <w:pPr>
        <w:pStyle w:val="TextBody"/>
        <w:bidi w:val="0"/>
        <w:spacing w:before="0" w:after="240"/>
        <w:jc w:val="left"/>
        <w:rPr/>
      </w:pPr>
      <w:r>
        <w:rPr>
          <w:color w:val="000000"/>
        </w:rPr>
        <w:t>“</w:t>
      </w:r>
      <w:r>
        <w:rPr>
          <w:rFonts w:ascii="Times New Roman" w:hAnsi="Times New Roman"/>
          <w:color w:val="000000"/>
          <w:sz w:val="20"/>
          <w:u w:val="single"/>
        </w:rPr>
        <w:t>Good Laboratory Practices</w:t>
      </w:r>
      <w:r>
        <w:rPr>
          <w:rFonts w:ascii="Times New Roman" w:hAnsi="Times New Roman"/>
          <w:color w:val="000000"/>
          <w:sz w:val="20"/>
        </w:rPr>
        <w:t>,” “</w:t>
      </w:r>
      <w:r>
        <w:rPr>
          <w:rFonts w:ascii="Times New Roman" w:hAnsi="Times New Roman"/>
          <w:color w:val="000000"/>
          <w:sz w:val="20"/>
          <w:u w:val="single"/>
        </w:rPr>
        <w:t>GLP</w:t>
      </w:r>
      <w:r>
        <w:rPr>
          <w:color w:val="000000"/>
        </w:rPr>
        <w:t xml:space="preserve">” </w:t>
      </w:r>
      <w:r>
        <w:rPr>
          <w:rFonts w:ascii="Times New Roman" w:hAnsi="Times New Roman"/>
          <w:color w:val="000000"/>
          <w:sz w:val="20"/>
        </w:rPr>
        <w:t>or “</w:t>
      </w:r>
      <w:r>
        <w:rPr>
          <w:rFonts w:ascii="Times New Roman" w:hAnsi="Times New Roman"/>
          <w:color w:val="000000"/>
          <w:sz w:val="20"/>
          <w:u w:val="single"/>
        </w:rPr>
        <w:t>cGLP</w:t>
      </w:r>
      <w:r>
        <w:rPr>
          <w:color w:val="000000"/>
        </w:rPr>
        <w:t xml:space="preserve">” </w:t>
      </w:r>
      <w:r>
        <w:rPr>
          <w:rFonts w:ascii="Times New Roman" w:hAnsi="Times New Roman"/>
          <w:color w:val="000000"/>
          <w:sz w:val="20"/>
        </w:rPr>
        <w:t>means, with respect to any applicable jurisdiction, the then-current standards, practices and procedures for laboratory activities for pharmaceuticals promulgated or endorsed by the applicable Regulatory Authority in such jurisdiction as set forth in the Applicable Laws of such jurisdiction, including, with respect to the United States, 21 C.F.R. Part 58 and related regulatory requirements imposed by the FDA, and with respect to jurisdictions outside the United States, comparable regulatory standards, practices and procedures promulgated by the EMA, PMDA or other Regulatory Authority, as applicable, including any applicable quality guidelines promulgated under the ICH, in each case as they may be updated from time to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1.89</w:t>
      </w:r>
    </w:p>
    <w:p>
      <w:pPr>
        <w:pStyle w:val="TextBody"/>
        <w:bidi w:val="0"/>
        <w:spacing w:before="0" w:after="240"/>
        <w:jc w:val="left"/>
        <w:rPr/>
      </w:pPr>
      <w:r>
        <w:rPr>
          <w:color w:val="000000"/>
        </w:rPr>
        <w:t>“</w:t>
      </w:r>
      <w:r>
        <w:rPr>
          <w:rFonts w:ascii="Times New Roman" w:hAnsi="Times New Roman"/>
          <w:color w:val="000000"/>
          <w:sz w:val="20"/>
          <w:u w:val="single"/>
        </w:rPr>
        <w:t>Good Manufacturing Practices</w:t>
      </w:r>
      <w:r>
        <w:rPr>
          <w:rFonts w:ascii="Times New Roman" w:hAnsi="Times New Roman"/>
          <w:color w:val="000000"/>
          <w:sz w:val="20"/>
        </w:rPr>
        <w:t>,” “</w:t>
      </w:r>
      <w:r>
        <w:rPr>
          <w:rFonts w:ascii="Times New Roman" w:hAnsi="Times New Roman"/>
          <w:color w:val="000000"/>
          <w:sz w:val="20"/>
          <w:u w:val="single"/>
        </w:rPr>
        <w:t>GMP</w:t>
      </w:r>
      <w:r>
        <w:rPr>
          <w:color w:val="000000"/>
        </w:rPr>
        <w:t xml:space="preserve">” </w:t>
      </w:r>
      <w:r>
        <w:rPr>
          <w:rFonts w:ascii="Times New Roman" w:hAnsi="Times New Roman"/>
          <w:color w:val="000000"/>
          <w:sz w:val="20"/>
        </w:rPr>
        <w:t>or “</w:t>
      </w:r>
      <w:r>
        <w:rPr>
          <w:rFonts w:ascii="Times New Roman" w:hAnsi="Times New Roman"/>
          <w:color w:val="000000"/>
          <w:sz w:val="20"/>
          <w:u w:val="single"/>
        </w:rPr>
        <w:t>cGMP</w:t>
      </w:r>
      <w:r>
        <w:rPr>
          <w:color w:val="000000"/>
        </w:rPr>
        <w:t xml:space="preserve">” </w:t>
      </w:r>
      <w:r>
        <w:rPr>
          <w:rFonts w:ascii="Times New Roman" w:hAnsi="Times New Roman"/>
          <w:color w:val="000000"/>
          <w:sz w:val="20"/>
        </w:rPr>
        <w:t>means, with respect to any applicable jurisdiction, the then-current good manufacturing practices for the methods to be used in, and the facilities or controls to be used for, the manufacture, processing, packing, and holding pharmaceutical materials required by the applicable Regulatory Authority in such jurisdiction as set forth in the Applicable Laws of such jurisdiction, including, with respect to the United States, 21 C.F.R. Parts 210 and 211 and related regulatory requirements imposed by the FDA and with respect to applicable jurisdictions outside the United States, the guidelines promulgated by the ICH designated ICH Q7A, titled “Q7A Good Manufacturing Practice Guidance for Active Pharmaceutical Ingredients” and the regulations promulgated thereunder, in each case as they may be updated from time to time.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1.90</w:t>
      </w:r>
    </w:p>
    <w:p>
      <w:pPr>
        <w:pStyle w:val="TextBody"/>
        <w:bidi w:val="0"/>
        <w:spacing w:before="0" w:after="240"/>
        <w:jc w:val="left"/>
        <w:rPr/>
      </w:pPr>
      <w:r>
        <w:rPr>
          <w:color w:val="000000"/>
        </w:rPr>
        <w:t>“</w:t>
      </w:r>
      <w:r>
        <w:rPr>
          <w:rFonts w:ascii="Times New Roman" w:hAnsi="Times New Roman"/>
          <w:color w:val="000000"/>
          <w:sz w:val="20"/>
          <w:u w:val="single"/>
        </w:rPr>
        <w:t>Governmental Authority</w:t>
      </w:r>
      <w:r>
        <w:rPr>
          <w:color w:val="000000"/>
        </w:rPr>
        <w:t xml:space="preserve">” </w:t>
      </w:r>
      <w:r>
        <w:rPr>
          <w:rFonts w:ascii="Times New Roman" w:hAnsi="Times New Roman"/>
          <w:color w:val="000000"/>
          <w:sz w:val="20"/>
        </w:rPr>
        <w:t>means any instrumentality, subdivision, court, administrative agency, commission, official or other authority of any country, state, province, prefect, municipality, locality or other government or political subdivision thereof, or any multinational organization or authority, or any quasi-governmental, private body or arbitral body exercising any executive, legislative, judicial, quasi-judicial, regulatory, taxing, importing, administrative or other governmental or quasi-governmental authority.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1.91</w:t>
      </w:r>
    </w:p>
    <w:p>
      <w:pPr>
        <w:pStyle w:val="TextBody"/>
        <w:bidi w:val="0"/>
        <w:spacing w:before="0" w:after="240"/>
        <w:jc w:val="left"/>
        <w:rPr/>
      </w:pPr>
      <w:r>
        <w:rPr>
          <w:color w:val="000000"/>
        </w:rPr>
        <w:t>“</w:t>
      </w:r>
      <w:r>
        <w:rPr>
          <w:rFonts w:ascii="Times New Roman" w:hAnsi="Times New Roman"/>
          <w:color w:val="000000"/>
          <w:sz w:val="20"/>
          <w:u w:val="single"/>
        </w:rPr>
        <w:t>ICH</w:t>
      </w:r>
      <w:r>
        <w:rPr>
          <w:color w:val="000000"/>
        </w:rPr>
        <w:t xml:space="preserve">” </w:t>
      </w:r>
      <w:r>
        <w:rPr>
          <w:rFonts w:ascii="Times New Roman" w:hAnsi="Times New Roman"/>
          <w:color w:val="000000"/>
          <w:sz w:val="20"/>
        </w:rPr>
        <w:t>is defined in Section 1.87.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1.92</w:t>
      </w:r>
    </w:p>
    <w:p>
      <w:pPr>
        <w:pStyle w:val="TextBody"/>
        <w:bidi w:val="0"/>
        <w:spacing w:before="0" w:after="240"/>
        <w:jc w:val="left"/>
        <w:rPr/>
      </w:pPr>
      <w:r>
        <w:rPr>
          <w:color w:val="000000"/>
        </w:rPr>
        <w:t>“</w:t>
      </w:r>
      <w:r>
        <w:rPr>
          <w:rFonts w:ascii="Times New Roman" w:hAnsi="Times New Roman"/>
          <w:color w:val="000000"/>
          <w:sz w:val="20"/>
          <w:u w:val="single"/>
        </w:rPr>
        <w:t>IND</w:t>
      </w:r>
      <w:r>
        <w:rPr>
          <w:color w:val="000000"/>
        </w:rPr>
        <w:t xml:space="preserve">” </w:t>
      </w:r>
      <w:r>
        <w:rPr>
          <w:rFonts w:ascii="Times New Roman" w:hAnsi="Times New Roman"/>
          <w:color w:val="000000"/>
          <w:sz w:val="20"/>
        </w:rPr>
        <w:t>means an Investigational New Drug application as defined in the FFDCA, as amended, and applicable regulations promulgated hereunder by the FDA, or a clinical trial authorization application for a product filed with a Regulatory Authority in any other regulatory jurisdiction outside the United States, the filing of which is necessary to commence or conduct clinical testing of a pharmaceutical product in humans in such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1.93</w:t>
      </w:r>
    </w:p>
    <w:p>
      <w:pPr>
        <w:pStyle w:val="TextBody"/>
        <w:bidi w:val="0"/>
        <w:spacing w:before="0" w:after="240"/>
        <w:jc w:val="left"/>
        <w:rPr/>
      </w:pPr>
      <w:r>
        <w:rPr>
          <w:color w:val="000000"/>
        </w:rPr>
        <w:t>“</w:t>
      </w:r>
      <w:r>
        <w:rPr>
          <w:rFonts w:ascii="Times New Roman" w:hAnsi="Times New Roman"/>
          <w:color w:val="000000"/>
          <w:sz w:val="20"/>
          <w:u w:val="single"/>
        </w:rPr>
        <w:t>Indemnifying Party</w:t>
      </w:r>
      <w:r>
        <w:rPr>
          <w:color w:val="000000"/>
        </w:rPr>
        <w:t xml:space="preserve">” </w:t>
      </w:r>
      <w:r>
        <w:rPr>
          <w:rFonts w:ascii="Times New Roman" w:hAnsi="Times New Roman"/>
          <w:color w:val="000000"/>
          <w:sz w:val="20"/>
        </w:rPr>
        <w:t>is defined in Section 13.4(a).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1.94</w:t>
      </w:r>
    </w:p>
    <w:p>
      <w:pPr>
        <w:pStyle w:val="TextBody"/>
        <w:bidi w:val="0"/>
        <w:spacing w:before="0" w:after="240"/>
        <w:jc w:val="left"/>
        <w:rPr/>
      </w:pPr>
      <w:r>
        <w:rPr>
          <w:color w:val="000000"/>
        </w:rPr>
        <w:t>“</w:t>
      </w:r>
      <w:r>
        <w:rPr>
          <w:rFonts w:ascii="Times New Roman" w:hAnsi="Times New Roman"/>
          <w:color w:val="000000"/>
          <w:sz w:val="20"/>
          <w:u w:val="single"/>
        </w:rPr>
        <w:t>Indemnitee</w:t>
      </w:r>
      <w:r>
        <w:rPr>
          <w:color w:val="000000"/>
        </w:rPr>
        <w:t xml:space="preserve">” </w:t>
      </w:r>
      <w:r>
        <w:rPr>
          <w:rFonts w:ascii="Times New Roman" w:hAnsi="Times New Roman"/>
          <w:color w:val="000000"/>
          <w:sz w:val="20"/>
        </w:rPr>
        <w:t>is defined in Section 13.4(a).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1.95</w:t>
      </w:r>
    </w:p>
    <w:p>
      <w:pPr>
        <w:pStyle w:val="TextBody"/>
        <w:bidi w:val="0"/>
        <w:spacing w:before="0" w:after="240"/>
        <w:jc w:val="left"/>
        <w:rPr/>
      </w:pPr>
      <w:r>
        <w:rPr>
          <w:color w:val="000000"/>
        </w:rPr>
        <w:t>“</w:t>
      </w:r>
      <w:r>
        <w:rPr>
          <w:rFonts w:ascii="Times New Roman" w:hAnsi="Times New Roman"/>
          <w:color w:val="000000"/>
          <w:sz w:val="20"/>
          <w:u w:val="single"/>
        </w:rPr>
        <w:t>Indirect Tax</w:t>
      </w:r>
      <w:r>
        <w:rPr>
          <w:color w:val="000000"/>
        </w:rPr>
        <w:t xml:space="preserve">” </w:t>
      </w:r>
      <w:r>
        <w:rPr>
          <w:rFonts w:ascii="Times New Roman" w:hAnsi="Times New Roman"/>
          <w:color w:val="000000"/>
          <w:sz w:val="20"/>
        </w:rPr>
        <w:t>is defined in Section 7.4(f).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1.96</w:t>
      </w:r>
    </w:p>
    <w:p>
      <w:pPr>
        <w:pStyle w:val="TextBody"/>
        <w:bidi w:val="0"/>
        <w:spacing w:before="0" w:after="240"/>
        <w:jc w:val="left"/>
        <w:rPr/>
      </w:pPr>
      <w:r>
        <w:rPr>
          <w:color w:val="000000"/>
        </w:rPr>
        <w:t>“</w:t>
      </w:r>
      <w:r>
        <w:rPr>
          <w:rFonts w:ascii="Times New Roman" w:hAnsi="Times New Roman"/>
          <w:color w:val="000000"/>
          <w:sz w:val="20"/>
          <w:u w:val="single"/>
        </w:rPr>
        <w:t>Joint Steering Committee</w:t>
      </w:r>
      <w:r>
        <w:rPr>
          <w:color w:val="000000"/>
        </w:rPr>
        <w:t xml:space="preserve">” </w:t>
      </w:r>
      <w:r>
        <w:rPr>
          <w:rFonts w:ascii="Times New Roman" w:hAnsi="Times New Roman"/>
          <w:color w:val="000000"/>
          <w:sz w:val="20"/>
        </w:rPr>
        <w:t>and “</w:t>
      </w:r>
      <w:r>
        <w:rPr>
          <w:rFonts w:ascii="Times New Roman" w:hAnsi="Times New Roman"/>
          <w:color w:val="000000"/>
          <w:sz w:val="20"/>
          <w:u w:val="single"/>
        </w:rPr>
        <w:t>JSC</w:t>
      </w:r>
      <w:r>
        <w:rPr>
          <w:color w:val="000000"/>
        </w:rPr>
        <w:t xml:space="preserve">” </w:t>
      </w:r>
      <w:r>
        <w:rPr>
          <w:rFonts w:ascii="Times New Roman" w:hAnsi="Times New Roman"/>
          <w:color w:val="000000"/>
          <w:sz w:val="20"/>
        </w:rPr>
        <w:t>is defined in Section 3.2(a).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1.97</w:t>
      </w:r>
    </w:p>
    <w:p>
      <w:pPr>
        <w:pStyle w:val="TextBody"/>
        <w:bidi w:val="0"/>
        <w:spacing w:before="0" w:after="240"/>
        <w:jc w:val="left"/>
        <w:rPr/>
      </w:pPr>
      <w:r>
        <w:rPr>
          <w:color w:val="000000"/>
        </w:rPr>
        <w:t>“</w:t>
      </w:r>
      <w:r>
        <w:rPr>
          <w:rFonts w:ascii="Times New Roman" w:hAnsi="Times New Roman"/>
          <w:color w:val="000000"/>
          <w:sz w:val="20"/>
          <w:u w:val="single"/>
        </w:rPr>
        <w:t>Judgment</w:t>
      </w:r>
      <w:r>
        <w:rPr>
          <w:color w:val="000000"/>
        </w:rPr>
        <w:t xml:space="preserve">” </w:t>
      </w:r>
      <w:r>
        <w:rPr>
          <w:rFonts w:ascii="Times New Roman" w:hAnsi="Times New Roman"/>
          <w:color w:val="000000"/>
          <w:sz w:val="20"/>
        </w:rPr>
        <w:t>means any writ, judgment, injunction, order, decree, stipulation determination or award entered by or with any Governmental Authority.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1.98</w:t>
      </w:r>
    </w:p>
    <w:p>
      <w:pPr>
        <w:pStyle w:val="TextBody"/>
        <w:bidi w:val="0"/>
        <w:spacing w:before="0" w:after="240"/>
        <w:jc w:val="left"/>
        <w:rPr/>
      </w:pPr>
      <w:r>
        <w:rPr>
          <w:color w:val="000000"/>
        </w:rPr>
        <w:t>“</w:t>
      </w:r>
      <w:r>
        <w:rPr>
          <w:rFonts w:ascii="Times New Roman" w:hAnsi="Times New Roman"/>
          <w:color w:val="000000"/>
          <w:sz w:val="20"/>
          <w:u w:val="single"/>
        </w:rPr>
        <w:t>Know-How</w:t>
      </w:r>
      <w:r>
        <w:rPr>
          <w:color w:val="000000"/>
        </w:rPr>
        <w:t xml:space="preserve">” </w:t>
      </w:r>
      <w:r>
        <w:rPr>
          <w:rFonts w:ascii="Times New Roman" w:hAnsi="Times New Roman"/>
          <w:color w:val="000000"/>
          <w:sz w:val="20"/>
        </w:rPr>
        <w:t>means information (including confidential information), know-how, inventions, discoveries, compositions, formulations, formulas, practices, procedures, processes, methods, knowledge, trade secrets, technology, techniques, designs, drawings, correspondence, computer programs, documents, apparatus, results, strategies, regulatory documentation, correspondence and submissions, and information pertaining to, or made in association with, filings with any Regulatory Authority or patent office, data (including pharmacological, toxicological, non-clinical, pre-clinical and clinical data, analytical and quality control data, manufacturing data and descriptions, market data, financial data or descriptions), devices, assays, specifications, physical, chemical and biological materials and compounds, and the like, in written, electronic, oral or other tangible or intangible form, now known or hereafter developed, whether or not patentable.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1.99</w:t>
      </w:r>
    </w:p>
    <w:p>
      <w:pPr>
        <w:pStyle w:val="TextBody"/>
        <w:bidi w:val="0"/>
        <w:spacing w:before="0" w:after="240"/>
        <w:jc w:val="left"/>
        <w:rPr/>
      </w:pPr>
      <w:r>
        <w:rPr>
          <w:color w:val="000000"/>
        </w:rPr>
        <w:t>“</w:t>
      </w:r>
      <w:r>
        <w:rPr>
          <w:rFonts w:ascii="Times New Roman" w:hAnsi="Times New Roman"/>
          <w:color w:val="000000"/>
          <w:sz w:val="20"/>
          <w:u w:val="single"/>
        </w:rPr>
        <w:t>Losses</w:t>
      </w:r>
      <w:r>
        <w:rPr>
          <w:color w:val="000000"/>
        </w:rPr>
        <w:t xml:space="preserve">” </w:t>
      </w:r>
      <w:r>
        <w:rPr>
          <w:rFonts w:ascii="Times New Roman" w:hAnsi="Times New Roman"/>
          <w:color w:val="000000"/>
          <w:sz w:val="20"/>
        </w:rPr>
        <w:t>is defined in Section 13.1.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1.100</w:t>
      </w:r>
    </w:p>
    <w:p>
      <w:pPr>
        <w:pStyle w:val="TextBody"/>
        <w:bidi w:val="0"/>
        <w:spacing w:before="0" w:after="240"/>
        <w:jc w:val="left"/>
        <w:rPr/>
      </w:pPr>
      <w:r>
        <w:rPr>
          <w:color w:val="000000"/>
        </w:rPr>
        <w:t>“</w:t>
      </w:r>
      <w:r>
        <w:rPr>
          <w:rFonts w:ascii="Times New Roman" w:hAnsi="Times New Roman"/>
          <w:color w:val="000000"/>
          <w:sz w:val="20"/>
          <w:u w:val="single"/>
        </w:rPr>
        <w:t>Manufacture</w:t>
      </w:r>
      <w:r>
        <w:rPr>
          <w:color w:val="000000"/>
        </w:rPr>
        <w:t xml:space="preserve">” </w:t>
      </w:r>
      <w:r>
        <w:rPr>
          <w:rFonts w:ascii="Times New Roman" w:hAnsi="Times New Roman"/>
          <w:color w:val="000000"/>
          <w:sz w:val="20"/>
        </w:rPr>
        <w:t>means, with respect to a product, all activities related to the manufacturing of such product, or any ingredient or component thereof, including manufacturing of finished product for Development and Commercialization, labeling, packaging, in-process and finished product testing, release of product or any component or ingredient thereof, quality assurance activities related to manufacturing and release of product, ongoing stability tests and regulatory activities to perform any of the foregoing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1.101</w:t>
      </w:r>
    </w:p>
    <w:p>
      <w:pPr>
        <w:pStyle w:val="TextBody"/>
        <w:bidi w:val="0"/>
        <w:spacing w:before="0" w:after="240"/>
        <w:jc w:val="left"/>
        <w:rPr/>
      </w:pPr>
      <w:r>
        <w:rPr>
          <w:color w:val="000000"/>
        </w:rPr>
        <w:t>“</w:t>
      </w:r>
      <w:r>
        <w:rPr>
          <w:rFonts w:ascii="Times New Roman" w:hAnsi="Times New Roman"/>
          <w:color w:val="000000"/>
          <w:sz w:val="20"/>
          <w:u w:val="single"/>
        </w:rPr>
        <w:t>Materials</w:t>
      </w:r>
      <w:r>
        <w:rPr>
          <w:color w:val="000000"/>
        </w:rPr>
        <w:t xml:space="preserve">” </w:t>
      </w:r>
      <w:r>
        <w:rPr>
          <w:rFonts w:ascii="Times New Roman" w:hAnsi="Times New Roman"/>
          <w:color w:val="000000"/>
          <w:sz w:val="20"/>
        </w:rPr>
        <w:t>means all biological materials or chemical compounds provided by a Party for use by the other Party to conduct activities pursuant to this Agreement, including Products, Clinical Trial samples, cell lines, compounds, lipids and assays so provided.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1.102</w:t>
      </w:r>
    </w:p>
    <w:p>
      <w:pPr>
        <w:pStyle w:val="TextBody"/>
        <w:bidi w:val="0"/>
        <w:spacing w:before="0" w:after="240"/>
        <w:jc w:val="left"/>
        <w:rPr/>
      </w:pPr>
      <w:r>
        <w:rPr>
          <w:color w:val="000000"/>
        </w:rPr>
        <w:t>“</w:t>
      </w:r>
      <w:r>
        <w:rPr>
          <w:rFonts w:ascii="Times New Roman" w:hAnsi="Times New Roman"/>
          <w:color w:val="000000"/>
          <w:sz w:val="20"/>
          <w:u w:val="single"/>
        </w:rPr>
        <w:t>Merger</w:t>
      </w:r>
      <w:r>
        <w:rPr>
          <w:color w:val="000000"/>
        </w:rPr>
        <w:t xml:space="preserve">” </w:t>
      </w:r>
      <w:r>
        <w:rPr>
          <w:rFonts w:ascii="Times New Roman" w:hAnsi="Times New Roman"/>
          <w:color w:val="000000"/>
          <w:sz w:val="20"/>
        </w:rPr>
        <w:t>means the merger contemplated in the Option and Merger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1.103</w:t>
      </w:r>
    </w:p>
    <w:p>
      <w:pPr>
        <w:pStyle w:val="TextBody"/>
        <w:bidi w:val="0"/>
        <w:spacing w:before="0" w:after="240"/>
        <w:jc w:val="left"/>
        <w:rPr/>
      </w:pPr>
      <w:r>
        <w:rPr>
          <w:color w:val="000000"/>
        </w:rPr>
        <w:t>“</w:t>
      </w:r>
      <w:r>
        <w:rPr>
          <w:rFonts w:ascii="Times New Roman" w:hAnsi="Times New Roman"/>
          <w:color w:val="000000"/>
          <w:sz w:val="20"/>
          <w:u w:val="single"/>
        </w:rPr>
        <w:t>Modified Product</w:t>
      </w:r>
      <w:r>
        <w:rPr>
          <w:color w:val="000000"/>
        </w:rPr>
        <w:t xml:space="preserve">” </w:t>
      </w:r>
      <w:r>
        <w:rPr>
          <w:rFonts w:ascii="Times New Roman" w:hAnsi="Times New Roman"/>
          <w:color w:val="000000"/>
          <w:sz w:val="20"/>
        </w:rPr>
        <w:t>means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1.104</w:t>
      </w:r>
    </w:p>
    <w:p>
      <w:pPr>
        <w:pStyle w:val="TextBody"/>
        <w:bidi w:val="0"/>
        <w:spacing w:before="0" w:after="240"/>
        <w:jc w:val="left"/>
        <w:rPr/>
      </w:pPr>
      <w:r>
        <w:rPr>
          <w:color w:val="000000"/>
        </w:rPr>
        <w:t>“</w:t>
      </w:r>
      <w:r>
        <w:rPr>
          <w:rFonts w:ascii="Times New Roman" w:hAnsi="Times New Roman"/>
          <w:color w:val="000000"/>
          <w:sz w:val="20"/>
          <w:u w:val="single"/>
        </w:rPr>
        <w:t>Non-Breaching Party</w:t>
      </w:r>
      <w:r>
        <w:rPr>
          <w:color w:val="000000"/>
        </w:rPr>
        <w:t xml:space="preserve">” </w:t>
      </w:r>
      <w:r>
        <w:rPr>
          <w:rFonts w:ascii="Times New Roman" w:hAnsi="Times New Roman"/>
          <w:color w:val="000000"/>
          <w:sz w:val="20"/>
        </w:rPr>
        <w:t>is defined in Section 11.3(a).</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9</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1.105</w:t>
      </w:r>
    </w:p>
    <w:p>
      <w:pPr>
        <w:pStyle w:val="TextBody"/>
        <w:bidi w:val="0"/>
        <w:spacing w:before="0" w:after="240"/>
        <w:jc w:val="left"/>
        <w:rPr/>
      </w:pPr>
      <w:r>
        <w:rPr>
          <w:color w:val="000000"/>
        </w:rPr>
        <w:t>“</w:t>
      </w:r>
      <w:r>
        <w:rPr>
          <w:rFonts w:ascii="Times New Roman" w:hAnsi="Times New Roman"/>
          <w:color w:val="000000"/>
          <w:sz w:val="20"/>
          <w:u w:val="single"/>
        </w:rPr>
        <w:t>Ongoing Clinical Study</w:t>
      </w:r>
      <w:r>
        <w:rPr>
          <w:color w:val="000000"/>
        </w:rPr>
        <w:t xml:space="preserve">” </w:t>
      </w:r>
      <w:r>
        <w:rPr>
          <w:rFonts w:ascii="Times New Roman" w:hAnsi="Times New Roman"/>
          <w:color w:val="000000"/>
          <w:sz w:val="20"/>
        </w:rPr>
        <w:t>is defined in Section 11.7(e).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1.106</w:t>
      </w:r>
    </w:p>
    <w:p>
      <w:pPr>
        <w:pStyle w:val="TextBody"/>
        <w:bidi w:val="0"/>
        <w:spacing w:before="0" w:after="240"/>
        <w:jc w:val="left"/>
        <w:rPr/>
      </w:pPr>
      <w:r>
        <w:rPr>
          <w:color w:val="000000"/>
        </w:rPr>
        <w:t>“</w:t>
      </w:r>
      <w:r>
        <w:rPr>
          <w:rFonts w:ascii="Times New Roman" w:hAnsi="Times New Roman"/>
          <w:color w:val="000000"/>
          <w:sz w:val="20"/>
          <w:u w:val="single"/>
        </w:rPr>
        <w:t>Ongoing Clinical Study Payment</w:t>
      </w:r>
      <w:r>
        <w:rPr>
          <w:color w:val="000000"/>
        </w:rPr>
        <w:t xml:space="preserve">” </w:t>
      </w:r>
      <w:r>
        <w:rPr>
          <w:rFonts w:ascii="Times New Roman" w:hAnsi="Times New Roman"/>
          <w:color w:val="000000"/>
          <w:sz w:val="20"/>
        </w:rPr>
        <w:t xml:space="preserve">means, with respect to an Ongoing Clinical Study, an amount equal to (a) [*], including for clarity, all payments paid or accrued under Assignable Subcontractor Agreements and other agreements in connection with such Ongoing Clinical Study, </w:t>
      </w:r>
      <w:r>
        <w:rPr>
          <w:rFonts w:ascii="Times New Roman" w:hAnsi="Times New Roman"/>
          <w:i/>
          <w:color w:val="000000"/>
          <w:sz w:val="20"/>
        </w:rPr>
        <w:t>multiplied by</w:t>
      </w:r>
      <w:r>
        <w:rPr>
          <w:color w:val="000000"/>
        </w:rPr>
        <w:t xml:space="preserve"> </w:t>
      </w:r>
      <w:r>
        <w:rPr>
          <w:rFonts w:ascii="Times New Roman" w:hAnsi="Times New Roman"/>
          <w:color w:val="000000"/>
          <w:sz w:val="20"/>
        </w:rPr>
        <w:t>(b)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1.107</w:t>
      </w:r>
    </w:p>
    <w:p>
      <w:pPr>
        <w:pStyle w:val="TextBody"/>
        <w:bidi w:val="0"/>
        <w:spacing w:before="0" w:after="240"/>
        <w:jc w:val="left"/>
        <w:rPr/>
      </w:pPr>
      <w:r>
        <w:rPr>
          <w:color w:val="000000"/>
        </w:rPr>
        <w:t>“</w:t>
      </w:r>
      <w:r>
        <w:rPr>
          <w:rFonts w:ascii="Times New Roman" w:hAnsi="Times New Roman"/>
          <w:color w:val="000000"/>
          <w:sz w:val="20"/>
          <w:u w:val="single"/>
        </w:rPr>
        <w:t>Option</w:t>
      </w:r>
      <w:r>
        <w:rPr>
          <w:color w:val="000000"/>
        </w:rPr>
        <w:t xml:space="preserve">” </w:t>
      </w:r>
      <w:r>
        <w:rPr>
          <w:rFonts w:ascii="Times New Roman" w:hAnsi="Times New Roman"/>
          <w:color w:val="000000"/>
          <w:sz w:val="20"/>
        </w:rPr>
        <w:t>is defined in the Option and Merger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1.108</w:t>
      </w:r>
    </w:p>
    <w:p>
      <w:pPr>
        <w:pStyle w:val="TextBody"/>
        <w:bidi w:val="0"/>
        <w:spacing w:before="0" w:after="240"/>
        <w:jc w:val="left"/>
        <w:rPr/>
      </w:pPr>
      <w:r>
        <w:rPr>
          <w:color w:val="000000"/>
        </w:rPr>
        <w:t>“</w:t>
      </w:r>
      <w:r>
        <w:rPr>
          <w:rFonts w:ascii="Times New Roman" w:hAnsi="Times New Roman"/>
          <w:color w:val="000000"/>
          <w:sz w:val="20"/>
          <w:u w:val="single"/>
        </w:rPr>
        <w:t>Option and Merger Agreement</w:t>
      </w:r>
      <w:r>
        <w:rPr>
          <w:color w:val="000000"/>
        </w:rPr>
        <w:t xml:space="preserve">” </w:t>
      </w:r>
      <w:r>
        <w:rPr>
          <w:rFonts w:ascii="Times New Roman" w:hAnsi="Times New Roman"/>
          <w:color w:val="000000"/>
          <w:sz w:val="20"/>
        </w:rPr>
        <w:t>is defined in the recitals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1.109</w:t>
      </w:r>
    </w:p>
    <w:p>
      <w:pPr>
        <w:pStyle w:val="TextBody"/>
        <w:bidi w:val="0"/>
        <w:spacing w:before="0" w:after="240"/>
        <w:jc w:val="left"/>
        <w:rPr/>
      </w:pPr>
      <w:r>
        <w:rPr>
          <w:color w:val="000000"/>
        </w:rPr>
        <w:t>“</w:t>
      </w:r>
      <w:r>
        <w:rPr>
          <w:rFonts w:ascii="Times New Roman" w:hAnsi="Times New Roman"/>
          <w:color w:val="000000"/>
          <w:sz w:val="20"/>
          <w:u w:val="single"/>
        </w:rPr>
        <w:t>Option Exercise Deadline</w:t>
      </w:r>
      <w:r>
        <w:rPr>
          <w:color w:val="000000"/>
        </w:rPr>
        <w:t xml:space="preserve">” </w:t>
      </w:r>
      <w:r>
        <w:rPr>
          <w:rFonts w:ascii="Times New Roman" w:hAnsi="Times New Roman"/>
          <w:color w:val="000000"/>
          <w:sz w:val="20"/>
        </w:rPr>
        <w:t>means the date that is [*] the Option Exercise Deadline may be extended to such date as is mutually agreed in writing by FibroGen and Fortis in each Party’s sole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1.110</w:t>
      </w:r>
    </w:p>
    <w:p>
      <w:pPr>
        <w:pStyle w:val="TextBody"/>
        <w:bidi w:val="0"/>
        <w:spacing w:before="0" w:after="240"/>
        <w:jc w:val="left"/>
        <w:rPr/>
      </w:pPr>
      <w:r>
        <w:rPr>
          <w:color w:val="000000"/>
        </w:rPr>
        <w:t>“</w:t>
      </w:r>
      <w:r>
        <w:rPr>
          <w:rFonts w:ascii="Times New Roman" w:hAnsi="Times New Roman"/>
          <w:color w:val="000000"/>
          <w:sz w:val="20"/>
          <w:u w:val="single"/>
        </w:rPr>
        <w:t>Original Agreement</w:t>
      </w:r>
      <w:r>
        <w:rPr>
          <w:color w:val="000000"/>
        </w:rPr>
        <w:t xml:space="preserve">” </w:t>
      </w:r>
      <w:r>
        <w:rPr>
          <w:rFonts w:ascii="Times New Roman" w:hAnsi="Times New Roman"/>
          <w:color w:val="000000"/>
          <w:sz w:val="20"/>
        </w:rPr>
        <w:t>is defined in the preamble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1.111</w:t>
      </w:r>
    </w:p>
    <w:p>
      <w:pPr>
        <w:pStyle w:val="TextBody"/>
        <w:bidi w:val="0"/>
        <w:spacing w:before="0" w:after="240"/>
        <w:jc w:val="left"/>
        <w:rPr/>
      </w:pPr>
      <w:r>
        <w:rPr>
          <w:color w:val="000000"/>
        </w:rPr>
        <w:t>“</w:t>
      </w:r>
      <w:r>
        <w:rPr>
          <w:rFonts w:ascii="Times New Roman" w:hAnsi="Times New Roman"/>
          <w:color w:val="000000"/>
          <w:sz w:val="20"/>
          <w:u w:val="single"/>
        </w:rPr>
        <w:t>Outside Date</w:t>
      </w:r>
      <w:r>
        <w:rPr>
          <w:color w:val="000000"/>
        </w:rPr>
        <w:t xml:space="preserve">” </w:t>
      </w:r>
      <w:r>
        <w:rPr>
          <w:rFonts w:ascii="Times New Roman" w:hAnsi="Times New Roman"/>
          <w:color w:val="000000"/>
          <w:sz w:val="20"/>
        </w:rPr>
        <w:t>is defined in Section 1.109.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1.112</w:t>
      </w:r>
    </w:p>
    <w:p>
      <w:pPr>
        <w:pStyle w:val="TextBody"/>
        <w:bidi w:val="0"/>
        <w:spacing w:before="0" w:after="240"/>
        <w:jc w:val="left"/>
        <w:rPr/>
      </w:pPr>
      <w:r>
        <w:rPr>
          <w:color w:val="000000"/>
        </w:rPr>
        <w:t>“</w:t>
      </w:r>
      <w:r>
        <w:rPr>
          <w:rFonts w:ascii="Times New Roman" w:hAnsi="Times New Roman"/>
          <w:color w:val="000000"/>
          <w:sz w:val="20"/>
          <w:u w:val="single"/>
        </w:rPr>
        <w:t>Party</w:t>
      </w:r>
      <w:r>
        <w:rPr>
          <w:color w:val="000000"/>
        </w:rPr>
        <w:t xml:space="preserve">” </w:t>
      </w:r>
      <w:r>
        <w:rPr>
          <w:rFonts w:ascii="Times New Roman" w:hAnsi="Times New Roman"/>
          <w:color w:val="000000"/>
          <w:sz w:val="20"/>
        </w:rPr>
        <w:t>and “</w:t>
      </w:r>
      <w:r>
        <w:rPr>
          <w:rFonts w:ascii="Times New Roman" w:hAnsi="Times New Roman"/>
          <w:color w:val="000000"/>
          <w:sz w:val="20"/>
          <w:u w:val="single"/>
        </w:rPr>
        <w:t>Parties</w:t>
      </w:r>
      <w:r>
        <w:rPr>
          <w:color w:val="000000"/>
        </w:rPr>
        <w:t xml:space="preserve">” </w:t>
      </w:r>
      <w:r>
        <w:rPr>
          <w:rFonts w:ascii="Times New Roman" w:hAnsi="Times New Roman"/>
          <w:color w:val="000000"/>
          <w:sz w:val="20"/>
        </w:rPr>
        <w:t>is defined in the preamble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1.113</w:t>
      </w:r>
    </w:p>
    <w:p>
      <w:pPr>
        <w:pStyle w:val="TextBody"/>
        <w:bidi w:val="0"/>
        <w:spacing w:before="0" w:after="240"/>
        <w:jc w:val="left"/>
        <w:rPr/>
      </w:pPr>
      <w:r>
        <w:rPr>
          <w:color w:val="000000"/>
        </w:rPr>
        <w:t>“</w:t>
      </w:r>
      <w:r>
        <w:rPr>
          <w:rFonts w:ascii="Times New Roman" w:hAnsi="Times New Roman"/>
          <w:color w:val="000000"/>
          <w:sz w:val="20"/>
          <w:u w:val="single"/>
        </w:rPr>
        <w:t>Patent Rights</w:t>
      </w:r>
      <w:r>
        <w:rPr>
          <w:color w:val="000000"/>
        </w:rPr>
        <w:t xml:space="preserve">” </w:t>
      </w:r>
      <w:r>
        <w:rPr>
          <w:rFonts w:ascii="Times New Roman" w:hAnsi="Times New Roman"/>
          <w:color w:val="000000"/>
          <w:sz w:val="20"/>
        </w:rPr>
        <w:t>means any and all (a) issued patents, (b) pending patent applications, including all provisional applications, substitutions, continuations, continuations-in-part, divisions and renewals, and all patents granted thereon, (c) patents-of-addition, reissues, reexaminations and extensions or restorations by existing or future extension or restoration mechanisms, including patent term adjustments, Patent Term Extensions, supplementary protection certificates or the equivalent thereof, (d) inventor’s certificates, (e) other forms of government-issued rights substantially similar to any of the foregoing and (f) United States and foreign counterparts of any of the foregoing.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1.114</w:t>
      </w:r>
    </w:p>
    <w:p>
      <w:pPr>
        <w:pStyle w:val="TextBody"/>
        <w:bidi w:val="0"/>
        <w:spacing w:before="0" w:after="240"/>
        <w:jc w:val="left"/>
        <w:rPr/>
      </w:pPr>
      <w:r>
        <w:rPr>
          <w:color w:val="000000"/>
        </w:rPr>
        <w:t>“</w:t>
      </w:r>
      <w:r>
        <w:rPr>
          <w:rFonts w:ascii="Times New Roman" w:hAnsi="Times New Roman"/>
          <w:color w:val="000000"/>
          <w:sz w:val="20"/>
          <w:u w:val="single"/>
        </w:rPr>
        <w:t>Patent Term Extension</w:t>
      </w:r>
      <w:r>
        <w:rPr>
          <w:color w:val="000000"/>
        </w:rPr>
        <w:t xml:space="preserve">” </w:t>
      </w:r>
      <w:r>
        <w:rPr>
          <w:rFonts w:ascii="Times New Roman" w:hAnsi="Times New Roman"/>
          <w:color w:val="000000"/>
          <w:sz w:val="20"/>
        </w:rPr>
        <w:t>means any term extensions, supplementary protection certificates and equivalents thereof offering patent protection beyond the initial term with respect to any issued patents.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1.115</w:t>
      </w:r>
    </w:p>
    <w:p>
      <w:pPr>
        <w:pStyle w:val="TextBody"/>
        <w:bidi w:val="0"/>
        <w:spacing w:before="0" w:after="240"/>
        <w:jc w:val="left"/>
        <w:rPr/>
      </w:pPr>
      <w:r>
        <w:rPr>
          <w:color w:val="000000"/>
        </w:rPr>
        <w:t>“</w:t>
      </w:r>
      <w:r>
        <w:rPr>
          <w:rFonts w:ascii="Times New Roman" w:hAnsi="Times New Roman"/>
          <w:color w:val="000000"/>
          <w:sz w:val="20"/>
          <w:u w:val="single"/>
        </w:rPr>
        <w:t>Person</w:t>
      </w:r>
      <w:r>
        <w:rPr>
          <w:color w:val="000000"/>
        </w:rPr>
        <w:t xml:space="preserve">” </w:t>
      </w:r>
      <w:r>
        <w:rPr>
          <w:rFonts w:ascii="Times New Roman" w:hAnsi="Times New Roman"/>
          <w:color w:val="000000"/>
          <w:sz w:val="20"/>
        </w:rPr>
        <w:t>means an individual, sole proprietorship, partnership, limited partnership, limited liability partnership, corporation, limited liability company, business trust, joint stock company, trust, incorporated association, joint venture or similar entity or organization, including a Governmental Authority.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1.116</w:t>
      </w:r>
    </w:p>
    <w:p>
      <w:pPr>
        <w:pStyle w:val="TextBody"/>
        <w:bidi w:val="0"/>
        <w:spacing w:before="0" w:after="240"/>
        <w:jc w:val="left"/>
        <w:rPr/>
      </w:pPr>
      <w:r>
        <w:rPr>
          <w:color w:val="000000"/>
        </w:rPr>
        <w:t>“</w:t>
      </w:r>
      <w:r>
        <w:rPr>
          <w:rFonts w:ascii="Times New Roman" w:hAnsi="Times New Roman"/>
          <w:color w:val="000000"/>
          <w:sz w:val="20"/>
          <w:u w:val="single"/>
        </w:rPr>
        <w:t>PET Technical Study</w:t>
      </w:r>
      <w:r>
        <w:rPr>
          <w:color w:val="000000"/>
        </w:rPr>
        <w:t xml:space="preserve">” </w:t>
      </w:r>
      <w:r>
        <w:rPr>
          <w:rFonts w:ascii="Times New Roman" w:hAnsi="Times New Roman"/>
          <w:color w:val="000000"/>
          <w:sz w:val="20"/>
        </w:rPr>
        <w:t>is defined in Section 1.71.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1.117</w:t>
      </w:r>
    </w:p>
    <w:p>
      <w:pPr>
        <w:pStyle w:val="TextBody"/>
        <w:bidi w:val="0"/>
        <w:spacing w:before="0" w:after="240"/>
        <w:jc w:val="left"/>
        <w:rPr/>
      </w:pPr>
      <w:r>
        <w:rPr>
          <w:color w:val="000000"/>
        </w:rPr>
        <w:t>“</w:t>
      </w:r>
      <w:r>
        <w:rPr>
          <w:rFonts w:ascii="Times New Roman" w:hAnsi="Times New Roman"/>
          <w:color w:val="000000"/>
          <w:sz w:val="20"/>
          <w:u w:val="single"/>
        </w:rPr>
        <w:t>PET46</w:t>
      </w:r>
      <w:r>
        <w:rPr>
          <w:color w:val="000000"/>
        </w:rPr>
        <w:t xml:space="preserve">” </w:t>
      </w:r>
      <w:r>
        <w:rPr>
          <w:rFonts w:ascii="Times New Roman" w:hAnsi="Times New Roman"/>
          <w:color w:val="000000"/>
          <w:sz w:val="20"/>
        </w:rPr>
        <w:t xml:space="preserve">means a CD46-targeting PET agent Controlled by Fortis, as further described in </w:t>
      </w:r>
      <w:r>
        <w:rPr>
          <w:rFonts w:ascii="Times New Roman" w:hAnsi="Times New Roman"/>
          <w:color w:val="000000"/>
          <w:sz w:val="20"/>
          <w:u w:val="single"/>
        </w:rPr>
        <w:t>Schedule 1.117</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1.118</w:t>
      </w:r>
    </w:p>
    <w:p>
      <w:pPr>
        <w:pStyle w:val="TextBody"/>
        <w:bidi w:val="0"/>
        <w:spacing w:before="0" w:after="240"/>
        <w:jc w:val="left"/>
        <w:rPr/>
      </w:pPr>
      <w:r>
        <w:rPr>
          <w:color w:val="000000"/>
        </w:rPr>
        <w:t>“</w:t>
      </w:r>
      <w:r>
        <w:rPr>
          <w:rFonts w:ascii="Times New Roman" w:hAnsi="Times New Roman"/>
          <w:color w:val="000000"/>
          <w:sz w:val="20"/>
          <w:u w:val="single"/>
        </w:rPr>
        <w:t>Phase 1 Clinical Trial</w:t>
      </w:r>
      <w:r>
        <w:rPr>
          <w:color w:val="000000"/>
        </w:rPr>
        <w:t xml:space="preserve">” </w:t>
      </w:r>
      <w:r>
        <w:rPr>
          <w:rFonts w:ascii="Times New Roman" w:hAnsi="Times New Roman"/>
          <w:color w:val="000000"/>
          <w:sz w:val="20"/>
        </w:rPr>
        <w:t>means any Clinical Trial as described in 21 C.F.R. §312.21(a) (as amended or any successor regulation thereto), or, with respect to a jurisdiction other than the United States, a similar Clinical Trial, that generally provides for the first introduction into humans of a pharmaceutical product with the primary purpose of determining safety, metabolism and pharmacokinetic properties and clinical pharmacology of such product, in a manner that is generally consistent with 21 CFR § 312.21(a).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1.119</w:t>
      </w:r>
    </w:p>
    <w:p>
      <w:pPr>
        <w:pStyle w:val="TextBody"/>
        <w:bidi w:val="0"/>
        <w:spacing w:before="0" w:after="240"/>
        <w:jc w:val="left"/>
        <w:rPr/>
      </w:pPr>
      <w:r>
        <w:rPr>
          <w:color w:val="000000"/>
        </w:rPr>
        <w:t>“</w:t>
      </w:r>
      <w:r>
        <w:rPr>
          <w:rFonts w:ascii="Times New Roman" w:hAnsi="Times New Roman"/>
          <w:color w:val="000000"/>
          <w:sz w:val="20"/>
          <w:u w:val="single"/>
        </w:rPr>
        <w:t>Phase 1b Clinical Trial</w:t>
      </w:r>
      <w:r>
        <w:rPr>
          <w:color w:val="000000"/>
        </w:rPr>
        <w:t xml:space="preserve">” </w:t>
      </w:r>
      <w:r>
        <w:rPr>
          <w:rFonts w:ascii="Times New Roman" w:hAnsi="Times New Roman"/>
          <w:color w:val="000000"/>
          <w:sz w:val="20"/>
        </w:rPr>
        <w:t>means any Phase 1 Clinical Trial that includes criteria analyzing pharmacodynamics and clinical effect.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1.120</w:t>
      </w:r>
    </w:p>
    <w:p>
      <w:pPr>
        <w:pStyle w:val="TextBody"/>
        <w:bidi w:val="0"/>
        <w:spacing w:before="0" w:after="240"/>
        <w:jc w:val="left"/>
        <w:rPr/>
      </w:pPr>
      <w:r>
        <w:rPr>
          <w:color w:val="000000"/>
        </w:rPr>
        <w:t>“</w:t>
      </w:r>
      <w:r>
        <w:rPr>
          <w:rFonts w:ascii="Times New Roman" w:hAnsi="Times New Roman"/>
          <w:color w:val="000000"/>
          <w:sz w:val="20"/>
          <w:u w:val="single"/>
        </w:rPr>
        <w:t>Phase 2 Clinical Trial</w:t>
      </w:r>
      <w:r>
        <w:rPr>
          <w:color w:val="000000"/>
        </w:rPr>
        <w:t xml:space="preserve">” </w:t>
      </w:r>
      <w:r>
        <w:rPr>
          <w:rFonts w:ascii="Times New Roman" w:hAnsi="Times New Roman"/>
          <w:color w:val="000000"/>
          <w:sz w:val="20"/>
        </w:rPr>
        <w:t>means any Clinical Trial as described in 21 C.F.R. §312.21(b) (as amended or any successor regulation thereto), or, with respect to a jurisdiction other than the United States, a similar Clinical Trial, the principal purpose of which is to make a preliminary determination as to whether a pharmaceutical product is safe for its intended use and to obtain sufficient information about such product’s efficacy, in a manner that is generally consistent with 21 CFR § 312.21(b), to permit the design of further Clinical Trials.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1.121</w:t>
      </w:r>
    </w:p>
    <w:p>
      <w:pPr>
        <w:pStyle w:val="TextBody"/>
        <w:bidi w:val="0"/>
        <w:spacing w:before="0" w:after="240"/>
        <w:jc w:val="left"/>
        <w:rPr/>
      </w:pPr>
      <w:r>
        <w:rPr>
          <w:color w:val="000000"/>
        </w:rPr>
        <w:t>“</w:t>
      </w:r>
      <w:r>
        <w:rPr>
          <w:rFonts w:ascii="Times New Roman" w:hAnsi="Times New Roman"/>
          <w:color w:val="000000"/>
          <w:sz w:val="20"/>
          <w:u w:val="single"/>
        </w:rPr>
        <w:t>Phase 2 Data Submission Date</w:t>
      </w:r>
      <w:r>
        <w:rPr>
          <w:color w:val="000000"/>
        </w:rPr>
        <w:t xml:space="preserve">” </w:t>
      </w:r>
      <w:r>
        <w:rPr>
          <w:rFonts w:ascii="Times New Roman" w:hAnsi="Times New Roman"/>
          <w:color w:val="000000"/>
          <w:sz w:val="20"/>
        </w:rPr>
        <w:t>is defined in Section 1.109.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1.122</w:t>
      </w:r>
    </w:p>
    <w:p>
      <w:pPr>
        <w:pStyle w:val="TextBody"/>
        <w:bidi w:val="0"/>
        <w:spacing w:before="0" w:after="240"/>
        <w:jc w:val="left"/>
        <w:rPr/>
      </w:pPr>
      <w:r>
        <w:rPr>
          <w:color w:val="000000"/>
        </w:rPr>
        <w:t>“</w:t>
      </w:r>
      <w:r>
        <w:rPr>
          <w:rFonts w:ascii="Times New Roman" w:hAnsi="Times New Roman"/>
          <w:color w:val="000000"/>
          <w:sz w:val="20"/>
          <w:u w:val="single"/>
        </w:rPr>
        <w:t>Phase 3 Clinical Trial</w:t>
      </w:r>
      <w:r>
        <w:rPr>
          <w:color w:val="000000"/>
        </w:rPr>
        <w:t xml:space="preserve">” </w:t>
      </w:r>
      <w:r>
        <w:rPr>
          <w:rFonts w:ascii="Times New Roman" w:hAnsi="Times New Roman"/>
          <w:color w:val="000000"/>
          <w:sz w:val="20"/>
        </w:rPr>
        <w:t>means any Clinical Trial as described in 21 C.F.R. §312.21(c) (as amended or any successor regulation thereto), or, with respect to a jurisdiction other than the United States, a similar Clinical Trial. For clarity, for purposes of this Agreement, where the data from Phase 2 Clinical Trials serves as the basis for obtaining Regulatory Approval for a Product, such Phase 2 Clinical Trials will not be deemed a Phase 3 Clinical Trial for purposes of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1.123</w:t>
      </w:r>
    </w:p>
    <w:p>
      <w:pPr>
        <w:pStyle w:val="TextBody"/>
        <w:bidi w:val="0"/>
        <w:spacing w:before="0" w:after="240"/>
        <w:jc w:val="left"/>
        <w:rPr/>
      </w:pPr>
      <w:r>
        <w:rPr>
          <w:color w:val="000000"/>
        </w:rPr>
        <w:t>“</w:t>
      </w:r>
      <w:r>
        <w:rPr>
          <w:rFonts w:ascii="Times New Roman" w:hAnsi="Times New Roman"/>
          <w:color w:val="000000"/>
          <w:sz w:val="20"/>
          <w:u w:val="single"/>
        </w:rPr>
        <w:t>PMDA</w:t>
      </w:r>
      <w:r>
        <w:rPr>
          <w:color w:val="000000"/>
        </w:rPr>
        <w:t xml:space="preserve">” </w:t>
      </w:r>
      <w:r>
        <w:rPr>
          <w:rFonts w:ascii="Times New Roman" w:hAnsi="Times New Roman"/>
          <w:color w:val="000000"/>
          <w:sz w:val="20"/>
        </w:rPr>
        <w:t>means Japan’s Pharmaceuticals and Medical Devices Agency and any successor agency(ies) or authority having substantially the same function.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1.124</w:t>
      </w:r>
    </w:p>
    <w:p>
      <w:pPr>
        <w:pStyle w:val="TextBody"/>
        <w:bidi w:val="0"/>
        <w:spacing w:before="0" w:after="240"/>
        <w:jc w:val="left"/>
        <w:rPr/>
      </w:pPr>
      <w:r>
        <w:rPr>
          <w:color w:val="000000"/>
        </w:rPr>
        <w:t>“</w:t>
      </w:r>
      <w:r>
        <w:rPr>
          <w:rFonts w:ascii="Times New Roman" w:hAnsi="Times New Roman"/>
          <w:color w:val="000000"/>
          <w:sz w:val="20"/>
          <w:u w:val="single"/>
        </w:rPr>
        <w:t>Product</w:t>
      </w:r>
      <w:r>
        <w:rPr>
          <w:color w:val="000000"/>
        </w:rPr>
        <w:t xml:space="preserve">” </w:t>
      </w:r>
      <w:r>
        <w:rPr>
          <w:rFonts w:ascii="Times New Roman" w:hAnsi="Times New Roman"/>
          <w:color w:val="000000"/>
          <w:sz w:val="20"/>
        </w:rPr>
        <w:t>means any product containing, constituting or incorporating one or more of the following: (i) FOR46, (ii) CD46 Agent(s), or (iii) PET46.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1.125</w:t>
      </w:r>
    </w:p>
    <w:p>
      <w:pPr>
        <w:pStyle w:val="TextBody"/>
        <w:bidi w:val="0"/>
        <w:spacing w:before="0" w:after="240"/>
        <w:jc w:val="left"/>
        <w:rPr/>
      </w:pPr>
      <w:r>
        <w:rPr>
          <w:color w:val="000000"/>
        </w:rPr>
        <w:t>“</w:t>
      </w:r>
      <w:r>
        <w:rPr>
          <w:rFonts w:ascii="Times New Roman" w:hAnsi="Times New Roman"/>
          <w:color w:val="000000"/>
          <w:sz w:val="20"/>
          <w:u w:val="single"/>
        </w:rPr>
        <w:t>Receiving Party</w:t>
      </w:r>
      <w:r>
        <w:rPr>
          <w:color w:val="000000"/>
        </w:rPr>
        <w:t xml:space="preserve">” </w:t>
      </w:r>
      <w:r>
        <w:rPr>
          <w:rFonts w:ascii="Times New Roman" w:hAnsi="Times New Roman"/>
          <w:color w:val="000000"/>
          <w:sz w:val="20"/>
        </w:rPr>
        <w:t>is defined in Section 10.1.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1.126</w:t>
      </w:r>
    </w:p>
    <w:p>
      <w:pPr>
        <w:pStyle w:val="TextBody"/>
        <w:bidi w:val="0"/>
        <w:spacing w:before="0" w:after="240"/>
        <w:jc w:val="left"/>
        <w:rPr/>
      </w:pPr>
      <w:r>
        <w:rPr>
          <w:color w:val="000000"/>
        </w:rPr>
        <w:t>“</w:t>
      </w:r>
      <w:r>
        <w:rPr>
          <w:rFonts w:ascii="Times New Roman" w:hAnsi="Times New Roman"/>
          <w:color w:val="000000"/>
          <w:sz w:val="20"/>
          <w:u w:val="single"/>
        </w:rPr>
        <w:t>Regulatory Approval</w:t>
      </w:r>
      <w:r>
        <w:rPr>
          <w:color w:val="000000"/>
        </w:rPr>
        <w:t xml:space="preserve">” </w:t>
      </w:r>
      <w:r>
        <w:rPr>
          <w:rFonts w:ascii="Times New Roman" w:hAnsi="Times New Roman"/>
          <w:color w:val="000000"/>
          <w:sz w:val="20"/>
        </w:rPr>
        <w:t>means, with respect to a given product, all technical, medical and scientific licenses, registrations, authorizations and approvals (including approvals of BLAs, supplements and amendments, pre- and post- approvals, and labeling approvals) of any Regulatory Authority in a particular jurisdiction that is necessary for the Commercialization of such product in such jurisdiction in accordance with Applicable 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1.127</w:t>
      </w:r>
    </w:p>
    <w:p>
      <w:pPr>
        <w:pStyle w:val="TextBody"/>
        <w:bidi w:val="0"/>
        <w:spacing w:before="0" w:after="240"/>
        <w:jc w:val="left"/>
        <w:rPr/>
      </w:pPr>
      <w:r>
        <w:rPr>
          <w:color w:val="000000"/>
        </w:rPr>
        <w:t>“</w:t>
      </w:r>
      <w:r>
        <w:rPr>
          <w:rFonts w:ascii="Times New Roman" w:hAnsi="Times New Roman"/>
          <w:color w:val="000000"/>
          <w:sz w:val="20"/>
          <w:u w:val="single"/>
        </w:rPr>
        <w:t>Regulatory Authority</w:t>
      </w:r>
      <w:r>
        <w:rPr>
          <w:color w:val="000000"/>
        </w:rPr>
        <w:t xml:space="preserve">” </w:t>
      </w:r>
      <w:r>
        <w:rPr>
          <w:rFonts w:ascii="Times New Roman" w:hAnsi="Times New Roman"/>
          <w:color w:val="000000"/>
          <w:sz w:val="20"/>
        </w:rPr>
        <w:t>means any applicable Governmental Authority involved in granting Regulatory Approval in a country or jurisdiction, including, in the United States, the FDA and any other applicable Governmental Authority in the United States having jurisdiction over any product; in the EU, the EMA or any competent Governmental Authority in the EU; in Japan, the PMDA; and any other applicable Governmental Authority having jurisdiction over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1.128</w:t>
      </w:r>
    </w:p>
    <w:p>
      <w:pPr>
        <w:pStyle w:val="TextBody"/>
        <w:bidi w:val="0"/>
        <w:spacing w:before="0" w:after="240"/>
        <w:jc w:val="left"/>
        <w:rPr/>
      </w:pPr>
      <w:r>
        <w:rPr>
          <w:color w:val="000000"/>
        </w:rPr>
        <w:t>“</w:t>
      </w:r>
      <w:r>
        <w:rPr>
          <w:rFonts w:ascii="Times New Roman" w:hAnsi="Times New Roman"/>
          <w:color w:val="000000"/>
          <w:sz w:val="20"/>
          <w:u w:val="single"/>
        </w:rPr>
        <w:t>Regulatory Materials</w:t>
      </w:r>
      <w:r>
        <w:rPr>
          <w:color w:val="000000"/>
        </w:rPr>
        <w:t xml:space="preserve">” </w:t>
      </w:r>
      <w:r>
        <w:rPr>
          <w:rFonts w:ascii="Times New Roman" w:hAnsi="Times New Roman"/>
          <w:color w:val="000000"/>
          <w:sz w:val="20"/>
        </w:rPr>
        <w:t>means regulatory applications, submissions, notifications, registrations, Regulatory Approvals or other submissions, including any written correspondence or meeting minutes, made to, made with, or received from a Regulatory Authority relating to any Product in a particular country or jurisdiction. Regulatory Materials include INDs and drug approval applications for any product, and amendments and supplements for any of the foregoing.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1.129</w:t>
      </w:r>
    </w:p>
    <w:p>
      <w:pPr>
        <w:pStyle w:val="TextBody"/>
        <w:bidi w:val="0"/>
        <w:spacing w:before="0" w:after="240"/>
        <w:jc w:val="left"/>
        <w:rPr/>
      </w:pPr>
      <w:r>
        <w:rPr>
          <w:color w:val="000000"/>
        </w:rPr>
        <w:t>“</w:t>
      </w:r>
      <w:r>
        <w:rPr>
          <w:rFonts w:ascii="Times New Roman" w:hAnsi="Times New Roman"/>
          <w:color w:val="000000"/>
          <w:sz w:val="20"/>
          <w:u w:val="single"/>
        </w:rPr>
        <w:t>Response</w:t>
      </w:r>
      <w:r>
        <w:rPr>
          <w:color w:val="000000"/>
        </w:rPr>
        <w:t xml:space="preserve">” </w:t>
      </w:r>
      <w:r>
        <w:rPr>
          <w:rFonts w:ascii="Times New Roman" w:hAnsi="Times New Roman"/>
          <w:color w:val="000000"/>
          <w:sz w:val="20"/>
        </w:rPr>
        <w:t>is defined in Section 12.1(b).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1.130</w:t>
      </w:r>
    </w:p>
    <w:p>
      <w:pPr>
        <w:pStyle w:val="TextBody"/>
        <w:bidi w:val="0"/>
        <w:spacing w:before="0" w:after="240"/>
        <w:jc w:val="left"/>
        <w:rPr/>
      </w:pPr>
      <w:r>
        <w:rPr>
          <w:color w:val="000000"/>
        </w:rPr>
        <w:t>“</w:t>
      </w:r>
      <w:r>
        <w:rPr>
          <w:rFonts w:ascii="Times New Roman" w:hAnsi="Times New Roman"/>
          <w:color w:val="000000"/>
          <w:sz w:val="20"/>
          <w:u w:val="single"/>
        </w:rPr>
        <w:t>Responsible Party</w:t>
      </w:r>
      <w:r>
        <w:rPr>
          <w:color w:val="000000"/>
        </w:rPr>
        <w:t xml:space="preserve">” </w:t>
      </w:r>
      <w:r>
        <w:rPr>
          <w:rFonts w:ascii="Times New Roman" w:hAnsi="Times New Roman"/>
          <w:color w:val="000000"/>
          <w:sz w:val="20"/>
        </w:rPr>
        <w:t>is defined in Section 6.1.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1.131</w:t>
      </w:r>
    </w:p>
    <w:p>
      <w:pPr>
        <w:pStyle w:val="TextBody"/>
        <w:bidi w:val="0"/>
        <w:spacing w:before="0" w:after="240"/>
        <w:jc w:val="left"/>
        <w:rPr/>
      </w:pPr>
      <w:r>
        <w:rPr>
          <w:color w:val="000000"/>
        </w:rPr>
        <w:t>“</w:t>
      </w:r>
      <w:r>
        <w:rPr>
          <w:rFonts w:ascii="Times New Roman" w:hAnsi="Times New Roman"/>
          <w:color w:val="000000"/>
          <w:sz w:val="20"/>
          <w:u w:val="single"/>
        </w:rPr>
        <w:t>Restatement Effective Date</w:t>
      </w:r>
      <w:r>
        <w:rPr>
          <w:color w:val="000000"/>
        </w:rPr>
        <w:t xml:space="preserve">” </w:t>
      </w:r>
      <w:r>
        <w:rPr>
          <w:rFonts w:ascii="Times New Roman" w:hAnsi="Times New Roman"/>
          <w:color w:val="000000"/>
          <w:sz w:val="20"/>
        </w:rPr>
        <w:t>is defined in the preamble 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1.132</w:t>
      </w:r>
    </w:p>
    <w:p>
      <w:pPr>
        <w:pStyle w:val="TextBody"/>
        <w:bidi w:val="0"/>
        <w:spacing w:before="0" w:after="240"/>
        <w:jc w:val="left"/>
        <w:rPr/>
      </w:pPr>
      <w:r>
        <w:rPr>
          <w:color w:val="000000"/>
        </w:rPr>
        <w:t>“</w:t>
      </w:r>
      <w:r>
        <w:rPr>
          <w:rFonts w:ascii="Times New Roman" w:hAnsi="Times New Roman"/>
          <w:color w:val="000000"/>
          <w:sz w:val="20"/>
          <w:u w:val="single"/>
        </w:rPr>
        <w:t>Safety Data Exchange Agreement</w:t>
      </w:r>
      <w:r>
        <w:rPr>
          <w:color w:val="000000"/>
        </w:rPr>
        <w:t xml:space="preserve">” </w:t>
      </w:r>
      <w:r>
        <w:rPr>
          <w:rFonts w:ascii="Times New Roman" w:hAnsi="Times New Roman"/>
          <w:color w:val="000000"/>
          <w:sz w:val="20"/>
        </w:rPr>
        <w:t>is defined in Section 6.3.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1.133</w:t>
      </w:r>
    </w:p>
    <w:p>
      <w:pPr>
        <w:pStyle w:val="TextBody"/>
        <w:bidi w:val="0"/>
        <w:spacing w:before="0" w:after="240"/>
        <w:jc w:val="left"/>
        <w:rPr/>
      </w:pPr>
      <w:r>
        <w:rPr>
          <w:color w:val="000000"/>
        </w:rPr>
        <w:t>“</w:t>
      </w:r>
      <w:r>
        <w:rPr>
          <w:rFonts w:ascii="Times New Roman" w:hAnsi="Times New Roman"/>
          <w:color w:val="000000"/>
          <w:sz w:val="20"/>
          <w:u w:val="single"/>
        </w:rPr>
        <w:t>Study Plan</w:t>
      </w:r>
      <w:r>
        <w:rPr>
          <w:color w:val="000000"/>
        </w:rPr>
        <w:t xml:space="preserve">” </w:t>
      </w:r>
      <w:r>
        <w:rPr>
          <w:rFonts w:ascii="Times New Roman" w:hAnsi="Times New Roman"/>
          <w:color w:val="000000"/>
          <w:sz w:val="20"/>
        </w:rPr>
        <w:t>is defined in Section 5.1.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1.134</w:t>
      </w:r>
    </w:p>
    <w:p>
      <w:pPr>
        <w:pStyle w:val="TextBody"/>
        <w:bidi w:val="0"/>
        <w:spacing w:before="0" w:after="240"/>
        <w:jc w:val="left"/>
        <w:rPr/>
      </w:pPr>
      <w:r>
        <w:rPr>
          <w:color w:val="000000"/>
        </w:rPr>
        <w:t>“</w:t>
      </w:r>
      <w:r>
        <w:rPr>
          <w:rFonts w:ascii="Times New Roman" w:hAnsi="Times New Roman"/>
          <w:color w:val="000000"/>
          <w:sz w:val="20"/>
          <w:u w:val="single"/>
        </w:rPr>
        <w:t>Subcontractor</w:t>
      </w:r>
      <w:r>
        <w:rPr>
          <w:color w:val="000000"/>
        </w:rPr>
        <w:t xml:space="preserve">” </w:t>
      </w:r>
      <w:r>
        <w:rPr>
          <w:rFonts w:ascii="Times New Roman" w:hAnsi="Times New Roman"/>
          <w:color w:val="000000"/>
          <w:sz w:val="20"/>
        </w:rPr>
        <w:t>is defined in Section 5.5.</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1.135</w:t>
      </w:r>
    </w:p>
    <w:p>
      <w:pPr>
        <w:pStyle w:val="TextBody"/>
        <w:bidi w:val="0"/>
        <w:spacing w:before="0" w:after="240"/>
        <w:jc w:val="left"/>
        <w:rPr/>
      </w:pPr>
      <w:r>
        <w:rPr>
          <w:color w:val="000000"/>
        </w:rPr>
        <w:t>“</w:t>
      </w:r>
      <w:r>
        <w:rPr>
          <w:rFonts w:ascii="Times New Roman" w:hAnsi="Times New Roman"/>
          <w:color w:val="000000"/>
          <w:sz w:val="20"/>
          <w:u w:val="single"/>
        </w:rPr>
        <w:t>Term</w:t>
      </w:r>
      <w:r>
        <w:rPr>
          <w:color w:val="000000"/>
        </w:rPr>
        <w:t xml:space="preserve">” </w:t>
      </w:r>
      <w:r>
        <w:rPr>
          <w:rFonts w:ascii="Times New Roman" w:hAnsi="Times New Roman"/>
          <w:color w:val="000000"/>
          <w:sz w:val="20"/>
        </w:rPr>
        <w:t>is defined in Section 11.1.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1.136</w:t>
      </w:r>
    </w:p>
    <w:p>
      <w:pPr>
        <w:pStyle w:val="TextBody"/>
        <w:bidi w:val="0"/>
        <w:spacing w:before="0" w:after="240"/>
        <w:jc w:val="left"/>
        <w:rPr/>
      </w:pPr>
      <w:r>
        <w:rPr>
          <w:color w:val="000000"/>
        </w:rPr>
        <w:t>“</w:t>
      </w:r>
      <w:r>
        <w:rPr>
          <w:rFonts w:ascii="Times New Roman" w:hAnsi="Times New Roman"/>
          <w:color w:val="000000"/>
          <w:sz w:val="20"/>
          <w:u w:val="single"/>
        </w:rPr>
        <w:t>Territory</w:t>
      </w:r>
      <w:r>
        <w:rPr>
          <w:color w:val="000000"/>
        </w:rPr>
        <w:t xml:space="preserve">” </w:t>
      </w:r>
      <w:r>
        <w:rPr>
          <w:rFonts w:ascii="Times New Roman" w:hAnsi="Times New Roman"/>
          <w:color w:val="000000"/>
          <w:sz w:val="20"/>
        </w:rPr>
        <w:t>means worldwide.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1.137</w:t>
      </w:r>
    </w:p>
    <w:p>
      <w:pPr>
        <w:pStyle w:val="TextBody"/>
        <w:bidi w:val="0"/>
        <w:spacing w:before="0" w:after="240"/>
        <w:jc w:val="left"/>
        <w:rPr/>
      </w:pPr>
      <w:r>
        <w:rPr>
          <w:color w:val="000000"/>
        </w:rPr>
        <w:t>“</w:t>
      </w:r>
      <w:r>
        <w:rPr>
          <w:rFonts w:ascii="Times New Roman" w:hAnsi="Times New Roman"/>
          <w:color w:val="000000"/>
          <w:sz w:val="20"/>
          <w:u w:val="single"/>
        </w:rPr>
        <w:t>TFL</w:t>
      </w:r>
      <w:r>
        <w:rPr>
          <w:color w:val="000000"/>
        </w:rPr>
        <w:t xml:space="preserve">” </w:t>
      </w:r>
      <w:r>
        <w:rPr>
          <w:rFonts w:ascii="Times New Roman" w:hAnsi="Times New Roman"/>
          <w:color w:val="000000"/>
          <w:sz w:val="20"/>
        </w:rPr>
        <w:t>means, with respect to a Clinical Trial, the tables, figures and listings for each Clinical Study Report for such Clinical Trial.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1.138</w:t>
      </w:r>
    </w:p>
    <w:p>
      <w:pPr>
        <w:pStyle w:val="TextBody"/>
        <w:bidi w:val="0"/>
        <w:spacing w:before="0" w:after="240"/>
        <w:jc w:val="left"/>
        <w:rPr/>
      </w:pPr>
      <w:r>
        <w:rPr>
          <w:color w:val="000000"/>
        </w:rPr>
        <w:t>“</w:t>
      </w:r>
      <w:r>
        <w:rPr>
          <w:rFonts w:ascii="Times New Roman" w:hAnsi="Times New Roman"/>
          <w:color w:val="000000"/>
          <w:sz w:val="20"/>
          <w:u w:val="single"/>
        </w:rPr>
        <w:t>Third Party</w:t>
      </w:r>
      <w:r>
        <w:rPr>
          <w:color w:val="000000"/>
        </w:rPr>
        <w:t xml:space="preserve">” </w:t>
      </w:r>
      <w:r>
        <w:rPr>
          <w:rFonts w:ascii="Times New Roman" w:hAnsi="Times New Roman"/>
          <w:color w:val="000000"/>
          <w:sz w:val="20"/>
        </w:rPr>
        <w:t>means a Person other than Fortis, FibroGen and their respective Affiliates.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1.139</w:t>
      </w:r>
    </w:p>
    <w:p>
      <w:pPr>
        <w:pStyle w:val="TextBody"/>
        <w:bidi w:val="0"/>
        <w:spacing w:before="0" w:after="240"/>
        <w:jc w:val="left"/>
        <w:rPr/>
      </w:pPr>
      <w:r>
        <w:rPr>
          <w:color w:val="000000"/>
        </w:rPr>
        <w:t>“</w:t>
      </w:r>
      <w:r>
        <w:rPr>
          <w:rFonts w:ascii="Times New Roman" w:hAnsi="Times New Roman"/>
          <w:color w:val="000000"/>
          <w:sz w:val="20"/>
          <w:u w:val="single"/>
        </w:rPr>
        <w:t>Third Party Source</w:t>
      </w:r>
      <w:r>
        <w:rPr>
          <w:color w:val="000000"/>
        </w:rPr>
        <w:t xml:space="preserve">” </w:t>
      </w:r>
      <w:r>
        <w:rPr>
          <w:rFonts w:ascii="Times New Roman" w:hAnsi="Times New Roman"/>
          <w:color w:val="000000"/>
          <w:sz w:val="20"/>
        </w:rPr>
        <w:t>is defined in Section 5.10(b).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1.140</w:t>
      </w:r>
    </w:p>
    <w:p>
      <w:pPr>
        <w:pStyle w:val="TextBody"/>
        <w:bidi w:val="0"/>
        <w:spacing w:before="0" w:after="240"/>
        <w:jc w:val="left"/>
        <w:rPr>
          <w:color w:val="000000"/>
        </w:rPr>
      </w:pPr>
      <w:r>
        <w:rPr>
          <w:color w:val="000000"/>
        </w:rPr>
        <w:t>“</w:t>
      </w:r>
      <w:r>
        <w:rPr>
          <w:rFonts w:ascii="Times New Roman" w:hAnsi="Times New Roman"/>
          <w:color w:val="000000"/>
          <w:sz w:val="20"/>
        </w:rPr>
        <w:t>Transfer Costs” is defined in Section 11.6(b).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1.141</w:t>
      </w:r>
    </w:p>
    <w:p>
      <w:pPr>
        <w:pStyle w:val="TextBody"/>
        <w:bidi w:val="0"/>
        <w:spacing w:before="0" w:after="240"/>
        <w:jc w:val="left"/>
        <w:rPr/>
      </w:pPr>
      <w:r>
        <w:rPr>
          <w:color w:val="000000"/>
        </w:rPr>
        <w:t>“</w:t>
      </w:r>
      <w:r>
        <w:rPr>
          <w:rFonts w:ascii="Times New Roman" w:hAnsi="Times New Roman"/>
          <w:color w:val="000000"/>
          <w:sz w:val="20"/>
          <w:u w:val="single"/>
        </w:rPr>
        <w:t>UCSF</w:t>
      </w:r>
      <w:r>
        <w:rPr>
          <w:color w:val="000000"/>
        </w:rPr>
        <w:t xml:space="preserve">” </w:t>
      </w:r>
      <w:r>
        <w:rPr>
          <w:rFonts w:ascii="Times New Roman" w:hAnsi="Times New Roman"/>
          <w:color w:val="000000"/>
          <w:sz w:val="20"/>
        </w:rPr>
        <w:t>means The Regents of the University of California.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1.142</w:t>
      </w:r>
    </w:p>
    <w:p>
      <w:pPr>
        <w:pStyle w:val="TextBody"/>
        <w:bidi w:val="0"/>
        <w:spacing w:before="0" w:after="240"/>
        <w:jc w:val="left"/>
        <w:rPr/>
      </w:pPr>
      <w:r>
        <w:rPr>
          <w:color w:val="000000"/>
        </w:rPr>
        <w:t>“</w:t>
      </w:r>
      <w:r>
        <w:rPr>
          <w:rFonts w:ascii="Times New Roman" w:hAnsi="Times New Roman"/>
          <w:color w:val="000000"/>
          <w:sz w:val="20"/>
          <w:u w:val="single"/>
        </w:rPr>
        <w:t>UCSF License</w:t>
      </w:r>
      <w:r>
        <w:rPr>
          <w:color w:val="000000"/>
        </w:rPr>
        <w:t xml:space="preserve">” </w:t>
      </w:r>
      <w:r>
        <w:rPr>
          <w:rFonts w:ascii="Times New Roman" w:hAnsi="Times New Roman"/>
          <w:color w:val="000000"/>
          <w:sz w:val="20"/>
        </w:rPr>
        <w:t>means [*] (the “</w:t>
      </w:r>
      <w:r>
        <w:rPr>
          <w:rFonts w:ascii="Times New Roman" w:hAnsi="Times New Roman"/>
          <w:color w:val="000000"/>
          <w:sz w:val="20"/>
          <w:u w:val="single"/>
        </w:rPr>
        <w:t>Fourth UCSF Amendment</w:t>
      </w:r>
      <w:r>
        <w:rPr>
          <w:color w:val="00000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1.143</w:t>
      </w:r>
    </w:p>
    <w:p>
      <w:pPr>
        <w:pStyle w:val="TextBody"/>
        <w:bidi w:val="0"/>
        <w:spacing w:before="0" w:after="240"/>
        <w:jc w:val="left"/>
        <w:rPr/>
      </w:pPr>
      <w:r>
        <w:rPr>
          <w:color w:val="000000"/>
        </w:rPr>
        <w:t>“</w:t>
      </w:r>
      <w:r>
        <w:rPr>
          <w:rFonts w:ascii="Times New Roman" w:hAnsi="Times New Roman"/>
          <w:color w:val="000000"/>
          <w:sz w:val="20"/>
          <w:u w:val="single"/>
        </w:rPr>
        <w:t>UCSF Data Use Agreement</w:t>
      </w:r>
      <w:r>
        <w:rPr>
          <w:color w:val="000000"/>
        </w:rPr>
        <w:t xml:space="preserve">” </w:t>
      </w:r>
      <w:r>
        <w:rPr>
          <w:rFonts w:ascii="Times New Roman" w:hAnsi="Times New Roman"/>
          <w:color w:val="000000"/>
          <w:sz w:val="20"/>
        </w:rPr>
        <w:t>means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1.144</w:t>
      </w:r>
    </w:p>
    <w:p>
      <w:pPr>
        <w:pStyle w:val="TextBody"/>
        <w:bidi w:val="0"/>
        <w:spacing w:before="0" w:after="240"/>
        <w:jc w:val="left"/>
        <w:rPr/>
      </w:pPr>
      <w:r>
        <w:rPr>
          <w:color w:val="000000"/>
        </w:rPr>
        <w:t>“</w:t>
      </w:r>
      <w:r>
        <w:rPr>
          <w:rFonts w:ascii="Times New Roman" w:hAnsi="Times New Roman"/>
          <w:color w:val="000000"/>
          <w:sz w:val="20"/>
          <w:u w:val="single"/>
        </w:rPr>
        <w:t>UCSF Study</w:t>
      </w:r>
      <w:r>
        <w:rPr>
          <w:color w:val="000000"/>
        </w:rPr>
        <w:t xml:space="preserve">” </w:t>
      </w:r>
      <w:r>
        <w:rPr>
          <w:rFonts w:ascii="Times New Roman" w:hAnsi="Times New Roman"/>
          <w:color w:val="000000"/>
          <w:sz w:val="20"/>
        </w:rPr>
        <w:t>is defined in Section 1.71.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1.145</w:t>
      </w:r>
    </w:p>
    <w:p>
      <w:pPr>
        <w:pStyle w:val="TextBody"/>
        <w:bidi w:val="0"/>
        <w:spacing w:before="0" w:after="240"/>
        <w:jc w:val="left"/>
        <w:rPr/>
      </w:pPr>
      <w:r>
        <w:rPr>
          <w:color w:val="000000"/>
        </w:rPr>
        <w:t>“</w:t>
      </w:r>
      <w:r>
        <w:rPr>
          <w:rFonts w:ascii="Times New Roman" w:hAnsi="Times New Roman"/>
          <w:color w:val="000000"/>
          <w:sz w:val="20"/>
          <w:u w:val="single"/>
        </w:rPr>
        <w:t>United States</w:t>
      </w:r>
      <w:r>
        <w:rPr>
          <w:color w:val="000000"/>
        </w:rPr>
        <w:t xml:space="preserve">” </w:t>
      </w:r>
      <w:r>
        <w:rPr>
          <w:rFonts w:ascii="Times New Roman" w:hAnsi="Times New Roman"/>
          <w:color w:val="000000"/>
          <w:sz w:val="20"/>
        </w:rPr>
        <w:t>means the United States of America, its territories and possessions, including Puerto Rico.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1.146</w:t>
      </w:r>
    </w:p>
    <w:p>
      <w:pPr>
        <w:pStyle w:val="TextBody"/>
        <w:bidi w:val="0"/>
        <w:spacing w:before="0" w:after="240"/>
        <w:jc w:val="left"/>
        <w:rPr/>
      </w:pPr>
      <w:r>
        <w:rPr>
          <w:color w:val="000000"/>
        </w:rPr>
        <w:t>“</w:t>
      </w:r>
      <w:r>
        <w:rPr>
          <w:rFonts w:ascii="Times New Roman" w:hAnsi="Times New Roman"/>
          <w:color w:val="000000"/>
          <w:sz w:val="20"/>
          <w:u w:val="single"/>
        </w:rPr>
        <w:t>Upstream Payments</w:t>
      </w:r>
      <w:r>
        <w:rPr>
          <w:color w:val="000000"/>
        </w:rPr>
        <w:t xml:space="preserve">” </w:t>
      </w:r>
      <w:r>
        <w:rPr>
          <w:rFonts w:ascii="Times New Roman" w:hAnsi="Times New Roman"/>
          <w:color w:val="000000"/>
          <w:sz w:val="20"/>
        </w:rPr>
        <w:t>is defined in Section 7.3.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1.147</w:t>
      </w:r>
    </w:p>
    <w:p>
      <w:pPr>
        <w:pStyle w:val="TextBody"/>
        <w:bidi w:val="0"/>
        <w:spacing w:before="0" w:after="240"/>
        <w:jc w:val="left"/>
        <w:rPr/>
      </w:pPr>
      <w:r>
        <w:rPr>
          <w:color w:val="000000"/>
        </w:rPr>
        <w:t>“</w:t>
      </w:r>
      <w:r>
        <w:rPr>
          <w:rFonts w:ascii="Times New Roman" w:hAnsi="Times New Roman"/>
          <w:color w:val="000000"/>
          <w:sz w:val="20"/>
          <w:u w:val="single"/>
        </w:rPr>
        <w:t>Virtual Data Room</w:t>
      </w:r>
      <w:r>
        <w:rPr>
          <w:color w:val="000000"/>
        </w:rPr>
        <w:t xml:space="preserve">” </w:t>
      </w:r>
      <w:r>
        <w:rPr>
          <w:rFonts w:ascii="Times New Roman" w:hAnsi="Times New Roman"/>
          <w:color w:val="000000"/>
          <w:sz w:val="20"/>
        </w:rPr>
        <w:t>means the electronic data room made available by Fortis to FibroGen through Microsoft SharePoint in connection with the negotiation of this Agreement, as constituted on or prior to the Effective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1.148</w:t>
      </w:r>
    </w:p>
    <w:p>
      <w:pPr>
        <w:pStyle w:val="TextBody"/>
        <w:bidi w:val="0"/>
        <w:spacing w:before="0" w:after="240"/>
        <w:jc w:val="left"/>
        <w:rPr/>
      </w:pPr>
      <w:r>
        <w:rPr>
          <w:color w:val="000000"/>
        </w:rPr>
        <w:t>“</w:t>
      </w:r>
      <w:r>
        <w:rPr>
          <w:rFonts w:ascii="Times New Roman" w:hAnsi="Times New Roman"/>
          <w:color w:val="000000"/>
          <w:sz w:val="20"/>
          <w:u w:val="single"/>
        </w:rPr>
        <w:t>Withholding Tax Action</w:t>
      </w:r>
      <w:r>
        <w:rPr>
          <w:color w:val="000000"/>
        </w:rPr>
        <w:t xml:space="preserve">” </w:t>
      </w:r>
      <w:r>
        <w:rPr>
          <w:rFonts w:ascii="Times New Roman" w:hAnsi="Times New Roman"/>
          <w:color w:val="000000"/>
          <w:sz w:val="20"/>
        </w:rPr>
        <w:t>is defined in Section 7.4(e).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1.149</w:t>
      </w:r>
    </w:p>
    <w:p>
      <w:pPr>
        <w:pStyle w:val="TextBody"/>
        <w:bidi w:val="0"/>
        <w:spacing w:before="0" w:after="240"/>
        <w:jc w:val="left"/>
        <w:rPr/>
      </w:pPr>
      <w:r>
        <w:rPr>
          <w:color w:val="000000"/>
        </w:rPr>
        <w:t>“</w:t>
      </w:r>
      <w:r>
        <w:rPr>
          <w:rFonts w:ascii="Times New Roman" w:hAnsi="Times New Roman"/>
          <w:color w:val="000000"/>
          <w:sz w:val="20"/>
          <w:u w:val="single"/>
        </w:rPr>
        <w:t>YS5</w:t>
      </w:r>
      <w:r>
        <w:rPr>
          <w:color w:val="000000"/>
        </w:rPr>
        <w:t xml:space="preserve">” </w:t>
      </w:r>
      <w:r>
        <w:rPr>
          <w:rFonts w:ascii="Times New Roman" w:hAnsi="Times New Roman"/>
          <w:color w:val="000000"/>
          <w:sz w:val="20"/>
        </w:rPr>
        <w:t>or “</w:t>
      </w:r>
      <w:r>
        <w:rPr>
          <w:rFonts w:ascii="Times New Roman" w:hAnsi="Times New Roman"/>
          <w:color w:val="000000"/>
          <w:sz w:val="20"/>
          <w:u w:val="single"/>
        </w:rPr>
        <w:t>YS5FL</w:t>
      </w:r>
      <w:r>
        <w:rPr>
          <w:color w:val="000000"/>
        </w:rPr>
        <w:t xml:space="preserve">” </w:t>
      </w:r>
      <w:r>
        <w:rPr>
          <w:rFonts w:ascii="Times New Roman" w:hAnsi="Times New Roman"/>
          <w:color w:val="000000"/>
          <w:sz w:val="20"/>
        </w:rPr>
        <w:t>means [*</w:t>
      </w:r>
      <w:r>
        <w:rPr>
          <w:rFonts w:ascii="Times New Roman" w:hAnsi="Times New Roman"/>
          <w:color w:val="000000"/>
          <w:sz w:val="20"/>
          <w:u w:val="single"/>
        </w:rPr>
        <w:t>]</w:t>
      </w:r>
      <w:r>
        <w:rPr>
          <w:rFonts w:ascii="Times New Roman" w:hAnsi="Times New Roman"/>
          <w:color w:val="000000"/>
          <w:sz w:val="20"/>
        </w:rPr>
        <w: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2</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OVERVIEW OF COLLABORATION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this Agreement, (a) the Parties will collaborate for the purpose of the Development of FOR46 [*], and (b) FibroGen will conduct certain evaluation and exploratory research activities with respect to the Products to determine whether FibroGen will exercise the Option pursuant to and in accordance with the Option and Merger Agreement, in each case ((a) and (b)), through the performance of activities set forth in the Study Plan.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3</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GOVERNANCE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left"/>
        <w:rPr/>
      </w:pPr>
      <w:r>
        <w:rPr>
          <w:rFonts w:ascii="Times New Roman" w:hAnsi="Times New Roman"/>
          <w:b/>
          <w:color w:val="000000"/>
          <w:sz w:val="20"/>
        </w:rPr>
        <w:t>Alliance Managers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Appointment</w:t>
      </w:r>
      <w:r>
        <w:rPr>
          <w:rFonts w:ascii="Times New Roman" w:hAnsi="Times New Roman"/>
          <w:color w:val="000000"/>
          <w:sz w:val="20"/>
        </w:rPr>
        <w:t>. Each Party will appoint a representative of such Party to act as its alliance manager under this Agreement (each, an “</w:t>
      </w:r>
      <w:r>
        <w:rPr>
          <w:rFonts w:ascii="Times New Roman" w:hAnsi="Times New Roman"/>
          <w:color w:val="000000"/>
          <w:sz w:val="20"/>
          <w:u w:val="single"/>
        </w:rPr>
        <w:t>Alliance Manager</w:t>
      </w:r>
      <w:r>
        <w:rPr>
          <w:color w:val="000000"/>
        </w:rPr>
        <w:t>”</w:t>
      </w:r>
      <w:r>
        <w:rPr>
          <w:rFonts w:ascii="Times New Roman" w:hAnsi="Times New Roman"/>
          <w:color w:val="000000"/>
          <w:sz w:val="20"/>
        </w:rPr>
        <w:t>). Each Party will notify the other of its Alliance Manager within [*]. Each Party may replace its Alliance Manager at any time upon notice to the other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Specific Responsibilities</w:t>
      </w:r>
      <w:r>
        <w:rPr>
          <w:rFonts w:ascii="Times New Roman" w:hAnsi="Times New Roman"/>
          <w:color w:val="000000"/>
          <w:sz w:val="20"/>
        </w:rPr>
        <w:t>. Unless the Parties otherwise agree, the Alliance Managers will attend meetings of the JSC. The Alliance Managers will serve as the primary contact point between the Parties for the purpose of providing each Party with information regarding the other Parties’ activities pursuant to this Agreement and will have the following responsibilities: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schedule meetings of the JSC and circulate draft written minutes as provided in Section 3.2(c)(ii);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facilitate the flow of information and otherwise promote communication, coordination and collaboration between the Parties;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provide a forum of communication between the Parties regarding activities under this Agreement;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perform such other functions as requested by the JSC.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left"/>
        <w:rPr/>
      </w:pPr>
      <w:r>
        <w:rPr>
          <w:rFonts w:ascii="Times New Roman" w:hAnsi="Times New Roman"/>
          <w:b/>
          <w:color w:val="000000"/>
          <w:sz w:val="20"/>
        </w:rPr>
        <w:t>Joint Steering Committee</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Formation</w:t>
      </w:r>
      <w:r>
        <w:rPr>
          <w:rFonts w:ascii="Times New Roman" w:hAnsi="Times New Roman"/>
          <w:color w:val="000000"/>
          <w:sz w:val="20"/>
        </w:rPr>
        <w:t>. Within [*], Fortis and FibroGen will establish a joint steering committee (the “</w:t>
      </w:r>
      <w:r>
        <w:rPr>
          <w:rFonts w:ascii="Times New Roman" w:hAnsi="Times New Roman"/>
          <w:color w:val="000000"/>
          <w:sz w:val="20"/>
          <w:u w:val="single"/>
        </w:rPr>
        <w:t>Joint Steering Committee</w:t>
      </w:r>
      <w:r>
        <w:rPr>
          <w:color w:val="000000"/>
        </w:rPr>
        <w:t xml:space="preserve">” </w:t>
      </w:r>
      <w:r>
        <w:rPr>
          <w:rFonts w:ascii="Times New Roman" w:hAnsi="Times New Roman"/>
          <w:color w:val="000000"/>
          <w:sz w:val="20"/>
        </w:rPr>
        <w:t>or “</w:t>
      </w:r>
      <w:r>
        <w:rPr>
          <w:rFonts w:ascii="Times New Roman" w:hAnsi="Times New Roman"/>
          <w:color w:val="000000"/>
          <w:sz w:val="20"/>
          <w:u w:val="single"/>
        </w:rPr>
        <w:t>JSC</w:t>
      </w:r>
      <w:r>
        <w:rPr>
          <w:color w:val="000000"/>
        </w:rPr>
        <w:t>”</w:t>
      </w:r>
      <w:r>
        <w:rPr>
          <w:rFonts w:ascii="Times New Roman" w:hAnsi="Times New Roman"/>
          <w:color w:val="000000"/>
          <w:sz w:val="20"/>
        </w:rPr>
        <w:t>) to oversee and coordinate activities under the Study Plan. The JSC will be comprised of [*] representatives from each of Fortis and FibroGen, which representatives will have the appropriate experience, expertise and seniority to enable them to fulfill the JSC’s responsibilities hereunder. In addition, each of Fortis and FibroGen may invite a reasonable number of additional representatives to participate in discussions and meetings of the JSC solely in non-voting capacities. From time to time each Party may replace its JSC representatives by written notice to the other Party specifying the prior representative(s) and their replacement(s). Each Party’s representatives on a JSC and all other individuals participating in discussions and meetings of the JSC on behalf of a Party will be subject to confidentiality and non-use obligations with respect to information disclosed at such meetings that are no less restrictive than the provisions of Article 10. The JSC will conduct its responsibilities hereunder in good faith and with reasonable care and diligence. The purpose of the JSC will be to provide its members periodic updates regarding the progress of activities pursuant to the Study Plan and to address the matters set forth in Section 3.2(b).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Responsibilities</w:t>
      </w:r>
      <w:r>
        <w:rPr>
          <w:rFonts w:ascii="Times New Roman" w:hAnsi="Times New Roman"/>
          <w:color w:val="000000"/>
          <w:sz w:val="20"/>
        </w:rPr>
        <w:t>. The JSC will be responsible for: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overseeing the conduct, progress, and direction of the Study Plan activities;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reviewing and discussing results of the Study Plan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reviewing and discussing regulatory matters concerning the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overseeing the transfers of Know-How and Materials required under Section 5.8 and Section 5.9;</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reviewing and approving amendments to the Study Plan;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performing such other duties as are specifically assigned to the JSC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Meetings; Minutes.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JSC will meet (with videoconferencing or teleconferencing being sufficient) [*] on such dates and at such times and places as agreed to by the members of the JSC. Each Party will be responsible for its own expenses relating to attendance at, or participation in, JSC meetings.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FibroGen Alliance Manager will provide the members of the JSC with draft written minutes for approval from each meeting [*] after each such meeting. If the minutes of any meeting of the JSC are not approved by the JSC (with each Party’s representatives on the JSC [*]) [*] after the meeting, the objecting Party will append a notice of objection with the specific details of the objection to the proposed minutes, and the Parties shall agree on the final minutes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b/>
          <w:color w:val="000000"/>
          <w:sz w:val="20"/>
        </w:rPr>
        <w:t>Decision-Making</w:t>
      </w:r>
      <w:r>
        <w:rPr>
          <w:rFonts w:ascii="Times New Roman" w:hAnsi="Times New Roman"/>
          <w:color w:val="000000"/>
          <w:sz w:val="20"/>
        </w:rPr>
        <w:t>. Each Party’s representatives on the JSC will [*] on all matters within the scope of the JSC’s responsibilities. The JSC’s members will use [*] to reach agreement on any and all JSC matters. If the JSC is unable to reach consensus with respect to a particular matter for which it is responsible within [*] after the matter is first presented to the JSC, then, at either Party’s request, the matter will be escalated for consideration by Executive Officers pursuant to Section 12.1(b). If Executive Officers do not reach mutual agreement with respect to such matter within [*], then the matter will be decided in accordance with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clause (i) above, [*];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clause (i) and clause (ii) above,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that, in each case ((ii) and (iii)), notwithstanding anything to the contrary set forth in this Agreement, neither Party will have the authority to make any final decision that: (1) [*]; or (2) would reasonably be expected to require the other Party to take any action that the other Party reasonably believes would require the other Party to (x) violate any Applicable Law, including the requirements of any Regulatory Authority, (y) breach or otherwise violate any agreement with any Third Party entered into by the other Party (including, with respect to Fortis, the UCSF License), or (z) infringe or misappropriate any intellectual property rights of any Third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and notwithstanding anything to the contrary in this Agreement, the JSC will not have the right to decide matters that are not expressly within the authority of the JSC, including the right to resolve disputes involving the breach or alleged breach of diligence obligations (which will be instead resolved in accordance with Article 12), modifications to final decision-making rights of the JSC, or amendments to this Agreement (other than amendments to the Study Plan in accordance with this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4</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License GRANTS; Exclusivity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4.1.</w:t>
      </w:r>
    </w:p>
    <w:p>
      <w:pPr>
        <w:pStyle w:val="TextBody"/>
        <w:bidi w:val="0"/>
        <w:spacing w:before="0" w:after="240"/>
        <w:jc w:val="left"/>
        <w:rPr/>
      </w:pPr>
      <w:r>
        <w:rPr>
          <w:rFonts w:ascii="Times New Roman" w:hAnsi="Times New Roman"/>
          <w:b/>
          <w:color w:val="000000"/>
          <w:sz w:val="20"/>
        </w:rPr>
        <w:t>Licenses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FibroGen Research and Development License</w:t>
      </w:r>
      <w:r>
        <w:rPr>
          <w:rFonts w:ascii="Times New Roman" w:hAnsi="Times New Roman"/>
          <w:color w:val="000000"/>
          <w:sz w:val="20"/>
        </w:rPr>
        <w:t>. Subject to the terms and conditions of this Agreement, Fortis will grant and hereby grants to FibroGen an exclusive, non-sublicensable (except to Affiliates and Subcontractors, and to Fortis as set forth below), non-transferable (except in compliance with Section 14.4), worldwide, irrevocable during the term of this Agreement (except as expressly set forth in Article 11) license under the Fortis Background IP and Collaboration IP to perform Development Activities allocated to FibroGen under the Study Plan, and to perform Evaluation Activities in the Field in the Territory during the Term and to otherwise perform FibroGen’s obligations under this Agreement. For clarity, the foregoing license expressly excludes the right for FibroGen to file for Regulatory Approval for any of the Products or Modified Products, and any right to Commercialize any of the Products or Modified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Fortis Research and Development License</w:t>
      </w:r>
      <w:r>
        <w:rPr>
          <w:rFonts w:ascii="Times New Roman" w:hAnsi="Times New Roman"/>
          <w:color w:val="000000"/>
          <w:sz w:val="20"/>
        </w:rPr>
        <w:t>. Subject to the terms and conditions of this Agreement, FibroGen will grant and hereby grants to Fortis a non-exclusive, non-sublicensable (except to Subcontractors), non-transferable (except in compliance with Section 14.4), worldwide, irrevocable during the term of this Agreement (except as expressly set forth in Article 11), (i) license under the FibroGen Other Collaboration IP, and (ii) sublicense back under the Fortis Background IP and Collaboration IP (which are exclusively licensed to FibroGen under clause (a) above), in each case ((i) and (ii)), solely as necessary to perform Development Activities allocated to Fortis under the Study Plan in the Field in the Territory during the Term and to otherwise perform Fortis’s obligations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No Implied Licenses</w:t>
      </w:r>
      <w:r>
        <w:rPr>
          <w:rFonts w:ascii="Times New Roman" w:hAnsi="Times New Roman"/>
          <w:color w:val="000000"/>
          <w:sz w:val="20"/>
        </w:rPr>
        <w:t>. No license or other right is or will be created or granted hereunder by implication, estoppel, or otherwise. All licenses and rights are or will be granted only as expressly provided in this Agreement. All rights not expressly granted by FibroGen or Fortis to the other Party under this Agreement are reserved and may not be used by the other Party for any purpose.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4.2.</w:t>
      </w:r>
    </w:p>
    <w:p>
      <w:pPr>
        <w:pStyle w:val="TextBody"/>
        <w:bidi w:val="0"/>
        <w:spacing w:before="0" w:after="240"/>
        <w:jc w:val="left"/>
        <w:rPr/>
      </w:pPr>
      <w:r>
        <w:rPr>
          <w:rFonts w:ascii="Times New Roman" w:hAnsi="Times New Roman"/>
          <w:b/>
          <w:color w:val="000000"/>
          <w:sz w:val="20"/>
        </w:rPr>
        <w:t>Fortis In-Licenses</w:t>
      </w:r>
      <w:r>
        <w:rPr>
          <w:rFonts w:ascii="Times New Roman" w:hAnsi="Times New Roman"/>
          <w:color w:val="000000"/>
          <w:sz w:val="20"/>
        </w:rPr>
        <w:t>. Notwithstanding anything to the contrary in this Agreement, FibroGen acknowledges and agrees that the rights, licenses, and sublicenses granted by Fortis to FibroGen in this Agreement (including any right to sublicense) are subject to the terms and conditions of the Fortis In-Licenses, and the rights granted to Third Parties thereunder, the scope of the licenses granted to Fortis thereunder and the rights retained by such Third Parties and any other Third Parties (including Governmental Authorities) set forth therein. FibroGen agrees to comply with the terms and conditions of the provisions of the Fortis In-Licenses that are applicable to FibroGen as a sublicensee, with respect to sublicenses granted by Fortis to FibroGen under Section 4.1(a) under such Fortis In-Licenses. FibroGen shall not take or omit to take any action, or permit its Affiliates or Subcontractors to take or omit to take any action, that could be construed as a violation of such applicable terms and conditions under any such Fortis In-License. [*] For clarity, any such material breach under the UCSF License shall be deemed a material breach of this Agreement by the Party causing such material breach. FibroGen shall [*] provide to Fortis all necessary information in FibroGen’s possession relating to FibroGen’s performance as a sublicensee of Fortis under the Fortis In-Licenses for Fortis to comply with its obligations thereunder.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5</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RESEARCH, Development, Manufacture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left"/>
        <w:rPr/>
      </w:pPr>
      <w:r>
        <w:rPr>
          <w:rFonts w:ascii="Times New Roman" w:hAnsi="Times New Roman"/>
          <w:b/>
          <w:color w:val="000000"/>
          <w:sz w:val="20"/>
        </w:rPr>
        <w:t>Study Plan</w:t>
      </w:r>
      <w:r>
        <w:rPr>
          <w:rFonts w:ascii="Times New Roman" w:hAnsi="Times New Roman"/>
          <w:color w:val="000000"/>
          <w:sz w:val="20"/>
        </w:rPr>
        <w:t>. During the Term, FibroGen and Fortis will conduct the collaboration activities in accordance with a study plan (“</w:t>
      </w:r>
      <w:r>
        <w:rPr>
          <w:rFonts w:ascii="Times New Roman" w:hAnsi="Times New Roman"/>
          <w:color w:val="000000"/>
          <w:sz w:val="20"/>
          <w:u w:val="single"/>
        </w:rPr>
        <w:t>Study Plan</w:t>
      </w:r>
      <w:r>
        <w:rPr>
          <w:color w:val="000000"/>
        </w:rPr>
        <w:t>”</w:t>
      </w:r>
      <w:r>
        <w:rPr>
          <w:rFonts w:ascii="Times New Roman" w:hAnsi="Times New Roman"/>
          <w:color w:val="000000"/>
          <w:sz w:val="20"/>
        </w:rPr>
        <w:t>). The Study Plan will include and be limited to (a) research, CMC, non-clinical development, clinical development, and regulatory activities to be conducted by each Party in support of Development of the Products to achieve the objectives in Article 2 (such activities in the Study Plan, “</w:t>
      </w:r>
      <w:r>
        <w:rPr>
          <w:rFonts w:ascii="Times New Roman" w:hAnsi="Times New Roman"/>
          <w:color w:val="000000"/>
          <w:sz w:val="20"/>
          <w:u w:val="single"/>
        </w:rPr>
        <w:t>Development Activities</w:t>
      </w:r>
      <w:r>
        <w:rPr>
          <w:color w:val="000000"/>
        </w:rPr>
        <w:t>”</w:t>
      </w:r>
      <w:r>
        <w:rPr>
          <w:rFonts w:ascii="Times New Roman" w:hAnsi="Times New Roman"/>
          <w:color w:val="000000"/>
          <w:sz w:val="20"/>
        </w:rPr>
        <w:t>) and (b) other research and development activities to evaluate the Products and derivatives of the Products (including Modified Products) that FibroGen elects to perform (such activities in the Study Plan, the “</w:t>
      </w:r>
      <w:r>
        <w:rPr>
          <w:rFonts w:ascii="Times New Roman" w:hAnsi="Times New Roman"/>
          <w:color w:val="000000"/>
          <w:sz w:val="20"/>
          <w:u w:val="single"/>
        </w:rPr>
        <w:t>Evaluation Activities</w:t>
      </w:r>
      <w:r>
        <w:rPr>
          <w:color w:val="000000"/>
        </w:rPr>
        <w:t>”</w:t>
      </w:r>
      <w:r>
        <w:rPr>
          <w:rFonts w:ascii="Times New Roman" w:hAnsi="Times New Roman"/>
          <w:color w:val="000000"/>
          <w:sz w:val="20"/>
        </w:rPr>
        <w:t>), and (c) the allocation of responsibility, as between the Parties, and any timelines with respect to the activities in clause (a) and (b). The current Study Plan is attached hereto as Exhibit A. The Parties will only be permitted to perform Development activities with respect to the Products and Modified Products to the extent included in or otherwise described within the Study Plan. Either Party may submit proposed amendments to the Study Plan from time to time for review and approval by the JSC, and will be effective [*] and incorporated into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left"/>
        <w:rPr/>
      </w:pPr>
      <w:r>
        <w:rPr>
          <w:rFonts w:ascii="Times New Roman" w:hAnsi="Times New Roman"/>
          <w:b/>
          <w:color w:val="000000"/>
          <w:sz w:val="20"/>
        </w:rPr>
        <w:t>Performance of Development Activities</w:t>
      </w:r>
      <w:r>
        <w:rPr>
          <w:rFonts w:ascii="Times New Roman" w:hAnsi="Times New Roman"/>
          <w:color w:val="000000"/>
          <w:sz w:val="20"/>
        </w:rPr>
        <w:t xml:space="preserve">. Each Party will perform the Development Activities for which such Party is responsible under the Study Plan and will use Commercially Reasonable Efforts to perform such activities in accordance with the timelines set forth therein;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Fortis’s performance of its Development Activities will be subject to FibroGen’s compliance with its funding obligations with respect to the Development Fees. Each Party will use Commercially Reasonable Efforts to cooperate with the other Party in carrying out the Development Activities in accordance with the Study Plan. Each Party will, and will require its Affiliates and Subcontractors to, comply with all Applicable Laws in its and their conduct of the Development Activities under the Study Plan, including where appropriate GMP, GCP and GLP (or similar standards). [*].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5.3.</w:t>
      </w:r>
    </w:p>
    <w:p>
      <w:pPr>
        <w:pStyle w:val="TextBody"/>
        <w:bidi w:val="0"/>
        <w:spacing w:before="0" w:after="240"/>
        <w:jc w:val="left"/>
        <w:rPr/>
      </w:pPr>
      <w:r>
        <w:rPr>
          <w:rFonts w:ascii="Times New Roman" w:hAnsi="Times New Roman"/>
          <w:b/>
          <w:color w:val="000000"/>
          <w:sz w:val="20"/>
        </w:rPr>
        <w:t>Performance of Evaluation Activities</w:t>
      </w:r>
      <w:r>
        <w:rPr>
          <w:rFonts w:ascii="Times New Roman" w:hAnsi="Times New Roman"/>
          <w:color w:val="000000"/>
          <w:sz w:val="20"/>
        </w:rPr>
        <w:t xml:space="preserve">. The Evaluation Activities set forth in the Study Plan are discretionary and FibroGen will have the right, but not the obligation, to perform any of the Evaluation Activities described in the Study Plan;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for clarity, FibroGen will only be permitted to perform Evaluation activities with respect to the Products and Modified Products during the Term to the extent described in the Study Plan. Upon request by FibroGen, Fortis will reasonably cooperate with FibroGen as necessary or useful in connection with FibroGen’s performance of the Evaluation Activities, [*]. FibroGen will, and will require its Affiliates and Subcontractors to, comply with all Applicable Laws in its and their conduct of the Evaluation Activities under the Study Plan, including where appropriate GMP, GCP and GLP (or similar standards).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5.4.</w:t>
      </w:r>
    </w:p>
    <w:p>
      <w:pPr>
        <w:pStyle w:val="TextBody"/>
        <w:bidi w:val="0"/>
        <w:spacing w:before="0" w:after="240"/>
        <w:jc w:val="left"/>
        <w:rPr/>
      </w:pPr>
      <w:r>
        <w:rPr>
          <w:rFonts w:ascii="Times New Roman" w:hAnsi="Times New Roman"/>
          <w:b/>
          <w:color w:val="000000"/>
          <w:sz w:val="20"/>
        </w:rPr>
        <w:t xml:space="preserve">Deliverables. </w:t>
      </w:r>
      <w:r>
        <w:rPr>
          <w:rFonts w:ascii="Times New Roman" w:hAnsi="Times New Roman"/>
          <w:color w:val="000000"/>
          <w:sz w:val="20"/>
        </w:rPr>
        <w:t>The Study Plan will set forth the deliverables to be provided by each Party in connection with the Development Activities</w:t>
      </w:r>
      <w:r>
        <w:rPr>
          <w:rFonts w:ascii="Times New Roman" w:hAnsi="Times New Roman"/>
          <w:b/>
          <w:color w:val="000000"/>
          <w:sz w:val="20"/>
        </w:rPr>
        <w:t xml:space="preserve">. </w:t>
      </w:r>
      <w:r>
        <w:rPr>
          <w:rFonts w:ascii="Times New Roman" w:hAnsi="Times New Roman"/>
          <w:color w:val="000000"/>
          <w:sz w:val="20"/>
        </w:rPr>
        <w:t xml:space="preserve">Without limiting the foregoing, with respect to each Fortis Clinical Study other than the UCSF Studies, Fortis will (a) provide to FibroGen all data (including all raw data), results, analyses and TFLs as soon as reasonably practicable after Fortis’s receipt thereof [*], and (b) use [*]. With respect to the UCSF Studies, Fortis will provide to FibroGen all data, results, TFLs and Clinical Study Reports received from UCSF pursuant to the applicable agreement with UCSF relating to the UCSF Study [*], and will [*] to cause UCSF to provide such data, results, TFLs and Clinical Study Reports [*], and consistent with UCSF’s obligation to provide such data, TFLs and Clinical Study Reports under the applicable agreement with UCSF. Without limiting the first sentence of this Section 5.4, with respect to any FibroGen Clinical Studies, FibroGen will (a) provide to Fortis all data (including all raw data), results, analyses and TFLs [*], and (b) use [*].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5.5.</w:t>
      </w:r>
    </w:p>
    <w:p>
      <w:pPr>
        <w:pStyle w:val="TextBody"/>
        <w:bidi w:val="0"/>
        <w:spacing w:before="0" w:after="240"/>
        <w:jc w:val="left"/>
        <w:rPr/>
      </w:pPr>
      <w:r>
        <w:rPr>
          <w:rFonts w:ascii="Times New Roman" w:hAnsi="Times New Roman"/>
          <w:b/>
          <w:color w:val="000000"/>
          <w:sz w:val="20"/>
        </w:rPr>
        <w:t>Subcontractors</w:t>
      </w:r>
      <w:r>
        <w:rPr>
          <w:rFonts w:ascii="Times New Roman" w:hAnsi="Times New Roman"/>
          <w:color w:val="000000"/>
          <w:sz w:val="20"/>
        </w:rPr>
        <w:t>. Each Party may engage consultants, subcontractors or other vendors to perform activities under a Study Plan (each, a “</w:t>
      </w:r>
      <w:r>
        <w:rPr>
          <w:rFonts w:ascii="Times New Roman" w:hAnsi="Times New Roman"/>
          <w:color w:val="000000"/>
          <w:sz w:val="20"/>
          <w:u w:val="single"/>
        </w:rPr>
        <w:t>Subcontractor</w:t>
      </w:r>
      <w:r>
        <w:rPr>
          <w:color w:val="000000"/>
        </w:rPr>
        <w:t>”</w:t>
      </w:r>
      <w:r>
        <w:rPr>
          <w:rFonts w:ascii="Times New Roman" w:hAnsi="Times New Roman"/>
          <w:color w:val="000000"/>
          <w:sz w:val="20"/>
        </w:rPr>
        <w:t xml:space="preserv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(a) Fortis will obtain FibroGen’s written consent prior to engaging any Subcontractor that is not identified in the then-current Study Plan as performing such activities, </w:t>
      </w:r>
      <w:r>
        <w:rPr>
          <w:rFonts w:ascii="Times New Roman" w:hAnsi="Times New Roman"/>
          <w:color w:val="000000"/>
          <w:sz w:val="20"/>
          <w:u w:val="single"/>
        </w:rPr>
        <w:t xml:space="preserve">provided </w:t>
      </w:r>
      <w:r>
        <w:rPr>
          <w:rFonts w:ascii="Times New Roman" w:hAnsi="Times New Roman"/>
          <w:color w:val="000000"/>
          <w:sz w:val="20"/>
        </w:rPr>
        <w:t xml:space="preserve">that all Subcontractors of Fortis [*], as set forth in </w:t>
      </w:r>
      <w:r>
        <w:rPr>
          <w:rFonts w:ascii="Times New Roman" w:hAnsi="Times New Roman"/>
          <w:color w:val="000000"/>
          <w:sz w:val="20"/>
          <w:u w:val="single"/>
        </w:rPr>
        <w:t>Schedule 5.5</w:t>
      </w:r>
      <w:r>
        <w:rPr>
          <w:rFonts w:ascii="Times New Roman" w:hAnsi="Times New Roman"/>
          <w:color w:val="000000"/>
          <w:sz w:val="20"/>
        </w:rPr>
        <w:t>, [*]; and (b) [*]. Each Party will ensure that it enters a written agreement with its Subcontractor that (i) is consistent with the provisions of this Agreement, including confidentiality and non-use obligations with respect to Confidential Information that are no less restrictive than the provisions of Article 10 and intellectual property ownership provisions consistent with Article 8, and (ii) does not [*]. FibroGen shall [*] and, subject to Section 11.7(d) and Section 11.7(e), such provision does not [*]. Each Party will be responsible for the effective and timely management of and payment of its Subcontractors. The engagement of any Subcontractor in compliance with this Section 5.5 will not relieve the applicable Party of its obligations under this Agreement or the Study Plan and except as expressly provided in this Agreement,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5.6.</w:t>
      </w:r>
    </w:p>
    <w:p>
      <w:pPr>
        <w:pStyle w:val="TextBody"/>
        <w:bidi w:val="0"/>
        <w:spacing w:before="0" w:after="240"/>
        <w:jc w:val="left"/>
        <w:rPr/>
      </w:pPr>
      <w:r>
        <w:rPr>
          <w:rFonts w:ascii="Times New Roman" w:hAnsi="Times New Roman"/>
          <w:b/>
          <w:color w:val="000000"/>
          <w:sz w:val="20"/>
        </w:rPr>
        <w:t>Records</w:t>
      </w:r>
      <w:r>
        <w:rPr>
          <w:rFonts w:ascii="Times New Roman" w:hAnsi="Times New Roman"/>
          <w:color w:val="000000"/>
          <w:sz w:val="20"/>
        </w:rPr>
        <w:t>. Each Party will maintain, and cause its Affiliates and Subcontractors to maintain, records of its Development Activities and Evaluation Activities under the Study Plan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5.7.</w:t>
      </w:r>
    </w:p>
    <w:p>
      <w:pPr>
        <w:pStyle w:val="TextBody"/>
        <w:bidi w:val="0"/>
        <w:spacing w:before="0" w:after="240"/>
        <w:jc w:val="left"/>
        <w:rPr/>
      </w:pPr>
      <w:r>
        <w:rPr>
          <w:rFonts w:ascii="Times New Roman" w:hAnsi="Times New Roman"/>
          <w:b/>
          <w:color w:val="000000"/>
          <w:sz w:val="20"/>
        </w:rPr>
        <w:t>Progress Updates</w:t>
      </w:r>
      <w:r>
        <w:rPr>
          <w:rFonts w:ascii="Times New Roman" w:hAnsi="Times New Roman"/>
          <w:color w:val="000000"/>
          <w:sz w:val="20"/>
        </w:rPr>
        <w:t>. [*] each Party will present an update to the JSC at each meeting of the JSC, on such Party’s progress under the Study Plan with respect to the performance of the Development Activities and Evaluation Activities [*], including a summary of any results and data generated by such Party under the Study Plan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5.8.</w:t>
      </w:r>
    </w:p>
    <w:p>
      <w:pPr>
        <w:pStyle w:val="TextBody"/>
        <w:bidi w:val="0"/>
        <w:spacing w:before="0" w:after="240"/>
        <w:jc w:val="left"/>
        <w:rPr/>
      </w:pPr>
      <w:r>
        <w:rPr>
          <w:rFonts w:ascii="Times New Roman" w:hAnsi="Times New Roman"/>
          <w:b/>
          <w:color w:val="000000"/>
          <w:sz w:val="20"/>
        </w:rPr>
        <w:t>Materials Transfer</w:t>
      </w:r>
      <w:r>
        <w:rPr>
          <w:rFonts w:ascii="Times New Roman" w:hAnsi="Times New Roman"/>
          <w:color w:val="000000"/>
          <w:sz w:val="20"/>
        </w:rPr>
        <w:t>. To facilitate the conduct of activities under the Study Plan, each Party will provide any Materials required by the Study Plan to be transferred to the other Party. All Materials (a) will remain the sole property of the supplying Party, (b) will be used only in the fulfillment of the receiving Party’s obligations or exercise of rights under this Agreement, (c) will remain solely under the control of the receiving Party unless otherwise provided in the Study Plan, (d) will not be used or delivered by the receiving Party to or for the benefit of any Third Party (other than for use by a permitted Subcontractor for activities under the Study Plan) without the prior written consent of the supplying Party and (e) except with respect to any Materials provided for use in a Clinical Trial under this Agreement, will not be used in research or testing involving human subjects, unless expressly agreed by the supplying Party in writing. Except as expressly provided in this Agreement (including Section 5.10(c)), all Materials supplied under this Section 5.8 are supplied “as is,” with no warranties of fitness for a particular purpose, and must be used with prudence and appropriate caution in any experimental work, since not all of their characteristics may be known.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5.9.</w:t>
      </w:r>
    </w:p>
    <w:p>
      <w:pPr>
        <w:pStyle w:val="TextBody"/>
        <w:bidi w:val="0"/>
        <w:spacing w:before="0" w:after="240"/>
        <w:jc w:val="left"/>
        <w:rPr/>
      </w:pPr>
      <w:r>
        <w:rPr>
          <w:rFonts w:ascii="Times New Roman" w:hAnsi="Times New Roman"/>
          <w:b/>
          <w:color w:val="000000"/>
          <w:sz w:val="20"/>
        </w:rPr>
        <w:t>Fortis Know-How Transfer</w:t>
      </w:r>
      <w:r>
        <w:rPr>
          <w:rFonts w:ascii="Times New Roman" w:hAnsi="Times New Roman"/>
          <w:color w:val="000000"/>
          <w:sz w:val="20"/>
        </w:rPr>
        <w:t>. [*], Fortis will make available and deliver to FibroGen (or a designated Affiliate thereof) all Fortis Know-How in Fortis’s possession or control, and in the format and form such Fortis Know-How exists, that has not been previously provided under this Agreement, including for clarity, any Collaboration Know-How newly developed by or on behalf of Fortis that has not yet been made available or delivered to FibroGen, for use in accordance with the terms of FibroGen’s exclusive license under Section 4.1(a). To assist with the transfer of such Fortis Know-How, Fortis will make its personnel reasonably available to FibroGen and its designated Affiliates during normal business hours for the transfer of such Fortis Know-How.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5.10.</w:t>
      </w:r>
    </w:p>
    <w:p>
      <w:pPr>
        <w:pStyle w:val="TextBody"/>
        <w:bidi w:val="0"/>
        <w:spacing w:before="0" w:after="240"/>
        <w:jc w:val="left"/>
        <w:rPr/>
      </w:pPr>
      <w:r>
        <w:rPr>
          <w:rFonts w:ascii="Times New Roman" w:hAnsi="Times New Roman"/>
          <w:b/>
          <w:color w:val="000000"/>
          <w:sz w:val="20"/>
        </w:rPr>
        <w:t>Manufacturing</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rPr>
        <w:t>Fortis will use its existing inventory of Products as of the Effective Date (“</w:t>
      </w:r>
      <w:r>
        <w:rPr>
          <w:rFonts w:ascii="Times New Roman" w:hAnsi="Times New Roman"/>
          <w:color w:val="000000"/>
          <w:sz w:val="20"/>
          <w:u w:val="single"/>
        </w:rPr>
        <w:t>Existing Inventory</w:t>
      </w:r>
      <w:r>
        <w:rPr>
          <w:color w:val="000000"/>
        </w:rPr>
        <w:t>”</w:t>
      </w:r>
      <w:r>
        <w:rPr>
          <w:rFonts w:ascii="Times New Roman" w:hAnsi="Times New Roman"/>
          <w:color w:val="000000"/>
          <w:sz w:val="20"/>
        </w:rPr>
        <w:t>) to supply all Products necessary to conduct the Fortis Clinical Studies and for any other purposes set forth in the Study Plan that is to be supplied from the Existing Inventory. Fortis will not use the Existing Inventory for any other purpose unless approved by the JSC. To the extent that the Existing Inventory is insufficient for the requirements of the Fortis Clinical Studies or any other Study Plan activities meant to be supplied from the Existing Inventory, then FibroGen will be responsible for supplying any additional Products required to meet such outstanding requirement (“</w:t>
      </w:r>
      <w:r>
        <w:rPr>
          <w:rFonts w:ascii="Times New Roman" w:hAnsi="Times New Roman"/>
          <w:color w:val="000000"/>
          <w:sz w:val="20"/>
          <w:u w:val="single"/>
        </w:rPr>
        <w:t>Fortis Additional Product Requirement</w:t>
      </w:r>
      <w:r>
        <w:rPr>
          <w:color w:val="000000"/>
        </w:rPr>
        <w:t>”</w:t>
      </w:r>
      <w:r>
        <w:rPr>
          <w:rFonts w:ascii="Times New Roman" w:hAnsi="Times New Roman"/>
          <w:color w:val="000000"/>
          <w:sz w:val="20"/>
        </w:rPr>
        <w:t>) at its cost.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rPr>
        <w:t>Within [*], the Parties will meet in good faith to discuss the establishment of a Third Party supply of Products to FibroGen meeting any quantity and quality requirements of the applicable Study Plan activities, meeting the necessary timeframe required by the Study Plan, and on commercially reasonable terms (whether using Fortis’s existing supplier of Products or another Third Party supplier) (“</w:t>
      </w:r>
      <w:r>
        <w:rPr>
          <w:rFonts w:ascii="Times New Roman" w:hAnsi="Times New Roman"/>
          <w:color w:val="000000"/>
          <w:sz w:val="20"/>
          <w:u w:val="single"/>
        </w:rPr>
        <w:t>Third Party Source</w:t>
      </w:r>
      <w:r>
        <w:rPr>
          <w:color w:val="000000"/>
        </w:rPr>
        <w:t>”</w:t>
      </w:r>
      <w:r>
        <w:rPr>
          <w:rFonts w:ascii="Times New Roman" w:hAnsi="Times New Roman"/>
          <w:color w:val="000000"/>
          <w:sz w:val="20"/>
        </w:rPr>
        <w:t>). The Parties will use Commercially Reasonable Efforts to cooperate and establish a Third Party Source to FibroGen within the timelines and in the quantities set forth in the Study Plan, which efforts by Fortis will include, solely if requested by FibroGen: (i) Fortis entering into an amendment to one or more supply agreements [*] to permit FibroGen to order, and to oversee and authorize all aspects of CMC (including Manufacturing) with respect to, such Products or related components, packaging or labeling, as applicable, under such supply agreements, in order to meet FibroGen’s obligations under this Agreement [*], provided that [*] to meet FibroGen’s obligations under this Agreement, at FibroGen’s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FibroGen will be responsible for the supply of any Products necessary for the FibroGen Clinical Studies, any Evaluation Activities under the Study Plan and the Fortis Additional Product Requirements, at its cost. All Products supplied by FibroGen pursuant to Fortis Additional Product Requirements (i) shall be manufactured in accordance with GMP and applicable specifications for such Products, shall not be adulterated or misbranded, and shall be free and clear of any liens or encumbrances, and (ii) shall otherwise comply with any quality agreement that the Parties may enter into with respect to the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will use [*] to cause COI to assign the COI STA Agreement to Fortis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6</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REGULATORY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6.1.</w:t>
      </w:r>
    </w:p>
    <w:p>
      <w:pPr>
        <w:pStyle w:val="TextBody"/>
        <w:bidi w:val="0"/>
        <w:spacing w:before="0" w:after="240"/>
        <w:jc w:val="left"/>
        <w:rPr/>
      </w:pPr>
      <w:r>
        <w:rPr>
          <w:rFonts w:ascii="Times New Roman" w:hAnsi="Times New Roman"/>
          <w:b/>
          <w:color w:val="000000"/>
          <w:sz w:val="20"/>
        </w:rPr>
        <w:t>Responsibility</w:t>
      </w:r>
      <w:r>
        <w:rPr>
          <w:rFonts w:ascii="Times New Roman" w:hAnsi="Times New Roman"/>
          <w:color w:val="000000"/>
          <w:sz w:val="20"/>
        </w:rPr>
        <w:t>. [*], each Party will prepare, file and maintain Regulatory Materials with respect to the Products, and will be solely responsible for managing further regulatory interactions with the Regulatory Authorities, to the extent such activities are allocated to such Party in the Study Plan (such Party, the “</w:t>
      </w:r>
      <w:r>
        <w:rPr>
          <w:rFonts w:ascii="Times New Roman" w:hAnsi="Times New Roman"/>
          <w:color w:val="000000"/>
          <w:sz w:val="20"/>
          <w:u w:val="single"/>
        </w:rPr>
        <w:t>Responsible Party</w:t>
      </w:r>
      <w:r>
        <w:rPr>
          <w:color w:val="000000"/>
        </w:rPr>
        <w:t>”</w:t>
      </w:r>
      <w:r>
        <w:rPr>
          <w:rFonts w:ascii="Times New Roman" w:hAnsi="Times New Roman"/>
          <w:color w:val="000000"/>
          <w:sz w:val="20"/>
        </w:rPr>
        <w:t>). To the extent a Responsible Party is responsible for filing and maintaining Regulatory Materials or is responsible for interactions with Regulatory Authorities under this Agreement, but the other Party is legally responsible for such filings and maintenance or interactions under Applicable Law (including applicable regulatory rules), then such legally responsible Party will cooperate and assist the Responsible Party with such filings and maintenance or interactions as reasonably directed by the Responsible Party, [*]. The Responsible Party will provide the other Party with advance drafts of any material Regulatory Materials or correspondence it is responsible for, and that it plans to submit to the applicable Regulatory Authority, as such drafts are prepared and in all cases sufficiently in advance so as to afford the other Party a meaningful opportunity to review such Regulatory Materials or correspondence. The non-Responsible Party may provide comments regarding such Regulatory Materials or correspondence, prior to their submission, and the Responsible Party will consider any such comments in good faith. The Responsible Party will also provide the other Party with final copies of all Regulatory Materials that it submits to, and all material correspondence it receives from, a Regulatory Authority pertaining to the Products, [*] after such submission or receipt, [*]. Each Party will have the right to have at [*] representative attend all meetings (including the EOP1 Meeting and EOP2 Meeting, and other meetings by telephone), conferences and discussions between the other Party and the Regulatory Authorities pertaining to the Products to the extent permitted by each such Regulatory Authority.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6.2.</w:t>
      </w:r>
    </w:p>
    <w:p>
      <w:pPr>
        <w:pStyle w:val="TextBody"/>
        <w:bidi w:val="0"/>
        <w:spacing w:before="0" w:after="240"/>
        <w:jc w:val="left"/>
        <w:rPr/>
      </w:pPr>
      <w:r>
        <w:rPr>
          <w:rFonts w:ascii="Times New Roman" w:hAnsi="Times New Roman"/>
          <w:b/>
          <w:color w:val="000000"/>
          <w:sz w:val="20"/>
        </w:rPr>
        <w:t>Ownership</w:t>
      </w:r>
      <w:r>
        <w:rPr>
          <w:rFonts w:ascii="Times New Roman" w:hAnsi="Times New Roman"/>
          <w:color w:val="000000"/>
          <w:sz w:val="20"/>
        </w:rPr>
        <w:t xml:space="preserve">. Ownership of all rights, title and interests in and to any and all Regulatory Materials for any Product, including all INDs (other than INDs for the UCSF Studies), will be held in the name of Fortis, </w:t>
      </w:r>
      <w:r>
        <w:rPr>
          <w:rFonts w:ascii="Times New Roman" w:hAnsi="Times New Roman"/>
          <w:i/>
          <w:color w:val="000000"/>
          <w:sz w:val="20"/>
        </w:rPr>
        <w:t>provided</w:t>
      </w:r>
      <w:r>
        <w:rPr>
          <w:color w:val="000000"/>
        </w:rPr>
        <w:t xml:space="preserve"> </w:t>
      </w:r>
      <w:r>
        <w:rPr>
          <w:rFonts w:ascii="Times New Roman" w:hAnsi="Times New Roman"/>
          <w:color w:val="000000"/>
          <w:sz w:val="20"/>
        </w:rPr>
        <w:t>that FibroGen may file INDs in its own name upon Fortis’s prior written approval. Each Party hereby grants to the other Party the right to reference such Party’s Regulatory Materials for the Product solely as necessary to develop, or obtain or maintain Regulatory Approval for, the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6.3.</w:t>
      </w:r>
    </w:p>
    <w:p>
      <w:pPr>
        <w:pStyle w:val="TextBody"/>
        <w:bidi w:val="0"/>
        <w:spacing w:before="0" w:after="240"/>
        <w:jc w:val="left"/>
        <w:rPr/>
      </w:pPr>
      <w:r>
        <w:rPr>
          <w:rFonts w:ascii="Times New Roman" w:hAnsi="Times New Roman"/>
          <w:b/>
          <w:color w:val="000000"/>
          <w:sz w:val="20"/>
        </w:rPr>
        <w:t>Pharmacovigilance</w:t>
      </w:r>
      <w:r>
        <w:rPr>
          <w:rFonts w:ascii="Times New Roman" w:hAnsi="Times New Roman"/>
          <w:color w:val="000000"/>
          <w:sz w:val="20"/>
        </w:rPr>
        <w:t>. The Parties will cooperate with each other to ensure the reporting and handling of safety information involving the Products complies with Applicable Laws regarding pharmacovigilance and clinical safety. Prior to the submission of proposed protocols for a FibroGen Clinical Study, the Parties will negotiate in good faith and enter into a separate safety data exchange agreement which will define the pharmacovigilance responsibilities of the Parties (a “</w:t>
      </w:r>
      <w:r>
        <w:rPr>
          <w:rFonts w:ascii="Times New Roman" w:hAnsi="Times New Roman"/>
          <w:color w:val="000000"/>
          <w:sz w:val="20"/>
          <w:u w:val="single"/>
        </w:rPr>
        <w:t>Safety Data Exchange Agreement</w:t>
      </w:r>
      <w:r>
        <w:rPr>
          <w:color w:val="000000"/>
        </w:rPr>
        <w:t>”</w:t>
      </w:r>
      <w:r>
        <w:rPr>
          <w:rFonts w:ascii="Times New Roman" w:hAnsi="Times New Roman"/>
          <w:color w:val="000000"/>
          <w:sz w:val="20"/>
        </w:rPr>
        <w:t>). The Safety Data Exchange Agreement will set forth responsibilities, guidelines and procedures for (i) the receipt, investigation, recording, review, communication, reporting and exchange between the Parties of adverse event reports, (ii) communication with Regulatory Authorities regarding adverse events, and (iii) the maintenance of a global safety database with respect to the Products. Notwithstanding anything to the contrary set forth in any such Safety Data Exchange Agreement, nothing will restrict either Party’s ability to take any action that it deems to be appropriate or necessary to comply with its obligations under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6.4.</w:t>
      </w:r>
    </w:p>
    <w:p>
      <w:pPr>
        <w:pStyle w:val="TextBody"/>
        <w:bidi w:val="0"/>
        <w:spacing w:before="0" w:after="240"/>
        <w:jc w:val="left"/>
        <w:rPr/>
      </w:pPr>
      <w:r>
        <w:rPr>
          <w:rFonts w:ascii="Times New Roman" w:hAnsi="Times New Roman"/>
          <w:b/>
          <w:color w:val="000000"/>
          <w:sz w:val="20"/>
        </w:rPr>
        <w:t>Recalls of Products</w:t>
      </w:r>
      <w:r>
        <w:rPr>
          <w:rFonts w:ascii="Times New Roman" w:hAnsi="Times New Roman"/>
          <w:color w:val="000000"/>
          <w:sz w:val="20"/>
        </w:rPr>
        <w:t>. Each Party will promptly notify the other Party [*] upon making a determination that any event, incident, or circumstance has occurred that may result in the need for a recall, withdrawal, removal, or field alert of or concerning a Product. Prior to initiating any recall, withdrawal, removal, or field alert, the Parties will use [*] to consult with each other regarding the reasons for such action and the scope of activities to be conducted thereunder. Except as otherwise agreed by the Parties, [*]. Except as otherwise agreed by the Parties,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6.5.</w:t>
      </w:r>
    </w:p>
    <w:p>
      <w:pPr>
        <w:pStyle w:val="TextBody"/>
        <w:bidi w:val="0"/>
        <w:spacing w:before="0" w:after="240"/>
        <w:jc w:val="left"/>
        <w:rPr/>
      </w:pPr>
      <w:r>
        <w:rPr>
          <w:rFonts w:ascii="Times New Roman" w:hAnsi="Times New Roman"/>
          <w:b/>
          <w:color w:val="000000"/>
          <w:sz w:val="20"/>
        </w:rPr>
        <w:t>Clinical Holds</w:t>
      </w:r>
      <w:r>
        <w:rPr>
          <w:rFonts w:ascii="Times New Roman" w:hAnsi="Times New Roman"/>
          <w:color w:val="000000"/>
          <w:sz w:val="20"/>
        </w:rPr>
        <w:t>. Each Party will notify the other Party [*], except that with respect to a UCSF Study, as soon as practicable after Fortis receives the applicable notice from UCSF) in the event that any Clinical Trial for a Product is suspended, placed on clinical hold, or terminated prior to completion as a result of any action by a Regulatory Authority, institutional review board, or ethics committee.</w:t>
      </w:r>
      <w:r>
        <w:rPr>
          <w:color w:val="00000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6.6.</w:t>
      </w:r>
    </w:p>
    <w:p>
      <w:pPr>
        <w:pStyle w:val="TextBody"/>
        <w:bidi w:val="0"/>
        <w:spacing w:before="0" w:after="240"/>
        <w:jc w:val="left"/>
        <w:rPr/>
      </w:pPr>
      <w:r>
        <w:rPr>
          <w:rFonts w:ascii="Times New Roman" w:hAnsi="Times New Roman"/>
          <w:b/>
          <w:color w:val="000000"/>
          <w:sz w:val="20"/>
        </w:rPr>
        <w:t>Regulatory Audit</w:t>
      </w:r>
      <w:r>
        <w:rPr>
          <w:rFonts w:ascii="Times New Roman" w:hAnsi="Times New Roman"/>
          <w:color w:val="000000"/>
          <w:sz w:val="20"/>
        </w:rPr>
        <w:t xml:space="preserve">. If a Regulatory Authority notifies a Party that it plans to conduct an inspection or audit of such Party’s facility or a Subcontractor of such Party (to the extent permitted under the applicable agreement with such Subcontractor) with regard to any Product, then such Party will notify the other Party [*] of such notification of such audit or inspection and provide such other Party with copies of any materials provided to it by the applicable Regulatory Authority,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first Party will not be required to notify the other Party of audits or inspections that do not relate to any Product, except where such audits result in communications or actions of such Regulatory Authority which have an impact upon any Product. In addition, if a Regulatory Authority conducts an unannounced inspection or audit of a Party or a Subcontractor or such Party (to the extent permitted under the applicable agreement with such Subcontractor) with regard to any Product, then such Party will notify the other Party [*]. The inspected Party will cooperate, and will [*] to cause the applicable Subcontractor to cooperate, with such Regulatory Authority during such inspection or audit. Without limiting Section 6.1, following any such inspection or audit, (a) such Party will provide the other Party with a copy of any inspection or audit observations of such Regulatory Authority, [*] upon its receipt thereof, and copies of any other written communications received from Regulatory Authorities with respect to such inspections or audits (to the extent such written communications relate to any Product or the Manufacture thereof) in a timely manner after its receipt thereof, and (b) such Party will provide the other Party with a copy of any proposed response to any such observations or communications and will implement such other Party’s reasonable comments with respect to such proposed response. The inspected Party agrees to conform its activities under this Agreement to any commitments made in such a response.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6.7.</w:t>
      </w:r>
    </w:p>
    <w:p>
      <w:pPr>
        <w:pStyle w:val="TextBody"/>
        <w:bidi w:val="0"/>
        <w:spacing w:before="0" w:after="240"/>
        <w:jc w:val="left"/>
        <w:rPr/>
      </w:pPr>
      <w:r>
        <w:rPr>
          <w:rFonts w:ascii="Times New Roman" w:hAnsi="Times New Roman"/>
          <w:b/>
          <w:color w:val="000000"/>
          <w:sz w:val="20"/>
        </w:rPr>
        <w:t>UCSF Data Use Agreement</w:t>
      </w:r>
      <w:r>
        <w:rPr>
          <w:rFonts w:ascii="Times New Roman" w:hAnsi="Times New Roman"/>
          <w:color w:val="000000"/>
          <w:sz w:val="20"/>
        </w:rPr>
        <w:t>. Each Party will use [*] to enter the UCSF Data Use Agreement [*] (or if the Parties cannot enter such agreement [*], provided that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7</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Payment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7.1.</w:t>
      </w:r>
    </w:p>
    <w:p>
      <w:pPr>
        <w:pStyle w:val="TextBody"/>
        <w:bidi w:val="0"/>
        <w:spacing w:before="0" w:after="240"/>
        <w:jc w:val="left"/>
        <w:rPr/>
      </w:pPr>
      <w:r>
        <w:rPr>
          <w:rFonts w:ascii="Times New Roman" w:hAnsi="Times New Roman"/>
          <w:b/>
          <w:color w:val="000000"/>
          <w:sz w:val="20"/>
        </w:rPr>
        <w:t>Development Fees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rPr>
        <w:t>As compensation to Fortis for its costs and expenses with respect to the Fortis’s Development Activities under the Study Plan, FibroGen previously paid the following non-refundable, non-creditable amounts (“</w:t>
      </w:r>
      <w:r>
        <w:rPr>
          <w:rFonts w:ascii="Times New Roman" w:hAnsi="Times New Roman"/>
          <w:color w:val="000000"/>
          <w:sz w:val="20"/>
          <w:u w:val="single"/>
        </w:rPr>
        <w:t>Development Fees</w:t>
      </w:r>
      <w:r>
        <w:rPr>
          <w:color w:val="000000"/>
        </w:rPr>
        <w:t>”</w:t>
      </w:r>
      <w:r>
        <w:rPr>
          <w:rFonts w:ascii="Times New Roman" w:hAnsi="Times New Roman"/>
          <w:color w:val="000000"/>
          <w:sz w:val="20"/>
        </w:rPr>
        <w:t>) to Fortis in accordance with the following schedule (the “</w:t>
      </w:r>
      <w:r>
        <w:rPr>
          <w:rFonts w:ascii="Times New Roman" w:hAnsi="Times New Roman"/>
          <w:color w:val="000000"/>
          <w:sz w:val="20"/>
          <w:u w:val="single"/>
        </w:rPr>
        <w:t>Development Fee Schedule</w:t>
      </w:r>
      <w:r>
        <w:rPr>
          <w:color w:val="000000"/>
        </w:rPr>
        <w:t>”</w:t>
      </w:r>
      <w:r>
        <w:rPr>
          <w:rFonts w:ascii="Times New Roman" w:hAnsi="Times New Roman"/>
          <w:color w:val="000000"/>
          <w:sz w:val="20"/>
        </w:rPr>
        <w:t>) and in accordance with the process set forth in the Original Agreement:</w:t>
      </w:r>
    </w:p>
    <w:tbl>
      <w:tblPr>
        <w:tblW w:w="2912" w:type="dxa"/>
        <w:jc w:val="left"/>
        <w:tblInd w:w="0" w:type="dxa"/>
        <w:tblLayout w:type="fixed"/>
        <w:tblCellMar>
          <w:top w:w="28" w:type="dxa"/>
          <w:left w:w="28" w:type="dxa"/>
          <w:bottom w:w="28" w:type="dxa"/>
          <w:right w:w="28" w:type="dxa"/>
        </w:tblCellMar>
      </w:tblPr>
      <w:tblGrid>
        <w:gridCol w:w="511"/>
        <w:gridCol w:w="2401"/>
      </w:tblGrid>
      <w:tr>
        <w:trPr/>
        <w:tc>
          <w:tcPr>
            <w:tcW w:w="51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511"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Date</w:t>
            </w:r>
          </w:p>
        </w:tc>
        <w:tc>
          <w:tcPr>
            <w:tcW w:w="2401"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Development Fee Payment</w:t>
            </w:r>
          </w:p>
        </w:tc>
      </w:tr>
      <w:tr>
        <w:trPr/>
        <w:tc>
          <w:tcPr>
            <w:tcW w:w="5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$1,250,000</w:t>
            </w:r>
          </w:p>
        </w:tc>
      </w:tr>
      <w:tr>
        <w:trPr/>
        <w:tc>
          <w:tcPr>
            <w:tcW w:w="5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$1,250,000</w:t>
            </w:r>
          </w:p>
        </w:tc>
      </w:tr>
      <w:tr>
        <w:trPr/>
        <w:tc>
          <w:tcPr>
            <w:tcW w:w="5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$1,250,000</w:t>
            </w:r>
          </w:p>
        </w:tc>
      </w:tr>
      <w:tr>
        <w:trPr/>
        <w:tc>
          <w:tcPr>
            <w:tcW w:w="5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24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$1,250,000</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clarity, [*] unless agreed by the Parties in writing or expressly set forth in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7.2.</w:t>
      </w:r>
    </w:p>
    <w:p>
      <w:pPr>
        <w:pStyle w:val="TextBody"/>
        <w:bidi w:val="0"/>
        <w:spacing w:before="0" w:after="240"/>
        <w:jc w:val="left"/>
        <w:rPr/>
      </w:pPr>
      <w:r>
        <w:rPr>
          <w:rFonts w:ascii="Times New Roman" w:hAnsi="Times New Roman"/>
          <w:b/>
          <w:color w:val="000000"/>
          <w:sz w:val="20"/>
        </w:rPr>
        <w:t>Other Costs</w:t>
      </w:r>
      <w:r>
        <w:rPr>
          <w:rFonts w:ascii="Times New Roman" w:hAnsi="Times New Roman"/>
          <w:color w:val="000000"/>
          <w:sz w:val="20"/>
        </w:rPr>
        <w:t>. Except as provided in this Article 7 or otherwise expressly set forth in this Agreement,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7.3.</w:t>
      </w:r>
    </w:p>
    <w:p>
      <w:pPr>
        <w:pStyle w:val="TextBody"/>
        <w:bidi w:val="0"/>
        <w:spacing w:before="0" w:after="240"/>
        <w:jc w:val="left"/>
        <w:rPr/>
      </w:pPr>
      <w:r>
        <w:rPr>
          <w:rFonts w:ascii="Times New Roman" w:hAnsi="Times New Roman"/>
          <w:b/>
          <w:color w:val="000000"/>
          <w:sz w:val="20"/>
        </w:rPr>
        <w:t>Fortis In-License Payments</w:t>
      </w:r>
      <w:r>
        <w:rPr>
          <w:rFonts w:ascii="Times New Roman" w:hAnsi="Times New Roman"/>
          <w:color w:val="000000"/>
          <w:sz w:val="20"/>
        </w:rPr>
        <w:t>. [*] the “</w:t>
      </w:r>
      <w:r>
        <w:rPr>
          <w:rFonts w:ascii="Times New Roman" w:hAnsi="Times New Roman"/>
          <w:color w:val="000000"/>
          <w:sz w:val="20"/>
          <w:u w:val="single"/>
        </w:rPr>
        <w:t>Upstream Payments</w:t>
      </w:r>
      <w:r>
        <w:rPr>
          <w:color w:val="000000"/>
        </w:rPr>
        <w:t>”</w:t>
      </w:r>
      <w:r>
        <w:rPr>
          <w:rFonts w:ascii="Times New Roman" w:hAnsi="Times New Roman"/>
          <w:color w:val="000000"/>
          <w:sz w:val="20"/>
        </w:rPr>
        <w:t>). FibroGen will pay Fortis the amounts of any Upstream Payment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7.4.</w:t>
      </w:r>
    </w:p>
    <w:p>
      <w:pPr>
        <w:pStyle w:val="TextBody"/>
        <w:bidi w:val="0"/>
        <w:spacing w:before="0" w:after="240"/>
        <w:jc w:val="left"/>
        <w:rPr/>
      </w:pPr>
      <w:r>
        <w:rPr>
          <w:rFonts w:ascii="Times New Roman" w:hAnsi="Times New Roman"/>
          <w:b/>
          <w:color w:val="000000"/>
          <w:sz w:val="20"/>
        </w:rPr>
        <w:t>Taxes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Cooperation and Coordination.</w:t>
      </w:r>
      <w:r>
        <w:rPr>
          <w:color w:val="000000"/>
        </w:rPr>
        <w:t xml:space="preserve"> </w:t>
      </w:r>
      <w:r>
        <w:rPr>
          <w:rFonts w:ascii="Times New Roman" w:hAnsi="Times New Roman"/>
          <w:color w:val="000000"/>
          <w:sz w:val="20"/>
        </w:rPr>
        <w:t>The Parties acknowledge and agree that it is their mutual objective and intent to appropriately calculate, and to the extent feasible and legal, minimize taxes payable with respect to their collaborative efforts under this Agreement and that they will use [*] to cooperate and coordinate with each other to achieve such objective.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Payment of Tax.</w:t>
      </w:r>
      <w:r>
        <w:rPr>
          <w:color w:val="000000"/>
        </w:rPr>
        <w:t xml:space="preserve"> </w:t>
      </w:r>
      <w:r>
        <w:rPr>
          <w:rFonts w:ascii="Times New Roman" w:hAnsi="Times New Roman"/>
          <w:color w:val="000000"/>
          <w:sz w:val="20"/>
        </w:rPr>
        <w:t>Except as otherwise provided in this Section 7.4, a Party receiving a payment pursuant to this Article 7 will pay any and all income taxes levied on such payment. If Applicable Laws require that taxes be deducted and withheld from a payment made pursuant to this Article 7 and such taxes cannot be reduced or eliminated under an applicable tax treaty or otherwise, the remitting Party will (i) deduct those taxes from the payment; (ii) pay the taxes to the proper taxing authority; (iii) remit the remaining amount of such payment to the recipient, and (iv) promptly send evidence of the obligation together with proof of payment to the other Party following that payment.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Tax Residence Certificate.</w:t>
      </w:r>
      <w:r>
        <w:rPr>
          <w:color w:val="000000"/>
        </w:rPr>
        <w:t xml:space="preserve"> </w:t>
      </w:r>
      <w:r>
        <w:rPr>
          <w:rFonts w:ascii="Times New Roman" w:hAnsi="Times New Roman"/>
          <w:color w:val="000000"/>
          <w:sz w:val="20"/>
        </w:rPr>
        <w:t>A Party receiving a payment pursuant to this Article 7 will provide the remitting Party appropriate certification from relevant revenue authorities that such Party is a tax resident of that jurisdiction, if such receiving Party wishes to claim the benefits of an income tax treaty to which that jurisdiction is a party. The paying Party shall use [*] to inform the Party receiving payment of any forms, certificates or other items necessary to do so and provide the payee a reasonable opportunity to provide such forms, certificate or other items. Upon the receipt thereof, any deduction and withholding of taxes will be made at the appropriate treaty tax rate.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b/>
          <w:color w:val="000000"/>
          <w:sz w:val="20"/>
        </w:rPr>
        <w:t>Assessment</w:t>
      </w:r>
      <w:r>
        <w:rPr>
          <w:rFonts w:ascii="Times New Roman" w:hAnsi="Times New Roman"/>
          <w:color w:val="000000"/>
          <w:sz w:val="20"/>
        </w:rPr>
        <w:t>. Either Party may, at its own expense, protest any assessment, proposed assessment, or other claim by any Governmental Authority for any additional amount of taxes, interest or penalties or seek a refund of such amounts paid if permitted to do so by Applicable Law. The Parties will cooperate with each other in any protest by providing records and such additional information as may reasonably be necessary for a Party to pursue such protest.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b/>
          <w:color w:val="000000"/>
          <w:sz w:val="20"/>
        </w:rPr>
        <w:t>Redomicile, Assignment or Sublicense</w:t>
      </w:r>
      <w:r>
        <w:rPr>
          <w:rFonts w:ascii="Times New Roman" w:hAnsi="Times New Roman"/>
          <w:color w:val="000000"/>
          <w:sz w:val="20"/>
        </w:rPr>
        <w:t>. If a Party that owes a payment under this Agreement takes any action, including without limitation, redomiciling, assigning, or sublicensing its rights and obligations to any Person under this Agreement (including by an assignment of this Agreement as permitted under this Agreement) (each a “</w:t>
      </w:r>
      <w:r>
        <w:rPr>
          <w:rFonts w:ascii="Times New Roman" w:hAnsi="Times New Roman"/>
          <w:color w:val="000000"/>
          <w:sz w:val="20"/>
          <w:u w:val="single"/>
        </w:rPr>
        <w:t>Withholding Tax Action</w:t>
      </w:r>
      <w:r>
        <w:rPr>
          <w:color w:val="000000"/>
        </w:rPr>
        <w:t>”</w:t>
      </w:r>
      <w:r>
        <w:rPr>
          <w:rFonts w:ascii="Times New Roman" w:hAnsi="Times New Roman"/>
          <w:color w:val="000000"/>
          <w:sz w:val="20"/>
        </w:rPr>
        <w:t>), and such Withholding Tax Action leads to the imposition or increase of withholding tax liability on a payment due to the other Party that would not have been imposed or increased in the absence of such Withholding Tax Action by the paying Party, then [*].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pPr>
      <w:r>
        <w:rPr>
          <w:rFonts w:ascii="Times New Roman" w:hAnsi="Times New Roman"/>
          <w:b/>
          <w:color w:val="000000"/>
          <w:sz w:val="20"/>
        </w:rPr>
        <w:t>Indirect Taxes</w:t>
      </w:r>
      <w:r>
        <w:rPr>
          <w:rFonts w:ascii="Times New Roman" w:hAnsi="Times New Roman"/>
          <w:color w:val="000000"/>
          <w:sz w:val="20"/>
        </w:rPr>
        <w:t>. Notwithstanding anything to the contrary in this Agreement, all amounts stated herein are exclusive of any transfer, documentary, sales, use, stamp, registration, value-added, goods and services tax or other similar tax (each an “</w:t>
      </w:r>
      <w:r>
        <w:rPr>
          <w:rFonts w:ascii="Times New Roman" w:hAnsi="Times New Roman"/>
          <w:color w:val="000000"/>
          <w:sz w:val="20"/>
          <w:u w:val="single"/>
        </w:rPr>
        <w:t>Indirect Tax</w:t>
      </w:r>
      <w:r>
        <w:rPr>
          <w:color w:val="000000"/>
        </w:rPr>
        <w:t>”</w:t>
      </w:r>
      <w:r>
        <w:rPr>
          <w:rFonts w:ascii="Times New Roman" w:hAnsi="Times New Roman"/>
          <w:color w:val="000000"/>
          <w:sz w:val="20"/>
        </w:rPr>
        <w:t>). [*].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pPr>
      <w:r>
        <w:rPr>
          <w:rFonts w:ascii="Times New Roman" w:hAnsi="Times New Roman"/>
          <w:b/>
          <w:color w:val="000000"/>
          <w:sz w:val="20"/>
        </w:rPr>
        <w:t>Foreign Derived Intangible Income</w:t>
      </w:r>
      <w:r>
        <w:rPr>
          <w:rFonts w:ascii="Times New Roman" w:hAnsi="Times New Roman"/>
          <w:color w:val="000000"/>
          <w:sz w:val="20"/>
        </w:rPr>
        <w:t>. The Parties shall use [*] to provide, and to cause their respective Affiliates, subcontractors, sublicenses, customers, and applicable Third Parties to provide, any information and documentation reasonably requested by the other Party to obtain the benefits of (i) Section 250 of the Internal Revenue Code of 1986, as amended and the applicable Treasury Regulations and/or (ii) any new U.S. tax legislation enacted during the term of this agreement that could provide a material tax benefit to either Party.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8</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Intellectual Property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8.1.</w:t>
      </w:r>
    </w:p>
    <w:p>
      <w:pPr>
        <w:pStyle w:val="TextBody"/>
        <w:bidi w:val="0"/>
        <w:spacing w:before="0" w:after="240"/>
        <w:jc w:val="left"/>
        <w:rPr/>
      </w:pPr>
      <w:r>
        <w:rPr>
          <w:rFonts w:ascii="Times New Roman" w:hAnsi="Times New Roman"/>
          <w:b/>
          <w:color w:val="000000"/>
          <w:sz w:val="20"/>
        </w:rPr>
        <w:t>Ownership of Background IP</w:t>
      </w:r>
      <w:r>
        <w:rPr>
          <w:rFonts w:ascii="Times New Roman" w:hAnsi="Times New Roman"/>
          <w:color w:val="000000"/>
          <w:sz w:val="20"/>
        </w:rPr>
        <w:t>. FibroGen will own and retain all of its rights, title and interests in and to the FibroGen Background IP and Fortis will own and retain all of its rights, title and interests in and to the Fortis Background IP, in each case subject to any assignments, rights or licenses expressly granted by one Party to the other Party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8.2.</w:t>
      </w:r>
    </w:p>
    <w:p>
      <w:pPr>
        <w:pStyle w:val="TextBody"/>
        <w:bidi w:val="0"/>
        <w:spacing w:before="0" w:after="240"/>
        <w:jc w:val="left"/>
        <w:rPr/>
      </w:pPr>
      <w:r>
        <w:rPr>
          <w:rFonts w:ascii="Times New Roman" w:hAnsi="Times New Roman"/>
          <w:b/>
          <w:color w:val="000000"/>
          <w:sz w:val="20"/>
        </w:rPr>
        <w:t>Collaboration IP; FibroGen Other Collaboration IP</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Collaboration IP</w:t>
      </w:r>
      <w:r>
        <w:rPr>
          <w:rFonts w:ascii="Times New Roman" w:hAnsi="Times New Roman"/>
          <w:color w:val="000000"/>
          <w:sz w:val="20"/>
        </w:rPr>
        <w:t>. Regardless of inventorship, as between the Parties, [*]. To the extent any rights, title or interest in or to the Collaboration IP vests in FibroGen (other than through the grant of a license by Fortis), FibroGen will assign, and hereby assigns to Fortis all of its rights, title and interest in and to the Collaboration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FibroGen Other Collaboration IP</w:t>
      </w:r>
      <w:r>
        <w:rPr>
          <w:rFonts w:ascii="Times New Roman" w:hAnsi="Times New Roman"/>
          <w:color w:val="000000"/>
          <w:sz w:val="20"/>
        </w:rPr>
        <w:t>. As between the Parties, [*], and will retain all of its rights, title and interests therein and thereto, subject to any assignments, rights or licenses expressly granted by FibroGen to Fortis under this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Inventorship</w:t>
      </w:r>
      <w:r>
        <w:rPr>
          <w:rFonts w:ascii="Times New Roman" w:hAnsi="Times New Roman"/>
          <w:color w:val="000000"/>
          <w:sz w:val="20"/>
        </w:rPr>
        <w:t>. Except as provided under Section 8.2(a) and 8.2(b), the ownership of all other intellectual property rights will be based on inventorship. Inventorship under this Agreement will be determined in accordance with United States patent 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b/>
          <w:color w:val="000000"/>
          <w:sz w:val="20"/>
        </w:rPr>
        <w:t>Disclosure; Assignment</w:t>
      </w:r>
      <w:r>
        <w:rPr>
          <w:rFonts w:ascii="Times New Roman" w:hAnsi="Times New Roman"/>
          <w:color w:val="000000"/>
          <w:sz w:val="20"/>
        </w:rPr>
        <w:t>. Each Party will promptly disclose to the other Party in writing, and will cause its Affiliates to so disclose, the discovery, development, invention or creation of any new Fortis Background IP or Collaboration IP, or FibroGen Other Collaboration IP necessary to Exploit any Product or any Modified Product, under this Agreement. (i) Fortis will ensure that employees or agents of Fortis, its Affiliates and their Subcontractors that are conducting Development Activities have entered into employment or contracting agreements whereby their entire right, title and interest in and to Know-How and Patent Rights that are Collaboration IP has been assigned to Fortis as of the date of invention; and (ii) FibroGen will ensure that employees or agents of FibroGen, its Affiliates and their Subcontractors that are conducting activities under this Agreement have entered into employment or contracting agreements whereby their entire right, title and interest in and to Know-How and Patent Rights that are Collaboration IP or FibroGen Other Collaboration IP has been assigned to FibroGen as of the date of invention, in each case (i) and (ii) as is necessary to enable such Party to fully effect the ownership of such Collaboration IP and FibroGen Other Collaboration IP as provided for in Section 8.2(a) and Section 8.2(b). Each Party shall, and shall cause its Affiliates, employees, agents, and Subcontractors to, cooperate with such other Party and take all reasonable additional actions and execute such agreements, instruments and documents as may be reasonably required to perfect such other Party’s right, title and interest in and to Collaboration IP as set forth in Section 8.2(a).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8.3.</w:t>
      </w:r>
    </w:p>
    <w:p>
      <w:pPr>
        <w:pStyle w:val="TextBody"/>
        <w:bidi w:val="0"/>
        <w:spacing w:before="0" w:after="240"/>
        <w:jc w:val="left"/>
        <w:rPr/>
      </w:pPr>
      <w:r>
        <w:rPr>
          <w:rFonts w:ascii="Times New Roman" w:hAnsi="Times New Roman"/>
          <w:b/>
          <w:color w:val="000000"/>
          <w:sz w:val="20"/>
        </w:rPr>
        <w:t>Data</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Collaboration Data</w:t>
      </w:r>
      <w:r>
        <w:rPr>
          <w:rFonts w:ascii="Times New Roman" w:hAnsi="Times New Roman"/>
          <w:color w:val="000000"/>
          <w:sz w:val="20"/>
        </w:rPr>
        <w:t>. All data (including any raw data, clinical data, non-clinical data, and any related information, analyses, and reports as available), other than the FibroGen Other Collaboration Data, generated by or on behalf of either Party during the performance of Development Activities and Evaluation Activities under the Study Plan (“</w:t>
      </w:r>
      <w:r>
        <w:rPr>
          <w:rFonts w:ascii="Times New Roman" w:hAnsi="Times New Roman"/>
          <w:color w:val="000000"/>
          <w:sz w:val="20"/>
          <w:u w:val="single"/>
        </w:rPr>
        <w:t>Collaboration Data</w:t>
      </w:r>
      <w:r>
        <w:rPr>
          <w:color w:val="000000"/>
        </w:rPr>
        <w:t>”</w:t>
      </w:r>
      <w:r>
        <w:rPr>
          <w:rFonts w:ascii="Times New Roman" w:hAnsi="Times New Roman"/>
          <w:color w:val="000000"/>
          <w:sz w:val="20"/>
        </w:rPr>
        <w:t>) will be solely owned by Fortis and will be deemed to be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FibroGen Other Collaboration Data</w:t>
      </w:r>
      <w:r>
        <w:rPr>
          <w:rFonts w:ascii="Times New Roman" w:hAnsi="Times New Roman"/>
          <w:color w:val="000000"/>
          <w:sz w:val="20"/>
        </w:rPr>
        <w:t>. All data generated by or on behalf of FibroGen during the performance of Evaluation Activities under the Study Plan that is not specifically related to any of the Products or Modified Products (the “</w:t>
      </w:r>
      <w:r>
        <w:rPr>
          <w:rFonts w:ascii="Times New Roman" w:hAnsi="Times New Roman"/>
          <w:color w:val="000000"/>
          <w:sz w:val="20"/>
          <w:u w:val="single"/>
        </w:rPr>
        <w:t>FibroGen Other Collaboration Data</w:t>
      </w:r>
      <w:r>
        <w:rPr>
          <w:color w:val="000000"/>
        </w:rPr>
        <w:t>”</w:t>
      </w:r>
      <w:r>
        <w:rPr>
          <w:rFonts w:ascii="Times New Roman" w:hAnsi="Times New Roman"/>
          <w:color w:val="000000"/>
          <w:sz w:val="20"/>
        </w:rPr>
        <w:t>) will be solely owned by FibroGen and will be deemed to be FibroGen Other Collaboration Know-How.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Disclosure</w:t>
      </w:r>
      <w:r>
        <w:rPr>
          <w:rFonts w:ascii="Times New Roman" w:hAnsi="Times New Roman"/>
          <w:color w:val="000000"/>
          <w:sz w:val="20"/>
        </w:rPr>
        <w:t>. Each Party will regularly provide to the JSC a summary of all Collaboration Data and, solely with respect to FibroGen, any FibroGen Other Collaboration Data related to any of the Products or Modified Products, that was generated by or on behalf of such Party. Upon FibroGen’s request, Fortis will provide to FibroGen a copy of all Collaboration Data that is generated by or on behalf of Fortis that Fortis has not previously provided to FibroGen. FibroGen will provide to Fortis (i) all Collaboration Data and (ii) upon Fortis’s request, any FibroGen Other Collaboration Data related to any of the Products or Modified Products, in each case (i) and (ii) that was generated by or on behalf of FibroGen that FibroGen has not previously provided to Fortis. The Parties will mutually agree on an electronic transfer format for the data transfers under this Section 8.3(c).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8.4.</w:t>
      </w:r>
    </w:p>
    <w:p>
      <w:pPr>
        <w:pStyle w:val="TextBody"/>
        <w:bidi w:val="0"/>
        <w:spacing w:before="0" w:after="240"/>
        <w:jc w:val="left"/>
        <w:rPr/>
      </w:pPr>
      <w:r>
        <w:rPr>
          <w:rFonts w:ascii="Times New Roman" w:hAnsi="Times New Roman"/>
          <w:b/>
          <w:color w:val="000000"/>
          <w:sz w:val="20"/>
        </w:rPr>
        <w:t>Prosecution of Patent Rights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FibroGen Patent Rights</w:t>
      </w:r>
      <w:r>
        <w:rPr>
          <w:rFonts w:ascii="Times New Roman" w:hAnsi="Times New Roman"/>
          <w:color w:val="000000"/>
          <w:sz w:val="20"/>
        </w:rPr>
        <w:t>. As between the Parties, FibroGen will have the sole right and authority to prepare, file, prosecute and maintain the FibroGen Background Patent Rights and the FibroGen Other Collaboration Patent Rights in the name of FibroGen on a worldwide basis at its sole discretion and expense.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Fortis Patent Rights</w:t>
      </w:r>
      <w:r>
        <w:rPr>
          <w:rFonts w:ascii="Times New Roman" w:hAnsi="Times New Roman"/>
          <w:color w:val="000000"/>
          <w:sz w:val="20"/>
        </w:rPr>
        <w:t>. [*], as between the Parties, [*] to prepare, file, prosecute and maintain the Fortis Patent Rights in the name of Fortis on a worldwide basis (including by timely making all filings and paying all fees required to be filed or paid in connection with the continued prosecution and maintenance of the Fortis Patent Rights), [*];</w:t>
      </w:r>
      <w:r>
        <w:rPr>
          <w:color w:val="00000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FibroGen will have the right to cease prosecution and maintenance of any Fortis Patent Right, subject to the last two sentences of this Section 8.4(b). FibroGen will provide Fortis an opportunity to review and comment on such efforts regarding the Fortis Patent Rights, including by promptly providing Fortis with a copy of all communications from or relating to any patent authority regarding such Fortis Patent Right, and by providing drafts of all material filings or responses to be made to such patent authorities and instructions relating thereto reasonably in advance and [*] to submitting such filings, responses or instructions (to the extent reasonably practicable) to give Fortis an opportunity to review and comment. FibroGen will consider all comments from Fortis in good faith regarding such communications and drafts and will consider all timely reasonable requests by Fortis for FibroGen to file one or more continuations, continuations-in-part, divisionals, national stage applications or direct applications in any country, include one or more additional jurisdictions among the jurisdictions in which FibroGen will seek to file (and thereafter prosecute and maintain) any Fortis Patent Right. Notwithstanding the foregoing, if FibroGen determines, in its sole discretion, to not file a patent application requested by Fortis or cease prosecution and maintenance of any Fortis Patent Right(s) that is being prosecuted or maintained by FibroGen, then FibroGen will provide Fortis with written notice of such determination within a period of time reasonably sufficient to allow Fortis to determine, [*] its interest in prosecuting and maintaining such Fortis Patent Right(s) (which notice by FibroGen will be given no later than [*] prior to the final deadline for any application filing, pending action or response that may be due with respect to such Fortis Patent Right(s) with the applicable patent authority). In the event Fortis provides written notice expressing its interest in prosecuting and maintaining such Fortis Patent Right(s), and (i) such Fortis Patent Right(s) shall be excluded in the license granted by Fortis to FibroGen under Section 4.1(a); and (ii) [*], to prepare, file, prosecute and maintain such Fortis Patent Right(s) [*];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if FibroGen makes a decision to not file or continue the prosecution of a Fortis Patent Right based upon a good faith, </w:t>
      </w:r>
      <w:r>
        <w:rPr>
          <w:rFonts w:ascii="Times New Roman" w:hAnsi="Times New Roman"/>
          <w:i/>
          <w:color w:val="000000"/>
          <w:sz w:val="20"/>
        </w:rPr>
        <w:t>bona fide</w:t>
      </w:r>
      <w:r>
        <w:rPr>
          <w:color w:val="000000"/>
        </w:rPr>
        <w:t xml:space="preserve"> </w:t>
      </w:r>
      <w:r>
        <w:rPr>
          <w:rFonts w:ascii="Times New Roman" w:hAnsi="Times New Roman"/>
          <w:color w:val="000000"/>
          <w:sz w:val="20"/>
        </w:rPr>
        <w:t>rationale made for strategic reasons in the best interest of the Fortis Patent Right portfolio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Cooperation in Prosecution</w:t>
      </w:r>
      <w:r>
        <w:rPr>
          <w:rFonts w:ascii="Times New Roman" w:hAnsi="Times New Roman"/>
          <w:color w:val="000000"/>
          <w:sz w:val="20"/>
        </w:rPr>
        <w:t>. Each Party will provide the other Party all reasonable assistance and cooperation in the patent prosecution efforts provided above in this Section 8.4, including providing any necessary powers of attorney and executing any other required documents or instruments for such prosecution, as well as further actions as set forth below, at the cost of the Party requesting such assistance. In the case of inventions that are prosecuted by FibroGen pursuant to Section 8.4(b), such cooperation will include, in response to requests by FibroGen, cooperation in providing Know-How Controlled by Fortis relating to such Patent Rights to the extent necessary for the preparation, filing and maintenance of such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used herein, “prosecution” of such Patent Rights will include all communication and other interaction with inside or outside patent counsel, any patent office or patent authority having jurisdiction over a patent application in connection with pre-grant 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communications between the Parties relating to the preparation, filing, prosecution or maintenance of the Patent Rights under this Agreement, including copies of any draft or final documents or any communications received from or sent to outside patent counsel, patent offices or patenting authorities with respect to such Patent Rights, will be considered Confidential Information and subject to the confidentiality provisions of Article 10. In addition, the Parties acknowledge and agree that, with regard to the preparation, filing, prosecution or maintenance of the Patent Rights under this Agreement, the interests of the Parties are aligned and are legal in nature. The Parties further acknowledge and agree that they have not waived, and nothing in this Agreement constitutes a waiver of, any legal privilege concerning the Patent Rights, including privilege under the common interest doctrine and similar or related doctrines.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Party acknowledges that the other Party does not guarantee the issuance, validity or enforceability of any Patent Rights or any claim resulting from its efforts under this Section 8.4.</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8.5.</w:t>
      </w:r>
    </w:p>
    <w:p>
      <w:pPr>
        <w:pStyle w:val="TextBody"/>
        <w:bidi w:val="0"/>
        <w:spacing w:before="0" w:after="240"/>
        <w:jc w:val="left"/>
        <w:rPr/>
      </w:pPr>
      <w:r>
        <w:rPr>
          <w:rFonts w:ascii="Times New Roman" w:hAnsi="Times New Roman"/>
          <w:b/>
          <w:color w:val="000000"/>
          <w:sz w:val="20"/>
        </w:rPr>
        <w:t>CREATE Act</w:t>
      </w:r>
      <w:r>
        <w:rPr>
          <w:rFonts w:ascii="Times New Roman" w:hAnsi="Times New Roman"/>
          <w:color w:val="000000"/>
          <w:sz w:val="20"/>
        </w:rPr>
        <w:t>. Notwithstanding anything to the contrary in this Article 8, no Party will have the right to make an election under the CREATE Act when exercising its rights under this Article 8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CREATE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8.6.</w:t>
      </w:r>
    </w:p>
    <w:p>
      <w:pPr>
        <w:pStyle w:val="TextBody"/>
        <w:bidi w:val="0"/>
        <w:spacing w:before="0" w:after="240"/>
        <w:jc w:val="left"/>
        <w:rPr/>
      </w:pPr>
      <w:r>
        <w:rPr>
          <w:rFonts w:ascii="Times New Roman" w:hAnsi="Times New Roman"/>
          <w:b/>
          <w:color w:val="000000"/>
          <w:sz w:val="20"/>
        </w:rPr>
        <w:t>Unitary Patent System</w:t>
      </w:r>
      <w:r>
        <w:rPr>
          <w:rFonts w:ascii="Times New Roman" w:hAnsi="Times New Roman"/>
          <w:color w:val="000000"/>
          <w:sz w:val="20"/>
        </w:rPr>
        <w:t>. FibroGen will have the first right to opt in or opt out of the EU Unitary Patent System for all Fortis Patent Rights. Without limiting the generality of the foregoing, unless a Party or its Affiliate has expressly opted in to the EU Unitary Patent System with respect to a given Patent Right, the other Party will not initiate any action under the EU Unitary Patent System without such Party’s prior written approval, such approval to be granted or withheld in such Party’s sole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8.7.</w:t>
      </w:r>
    </w:p>
    <w:p>
      <w:pPr>
        <w:pStyle w:val="TextBody"/>
        <w:bidi w:val="0"/>
        <w:spacing w:before="0" w:after="240"/>
        <w:jc w:val="left"/>
        <w:rPr/>
      </w:pPr>
      <w:r>
        <w:rPr>
          <w:rFonts w:ascii="Times New Roman" w:hAnsi="Times New Roman"/>
          <w:b/>
          <w:color w:val="000000"/>
          <w:sz w:val="20"/>
        </w:rPr>
        <w:t>Infringement of Patents by Third Parties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Notification</w:t>
      </w:r>
      <w:r>
        <w:rPr>
          <w:rFonts w:ascii="Times New Roman" w:hAnsi="Times New Roman"/>
          <w:color w:val="000000"/>
          <w:sz w:val="20"/>
        </w:rPr>
        <w:t>. Each Party will promptly notify the other Party in writing of any existing, alleged or threatened (i) infringement of the Fortis Patent Rights or (ii) misappropriation of Fortis Know-How (“</w:t>
      </w:r>
      <w:r>
        <w:rPr>
          <w:rFonts w:ascii="Times New Roman" w:hAnsi="Times New Roman"/>
          <w:color w:val="000000"/>
          <w:sz w:val="20"/>
          <w:u w:val="single"/>
        </w:rPr>
        <w:t>Fortis IP Infringement</w:t>
      </w:r>
      <w:r>
        <w:rPr>
          <w:color w:val="000000"/>
        </w:rPr>
        <w:t>”</w:t>
      </w:r>
      <w:r>
        <w:rPr>
          <w:rFonts w:ascii="Times New Roman" w:hAnsi="Times New Roman"/>
          <w:color w:val="000000"/>
          <w:sz w:val="20"/>
        </w:rPr>
        <w:t>) of which it becomes aware, and will provide all information in such Party’s possession or control demonstrating such Fortis IP Infringement.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Infringement of Fortis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pPr>
      <w:r>
        <w:rPr>
          <w:rFonts w:ascii="Times New Roman" w:hAnsi="Times New Roman"/>
          <w:color w:val="000000"/>
          <w:sz w:val="20"/>
        </w:rPr>
        <w:t>FibroGen will have the first right, but not the obligation, to bring an appropriate suit or other action against any Third Party engaged in any existing, alleged or threatened Fortis IP Infringement (a “</w:t>
      </w:r>
      <w:r>
        <w:rPr>
          <w:rFonts w:ascii="Times New Roman" w:hAnsi="Times New Roman"/>
          <w:color w:val="000000"/>
          <w:sz w:val="20"/>
          <w:u w:val="single"/>
        </w:rPr>
        <w:t>Fortis IP Infringement Action</w:t>
      </w:r>
      <w:r>
        <w:rPr>
          <w:color w:val="000000"/>
        </w:rPr>
        <w:t>”</w:t>
      </w:r>
      <w:r>
        <w:rPr>
          <w:rFonts w:ascii="Times New Roman" w:hAnsi="Times New Roman"/>
          <w:color w:val="000000"/>
          <w:sz w:val="20"/>
        </w:rPr>
        <w:t>), subject to the terms of this Section 8.7(b).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pPr>
      <w:r>
        <w:rPr>
          <w:rFonts w:ascii="Times New Roman" w:hAnsi="Times New Roman"/>
          <w:color w:val="000000"/>
          <w:sz w:val="20"/>
        </w:rPr>
        <w:t>FibroGen will notify Fortis of its election to undertake or not to undertake a Fortis IP Infringement Action in accordance with Section 8.7(b)(i) within the earlier of: (x) [*]. In the event FibroGen elects not to or otherwise fails to undertake a Fortis IP Infringement Action within the applicable time period set forth in the immediately preceding sentence, Fortis will have the right, but not the obligation, to undertake a Fortis IP Infringement Action against the Third Party perpetrating the Fortis IP Infringement. If one Party elects to take a Fortis IP Infringement Action in accordance with this Section 8.7(b)(ii) (the “</w:t>
      </w:r>
      <w:r>
        <w:rPr>
          <w:rFonts w:ascii="Times New Roman" w:hAnsi="Times New Roman"/>
          <w:color w:val="000000"/>
          <w:sz w:val="20"/>
          <w:u w:val="single"/>
        </w:rPr>
        <w:t>Fortis Patent Enforcing Party</w:t>
      </w:r>
      <w:r>
        <w:rPr>
          <w:color w:val="000000"/>
        </w:rPr>
        <w:t>”</w:t>
      </w:r>
      <w:r>
        <w:rPr>
          <w:rFonts w:ascii="Times New Roman" w:hAnsi="Times New Roman"/>
          <w:color w:val="000000"/>
          <w:sz w:val="20"/>
        </w:rPr>
        <w:t xml:space="preserve">), then it will take such Fortis IP Infringement Action at its expense;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other Party (the “</w:t>
      </w:r>
      <w:r>
        <w:rPr>
          <w:rFonts w:ascii="Times New Roman" w:hAnsi="Times New Roman"/>
          <w:color w:val="000000"/>
          <w:sz w:val="20"/>
          <w:u w:val="single"/>
        </w:rPr>
        <w:t>Fortis Patent Non-Enforcing Party</w:t>
      </w:r>
      <w:r>
        <w:rPr>
          <w:color w:val="000000"/>
        </w:rPr>
        <w:t>”</w:t>
      </w:r>
      <w:r>
        <w:rPr>
          <w:rFonts w:ascii="Times New Roman" w:hAnsi="Times New Roman"/>
          <w:color w:val="000000"/>
          <w:sz w:val="20"/>
        </w:rPr>
        <w:t xml:space="preserve">) will have the right, prior to commencement of the Fortis IP Infringement Action, to join any such Fortis IP Infringement Action [*]; and </w:t>
      </w:r>
      <w:r>
        <w:rPr>
          <w:rFonts w:ascii="Times New Roman" w:hAnsi="Times New Roman"/>
          <w:color w:val="000000"/>
          <w:sz w:val="20"/>
          <w:u w:val="single"/>
        </w:rPr>
        <w:t>provided further</w:t>
      </w:r>
      <w:r>
        <w:rPr>
          <w:rFonts w:ascii="Times New Roman" w:hAnsi="Times New Roman"/>
          <w:color w:val="000000"/>
          <w:sz w:val="20"/>
        </w:rPr>
        <w:t xml:space="preserve">, that if FibroGen makes a decision to not undertake a Fortis IP Infringement Action upon a good faith, </w:t>
      </w:r>
      <w:r>
        <w:rPr>
          <w:rFonts w:ascii="Times New Roman" w:hAnsi="Times New Roman"/>
          <w:i/>
          <w:color w:val="000000"/>
          <w:sz w:val="20"/>
        </w:rPr>
        <w:t>bona fide</w:t>
      </w:r>
      <w:r>
        <w:rPr>
          <w:color w:val="000000"/>
        </w:rPr>
        <w:t xml:space="preserve"> </w:t>
      </w:r>
      <w:r>
        <w:rPr>
          <w:rFonts w:ascii="Times New Roman" w:hAnsi="Times New Roman"/>
          <w:color w:val="000000"/>
          <w:sz w:val="20"/>
        </w:rPr>
        <w:t>rationale for strategic reasons in the best interest of the Fortis Patent Right portfolio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Fortis Patent Non-Enforcing Party will provide to the Fortis Patent Enforcing Party reasonable assistance in undertaking any Fortis IP Infringement Action, [*] including joining such Fortis IP Infringement Action as a party plaintiff if required by Applicable Law to pursue such Fortis IP Infringement Action. The Fortis Patent Enforcing Party will keep the Fortis Patent Non-Enforcing Party regularly informed of the status and progress of its efforts with respect to the applicable Fortis IP Infringement Action, will reasonably consider the Fortis Patent Non-Enforcing Party’s comments on any such efforts, and will obtain Fortis Patent Non-Enforcing Party’s consent in any important aspects of such Fortis IP Infringement Action, including determination of litigation strategy and filing of important papers to the competent court, which consent will not be unreasonably withheld, delayed or conditioned.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Fortis Patent Non-Enforcing Party will be entitled to separate representation by counsel of its own choice and at its own expense, subject to the first sentence of clause (iii) above.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Fortis Patent Enforcing Party will not settle any Fortis IP Infringement Action without the prior written consent of the Fortis Patent Non-Enforcing Party, which consent will not be unreasonably withheld, delayed or conditioned.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the first sentence of clause (iii) above,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Allocation of Proceeds</w:t>
      </w:r>
      <w:r>
        <w:rPr>
          <w:rFonts w:ascii="Times New Roman" w:hAnsi="Times New Roman"/>
          <w:color w:val="000000"/>
          <w:sz w:val="20"/>
        </w:rPr>
        <w:t>. If either Party recovers monetary damages from any Third Party in a suit or action brought under Section 8.7(b), or any royalties or other payments from a license agreement with a Third Party related to any alleged infringement of a Fortis Patent Right,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b/>
          <w:color w:val="000000"/>
          <w:sz w:val="20"/>
        </w:rPr>
        <w:t>Infringement of FibroGen Patent Rights</w:t>
      </w:r>
      <w:r>
        <w:rPr>
          <w:rFonts w:ascii="Times New Roman" w:hAnsi="Times New Roman"/>
          <w:color w:val="000000"/>
          <w:sz w:val="20"/>
        </w:rPr>
        <w:t>. As between the Parties, FibroGen will have the sole right and authority to bring a suit or take other action against any Third Party engaged in any existing, alleged or threatened infringement of the FibroGen Background Patent Rights and the FibroGen Other Collaboration Patent Rights on a worldwide basis at its sole discretion and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8.8.</w:t>
      </w:r>
    </w:p>
    <w:p>
      <w:pPr>
        <w:pStyle w:val="TextBody"/>
        <w:bidi w:val="0"/>
        <w:spacing w:before="0" w:after="240"/>
        <w:jc w:val="left"/>
        <w:rPr/>
      </w:pPr>
      <w:r>
        <w:rPr>
          <w:rFonts w:ascii="Times New Roman" w:hAnsi="Times New Roman"/>
          <w:b/>
          <w:color w:val="000000"/>
          <w:sz w:val="20"/>
        </w:rPr>
        <w:t>Infringement of Third Party Rights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Notification</w:t>
      </w:r>
      <w:r>
        <w:rPr>
          <w:rFonts w:ascii="Times New Roman" w:hAnsi="Times New Roman"/>
          <w:color w:val="000000"/>
          <w:sz w:val="20"/>
        </w:rPr>
        <w:t>. If the manufacture, use, import or sale of any Product or Modified Product becomes the subject of a claim or assertion of infringement of a Third Party’s Patent Right or misappropriation of a Third Party’s Know-How, then the Party first having notice of the claim or assertion will promptly notify the other Party, the Parties will agree on and enter into an “identity of interest agreement” wherein such Parties agree to their shared, mutual interest in the outcome of such potential dispute, and thereafter, the Parties will promptly meet to consider the claim or assertion and the appropriate course of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Defense</w:t>
      </w:r>
      <w:r>
        <w:rPr>
          <w:rFonts w:ascii="Times New Roman" w:hAnsi="Times New Roman"/>
          <w:color w:val="000000"/>
          <w:sz w:val="20"/>
        </w:rPr>
        <w:t>. FibroGen will have the first right, but not the obligation, to defend any such Third Party claim or assertion of infringement or misappropriation of a Patent Right or Know-How as described in Section 8.8(a) above, [*]. If FibroGen does not commence actions to defend such claim within [*] to Fortis as required by Section 8.8(a)), then Fortis will have the right, but not the obligation, to control the defense of such claim by counsel of its choice, [*]. The non-defending Party will, at the defending Party’s expense, reasonably cooperate with the Party conducting the defense of the claim or assertion, including if required to conduct such defense, furnishing a power of attorney.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Settlement; Licenses</w:t>
      </w:r>
      <w:r>
        <w:rPr>
          <w:rFonts w:ascii="Times New Roman" w:hAnsi="Times New Roman"/>
          <w:color w:val="000000"/>
          <w:sz w:val="20"/>
        </w:rPr>
        <w:t>. Neither Party will enter into any settlement of any claim described in this Section 8.8 that affects the other Party’s rights or interests with respect to any Product or Modified Product without such other Party’s written consent, which consent will not be unreasonably withheld, delayed or conditioned. Each Party will have the right to decline to defend or to tender defense of any such claim to the other Party upon reasonable notice, including if the other Party fails to agree to a settlement that such Party proposes. In the event that it is determined by any court of competent jurisdiction that the Exploitation of a Product as it exists [*] infringes or misappropriates, or either Party reasonably determines that such activities are likely to infringe or misappropriate, any Patent Right, copyright, trademark, data exclusivity right or Know-How of any Third Party, upon either Party’s request, the Parties will use [*] to: (i) procure from such Third Party, [*], a license authorizing the Parties to continue to conduct such activities; or (ii) modify such activities so as to render them non-infringing or non-misappropriating, in each case ((i) and (ii)) subject to the Parties’ consent rights with respect to settlements as set forth in the first sentence of this Section 8.8.</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8.9.</w:t>
      </w:r>
    </w:p>
    <w:p>
      <w:pPr>
        <w:pStyle w:val="TextBody"/>
        <w:bidi w:val="0"/>
        <w:spacing w:before="0" w:after="240"/>
        <w:jc w:val="left"/>
        <w:rPr/>
      </w:pPr>
      <w:r>
        <w:rPr>
          <w:rFonts w:ascii="Times New Roman" w:hAnsi="Times New Roman"/>
          <w:b/>
          <w:color w:val="000000"/>
          <w:sz w:val="20"/>
        </w:rPr>
        <w:t>Patent Oppositions and Other Proceedings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Third-Party Patent Rights</w:t>
      </w:r>
      <w:r>
        <w:rPr>
          <w:rFonts w:ascii="Times New Roman" w:hAnsi="Times New Roman"/>
          <w:color w:val="000000"/>
          <w:sz w:val="20"/>
        </w:rPr>
        <w:t>. If either Party desires to bring an opposition, action for declaratory judgment, nullity action, interference, inter partes review, post-grant review, declaration for non-infringement, reexamination or other attack upon the validity, title or enforceability of a Patent Right owned or controlled by a Third Party and having one or more claims that covers or might cover any Product or Modified Product, or the use, sale, offer for sale or importation of any Product or Modified Product (except insofar as such action is a counterclaim to or defense of, or accompanies a defense of, a Third Party’s claim or assertion of infringement under Section 8.8, in which case the provisions of Section 8.8 will govern), such Party will so notify the other Party and the Parties will promptly confer to determine whether to bring such action or the manner in which to settle such action. Neither Party will commence any such proceeding without the prior written consent of the other Party. In the event that a Party commences any proceeding pursuant to this Section 8.9(a), the commencing Party will provide the other Party a reasonable opportunity to review and comment on the commencing Party’s activities with respect to such proceeding, including by promptly providing the other Party with a copy of all communications from or relating to any patent authority with respect to such proceeding, and by providing drafts of all filings or responses to be made to such patent authorities and instructions relating thereto reasonably [*] to submitting such filings, responses or instructions to give the other Party an opportunity to review and comment. The commencing Party will reasonably consider all reasonable comments from the other Party in good faith regarding such communications and drafts and will comply with any timely reasonable requests by the other Party to the commencing Party with respect to such proceeding.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Parties’ Patent Rights</w:t>
      </w:r>
      <w:r>
        <w:rPr>
          <w:rFonts w:ascii="Times New Roman" w:hAnsi="Times New Roman"/>
          <w:color w:val="000000"/>
          <w:sz w:val="20"/>
        </w:rPr>
        <w:t xml:space="preserve">. If any Fortis Patent Right becomes the subject of any proceeding commenced by a Third Party in connection with an inter partes review, post-grant review,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8.8, in which case the provisions of Section 8.8 will govern), then the Party responsible for filing, preparing, prosecuting and maintaining such Patent Right as set forth in Section 8.4 hereof, [*]. If such Party decides that it does not wish to defend against such action, then the other Party [*]; </w:t>
      </w:r>
      <w:r>
        <w:rPr>
          <w:rFonts w:ascii="Times New Roman" w:hAnsi="Times New Roman"/>
          <w:color w:val="000000"/>
          <w:sz w:val="20"/>
          <w:u w:val="single"/>
        </w:rPr>
        <w:t>provided</w:t>
      </w:r>
      <w:r>
        <w:rPr>
          <w:rFonts w:ascii="Times New Roman" w:hAnsi="Times New Roman"/>
          <w:color w:val="000000"/>
          <w:sz w:val="20"/>
        </w:rPr>
        <w:t xml:space="preserve">, that if FibroGen is the Party filing, preparing, prosecuting and maintaining such Patent Right and makes a decision to not defend such action upon a good faith, </w:t>
      </w:r>
      <w:r>
        <w:rPr>
          <w:rFonts w:ascii="Times New Roman" w:hAnsi="Times New Roman"/>
          <w:i/>
          <w:color w:val="000000"/>
          <w:sz w:val="20"/>
        </w:rPr>
        <w:t>bona fide</w:t>
      </w:r>
      <w:r>
        <w:rPr>
          <w:color w:val="000000"/>
        </w:rPr>
        <w:t xml:space="preserve"> </w:t>
      </w:r>
      <w:r>
        <w:rPr>
          <w:rFonts w:ascii="Times New Roman" w:hAnsi="Times New Roman"/>
          <w:color w:val="000000"/>
          <w:sz w:val="20"/>
        </w:rPr>
        <w:t>rationale for strategic reasons in the best interest of the Fortis Patent Right portfolio [*]. The controlling Party will permit the non-controlling Party to participate in the proceeding to the extent permissible under Applicable Law, and to be represented by its own counsel in such proceeding, [*]. Without limiting the foregoing, the controlling Party will provide the non-controlling Party a reasonable opportunity to review and comment on the controlling Party’s activities with respect to such proceeding, including by promptly providing the non-controlling Party with a copy of all communications from or relating to any patent authority or court with respect to such proceeding, and by providing drafts of all filings or responses to be made to such patent authorities and instructions relating thereto [*] to submitting such filings, responses or instructions to give the non-controlling Party an opportunity to review and comment. The controlling Party will implement all reasonable comments from the non-controlling Party regarding such communications and drafts and will comply with any timely reasonable requests by the non-controlling Party to the controlling party with respect to such proceeding.</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9</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REPRESENTATIONS, WARRANTIES AND COVENANTS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9.1.</w:t>
      </w:r>
    </w:p>
    <w:p>
      <w:pPr>
        <w:pStyle w:val="TextBody"/>
        <w:bidi w:val="0"/>
        <w:spacing w:before="0" w:after="240"/>
        <w:jc w:val="left"/>
        <w:rPr/>
      </w:pPr>
      <w:r>
        <w:rPr>
          <w:rFonts w:ascii="Times New Roman" w:hAnsi="Times New Roman"/>
          <w:b/>
          <w:color w:val="000000"/>
          <w:sz w:val="20"/>
        </w:rPr>
        <w:t>Mutual Representations, Warranties and Covenants</w:t>
      </w:r>
      <w:r>
        <w:rPr>
          <w:rFonts w:ascii="Times New Roman" w:hAnsi="Times New Roman"/>
          <w:color w:val="000000"/>
          <w:sz w:val="20"/>
        </w:rPr>
        <w:t>. Each of the Parties hereby represents and warrants, as of the Effective Date, and covenants, as applicable, to the other Party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Organization</w:t>
      </w:r>
      <w:r>
        <w:rPr>
          <w:rFonts w:ascii="Times New Roman" w:hAnsi="Times New Roman"/>
          <w:color w:val="000000"/>
          <w:sz w:val="20"/>
        </w:rPr>
        <w:t>. As of the Effective Date, it is a corporation duly organized, validly existing, and in good standing under the laws of the jurisdiction of its organization, and has all requisite power and authority, corporate or otherwise, to execute, deliver, and perform this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Binding Agreement</w:t>
      </w:r>
      <w:r>
        <w:rPr>
          <w:rFonts w:ascii="Times New Roman" w:hAnsi="Times New Roman"/>
          <w:color w:val="000000"/>
          <w:sz w:val="20"/>
        </w:rPr>
        <w:t>. As of the Effective Date, this Agreement is a legal and valid obligation binding upon such Party and enforceable in accordance with its 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Authorization</w:t>
      </w:r>
      <w:r>
        <w:rPr>
          <w:rFonts w:ascii="Times New Roman" w:hAnsi="Times New Roman"/>
          <w:color w:val="000000"/>
          <w:sz w:val="20"/>
        </w:rPr>
        <w:t>. As of the Effective Date, the execution, delivery, and performance of this Agreement by such Party have been duly authorized by all necessary corporate action and do not conflict with any agreement, instrument, or understanding, oral or written, to which it is a party or by which it is bound, nor violate any Applicable Laws or Judgment presently in effect applicable to such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b/>
          <w:color w:val="000000"/>
          <w:sz w:val="20"/>
        </w:rPr>
        <w:t>No Further Approval</w:t>
      </w:r>
      <w:r>
        <w:rPr>
          <w:rFonts w:ascii="Times New Roman" w:hAnsi="Times New Roman"/>
          <w:color w:val="000000"/>
          <w:sz w:val="20"/>
        </w:rPr>
        <w:t>. As of the Effective Date, it is not aware of any government authorization, consent, approval, license, exemption of or filing or registration with any court or governmental department, commission, board, bureau, agency or instrumentality, domestic or foreign, under any Applicable Laws, currently in effect, necessary for, or in connection with, the transactions contemplated by this Agreement or any other agreement or instrument executed in connection herewith, or for the performance by it of its obligations under this Agreement and such other agreements (except for Regulatory Approvals and similar authorizations from Regulatory Authorities necessary for the Exploitation of the Products as contemplated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b/>
          <w:color w:val="000000"/>
          <w:sz w:val="20"/>
        </w:rPr>
        <w:t>No Inconsistent Obligations</w:t>
      </w:r>
      <w:r>
        <w:rPr>
          <w:rFonts w:ascii="Times New Roman" w:hAnsi="Times New Roman"/>
          <w:color w:val="000000"/>
          <w:sz w:val="20"/>
        </w:rPr>
        <w:t>. As of the Effective Date, it is not under any obligation, contractual or otherwise, to any Person that conflicts with or is inconsistent in any material respect with the terms of this Agreement, or that would impede the diligent and complete fulfillment of its obligations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pPr>
      <w:r>
        <w:rPr>
          <w:rFonts w:ascii="Times New Roman" w:hAnsi="Times New Roman"/>
          <w:b/>
          <w:color w:val="000000"/>
          <w:sz w:val="20"/>
        </w:rPr>
        <w:t>Non-Contravention Covenant</w:t>
      </w:r>
      <w:r>
        <w:rPr>
          <w:rFonts w:ascii="Times New Roman" w:hAnsi="Times New Roman"/>
          <w:color w:val="000000"/>
          <w:sz w:val="20"/>
        </w:rPr>
        <w:t>. During the Term, neither Party nor its Affiliates will grant any right to any Third Party that would conflict with the rights granted to the other Party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pPr>
      <w:r>
        <w:rPr>
          <w:rFonts w:ascii="Times New Roman" w:hAnsi="Times New Roman"/>
          <w:b/>
          <w:color w:val="000000"/>
          <w:sz w:val="20"/>
        </w:rPr>
        <w:t>Compliance with Applicable Law</w:t>
      </w:r>
      <w:r>
        <w:rPr>
          <w:rFonts w:ascii="Times New Roman" w:hAnsi="Times New Roman"/>
          <w:color w:val="000000"/>
          <w:sz w:val="20"/>
        </w:rPr>
        <w:t>. Each Party will perform its obligations and conduct its assigned activities under this Agreement (including under the Study Plan) in compliance with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9.2.</w:t>
      </w:r>
    </w:p>
    <w:p>
      <w:pPr>
        <w:pStyle w:val="TextBody"/>
        <w:bidi w:val="0"/>
        <w:spacing w:before="0" w:after="240"/>
        <w:jc w:val="left"/>
        <w:rPr/>
      </w:pPr>
      <w:r>
        <w:rPr>
          <w:rFonts w:ascii="Times New Roman" w:hAnsi="Times New Roman"/>
          <w:b/>
          <w:color w:val="000000"/>
          <w:sz w:val="20"/>
        </w:rPr>
        <w:t>Additional Representations, Warranties and Covenants of Fortis</w:t>
      </w:r>
      <w:r>
        <w:rPr>
          <w:rFonts w:ascii="Times New Roman" w:hAnsi="Times New Roman"/>
          <w:color w:val="000000"/>
          <w:sz w:val="20"/>
        </w:rPr>
        <w:t xml:space="preserve">. Fortis represents and warrants, [*] except as set forth on </w:t>
      </w:r>
      <w:r>
        <w:rPr>
          <w:rFonts w:ascii="Times New Roman" w:hAnsi="Times New Roman"/>
          <w:color w:val="000000"/>
          <w:sz w:val="20"/>
          <w:u w:val="single"/>
        </w:rPr>
        <w:t>Schedule 9.2,</w:t>
      </w:r>
      <w:r>
        <w:rPr>
          <w:color w:val="000000"/>
        </w:rPr>
        <w:t xml:space="preserve"> </w:t>
      </w:r>
      <w:r>
        <w:rPr>
          <w:rFonts w:ascii="Times New Roman" w:hAnsi="Times New Roman"/>
          <w:color w:val="000000"/>
          <w:sz w:val="20"/>
        </w:rPr>
        <w:t>and covenants to FibroGen as set forth in Sections 9.2(h), 9.2(r) and 9.2(s),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the exception of Fortis Know-How licensed to Fortis on a non-exclusive basis pursuant to the UCSF License or any other agreement to which Fortis is a party and pursuant to which Fortis is granted any non-exclusive license or other rights ancillary to the provision of services by any Third Party, Fortis is the sole and exclusive owner or exclusive licensee of the Fortis IP existing [*], and [*] all of such Fortis IP is free and clear of any liens, charges and encumbrances (except for non-exclusive licenses or right to use such Fortis IP granted to an academic collaborator or clinical site for research, education and patient care purposes), and, [*], neither any license granted by Fortis or its Affiliates to any Third Party, nor any agreement between any Third Party and Fortis or its Affiliates, conflicts with the licenses or other rights granted to FibroGen hereunder in any material respect and Fortis is entitled to grant all rights and licenses (or sublicenses, as the case may be) it purports to grant to FibroGen under this Agreement. [*] without any obligation to conduct any investigation, no (i) Affiliate of Fortis that is not a Controlled Affiliate or (ii) any portfolio company of an investor of Fortis that is an Affiliate of Fortis, in each case ((i) and (ii)) controls any Patent Rights or Know-How that are necessary to (A) Develop the Products [*] as contemplated under the Study Plan, or (B) to make, use, sell, offer for sale or import the Products as existing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rPr>
        <w:t xml:space="preserve">Fortis has disclosed to FibroGen in </w:t>
      </w:r>
      <w:r>
        <w:rPr>
          <w:rFonts w:ascii="Times New Roman" w:hAnsi="Times New Roman"/>
          <w:color w:val="000000"/>
          <w:sz w:val="20"/>
          <w:u w:val="single"/>
        </w:rPr>
        <w:t>Schedule 9.2(b)</w:t>
      </w:r>
      <w:r>
        <w:rPr>
          <w:color w:val="000000"/>
        </w:rPr>
        <w:t xml:space="preserve"> </w:t>
      </w:r>
      <w:r>
        <w:rPr>
          <w:rFonts w:ascii="Times New Roman" w:hAnsi="Times New Roman"/>
          <w:color w:val="000000"/>
          <w:sz w:val="20"/>
        </w:rPr>
        <w:t>all Fortis Patent Rights existing [*] and such disclosure indicates whether each such Patent Right is owned by Fortis or licensed by Fortis from a Third Party and if so licensed, identifies the licensor or sublicensor from which the Patent Rights is licensed and Fortis has provided FibroGen with a true and complete copy of each such license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Fortis Patent Rights existing [*] are subsisting and, [*], are, or upon issuance, will be, valid and enforceable patents, and [*], no Third Party has challenged in writing the extent, validity or enforceability of such Patent Rights (including by way of example through the institution or written threat of institution of interference, nullity or similar invalidity proceedings before the United States Patent and Trademark Office or any analogous foreign Governmental Authority).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no Third Party is infringing or threatening to infringe any of the Fortis Patent Rights or misappropriating or threatening to misappropriate any Fortis Know-How, in each case,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Fortis and its licensors of Fortis Background Patent Rights necessary or useful to Exploit the Products [*] have complied with all Applicable Laws in material respects, including any material disclosure requirements of the United States Patent and Trademark Office under 37 C.F.R. §§1.97-1.98 or any analogous foreign Governmental Authority, in connection with the prosecution and maintenance of the Fortis Patent Rights existing [*] necessary or useful to Exploit the Products as existing as of the Effective Date (but excluding any Fortis Background Patent Rights licensed to Fortis on a non-exclusive basis ancillary to the provision of services by any Third Party), and has timely paid all filing and renewal fees payable with respect to any such Patent Rights for which it controls prosecution and maintenance.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has obtained assignments from the inventors of all inventorship rights relating to the Fortis Patent Rights owned or purported to be owned by Fortis, and all such assignments of inventorship rights relating to such Patent Rights are valid and enforceable.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pPr>
      <w:r>
        <w:rPr>
          <w:rFonts w:ascii="Times New Roman" w:hAnsi="Times New Roman"/>
          <w:color w:val="000000"/>
          <w:sz w:val="20"/>
        </w:rPr>
        <w:t>Except for the Fortis In-Licenses, there is no agreement that is in effect between Fortis or any of its Controlled Affiliates and any Third Party pursuant to which Fortis or its Controlled Affiliate has acquired Control of any of the Fortis Background IP necessary or useful to Exploit the Products. All Fortis In-Licenses are in full force and effect. Fortis has provided true and complete copies of all such Fortis In-Licenses to FibroGen.</w:t>
      </w:r>
      <w:r>
        <w:rPr>
          <w:color w:val="000000"/>
        </w:rPr>
        <w:t xml:space="preserve"> </w:t>
      </w:r>
      <w:r>
        <w:rPr>
          <w:rFonts w:ascii="Times New Roman" w:hAnsi="Times New Roman"/>
          <w:color w:val="000000"/>
          <w:sz w:val="20"/>
        </w:rPr>
        <w:t>[*], neither Fortis nor its Affiliates nor the Third Party licensor in a Fortis In-License is in material breach of, or in default with respect to a material obligation under, such Fortis In-License and neither such party has claimed or [*], has grounds upon which to claim that the other party is in material breach of, or in default with respect to a material obligation under, any Fortis In-License.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Fortis will maintain and not breach, and will cause its Affiliates to maintain and not breach, any Fortis In-License, provided that Fortis shall not be responsible or liable for any breach to the extent caused by any act or omission of FibroGen or any of its Affiliates or Subcontractors. Fortis will promptly notify FibroGen in writing of any material breach by Fortis or its Affiliate or a Third Party of any Fortis In-License, and will promptly notify FibroGen in writing if Fortis or its Affiliate sends or receives a notice of material breach of any Fortis In-License, and in the event of a breach by Fortis or its Affiliate, will permit FibroGen to cure such breach on Fortis’s or its Affiliate’s behalf upon FibroGen’s request. Fortis will not, and will cause its Affiliates not to, amend, modify or terminate any Fortis In-License in a manner that would materially and adversely affect FibroGen’s rights hereunder without first obtaining FibroGen’s written consent, which consent may be withheld in FibroGen’s sole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than the UCSF License, Fortis does not owe and will not owe any royalties or milestone payments to any Person in consideration for any license or right to use any intellectual property owned by such Person; and (ii) Fortis does not receive any amounts, including royalties, from anyone with respect to any Fortis IP.</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and its Affiliates have taken, and have obligated their Subcontractors to take, commercially reasonable measures consistent with industry practices to protect the secrecy, confidentiality and value of all Fortis Know-How that constitutes trade secrets under Applicable Law (including requiring all employees, consultants and independent contractors to execute written agreements requiring all such employees, consultants and independent contractors to maintain the confidentiality of such Fortis Know-How) and, [*], such Fortis Know-How has not been used or disclosed to any Third Party except pursuant to such confidentiality agreements and there has not been a material breach to such confidentiality agreements by any party to such confidentiality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than the Patent Rights licensed to Fortis pursuant to the UCSF License, no Fortis Patent Rights existing as of the Effective Date is subject to any funding agreement with any government or governmental agency.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(i) the making, using, offering for sale, selling or importing of a Product and (ii) the performance of the Development Activities under the Study Plan, in each case ((i) and (ii)), does not infringe or misappropriate any issued Patent Right or Know-How of any Third Party or, if and when issued, any claim within any patent application of any Third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and its Affiliates have conducted, and their respective Subcontractors and consultants have conducted, all Development of the Products prior to the Effective Date in accordance with Applicable Laws in all material respects. No Clinical Trials or nonclinical studies conducted by or on behalf of Fortis with respect to any Product has been placed on clinical hold, suspended or terminated prior to completion, and [*], no Regulatory Authority has any reasonable grounds for such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Manufacture of the Products by or on behalf of Fortis, including all Existing Inventory, has been conducted in accordance with Applicable Laws, including GMP to the extent applicable, and no Products have been adulterated, or misbranded. Neither Fortis nor any of its Affiliates or Subcontractors has received any written warning letters, untitled letters, FDA Form 483s, written notices of violation, or other written communications or notices from any Regulatory Authorities that allege a failure to comply with Applicable Laws. [*], no Regulatory Authority has commenced, or threatened to initiate, any action against Fortis or any of its Affiliates or Subcontractors that would enjoin or place restrictions on the Products or prevent Fortis from fulfilling its obligations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has made available to FibroGen in the Virtual Data Room, all Regulatory Materials, Fortis Know-How and other information in its possession as of the Effective Date regarding or related to the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has made available to FibroGen in the Virtual Data Room, material adverse information with respect to the safety and efficacy of the Products in Fortis’ possession as of the Effective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there are no written judgments or settlements against or owed by Fortis or its Affiliates or, [*], pending or threatened claims or litigation, in either case relating to the Fortis 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Fortis will not engage directly or indirectly, in any capacity in connection with this Agreement any Person who (i) has been convicted of a criminal offense related to Applicable Law; (ii) is currently listed by a Regulatory Authority as debarred, excluded or otherwise ineligible for participation in federally or state funded health care programs; or (iii) is currently proposed for debarment, exclusion, or other ineligibility for participation in federally or state funded health care programs.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Fortis and its Affiliates will not, directly, or indirectly, with or through any Third Party, (i) conduct any activities (including any research, development, manufacturing or commercialization activities) with respect to any Products, Modified Products, or any other derivatives of the Products, except with respect to any activities allocated to Fortis in the Study Plan, (ii) assign or transfer or otherwise encumber its rights, or grant a license [*] or option to any Third Party, under Fortis IP, or (iii) in-license or otherwise acquire any rights to intellectual property of a Third Party, in each case ((i)-(iii)),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9.3.</w:t>
      </w:r>
    </w:p>
    <w:p>
      <w:pPr>
        <w:pStyle w:val="TextBody"/>
        <w:bidi w:val="0"/>
        <w:spacing w:before="0" w:after="240"/>
        <w:jc w:val="left"/>
        <w:rPr/>
      </w:pPr>
      <w:r>
        <w:rPr>
          <w:rFonts w:ascii="Times New Roman" w:hAnsi="Times New Roman"/>
          <w:b/>
          <w:color w:val="000000"/>
          <w:sz w:val="20"/>
        </w:rPr>
        <w:t>Additional Representations, Warranties and Covenants of FibroGen</w:t>
      </w:r>
      <w:r>
        <w:rPr>
          <w:rFonts w:ascii="Times New Roman" w:hAnsi="Times New Roman"/>
          <w:color w:val="000000"/>
          <w:sz w:val="20"/>
        </w:rPr>
        <w:t>. FibroGen represents and warrants, as of the Effective Date, and covenants to Fortis, as applicable,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Term, FibroGen will not engage directly or indirectly, in any capacity in connection with this Agreement any Person who (i) has been convicted of a criminal offense related to Applicable Law; (ii) is currently listed by a Regulatory Authority as debarred, excluded or otherwise ineligible for participation in federally or state funded health care programs; or (iii) is currently proposed for debarment, exclusion, or other ineligibility for participation in federally or state funded health care programs.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9.4.</w:t>
      </w:r>
    </w:p>
    <w:p>
      <w:pPr>
        <w:pStyle w:val="TextBody"/>
        <w:bidi w:val="0"/>
        <w:spacing w:before="0" w:after="240"/>
        <w:jc w:val="left"/>
        <w:rPr/>
      </w:pPr>
      <w:r>
        <w:rPr>
          <w:rFonts w:ascii="Times New Roman" w:hAnsi="Times New Roman"/>
          <w:b/>
          <w:color w:val="000000"/>
          <w:sz w:val="20"/>
        </w:rPr>
        <w:t>No Other Representations or Warranties</w:t>
      </w:r>
      <w:r>
        <w:rPr>
          <w:rFonts w:ascii="Times New Roman" w:hAnsi="Times New Roman"/>
          <w:color w:val="000000"/>
          <w:sz w:val="20"/>
        </w:rPr>
        <w:t>. EXCEPT AS EXPRESSLY SET FORTH IN THIS ARTICLE 9</w:t>
      </w:r>
      <w:r>
        <w:rPr>
          <w:rFonts w:ascii="Times New Roman" w:hAnsi="Times New Roman"/>
          <w:caps/>
          <w:color w:val="000000"/>
          <w:sz w:val="20"/>
        </w:rPr>
        <w:t>, THE PA</w:t>
      </w:r>
      <w:r>
        <w:rPr>
          <w:rFonts w:ascii="Times New Roman" w:hAnsi="Times New Roman"/>
          <w:color w:val="000000"/>
          <w:sz w:val="20"/>
        </w:rPr>
        <w:t>RTIES MAKE NO REPRESENTATIONS OR WARRANTIES OF ANY KIND WHATSOEVER UNDER THIS AGREEMENT, EITHER EXPRESS OR IMPLIED, WRITTEN OR ORAL, EITHER IN FACT OR BY OPERATION OF LAW, BY STATUTE OR OTHERWISE, AND EACH PARTY SPECIFICALLY DISCLAIMS ANY OTHER WARRANTIES UNDER THIS AGREEMENT, INCLUDING ANY EXPRESS OR IMPLIED WARRANTY OF QUALITY, MERCHANTABILITY, FITNESS FOR A PARTICULAR PURPOSE, OR WARRANTY OF NON-INFRINGEMENT OR AS TO THE VALIDITY OF ANY PATENT RIGHTS.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10</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Confidentiality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10.1.</w:t>
      </w:r>
    </w:p>
    <w:p>
      <w:pPr>
        <w:pStyle w:val="TextBody"/>
        <w:bidi w:val="0"/>
        <w:spacing w:before="0" w:after="240"/>
        <w:jc w:val="left"/>
        <w:rPr/>
      </w:pPr>
      <w:r>
        <w:rPr>
          <w:rFonts w:ascii="Times New Roman" w:hAnsi="Times New Roman"/>
          <w:b/>
          <w:color w:val="000000"/>
          <w:sz w:val="20"/>
        </w:rPr>
        <w:t>Nondisclosure</w:t>
      </w:r>
      <w:r>
        <w:rPr>
          <w:rFonts w:ascii="Times New Roman" w:hAnsi="Times New Roman"/>
          <w:color w:val="000000"/>
          <w:sz w:val="20"/>
        </w:rPr>
        <w:t>. Each Party agrees that, [*] a Party (the “</w:t>
      </w:r>
      <w:r>
        <w:rPr>
          <w:rFonts w:ascii="Times New Roman" w:hAnsi="Times New Roman"/>
          <w:color w:val="000000"/>
          <w:sz w:val="20"/>
          <w:u w:val="single"/>
        </w:rPr>
        <w:t>Receiving Party</w:t>
      </w:r>
      <w:r>
        <w:rPr>
          <w:color w:val="000000"/>
        </w:rPr>
        <w:t>”</w:t>
      </w:r>
      <w:r>
        <w:rPr>
          <w:rFonts w:ascii="Times New Roman" w:hAnsi="Times New Roman"/>
          <w:color w:val="000000"/>
          <w:sz w:val="20"/>
        </w:rPr>
        <w:t>) receiving Confidential Information of the other Party (the “</w:t>
      </w:r>
      <w:r>
        <w:rPr>
          <w:rFonts w:ascii="Times New Roman" w:hAnsi="Times New Roman"/>
          <w:color w:val="000000"/>
          <w:sz w:val="20"/>
          <w:u w:val="single"/>
        </w:rPr>
        <w:t>Disclosing Party</w:t>
      </w:r>
      <w:r>
        <w:rPr>
          <w:color w:val="000000"/>
        </w:rPr>
        <w:t>”</w:t>
      </w:r>
      <w:r>
        <w:rPr>
          <w:rFonts w:ascii="Times New Roman" w:hAnsi="Times New Roman"/>
          <w:color w:val="000000"/>
          <w:sz w:val="20"/>
        </w:rPr>
        <w:t>) will, except with express written consent of the other Party: (a) maintain in confidence such Confidential Information using not less than the efforts such Receiving Party uses to maintain in confidence its own confidential or proprietary information of similar kind and value, (b) not disclose such Confidential Information to any Third Party without the prior written consent of the Disclosing Party, except for disclosures expressly permitted below, and (c) not use such Confidential Information for any purpose except to exercise its rights or perform its obligations under this Agreement (it being understood that this Section 10.1 will not create or imply any rights or licenses not expressly granted under this Agreement). Notwithstanding anything to the contrary in the foregoing, the obligations of confidentiality and non-use with respect to any trade secret within such Confidential Information will survive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10.2.</w:t>
      </w:r>
    </w:p>
    <w:p>
      <w:pPr>
        <w:pStyle w:val="TextBody"/>
        <w:bidi w:val="0"/>
        <w:spacing w:before="0" w:after="240"/>
        <w:jc w:val="left"/>
        <w:rPr/>
      </w:pPr>
      <w:r>
        <w:rPr>
          <w:rFonts w:ascii="Times New Roman" w:hAnsi="Times New Roman"/>
          <w:b/>
          <w:color w:val="000000"/>
          <w:sz w:val="20"/>
        </w:rPr>
        <w:t>Exceptions</w:t>
      </w:r>
      <w:r>
        <w:rPr>
          <w:rFonts w:ascii="Times New Roman" w:hAnsi="Times New Roman"/>
          <w:color w:val="000000"/>
          <w:sz w:val="20"/>
        </w:rPr>
        <w:t>. The obligations in Section 10.1 will not apply with respect to any portion of the Confidential Information of the Disclosing Party that the Receiving Party can show by competent evidence: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is publicly disclosed by the disclosing Party, either before or after it is disclosed to the receiving Party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is known by the receiving Party at the time of its receipt, and not through a prior disclosure by the disclosing Party, as documented by the receiving Party’s contemporaneous business records;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is subsequently disclosed to the receiving Party or any of its Affiliates on a non-confidential basis by a Third Party that is not bound by a similar duty of confidentiality or restriction on its use;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is now, or hereafter becomes, through no act or failure to act on the part of the receiving Party or any of its Affiliates, generally known or available, either before or after it is disclosed to the receiving Party;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is independently discovered or developed by or on behalf of the receiving Party or any of its Affiliates without the use of Confidential Information belonging to the disclosing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10.3.</w:t>
      </w:r>
    </w:p>
    <w:p>
      <w:pPr>
        <w:pStyle w:val="TextBody"/>
        <w:bidi w:val="0"/>
        <w:spacing w:before="0" w:after="240"/>
        <w:jc w:val="left"/>
        <w:rPr/>
      </w:pPr>
      <w:r>
        <w:rPr>
          <w:rFonts w:ascii="Times New Roman" w:hAnsi="Times New Roman"/>
          <w:b/>
          <w:color w:val="000000"/>
          <w:sz w:val="20"/>
        </w:rPr>
        <w:t>Authorized Disclosure</w:t>
      </w:r>
      <w:r>
        <w:rPr>
          <w:rFonts w:ascii="Times New Roman" w:hAnsi="Times New Roman"/>
          <w:color w:val="000000"/>
          <w:sz w:val="20"/>
        </w:rPr>
        <w:t>. The Receiving Party may disclose Confidential Information of the Disclosing Party only to the extent such disclosure is reasonably necessary in the following instances: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filing or prosecuting Patent Rights as permitted by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submitting Regulatory Materials and obtaining Regulatory Approvals for a Product as permitted by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prosecuting or defending litigation, including responding to a subpoena in a Third Party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rPr>
        <w:t xml:space="preserve">complying with Applicable Law or a valid order by a court or other Governmental Authority;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the receiving Party shall give the disclosing Party prompt written notice of such required disclosure, and shall use commercially reasonable efforts to assist the disclosing Party to seek confidential treatment or to otherwise limit such disclosure, and shall limit the disclosure to only that portion of the Confidential Information required to comply with such Applicable Law or order;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color w:val="000000"/>
          <w:sz w:val="20"/>
        </w:rPr>
        <w:t xml:space="preserve">(i) to its Affiliates or Subcontractors or prospective Subcontractors, directors, officers, employees, consultants, agents and advisors on a “need-to-know” basis in order for the Receiving Party to exercise its rights or fulfill its obligations under this Agreement, (ii) to its equityholders, lenders, insurers or investors existing [*] for the sole purpose of evaluating the Receiving Party’s business, but only, in the case of Fortis, to the extent required by contractual agreements between Fortis and its equityholders or investors that exist [*], or (iii) to its potential or new equityholders or investors [*] for the sole purpose of evaluating the Receiving Party’s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each of the above situations, the Receiving Party will remain responsible for any failure by any Person who receives Confidential Information pursuant to this Section 10.3(e) to treat such Confidential Information as required under this Article 10, and such Persons, prior to disclosure, must be bound by obligations of confidentiality and restrictions on use of such Confidential Information that are no less restrictive than those set forth in this Article 10.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and whenever any Confidential Information of the disclosing Party is disclosed in accordance with this Section 10.3, such disclosure will not cause any such information to cease to be Confidential Information of the disclosing Party except to the extent that such disclosure results in a public disclosure of such information (other than by breach of this Agreement). Notwithstanding the foregoing, in the event a Party is required to make a disclosure of the other Party’s Confidential Information pursuant to clauses (a) through (d) of this Section 10.3, it will, except where impracticable, give reasonable advance notice to the other Party of such disclosure and use not less than the same efforts to secure confidential treatment of such information as it would to protect its own confidential information from disclosure.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10.4.</w:t>
      </w:r>
    </w:p>
    <w:p>
      <w:pPr>
        <w:pStyle w:val="TextBody"/>
        <w:bidi w:val="0"/>
        <w:spacing w:before="0" w:after="240"/>
        <w:jc w:val="left"/>
        <w:rPr/>
      </w:pPr>
      <w:r>
        <w:rPr>
          <w:rFonts w:ascii="Times New Roman" w:hAnsi="Times New Roman"/>
          <w:b/>
          <w:color w:val="000000"/>
          <w:sz w:val="20"/>
        </w:rPr>
        <w:t>Confidential Information of Both Parties</w:t>
      </w:r>
      <w:r>
        <w:rPr>
          <w:rFonts w:ascii="Times New Roman" w:hAnsi="Times New Roman"/>
          <w:color w:val="000000"/>
          <w:sz w:val="20"/>
        </w:rPr>
        <w:t>. The Parties acknowledge that (a) this Agreement and all of the respective terms of this Agreement will be treated as Confidential Information of both Parties, (b) the Fortis Background Know-How will be treated as Confidential Information of Fortis, (c) the FibroGen Other Collaboration Know-How will be treated as Confidential Information of FibroGen, and (d) (i) [*], the Collaboration Know-How will be treated as Confidential Information of both Parties, and (ii) [*], the Collaboration Know-How will be treated as Confidential Information of Fortis.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10.5.</w:t>
      </w:r>
    </w:p>
    <w:p>
      <w:pPr>
        <w:pStyle w:val="TextBody"/>
        <w:bidi w:val="0"/>
        <w:spacing w:before="0" w:after="240"/>
        <w:jc w:val="left"/>
        <w:rPr/>
      </w:pPr>
      <w:r>
        <w:rPr>
          <w:rFonts w:ascii="Times New Roman" w:hAnsi="Times New Roman"/>
          <w:b/>
          <w:color w:val="000000"/>
          <w:sz w:val="20"/>
        </w:rPr>
        <w:t>Publicity</w:t>
      </w:r>
      <w:r>
        <w:rPr>
          <w:rFonts w:ascii="Times New Roman" w:hAnsi="Times New Roman"/>
          <w:color w:val="000000"/>
          <w:sz w:val="20"/>
        </w:rPr>
        <w:t xml:space="preserve">. On a date mutually agreed by the Parties, the Parties will jointly issue the press release set forth in </w:t>
      </w:r>
      <w:r>
        <w:rPr>
          <w:rFonts w:ascii="Times New Roman" w:hAnsi="Times New Roman"/>
          <w:color w:val="000000"/>
          <w:sz w:val="20"/>
          <w:u w:val="single"/>
        </w:rPr>
        <w:t>Schedule 10.5</w:t>
      </w:r>
      <w:r>
        <w:rPr>
          <w:color w:val="000000"/>
        </w:rPr>
        <w:t xml:space="preserve"> </w:t>
      </w:r>
      <w:r>
        <w:rPr>
          <w:rFonts w:ascii="Times New Roman" w:hAnsi="Times New Roman"/>
          <w:color w:val="000000"/>
          <w:sz w:val="20"/>
        </w:rPr>
        <w:t xml:space="preserve">regarding the signing of this Agreement. Except (a) as set forth in the preceding sentence and (b) as set forth in Section 10.6, neither Party will make any public announcement regarding this Agreement or activities hereunder without the prior written approval of the other Party.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10.6.</w:t>
      </w:r>
    </w:p>
    <w:p>
      <w:pPr>
        <w:pStyle w:val="TextBody"/>
        <w:bidi w:val="0"/>
        <w:spacing w:before="0" w:after="240"/>
        <w:jc w:val="left"/>
        <w:rPr/>
      </w:pPr>
      <w:r>
        <w:rPr>
          <w:rFonts w:ascii="Times New Roman" w:hAnsi="Times New Roman"/>
          <w:b/>
          <w:color w:val="000000"/>
          <w:sz w:val="20"/>
        </w:rPr>
        <w:t>Securities Filings</w:t>
      </w:r>
      <w:r>
        <w:rPr>
          <w:rFonts w:ascii="Times New Roman" w:hAnsi="Times New Roman"/>
          <w:color w:val="000000"/>
          <w:sz w:val="20"/>
        </w:rPr>
        <w:t>. Notwithstanding anything to the contrary in this Article 10, in the event either Party believes in good faith that it is required by Applicable Law to file with the Securities and Exchange Commission, the securities regulators of any state or other jurisdiction, or any applicable securities exchange a registration statement or any other disclosure document that describes or refers to the terms and conditions of this Agreement or any related agreements between the Parties, such Party will notify the other Party of its intention to make such filing and will provide the other Party with a copy of relevant portions of the proposed filing [*], including any exhibits thereto that refer to the other Party or the terms and conditions of this Agreement or any related Agreements between the Parties. The Party making such filing will cooperate in good faith with the other Party to obtain confidential treatment of the terms and conditions of this Agreement or any related agreements between the Parties that the other Party requests be kept confidential or otherwise afforded confidential treatment, and will only disclose Confidential Information of the other Party that it is reasonably advised by outside counsel is legally required to be disclosed. No such notice will be required if the description of or reference to this Agreement or a related agreement between the Parties contained in the proposed filing has been included in any previous filing made by either Party in accordance with this Section 10.6 or otherwise approved by the other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10.7.</w:t>
      </w:r>
    </w:p>
    <w:p>
      <w:pPr>
        <w:pStyle w:val="TextBody"/>
        <w:bidi w:val="0"/>
        <w:spacing w:before="0" w:after="240"/>
        <w:jc w:val="left"/>
        <w:rPr/>
      </w:pPr>
      <w:r>
        <w:rPr>
          <w:rFonts w:ascii="Times New Roman" w:hAnsi="Times New Roman"/>
          <w:b/>
          <w:color w:val="000000"/>
          <w:sz w:val="20"/>
        </w:rPr>
        <w:t>Relationship to Confidentiality Agreement</w:t>
      </w:r>
      <w:r>
        <w:rPr>
          <w:rFonts w:ascii="Times New Roman" w:hAnsi="Times New Roman"/>
          <w:color w:val="000000"/>
          <w:sz w:val="20"/>
        </w:rPr>
        <w:t>. Without limiting Section 14.11, this Agreement supersedes the CDA, and all “Confidential Information” (as defined in the CDA) of a Party or its Affiliates disclosed pursuant to the CDA will be deemed such Party’s Confidential Information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10.8.</w:t>
      </w:r>
    </w:p>
    <w:p>
      <w:pPr>
        <w:pStyle w:val="TextBody"/>
        <w:bidi w:val="0"/>
        <w:spacing w:before="0" w:after="240"/>
        <w:jc w:val="left"/>
        <w:rPr/>
      </w:pPr>
      <w:r>
        <w:rPr>
          <w:rFonts w:ascii="Times New Roman" w:hAnsi="Times New Roman"/>
          <w:b/>
          <w:color w:val="000000"/>
          <w:sz w:val="20"/>
        </w:rPr>
        <w:t>Equitable Relief</w:t>
      </w:r>
      <w:r>
        <w:rPr>
          <w:rFonts w:ascii="Times New Roman" w:hAnsi="Times New Roman"/>
          <w:color w:val="000000"/>
          <w:sz w:val="20"/>
        </w:rPr>
        <w:t>. Given the nature of the Confidential Information and the competitive damage that could result to a Party upon unauthorized disclosure, use or transfer of its Confidential Information, the Parties agree that monetary damages may not be a sufficient remedy for any breach of this Article 10. In addition to all other remedies, a Party will be entitled to seek specific performance and injunctive and other equitable relief as a remedy for any breach or threatened breach of this Article 10, without any requirement that such Party (a) post a bond or other security as a condition for obtaining any such relief or (b) prove irreparable harm or inadequacy of monetary damages as a remedy.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10.9.</w:t>
      </w:r>
    </w:p>
    <w:p>
      <w:pPr>
        <w:pStyle w:val="TextBody"/>
        <w:bidi w:val="0"/>
        <w:spacing w:before="0" w:after="240"/>
        <w:jc w:val="left"/>
        <w:rPr/>
      </w:pPr>
      <w:r>
        <w:rPr>
          <w:rFonts w:ascii="Times New Roman" w:hAnsi="Times New Roman"/>
          <w:b/>
          <w:color w:val="000000"/>
          <w:sz w:val="20"/>
        </w:rPr>
        <w:t>Return of Confidential Information</w:t>
      </w:r>
      <w:r>
        <w:rPr>
          <w:rFonts w:ascii="Times New Roman" w:hAnsi="Times New Roman"/>
          <w:color w:val="000000"/>
          <w:sz w:val="20"/>
        </w:rPr>
        <w:t xml:space="preserve">. Upon the termination of this Agreement, the Receiving Party will return to the Disclosing Party all Confidential Information of the Disclosing Party in its possession (and all copies and reproductions thereof). In addition, the Receiving Party will use reasonable efforts to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Alternatively, at the election of the Receiving Party, upon such termination, the Receiving Party will destroy all Confidential Information of the Disclosing Party in its possession (and all copies and reproductions thereof) and any notes, reports or other documents prepared by the Receiving Party which contain Confidential Information of the Disclosing Party, and will provide written certification of such destruction to the Disclosing Party. Nothing in this Section 10.9 will require the alteration, modification, deletion or destruction of archival tapes or other electronic back-up media made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Receiving Party will continue to be bound by its obligations of confidentiality and other obligations under this Article 10 with respect to any Confidential Information contained in such archival tapes or other electronic back-up media. Any requested destruction of Confidential Information will be certified in writing to the Disclosing Party. Notwithstanding the foregoing, (i) the Receiving Party will be permitted to retain as many copies of the Disclosing Party’s Confidential Information solely as required by Applicable Law in a secure location for its archival files solely for the purpose of monitoring compliance with applicable confidentiality obligations pursuant to this Agreement and (ii) the Receiving Party may retain the Disclosing Party’s Confidential Information and its own notes, reports and other documents solely to the extent reasonably required (x) to comply with Applicable Law and regulatory requirements; (y) to exercise the rights and licenses of the Receiving Party expressly surviving termination of this Agreement; and (z) to perform the obligations of the Receiving Party expressly surviving termination of this Agreement. Notwithstanding the return or destruction of the Disclosing Party’s Confidential Information, the Receiving Party will continue to be bound by its obligations of confidentiality and other obligations under this Article 10.</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11</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Term and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w:t>
      </w:r>
    </w:p>
    <w:p>
      <w:pPr>
        <w:pStyle w:val="TextBody"/>
        <w:bidi w:val="0"/>
        <w:spacing w:before="0" w:after="240"/>
        <w:jc w:val="left"/>
        <w:rPr/>
      </w:pPr>
      <w:r>
        <w:rPr>
          <w:rFonts w:ascii="Times New Roman" w:hAnsi="Times New Roman"/>
          <w:b/>
          <w:color w:val="000000"/>
          <w:sz w:val="20"/>
        </w:rPr>
        <w:t>Term</w:t>
      </w:r>
      <w:r>
        <w:rPr>
          <w:rFonts w:ascii="Times New Roman" w:hAnsi="Times New Roman"/>
          <w:color w:val="000000"/>
          <w:sz w:val="20"/>
        </w:rPr>
        <w:t>. This Agreement will become effective as of the Effective Date and will continue in full force and effect until the earliest to occur 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and such term, the “</w:t>
      </w:r>
      <w:r>
        <w:rPr>
          <w:rFonts w:ascii="Times New Roman" w:hAnsi="Times New Roman"/>
          <w:color w:val="000000"/>
          <w:sz w:val="20"/>
          <w:u w:val="single"/>
        </w:rPr>
        <w:t>Term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11.2.</w:t>
      </w:r>
    </w:p>
    <w:p>
      <w:pPr>
        <w:pStyle w:val="TextBody"/>
        <w:bidi w:val="0"/>
        <w:spacing w:before="0" w:after="240"/>
        <w:jc w:val="left"/>
        <w:rPr/>
      </w:pPr>
      <w:r>
        <w:rPr>
          <w:rFonts w:ascii="Times New Roman" w:hAnsi="Times New Roman"/>
          <w:b/>
          <w:color w:val="000000"/>
          <w:sz w:val="20"/>
        </w:rPr>
        <w:t>Termination without Cause by FibroGen</w:t>
      </w:r>
      <w:r>
        <w:rPr>
          <w:rFonts w:ascii="Times New Roman" w:hAnsi="Times New Roman"/>
          <w:color w:val="000000"/>
          <w:sz w:val="20"/>
        </w:rPr>
        <w:t xml:space="preserve">. FibroGen may terminate this Agreement in its entirety without cause [*] notice thereof to Fortis.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11.3.</w:t>
      </w:r>
    </w:p>
    <w:p>
      <w:pPr>
        <w:pStyle w:val="TextBody"/>
        <w:bidi w:val="0"/>
        <w:spacing w:before="0" w:after="240"/>
        <w:jc w:val="left"/>
        <w:rPr/>
      </w:pPr>
      <w:r>
        <w:rPr>
          <w:rFonts w:ascii="Times New Roman" w:hAnsi="Times New Roman"/>
          <w:b/>
          <w:color w:val="000000"/>
          <w:sz w:val="20"/>
        </w:rPr>
        <w:t>Termination for Material Breach</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rPr>
        <w:t>Either Party (the “</w:t>
      </w:r>
      <w:r>
        <w:rPr>
          <w:rFonts w:ascii="Times New Roman" w:hAnsi="Times New Roman"/>
          <w:color w:val="000000"/>
          <w:sz w:val="20"/>
          <w:u w:val="single"/>
        </w:rPr>
        <w:t>Non-Breaching Party</w:t>
      </w:r>
      <w:r>
        <w:rPr>
          <w:color w:val="000000"/>
        </w:rPr>
        <w:t>”</w:t>
      </w:r>
      <w:r>
        <w:rPr>
          <w:rFonts w:ascii="Times New Roman" w:hAnsi="Times New Roman"/>
          <w:color w:val="000000"/>
          <w:sz w:val="20"/>
        </w:rPr>
        <w:t>) may terminate this Agreement in the event the other Party (the “</w:t>
      </w:r>
      <w:r>
        <w:rPr>
          <w:rFonts w:ascii="Times New Roman" w:hAnsi="Times New Roman"/>
          <w:color w:val="000000"/>
          <w:sz w:val="20"/>
          <w:u w:val="single"/>
        </w:rPr>
        <w:t>Breaching Party</w:t>
      </w:r>
      <w:r>
        <w:rPr>
          <w:color w:val="000000"/>
        </w:rPr>
        <w:t>”</w:t>
      </w:r>
      <w:r>
        <w:rPr>
          <w:rFonts w:ascii="Times New Roman" w:hAnsi="Times New Roman"/>
          <w:color w:val="000000"/>
          <w:sz w:val="20"/>
        </w:rPr>
        <w:t>) has materially breached this Agreement, and such material breach has not been cured within [*] of written notice of such breach by the Breaching Party from the Non-Breaching Party (the “</w:t>
      </w:r>
      <w:r>
        <w:rPr>
          <w:rFonts w:ascii="Times New Roman" w:hAnsi="Times New Roman"/>
          <w:color w:val="000000"/>
          <w:sz w:val="20"/>
          <w:u w:val="single"/>
        </w:rPr>
        <w:t>Cure Period</w:t>
      </w:r>
      <w:r>
        <w:rPr>
          <w:color w:val="000000"/>
        </w:rPr>
        <w:t>”</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Parties reasonably and in good faith disagree as to whether there has been a material breach, either Party may trigger the dispute resolution procedures described in Article 12. Notwithstanding anything to the contrary contained in Section 11.3(a), the Cure Period for any material breach that is subject to a reasonable good faith Dispute [*], and it is understood and acknowledged that, while the resolution of such Dispute is pending, all of the terms and conditions of this Agreement will remain in effect and the Parties will continue to perform all of their respective obligations under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11.4.</w:t>
      </w:r>
    </w:p>
    <w:p>
      <w:pPr>
        <w:pStyle w:val="TextBody"/>
        <w:bidi w:val="0"/>
        <w:spacing w:before="0" w:after="240"/>
        <w:jc w:val="left"/>
        <w:rPr/>
      </w:pPr>
      <w:r>
        <w:rPr>
          <w:rFonts w:ascii="Times New Roman" w:hAnsi="Times New Roman"/>
          <w:b/>
          <w:color w:val="000000"/>
          <w:sz w:val="20"/>
        </w:rPr>
        <w:t>Termination for Bankruptcy</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Either Party may terminate this Agreement upon providing written notice to the other Party on or after the time that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rPr>
        <w:t>All rights and licenses granted by Fortis to FibroGen under or pursuant to this Agreement are, and will otherwise be deemed to be, for purposes of Section 365(n) of Title 11 of the United States Code and other similar laws in any jurisdiction outside the United States (collectively, the “</w:t>
      </w:r>
      <w:r>
        <w:rPr>
          <w:rFonts w:ascii="Times New Roman" w:hAnsi="Times New Roman"/>
          <w:color w:val="000000"/>
          <w:sz w:val="20"/>
          <w:u w:val="single"/>
        </w:rPr>
        <w:t>Bankruptcy Laws</w:t>
      </w:r>
      <w:r>
        <w:rPr>
          <w:color w:val="000000"/>
        </w:rPr>
        <w:t>”</w:t>
      </w:r>
      <w:r>
        <w:rPr>
          <w:rFonts w:ascii="Times New Roman" w:hAnsi="Times New Roman"/>
          <w:color w:val="000000"/>
          <w:sz w:val="20"/>
        </w:rPr>
        <w:t>), licenses of rights to “intellectual property” as defined under the Bankruptcy Laws. If a case is commenced by or against a Party under Bankruptcy Laws then, unless and until this Agreement is rejected as provided pursuant to such Bankruptcy Laws, such Party (in any capacity, including debtor-in-possession) and its successors and assigns (including a Title 11 trustee) will perform all of the obligations in this Agreement intended to be performed by such Party. All rights, powers and remedies of the non</w:t>
        <w:noBreakHyphen/>
        <w:t>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 The Parties acknowledge and agree that the licenses hereunder are fully prepaid and that any payments made hereunder do not (i) constitute royalties within the meaning of Section 365(n) of the United States Bankruptcy Code or any analogous provisions in any other country or jurisdiction or (ii) relate to licenses of intellectual property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11.5.</w:t>
      </w:r>
    </w:p>
    <w:p>
      <w:pPr>
        <w:pStyle w:val="TextBody"/>
        <w:bidi w:val="0"/>
        <w:spacing w:before="0" w:after="240"/>
        <w:jc w:val="left"/>
        <w:rPr/>
      </w:pPr>
      <w:r>
        <w:rPr>
          <w:rFonts w:ascii="Times New Roman" w:hAnsi="Times New Roman"/>
          <w:b/>
          <w:color w:val="000000"/>
          <w:sz w:val="20"/>
        </w:rPr>
        <w:t>Restrictions upon Termination</w:t>
      </w:r>
      <w:r>
        <w:rPr>
          <w:rFonts w:ascii="Times New Roman" w:hAnsi="Times New Roman"/>
          <w:color w:val="000000"/>
          <w:sz w:val="20"/>
        </w:rPr>
        <w:t>. Notwithstanding anything to the contrary in this Agreement, Fortis may not terminate this Agreement for any reason upon FibroGen’s exercise of the Option pursuant to the Option and Merger Agreement until this Agreement expires in accordance with Section 11.1.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11.6.</w:t>
      </w:r>
    </w:p>
    <w:p>
      <w:pPr>
        <w:pStyle w:val="TextBody"/>
        <w:bidi w:val="0"/>
        <w:spacing w:before="0" w:after="240"/>
        <w:jc w:val="left"/>
        <w:rPr/>
      </w:pPr>
      <w:r>
        <w:rPr>
          <w:rFonts w:ascii="Times New Roman" w:hAnsi="Times New Roman"/>
          <w:b/>
          <w:color w:val="000000"/>
          <w:sz w:val="20"/>
        </w:rPr>
        <w:t>FibroGen Option to Continue In-Lieu of Termination</w:t>
      </w:r>
      <w:r>
        <w:rPr>
          <w:rFonts w:ascii="Times New Roman" w:hAnsi="Times New Roman"/>
          <w:color w:val="000000"/>
          <w:sz w:val="20"/>
        </w:rPr>
        <w:t>. If FibroGen has the right to terminate this Agreement under Section 11.3 for Fortis’s uncured material breach of its obligations to perform any of the Development Activities allocated to Fortis in accordance with Section 5.2 (for clarity, after FibroGen has provided notice of such material breach in accordance with Section 11.3 and Fortis has failed to cure such material breach during the applicable Cure Period, subject to Section 11.3(b)), FibroGen may, by notice in writing to Fortis, elect to not exercise such right and instead elect to continue this Agreement under this Section 11.6, whereupon this Agreement will continue in full force and effect except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rPr>
        <w:t>FibroGen will have the right to elect to perform any or all such Development Activities previously allocated to Fortis under the then-current Study Plan (the “</w:t>
      </w:r>
      <w:r>
        <w:rPr>
          <w:rFonts w:ascii="Times New Roman" w:hAnsi="Times New Roman"/>
          <w:color w:val="000000"/>
          <w:sz w:val="20"/>
          <w:u w:val="single"/>
        </w:rPr>
        <w:t>Fortis Development Activities</w:t>
      </w:r>
      <w:r>
        <w:rPr>
          <w:color w:val="000000"/>
        </w:rPr>
        <w:t>”</w:t>
      </w:r>
      <w:r>
        <w:rPr>
          <w:rFonts w:ascii="Times New Roman" w:hAnsi="Times New Roman"/>
          <w:color w:val="000000"/>
          <w:sz w:val="20"/>
        </w:rPr>
        <w:t>). If FibroGen elects to perform any such Fortis Development Activities, Fortis will cooperate with FibroGen to transfer all such Fortis Development Activities to FibroGen, or to the extent such transfer is not feasible, will cooperate with FibroGen in the performance of such Fortis Development Activities at FibroGen’s reasonable direction.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FibroGen’s representatives in the JSC will have [*] decision-making authority in the JSC with respect to such Fortis Development Activities,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11.7.</w:t>
      </w:r>
    </w:p>
    <w:p>
      <w:pPr>
        <w:pStyle w:val="TextBody"/>
        <w:bidi w:val="0"/>
        <w:spacing w:before="0" w:after="240"/>
        <w:jc w:val="left"/>
        <w:rPr/>
      </w:pPr>
      <w:r>
        <w:rPr>
          <w:rFonts w:ascii="Times New Roman" w:hAnsi="Times New Roman"/>
          <w:b/>
          <w:color w:val="000000"/>
          <w:sz w:val="20"/>
        </w:rPr>
        <w:t>Effects of Termination</w:t>
      </w:r>
      <w:r>
        <w:rPr>
          <w:rFonts w:ascii="Times New Roman" w:hAnsi="Times New Roman"/>
          <w:color w:val="000000"/>
          <w:sz w:val="20"/>
        </w:rPr>
        <w:t>. If this Agreement expires or is terminated, the following terms will apply to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licenses granted to FibroGen and Fortis under Section 4.1 will terminate, and Fortis will grant, and hereby grants, to FibroGen a non-exclusive, worldwide, fully-paid up, royalty-free, sublicensable, license under the Fortis IP, solely to the extent necessary to perform any obligations of FibroGen surviving the expiration or termination of this Agreement, including under this Section 11.7.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Parties will comply with their obligations under Section 10.9 with respect to Confidential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this Agreement expires or is terminated [*] prior to the occurrence of the Closing (as defined under the Option and Merger Agreement) of the Merger, then FibroGen will grant, and hereby grants, to Fortis a non-exclusive, worldwide, fully-paid up, royalty-free, sublicensable (through multiple tiers), transferrable, irrevocable, perpetual license under the FibroGen Other Collaboration IP necessary to Exploit any Product or any Modified Product, solely to Exploit any Product or Modified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color w:val="000000"/>
          <w:sz w:val="20"/>
        </w:rPr>
        <w:t>Except if [*], FibroGen will, [*], (i) promptly wind down its remaining Development Activities under the Study Plan [*], or, (ii) upon Fortis’s request within [*],</w:t>
      </w:r>
      <w:r>
        <w:rPr>
          <w:color w:val="000000"/>
        </w:rPr>
        <w:t xml:space="preserve"> </w:t>
      </w:r>
      <w:r>
        <w:rPr>
          <w:rFonts w:ascii="Times New Roman" w:hAnsi="Times New Roman"/>
          <w:color w:val="000000"/>
          <w:sz w:val="20"/>
        </w:rPr>
        <w:t>transfer the remaining Development Activities allocated to FibroGen under the Study Plan to Fortis, which transfer will include, upon Fortis’s request, a technology transfer of any Collaboration IP developed by or on behalf of FibroGen; provided that in the event that a FibroGen Clinical Study has already been initiated and is ongoing as of the effective date of termination (“</w:t>
      </w:r>
      <w:r>
        <w:rPr>
          <w:rFonts w:ascii="Times New Roman" w:hAnsi="Times New Roman"/>
          <w:color w:val="000000"/>
          <w:sz w:val="20"/>
          <w:u w:val="single"/>
        </w:rPr>
        <w:t>Ongoing Clinical Study</w:t>
      </w:r>
      <w:r>
        <w:rPr>
          <w:color w:val="000000"/>
        </w:rPr>
        <w:t>”</w:t>
      </w:r>
      <w:r>
        <w:rPr>
          <w:rFonts w:ascii="Times New Roman" w:hAnsi="Times New Roman"/>
          <w:color w:val="000000"/>
          <w:sz w:val="20"/>
        </w:rPr>
        <w:t>), (A) FibroGen’s wind down obligations under clause [*]. FibroGen will notify Fortis of the [*] within [*] which notice will be accompanied by reasonable supporting details. [*]. For clarity,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if [*], if FibroGen has initiated any Fortis IP Infringement Action in accordance with Section 8.7(b) or any defense of any action in accordance with Section 8.9(b), and such Fortis IP Infringement Action or defense action is ongoing at the effective date of termination of this Agreement, then the Parties shall agree in good faith on a transfer plan for FibroGen to transfer all control of such Fortis IP Infringement Action or defense action to Fortis, at FibroGen’s sole cost, and FibroGen will continue to pay for all costs and expenses set forth in such transfer plan that are reasonably incurred in connection with such Fortis IP Infringement Action or defense action, including attorneys’ fees,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if [*],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if [*], FibroGen will provide all Collaboration Data (including all data generated in connection with any and all FibroGen Clinical Studies) in FibroGen’s possession that it has not already provided to Fortis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if [*], FibroGen will, upon Fortis’s request, transfer to Fortis all inventory of Products, and all documentation relating to the Manufacture (including documentation relating to the quality and warranty) for such Products, that are in its possession, within a reasonable time following the effective date of termination; provided that (A) all Products transferred to Fortis for the conduct of any Ongoing Clinical Study in accordance with the then-effective protocol therefor [*]; and (B) with respect to any remaining inventory of Products transferred to Fortis, (1) such inventory shall be transferred to Fortis at no cost to Fortis if this Agreement is terminated by Fortis pursuant to Section 11.3, and (2)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left"/>
        <w:rPr/>
      </w:pPr>
      <w:r>
        <w:rPr>
          <w:rFonts w:ascii="Times New Roman" w:hAnsi="Times New Roman"/>
          <w:color w:val="000000"/>
          <w:sz w:val="20"/>
        </w:rPr>
        <w:t>FibroGen will, [*], transfer to Fortis all copies of Regulatory Materials (including drafts or portions thereof) relating to the Products or Modified Products; [</w:t>
      </w:r>
      <w:r>
        <w:rPr>
          <w:rFonts w:ascii="Times New Roman" w:hAnsi="Times New Roman"/>
          <w:i/>
          <w:color w:val="000000"/>
          <w:sz w:val="2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FibroGen will, [*], transfer to Fortis all necessary files related to the prosecution of Fortis Patent Rights in FibroGen’s possession and shall take all actions and execute all documents reasonably necessary for Fortis to assume the prosecution of such Fortis Patent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11.8.</w:t>
      </w:r>
    </w:p>
    <w:p>
      <w:pPr>
        <w:pStyle w:val="TextBody"/>
        <w:bidi w:val="0"/>
        <w:spacing w:before="0" w:after="240"/>
        <w:jc w:val="left"/>
        <w:rPr/>
      </w:pPr>
      <w:r>
        <w:rPr>
          <w:rFonts w:ascii="Times New Roman" w:hAnsi="Times New Roman"/>
          <w:b/>
          <w:color w:val="000000"/>
          <w:sz w:val="20"/>
        </w:rPr>
        <w:t>Consequences of Consummation of the Merger</w:t>
      </w:r>
      <w:r>
        <w:rPr>
          <w:rFonts w:ascii="Times New Roman" w:hAnsi="Times New Roman"/>
          <w:color w:val="000000"/>
          <w:sz w:val="20"/>
        </w:rPr>
        <w:t>. Notwithstanding anything to the contrary in this Agreement, in the event the Merger is consummated in accordance with the terms of the Option and Merger Agreement, then this Agreement will terminate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11.9.</w:t>
      </w:r>
    </w:p>
    <w:p>
      <w:pPr>
        <w:pStyle w:val="TextBody"/>
        <w:bidi w:val="0"/>
        <w:spacing w:before="0" w:after="240"/>
        <w:jc w:val="left"/>
        <w:rPr/>
      </w:pPr>
      <w:r>
        <w:rPr>
          <w:rFonts w:ascii="Times New Roman" w:hAnsi="Times New Roman"/>
          <w:b/>
          <w:color w:val="000000"/>
          <w:sz w:val="20"/>
        </w:rPr>
        <w:t>Remedies</w:t>
      </w:r>
      <w:r>
        <w:rPr>
          <w:rFonts w:ascii="Times New Roman" w:hAnsi="Times New Roman"/>
          <w:color w:val="000000"/>
          <w:sz w:val="20"/>
        </w:rPr>
        <w:t>. Notwithstanding anything to the contrary in this Agreement, except as otherwise set forth in this Agreement, termination of this Agreement will not relieve the Parties of any liability or obligation which accrued hereunder [*], nor prejudice either Party’s right to obtain performance of any obligation which accrued hereunder [*]. Each Party will be free, pursuant to Article 12, to seek, without restriction as to the number of times it may seek, damages, costs and remedies that may be available to it under Applicable Law or in equity.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11.10.</w:t>
      </w:r>
    </w:p>
    <w:p>
      <w:pPr>
        <w:pStyle w:val="TextBody"/>
        <w:bidi w:val="0"/>
        <w:spacing w:before="0" w:after="240"/>
        <w:jc w:val="left"/>
        <w:rPr/>
      </w:pPr>
      <w:r>
        <w:rPr>
          <w:rFonts w:ascii="Times New Roman" w:hAnsi="Times New Roman"/>
          <w:b/>
          <w:color w:val="000000"/>
          <w:sz w:val="20"/>
        </w:rPr>
        <w:t>Survival</w:t>
      </w:r>
      <w:r>
        <w:rPr>
          <w:rFonts w:ascii="Times New Roman" w:hAnsi="Times New Roman"/>
          <w:color w:val="000000"/>
          <w:sz w:val="20"/>
        </w:rPr>
        <w:t>. Section 7.1 (solely as set forth in Section 11.7(g)), Section 7.4, Section 8.1, Section 8.2(a) to (c), Section 8.3(a) and (b), Section 8.4(a), Section 9.4, Article 10, Section 11.7, Section 11.9, Section 11.10, Article 12, Article 13 and Article 14, and any applicable definitions of any capitalized terms set forth in Article 1, will survive termination or expiration of this Agreement for any reason.</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12</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Dispute Resolution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12.1.</w:t>
      </w:r>
    </w:p>
    <w:p>
      <w:pPr>
        <w:pStyle w:val="TextBody"/>
        <w:bidi w:val="0"/>
        <w:spacing w:before="0" w:after="240"/>
        <w:jc w:val="left"/>
        <w:rPr/>
      </w:pPr>
      <w:r>
        <w:rPr>
          <w:rFonts w:ascii="Times New Roman" w:hAnsi="Times New Roman"/>
          <w:b/>
          <w:color w:val="000000"/>
          <w:sz w:val="20"/>
        </w:rPr>
        <w:t>Disputes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Objective</w:t>
      </w:r>
      <w:r>
        <w:rPr>
          <w:rFonts w:ascii="Times New Roman" w:hAnsi="Times New Roman"/>
          <w:color w:val="000000"/>
          <w:sz w:val="20"/>
        </w:rPr>
        <w:t>. The Parties recognize that disputes, controversies or claims arising out of or relating to this Agreement, or the interpretation, breach, termination or invalidity hereof or thereof (each a “</w:t>
      </w:r>
      <w:r>
        <w:rPr>
          <w:rFonts w:ascii="Times New Roman" w:hAnsi="Times New Roman"/>
          <w:color w:val="000000"/>
          <w:sz w:val="20"/>
          <w:u w:val="single"/>
        </w:rPr>
        <w:t>Dispute</w:t>
      </w:r>
      <w:r>
        <w:rPr>
          <w:color w:val="000000"/>
        </w:rPr>
        <w:t xml:space="preserve">” </w:t>
      </w:r>
      <w:r>
        <w:rPr>
          <w:rFonts w:ascii="Times New Roman" w:hAnsi="Times New Roman"/>
          <w:color w:val="000000"/>
          <w:sz w:val="20"/>
        </w:rPr>
        <w:t>and collectively, “</w:t>
      </w:r>
      <w:r>
        <w:rPr>
          <w:rFonts w:ascii="Times New Roman" w:hAnsi="Times New Roman"/>
          <w:color w:val="000000"/>
          <w:sz w:val="20"/>
          <w:u w:val="single"/>
        </w:rPr>
        <w:t>Disputes</w:t>
      </w:r>
      <w:r>
        <w:rPr>
          <w:color w:val="000000"/>
        </w:rPr>
        <w:t>”</w:t>
      </w:r>
      <w:r>
        <w:rPr>
          <w:rFonts w:ascii="Times New Roman" w:hAnsi="Times New Roman"/>
          <w:color w:val="000000"/>
          <w:sz w:val="20"/>
        </w:rPr>
        <w:t>), may from time to time occur during the Term. It is the objective of the Parties to establish procedures to facilitate the resolution of Disputes occurring with respect to this Agreement in an expedient manner by mutual cooperation and without resorting to litigation. To accomplish this objective, the Parties agree to follow the procedures set forth in this Article 12 if and when a Dispute occurs with respect to this Agreement. Notwithstanding the foregoing or anything to the contrary in this Agreement, with respect to any matter under this Agreement, if this Agreement expressly provides that such matter is subject to a Party’s sole discretion or to a Party’s sole or final decision-making authority (pursuant to Section 3.2(d) or otherwise), such matter will not be subject to dispute resolution under this Article 12, but may be finally determined by such Party in accordance with the terms of this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Escalation</w:t>
      </w:r>
      <w:r>
        <w:rPr>
          <w:rFonts w:ascii="Times New Roman" w:hAnsi="Times New Roman"/>
          <w:color w:val="000000"/>
          <w:sz w:val="20"/>
        </w:rPr>
        <w:t>. With respect to any Dispute under this Agreement, other than any Dispute relating to the scope, validity or enforceability of a Fortis Patent Right (which may only be determined in accordance with Section 12.2 hereof), either Party (the “</w:t>
      </w:r>
      <w:r>
        <w:rPr>
          <w:rFonts w:ascii="Times New Roman" w:hAnsi="Times New Roman"/>
          <w:color w:val="000000"/>
          <w:sz w:val="20"/>
          <w:u w:val="single"/>
        </w:rPr>
        <w:t>Complaining Party</w:t>
      </w:r>
      <w:r>
        <w:rPr>
          <w:color w:val="000000"/>
        </w:rPr>
        <w:t>”</w:t>
      </w:r>
      <w:r>
        <w:rPr>
          <w:rFonts w:ascii="Times New Roman" w:hAnsi="Times New Roman"/>
          <w:color w:val="000000"/>
          <w:sz w:val="20"/>
        </w:rPr>
        <w:t>) may present such Dispute for resolution [*] (collectively, the “</w:t>
      </w:r>
      <w:r>
        <w:rPr>
          <w:rFonts w:ascii="Times New Roman" w:hAnsi="Times New Roman"/>
          <w:color w:val="000000"/>
          <w:sz w:val="20"/>
          <w:u w:val="single"/>
        </w:rPr>
        <w:t>Executive Officers</w:t>
      </w:r>
      <w:r>
        <w:rPr>
          <w:color w:val="000000"/>
        </w:rPr>
        <w:t>”</w:t>
      </w:r>
      <w:r>
        <w:rPr>
          <w:rFonts w:ascii="Times New Roman" w:hAnsi="Times New Roman"/>
          <w:color w:val="000000"/>
          <w:sz w:val="20"/>
        </w:rPr>
        <w:t>) by providing a dispute notice (the “</w:t>
      </w:r>
      <w:r>
        <w:rPr>
          <w:rFonts w:ascii="Times New Roman" w:hAnsi="Times New Roman"/>
          <w:color w:val="000000"/>
          <w:sz w:val="20"/>
          <w:u w:val="single"/>
        </w:rPr>
        <w:t>Dispute Notice</w:t>
      </w:r>
      <w:r>
        <w:rPr>
          <w:color w:val="000000"/>
        </w:rPr>
        <w:t>”</w:t>
      </w:r>
      <w:r>
        <w:rPr>
          <w:rFonts w:ascii="Times New Roman" w:hAnsi="Times New Roman"/>
          <w:color w:val="000000"/>
          <w:sz w:val="20"/>
        </w:rPr>
        <w:t>) to Executive Officers and the other Party. The Dispute Notice will concisely set forth the Dispute, the Parties’ respective positions, and the specific relief requested. Within [*], the Party receiving the Dispute Notice will provide a concise written response (the “</w:t>
      </w:r>
      <w:r>
        <w:rPr>
          <w:rFonts w:ascii="Times New Roman" w:hAnsi="Times New Roman"/>
          <w:color w:val="000000"/>
          <w:sz w:val="20"/>
          <w:u w:val="single"/>
        </w:rPr>
        <w:t>Response</w:t>
      </w:r>
      <w:r>
        <w:rPr>
          <w:color w:val="000000"/>
        </w:rPr>
        <w:t>”</w:t>
      </w:r>
      <w:r>
        <w:rPr>
          <w:rFonts w:ascii="Times New Roman" w:hAnsi="Times New Roman"/>
          <w:color w:val="000000"/>
          <w:sz w:val="20"/>
        </w:rPr>
        <w:t>) to such Dispute Notice to Executive Officers and the Complaining Party. Executive Officers will attempt to resolve such Dispute [*] by Executive Officers of the Response. If the Executive Officers cannot resolve a Dispute within [*], then the Parties will be entitled to exercise any right or remedy available to it either at law or in equity; provided that any suit, action or other proceeding arising out of this Agreement will be brought exclusively in a court of competent jurisdiction, federal or state, located in the [*], and in no other jurisdiction. Each Party hereby consents to personal jurisdiction and venue in, and agrees to service of process issued or authorized by, such court.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w:t>
      </w:r>
    </w:p>
    <w:p>
      <w:pPr>
        <w:pStyle w:val="TextBody"/>
        <w:bidi w:val="0"/>
        <w:spacing w:before="0" w:after="240"/>
        <w:jc w:val="left"/>
        <w:rPr/>
      </w:pPr>
      <w:r>
        <w:rPr>
          <w:rFonts w:ascii="Times New Roman" w:hAnsi="Times New Roman"/>
          <w:b/>
          <w:color w:val="000000"/>
          <w:sz w:val="20"/>
        </w:rPr>
        <w:t>Determination of Disputes Relating to Patents</w:t>
      </w:r>
      <w:r>
        <w:rPr>
          <w:rFonts w:ascii="Times New Roman" w:hAnsi="Times New Roman"/>
          <w:color w:val="000000"/>
          <w:sz w:val="20"/>
        </w:rPr>
        <w:t>. Notwithstanding anything in this Agreement to the contrary, any and all issues regarding the scope, construction, validity, and enforceability of any Patent Rights or trademark relating to the Products that are the subject of this Agreement will be determined in a court or other tribunal, as the case may be, of competent jurisdiction under the applicable patent or trademark laws of the country in which such Patent Rights or trademark rights were granted or arose.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12.3.</w:t>
      </w:r>
    </w:p>
    <w:p>
      <w:pPr>
        <w:pStyle w:val="TextBody"/>
        <w:bidi w:val="0"/>
        <w:spacing w:before="0" w:after="240"/>
        <w:jc w:val="left"/>
        <w:rPr/>
      </w:pPr>
      <w:r>
        <w:rPr>
          <w:rFonts w:ascii="Times New Roman" w:hAnsi="Times New Roman"/>
          <w:b/>
          <w:color w:val="000000"/>
          <w:sz w:val="2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12.4.</w:t>
      </w:r>
    </w:p>
    <w:p>
      <w:pPr>
        <w:pStyle w:val="TextBody"/>
        <w:bidi w:val="0"/>
        <w:spacing w:before="0" w:after="240"/>
        <w:jc w:val="left"/>
        <w:rPr/>
      </w:pPr>
      <w:r>
        <w:rPr>
          <w:rFonts w:ascii="Times New Roman" w:hAnsi="Times New Roman"/>
          <w:b/>
          <w:color w:val="000000"/>
          <w:sz w:val="20"/>
        </w:rPr>
        <w:t xml:space="preserve">Equitable Relief. </w:t>
      </w:r>
      <w:r>
        <w:rPr>
          <w:rFonts w:ascii="Times New Roman" w:hAnsi="Times New Roman"/>
          <w:color w:val="000000"/>
          <w:sz w:val="20"/>
        </w:rPr>
        <w:t>Notwithstanding anything in this Agreement to the contrary, a Party may at any time seek a temporary restraining order or a preliminary injunction from any court of competent jurisdiction in order to prevent immediate and irreparable injury, loss, or damage on a provisional basis, pending the resolution efforts of the Executive Officers or an arbitrator on the ultimate merits of any Dispute.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12.5.</w:t>
      </w:r>
    </w:p>
    <w:p>
      <w:pPr>
        <w:pStyle w:val="TextBody"/>
        <w:bidi w:val="0"/>
        <w:spacing w:before="0" w:after="240"/>
        <w:jc w:val="left"/>
        <w:rPr/>
      </w:pPr>
      <w:r>
        <w:rPr>
          <w:rFonts w:ascii="Times New Roman" w:hAnsi="Times New Roman"/>
          <w:b/>
          <w:color w:val="000000"/>
          <w:sz w:val="20"/>
        </w:rPr>
        <w:t>Confidentiality</w:t>
      </w:r>
      <w:r>
        <w:rPr>
          <w:rFonts w:ascii="Times New Roman" w:hAnsi="Times New Roman"/>
          <w:color w:val="000000"/>
          <w:sz w:val="20"/>
        </w:rPr>
        <w:t>. Any activities related to escalation of Disputes to Executive Officers under Section 12.1, including any and all proceedings and decisions under Section 12.1(b) will be deemed Confidential Information of each of the Parties, and will be subject to Article 10.</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13</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INDEMNIFICATION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13.1.</w:t>
      </w:r>
    </w:p>
    <w:p>
      <w:pPr>
        <w:pStyle w:val="TextBody"/>
        <w:bidi w:val="0"/>
        <w:spacing w:before="0" w:after="240"/>
        <w:jc w:val="left"/>
        <w:rPr/>
      </w:pPr>
      <w:r>
        <w:rPr>
          <w:rFonts w:ascii="Times New Roman" w:hAnsi="Times New Roman"/>
          <w:b/>
          <w:color w:val="000000"/>
          <w:sz w:val="20"/>
        </w:rPr>
        <w:t>Indemnification by FibroGen</w:t>
      </w:r>
      <w:r>
        <w:rPr>
          <w:rFonts w:ascii="Times New Roman" w:hAnsi="Times New Roman"/>
          <w:color w:val="000000"/>
          <w:sz w:val="20"/>
        </w:rPr>
        <w:t>. FibroGen hereby agrees to defend, indemnify and hold harmless Fortis and its Controlled Affiliates and each of their respective directors, officers, employees, agents and representatives (each, a “</w:t>
      </w:r>
      <w:r>
        <w:rPr>
          <w:rFonts w:ascii="Times New Roman" w:hAnsi="Times New Roman"/>
          <w:color w:val="000000"/>
          <w:sz w:val="20"/>
          <w:u w:val="single"/>
        </w:rPr>
        <w:t>Fortis Indemnitee</w:t>
      </w:r>
      <w:r>
        <w:rPr>
          <w:color w:val="000000"/>
        </w:rPr>
        <w:t>”</w:t>
      </w:r>
      <w:r>
        <w:rPr>
          <w:rFonts w:ascii="Times New Roman" w:hAnsi="Times New Roman"/>
          <w:color w:val="000000"/>
          <w:sz w:val="20"/>
        </w:rPr>
        <w:t>) from and against any and all claims, suits, actions, demands, liabilities, expenses or loss, including reasonable legal expense and attorneys’ fees (collectively, the “</w:t>
      </w:r>
      <w:r>
        <w:rPr>
          <w:rFonts w:ascii="Times New Roman" w:hAnsi="Times New Roman"/>
          <w:color w:val="000000"/>
          <w:sz w:val="20"/>
          <w:u w:val="single"/>
        </w:rPr>
        <w:t>Losses</w:t>
      </w:r>
      <w:r>
        <w:rPr>
          <w:color w:val="000000"/>
        </w:rPr>
        <w:t>”</w:t>
      </w:r>
      <w:r>
        <w:rPr>
          <w:rFonts w:ascii="Times New Roman" w:hAnsi="Times New Roman"/>
          <w:color w:val="000000"/>
          <w:sz w:val="20"/>
        </w:rPr>
        <w:t>), to which any Fortis Indemnitee may become subject as a result of any claim, demand, action or other proceeding by any Third Party (each, a “</w:t>
      </w:r>
      <w:r>
        <w:rPr>
          <w:rFonts w:ascii="Times New Roman" w:hAnsi="Times New Roman"/>
          <w:color w:val="000000"/>
          <w:sz w:val="20"/>
          <w:u w:val="single"/>
        </w:rPr>
        <w:t>Claim</w:t>
      </w:r>
      <w:r>
        <w:rPr>
          <w:color w:val="000000"/>
        </w:rPr>
        <w:t>”</w:t>
      </w:r>
      <w:r>
        <w:rPr>
          <w:rFonts w:ascii="Times New Roman" w:hAnsi="Times New Roman"/>
          <w:color w:val="000000"/>
          <w:sz w:val="20"/>
        </w:rPr>
        <w:t>) to the extent such Losses arise directly or indirectly out of: [*]; except, with respect to each of subsections (i) through (iv) above, to the extent such Losses (x) arise [*] of the applicable Fortis Indemnitee or (y) are subject to an obligation by Fortis to indemnify the FibroGen Indemnitees under Section 13.2, as to which Losses (under this clause (y)) the provisions of Section 13.3 will apply.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13.2.</w:t>
      </w:r>
    </w:p>
    <w:p>
      <w:pPr>
        <w:pStyle w:val="TextBody"/>
        <w:bidi w:val="0"/>
        <w:spacing w:before="0" w:after="240"/>
        <w:jc w:val="left"/>
        <w:rPr/>
      </w:pPr>
      <w:r>
        <w:rPr>
          <w:rFonts w:ascii="Times New Roman" w:hAnsi="Times New Roman"/>
          <w:b/>
          <w:color w:val="000000"/>
          <w:sz w:val="20"/>
        </w:rPr>
        <w:t>Indemnification by Fortis</w:t>
      </w:r>
      <w:r>
        <w:rPr>
          <w:rFonts w:ascii="Times New Roman" w:hAnsi="Times New Roman"/>
          <w:color w:val="000000"/>
          <w:sz w:val="20"/>
        </w:rPr>
        <w:t>. Fortis hereby agrees to defend, indemnify and hold harmless FibroGen and its Affiliates and each of their respective directors, officers, employees, agents and representatives (each, a “</w:t>
      </w:r>
      <w:r>
        <w:rPr>
          <w:rFonts w:ascii="Times New Roman" w:hAnsi="Times New Roman"/>
          <w:color w:val="000000"/>
          <w:sz w:val="20"/>
          <w:u w:val="single"/>
        </w:rPr>
        <w:t>FibroGen Indemnitee</w:t>
      </w:r>
      <w:r>
        <w:rPr>
          <w:color w:val="000000"/>
        </w:rPr>
        <w:t>”</w:t>
      </w:r>
      <w:r>
        <w:rPr>
          <w:rFonts w:ascii="Times New Roman" w:hAnsi="Times New Roman"/>
          <w:color w:val="000000"/>
          <w:sz w:val="20"/>
        </w:rPr>
        <w:t>) from and against any and all Losses to which any FibroGen Indemnitee may become subject as a result of any Claim to the extent such Losses arise directly or indirectly out of: [*]; except, with respect to each of subsections (i) through (iv) above, to the extent such Losses (x) arise [*] of the applicable FibroGen Indemnitee or (y) are subject to an obligation by FibroGen to indemnify the Fortis Indemnitees under Section 13.1, as to which Losses (under this clause (y)) the provisions of Section 13.3 will apply.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13.3.</w:t>
      </w:r>
    </w:p>
    <w:p>
      <w:pPr>
        <w:pStyle w:val="TextBody"/>
        <w:bidi w:val="0"/>
        <w:spacing w:before="0" w:after="240"/>
        <w:jc w:val="left"/>
        <w:rPr/>
      </w:pPr>
      <w:r>
        <w:rPr>
          <w:rFonts w:ascii="Times New Roman" w:hAnsi="Times New Roman"/>
          <w:b/>
          <w:color w:val="000000"/>
          <w:sz w:val="20"/>
        </w:rPr>
        <w:t>Allocation</w:t>
      </w:r>
      <w:r>
        <w:rPr>
          <w:rFonts w:ascii="Times New Roman" w:hAnsi="Times New Roman"/>
          <w:color w:val="000000"/>
          <w:sz w:val="20"/>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13.4.</w:t>
      </w:r>
    </w:p>
    <w:p>
      <w:pPr>
        <w:pStyle w:val="TextBody"/>
        <w:bidi w:val="0"/>
        <w:spacing w:before="0" w:after="240"/>
        <w:jc w:val="left"/>
        <w:rPr/>
      </w:pPr>
      <w:r>
        <w:rPr>
          <w:rFonts w:ascii="Times New Roman" w:hAnsi="Times New Roman"/>
          <w:b/>
          <w:color w:val="000000"/>
          <w:sz w:val="20"/>
        </w:rPr>
        <w:t>Indemnification Procedures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b/>
          <w:color w:val="000000"/>
          <w:sz w:val="20"/>
        </w:rPr>
        <w:t>Notice</w:t>
      </w:r>
      <w:r>
        <w:rPr>
          <w:rFonts w:ascii="Times New Roman" w:hAnsi="Times New Roman"/>
          <w:color w:val="000000"/>
          <w:sz w:val="20"/>
        </w:rPr>
        <w:t>. Promptly after a Fortis Indemnitee or an FibroGen Indemnitee (each, an “</w:t>
      </w:r>
      <w:r>
        <w:rPr>
          <w:rFonts w:ascii="Times New Roman" w:hAnsi="Times New Roman"/>
          <w:color w:val="000000"/>
          <w:sz w:val="20"/>
          <w:u w:val="single"/>
        </w:rPr>
        <w:t>Indemnitee</w:t>
      </w:r>
      <w:r>
        <w:rPr>
          <w:color w:val="000000"/>
        </w:rPr>
        <w:t>”</w:t>
      </w:r>
      <w:r>
        <w:rPr>
          <w:rFonts w:ascii="Times New Roman" w:hAnsi="Times New Roman"/>
          <w:color w:val="000000"/>
          <w:sz w:val="20"/>
        </w:rPr>
        <w:t>) receives notice of a pending or threatened Claim that is subject to an indemnification obligation under Section 13.1 or 13.2, as applicable, such Indemnitee will give written notice of the Claim to the Party from whom the Indemnitee is entitled to receive indemnification (the “</w:t>
      </w:r>
      <w:r>
        <w:rPr>
          <w:rFonts w:ascii="Times New Roman" w:hAnsi="Times New Roman"/>
          <w:color w:val="000000"/>
          <w:sz w:val="20"/>
          <w:u w:val="single"/>
        </w:rPr>
        <w:t>Indemnifying Party</w:t>
      </w:r>
      <w:r>
        <w:rPr>
          <w:color w:val="000000"/>
        </w:rPr>
        <w:t>”</w:t>
      </w:r>
      <w:r>
        <w:rPr>
          <w:rFonts w:ascii="Times New Roman" w:hAnsi="Times New Roman"/>
          <w:color w:val="000000"/>
          <w:sz w:val="20"/>
        </w:rPr>
        <w:t>). However, an Indemnitee’s delay in providing or failure to provide such notice will not relieve the Indemnifying Party of its indemnification obligations, except to the extent it can demonstrate actual prejudice due to the delay or lack of notice.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b/>
          <w:color w:val="000000"/>
          <w:sz w:val="20"/>
        </w:rPr>
        <w:t>Defense</w:t>
      </w:r>
      <w:r>
        <w:rPr>
          <w:rFonts w:ascii="Times New Roman" w:hAnsi="Times New Roman"/>
          <w:color w:val="000000"/>
          <w:sz w:val="20"/>
        </w:rPr>
        <w:t>. Upon receipt of notice under Section 13.4(a) from the Indemnitee, the Indemnifying Party will have the duty to either compromise (subject to Section 13.4(d)) or defend, at its own expense and by counsel of its choosing (reasonably satisfactory to Indemnitee), such Claim. The Indemnifying Party will promptly [*] notify the Indemnitee in writing that it acknowledges its obligation to indemnify the Indemnitee with respect to the Claim and of its intention either to compromise or defend such Claim. Once the Indemnifying Party gives such notice to the Indemnitee, [*]. However, the Indemnitee will have the right to employ separate counsel and to participate in the defense of a Claim at its own expense.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b/>
          <w:color w:val="000000"/>
          <w:sz w:val="20"/>
        </w:rPr>
        <w:t>Cooperation</w:t>
      </w:r>
      <w:r>
        <w:rPr>
          <w:rFonts w:ascii="Times New Roman" w:hAnsi="Times New Roman"/>
          <w:color w:val="000000"/>
          <w:sz w:val="20"/>
        </w:rPr>
        <w:t>. The Indemnitee will cooperate fully with the Indemnifying Party and its legal representatives in the investigation and defense of any Claim. The Indemnifying Party will keep the Indemnitee informed on a reasonable and timely basis as to the status of such Claim (to the extent the Indemnitee is not participating in the defense of such Claim) and conduct the defense of such Claim in a prudent manner.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b/>
          <w:color w:val="000000"/>
          <w:sz w:val="20"/>
        </w:rPr>
        <w:t>Settlement</w:t>
      </w:r>
      <w:r>
        <w:rPr>
          <w:rFonts w:ascii="Times New Roman" w:hAnsi="Times New Roman"/>
          <w:color w:val="000000"/>
          <w:sz w:val="20"/>
        </w:rPr>
        <w:t>. If an Indemnifying Party assumes the defense of a Claim, no compromise or settlement of such Claim may be effected by the Indemnifying Party without the Indemnitee’s written consent (which consent will not be unreasonably withheld or delayed), unless: (i) there is no finding or admission of any violation of law or any violation of the rights of any Person and no effect on any other claims that may be made against the Indemnitee; (ii) the [*] relief provided is monetary damages that are paid in full by the Indemnifying Party; and (iii) the Indemnitee’s rights under this Agreement are not adversely affected. If the Indemnifying Party fails to assume defense of a Claim [*], the Indemnitee may settle such Claim on such terms as it deems appropriate with the consent of the Indemnifying Party (which consent will not be unreasonably withheld), and the Indemnifying Party will be obligated to indemnify the Indemnitee for such settlement as provided in this Article 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13.5.</w:t>
      </w:r>
    </w:p>
    <w:p>
      <w:pPr>
        <w:pStyle w:val="TextBody"/>
        <w:bidi w:val="0"/>
        <w:spacing w:before="0" w:after="240"/>
        <w:jc w:val="left"/>
        <w:rPr/>
      </w:pPr>
      <w:r>
        <w:rPr>
          <w:rFonts w:ascii="Times New Roman" w:hAnsi="Times New Roman"/>
          <w:b/>
          <w:color w:val="000000"/>
          <w:sz w:val="20"/>
        </w:rPr>
        <w:t>Insurance</w:t>
      </w:r>
      <w:r>
        <w:rPr>
          <w:rFonts w:ascii="Times New Roman" w:hAnsi="Times New Roman"/>
          <w:color w:val="000000"/>
          <w:sz w:val="20"/>
        </w:rPr>
        <w:t>. Each Party will insure its activities in connection with any work performed under this Agreement and will obtain, keep in force, and maintain the following insurance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that a Party may procure and maintain, during the Term, an Umbrella Liability Insurance Policy to meet the policy limit requirements of the required policies if a Party’s underlying policy limits are less than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the Effective Date through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Commercial General Liability Each Occurrence: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Personal and Advertising Injury: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General Aggregate (commercial form only):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above insurance is written on a claims-made form, it will continue for [*]. The insurance will have a retroactive date of placement prior to or coinciding with the Effective Date of this Agreement;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Worker’s Compensation as legally required in the jurisdiction in which a Party is doing business.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13.6.</w:t>
      </w:r>
    </w:p>
    <w:p>
      <w:pPr>
        <w:pStyle w:val="TextBody"/>
        <w:bidi w:val="0"/>
        <w:spacing w:before="0" w:after="240"/>
        <w:jc w:val="left"/>
        <w:rPr/>
      </w:pPr>
      <w:r>
        <w:rPr>
          <w:rFonts w:ascii="Times New Roman" w:hAnsi="Times New Roman"/>
          <w:b/>
          <w:color w:val="000000"/>
          <w:sz w:val="20"/>
        </w:rPr>
        <w:t>Limitation of Liability</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FOR A PARTY’S OBLIGATIONS SET FORTH IN THIS ARTICLE 13 (INDEMNIFICATION), THE GROSS NEGLIGENCE OR WILLFUL MISCONDUCT OF A PARTY, OR ANY BREACH OF ARTICLE 10 (CONFIDENTIALITY), IN NO EVENT WILL EITHER PARTY BE LIABLE TO THE OTHER PARTY (OR THE OTHER PARTY’S AFFILIATES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 EXCEPT FOR EACH PARTY’S OBLIGATIONS SET FORTH IN SECTION 13.1 OR SECTION 13.2 (INDEMNIFICATION), [*] OF EACH PARTY, OR EACH PARTY’S BREACH OF ARTICLE 10 (CONFIDENTIALITY), [*]. THE LIMITATIONS SET FORTH IN THIS AGREEMENT SHALL APPLY NOTWITHSTANDING THE FAILURE OF ESSENTIAL PURPOSE OF ANY LIMITED REMEDY STATED IN THIS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Neither Party will be required to pay the other Party any damages or indemnify any Indemnitee under this Agreement with respect to any facts or circumstances to the extent that such Party (or, in the case of Fortis, the Sellers (as defined in the Option and Merger Agreement)) pays the other Party damages or indemnifies such Indemnitee under the Option and Merger Agreement with respect to such facts or circumstances.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13.7.</w:t>
      </w:r>
    </w:p>
    <w:p>
      <w:pPr>
        <w:pStyle w:val="TextBody"/>
        <w:bidi w:val="0"/>
        <w:spacing w:before="0" w:after="240"/>
        <w:jc w:val="left"/>
        <w:rPr/>
      </w:pPr>
      <w:r>
        <w:rPr>
          <w:rFonts w:ascii="Times New Roman" w:hAnsi="Times New Roman"/>
          <w:b/>
          <w:color w:val="000000"/>
          <w:sz w:val="20"/>
        </w:rPr>
        <w:t>UCSF License</w:t>
      </w:r>
      <w:r>
        <w:rPr>
          <w:rFonts w:ascii="Times New Roman" w:hAnsi="Times New Roman"/>
          <w:color w:val="000000"/>
          <w:sz w:val="20"/>
        </w:rPr>
        <w:t>. To the extent that the indemnification procedures and insurance coverage requirements in this Article 13 are inconsistent with or conflict with the indemnification procedures and insurance coverage requirements required by the UCSF License, then the indemnification procedures and insurance coverage requirements required by the UCSF License will control, solely to the extent applicable to, and within the scope of, the UCSF License.</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14</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Miscellaneous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w:t>
      </w:r>
    </w:p>
    <w:p>
      <w:pPr>
        <w:pStyle w:val="TextBody"/>
        <w:bidi w:val="0"/>
        <w:spacing w:before="0" w:after="240"/>
        <w:jc w:val="left"/>
        <w:rPr/>
      </w:pPr>
      <w:r>
        <w:rPr>
          <w:rFonts w:ascii="Times New Roman" w:hAnsi="Times New Roman"/>
          <w:b/>
          <w:color w:val="000000"/>
          <w:sz w:val="20"/>
        </w:rPr>
        <w:t xml:space="preserve">Notices. </w:t>
      </w:r>
      <w:r>
        <w:rPr>
          <w:rFonts w:ascii="Times New Roman" w:hAnsi="Times New Roman"/>
          <w:color w:val="000000"/>
          <w:sz w:val="20"/>
        </w:rPr>
        <w:t>All notices, requests, claims, demands, waivers and other communications under this Agreement will be in writing and will be sent by courier services, personal delivery [*] to the following addresses, or to such other addresses as will be designated from time to time by a Party in accordance with this Section 14.1:</w:t>
      </w:r>
    </w:p>
    <w:p>
      <w:pPr>
        <w:pStyle w:val="TextBody"/>
        <w:bidi w:val="0"/>
        <w:jc w:val="left"/>
        <w:rPr>
          <w:rFonts w:ascii="Times New Roman" w:hAnsi="Times New Roman"/>
          <w:color w:val="000000"/>
          <w:sz w:val="20"/>
        </w:rPr>
      </w:pPr>
      <w:r>
        <w:rPr>
          <w:rFonts w:ascii="Times New Roman" w:hAnsi="Times New Roman"/>
          <w:color w:val="000000"/>
          <w:sz w:val="20"/>
        </w:rPr>
        <w:t xml:space="preserve">if to FibroGen: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to Fortis: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a copy to:</w:t>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notices and communications under this Agreement will be deemed to have been duly given (a) when delivered by hand, if personally delivered, (b) upon receipt when delivered by a courier (such date of receipt being evidenced by the courier’s service records) or (c) upon return acknowledgment by email, if delivered by email.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14.2.</w:t>
      </w:r>
    </w:p>
    <w:p>
      <w:pPr>
        <w:pStyle w:val="TextBody"/>
        <w:bidi w:val="0"/>
        <w:spacing w:before="0" w:after="240"/>
        <w:jc w:val="left"/>
        <w:rPr/>
      </w:pPr>
      <w:r>
        <w:rPr>
          <w:rFonts w:ascii="Times New Roman" w:hAnsi="Times New Roman"/>
          <w:b/>
          <w:color w:val="000000"/>
          <w:sz w:val="20"/>
        </w:rPr>
        <w:t>Designation of Affiliates</w:t>
      </w:r>
      <w:r>
        <w:rPr>
          <w:rFonts w:ascii="Times New Roman" w:hAnsi="Times New Roman"/>
          <w:color w:val="000000"/>
          <w:sz w:val="20"/>
        </w:rPr>
        <w:t>. FibroGen may discharge any obligations and exercise any rights hereunder through delegation of its obligations or rights to any of its Affiliates. Any breach by FibroGen’s Affiliate of any of FibroGen’s obligations under this Agreement will be deemed a breach by FibroGen, and Fortis may proceed directly against FibroGen without any obligation to first proceed against FibroGen’s Affiliate. In addition, Fortis may discharge any obligations and exercise any rights hereunder through delegation of its obligations or rights to any of its Controlled Affiliates, but may not discharge any of its obligations and exercise any rights hereunder through delegation of its obligations or rights to any of its Affiliates that are not Controlled Affiliates. Any breach by Fortis’s Controlled Affiliate of any of Fortis’s obligations under this Agreement will be deemed a breach by Fortis, and FibroGen may proceed directly against Fortis without any obligation to first proceed against Fortis’s Affiliate.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14.3.</w:t>
      </w:r>
    </w:p>
    <w:p>
      <w:pPr>
        <w:pStyle w:val="TextBody"/>
        <w:bidi w:val="0"/>
        <w:spacing w:before="0" w:after="240"/>
        <w:jc w:val="left"/>
        <w:rPr/>
      </w:pPr>
      <w:r>
        <w:rPr>
          <w:rFonts w:ascii="Times New Roman" w:hAnsi="Times New Roman"/>
          <w:b/>
          <w:color w:val="000000"/>
          <w:sz w:val="20"/>
        </w:rPr>
        <w:t>Force Majeure</w:t>
      </w:r>
      <w:r>
        <w:rPr>
          <w:rFonts w:ascii="Times New Roman" w:hAnsi="Times New Roman"/>
          <w:color w:val="000000"/>
          <w:sz w:val="20"/>
        </w:rPr>
        <w:t>. Both Parties will be excused from the performance of their obligations under this Agreement to the extent that such performance is prevented by a Force Majeure Event and the nonperforming Party promptly provides notice of the prevention to the other Party. Such excuse will be continued so long as the Force Majeure Event continues and the nonperforming Party takes reasonable efforts to remove the condition. Notwithstanding the foregoing, a Party will not be excused from making payments owed hereunder because of a Force Majeure Event affecting such Party. If a Force Majeure Event persists for more than [*], then the Parties will discuss in good faith the modification of the Parties’ obligations under this Agreement in order to mitigate the delays caused by such Force Majeure Event.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14.4.</w:t>
      </w:r>
    </w:p>
    <w:p>
      <w:pPr>
        <w:pStyle w:val="TextBody"/>
        <w:bidi w:val="0"/>
        <w:spacing w:before="0" w:after="240"/>
        <w:jc w:val="left"/>
        <w:rPr/>
      </w:pPr>
      <w:r>
        <w:rPr>
          <w:rFonts w:ascii="Times New Roman" w:hAnsi="Times New Roman"/>
          <w:b/>
          <w:color w:val="000000"/>
          <w:sz w:val="20"/>
        </w:rPr>
        <w:t>Assignment</w:t>
      </w:r>
      <w:r>
        <w:rPr>
          <w:rFonts w:ascii="Times New Roman" w:hAnsi="Times New Roman"/>
          <w:color w:val="000000"/>
          <w:sz w:val="20"/>
        </w:rPr>
        <w:t>. Subject to Section 14.2, neither this Agreement nor any of the rights, interests or obligations hereunder will be assigned, in whole or in part, by operation of law or otherwise by either Party without the prior written consent of the other Party, except that (a) [*], FibroGen may assign, without the prior written consent of Fortis, any or all of its rights, interests and obligations under this Agreement to (i) any Affiliate of FibroGen, or (ii) in connection with a permitted assignment of the Option and Merger Agreement, and (b) following the Term, either Party may assign, without the prior written consent of the other Party, any or all of its rights, interests and obligations under this Agreement to (i) any Affiliate of such assigning Party, or (ii) in connection with the sale of all or substantially all of the assets of such assigning Party. Any assignment in violation of the preceding sentence will be void. Subject to the foregoing, this Agreement will be binding upon, inure to the benefit of and be enforceable by, the Parties and their respective successors and assigns.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14.5.</w:t>
      </w:r>
    </w:p>
    <w:p>
      <w:pPr>
        <w:pStyle w:val="TextBody"/>
        <w:bidi w:val="0"/>
        <w:spacing w:before="0" w:after="240"/>
        <w:jc w:val="left"/>
        <w:rPr/>
      </w:pPr>
      <w:r>
        <w:rPr>
          <w:rFonts w:ascii="Times New Roman" w:hAnsi="Times New Roman"/>
          <w:b/>
          <w:color w:val="000000"/>
          <w:sz w:val="20"/>
        </w:rPr>
        <w:t>Amendment</w:t>
      </w:r>
      <w:r>
        <w:rPr>
          <w:rFonts w:ascii="Times New Roman" w:hAnsi="Times New Roman"/>
          <w:color w:val="000000"/>
          <w:sz w:val="20"/>
        </w:rPr>
        <w:t>. No amendment, modification or supplement of any provision of this Agreement will be valid or effective unless made in writing and signed by a duly authorized officer of each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14.6.</w:t>
      </w:r>
    </w:p>
    <w:p>
      <w:pPr>
        <w:pStyle w:val="TextBody"/>
        <w:bidi w:val="0"/>
        <w:spacing w:before="0" w:after="240"/>
        <w:jc w:val="left"/>
        <w:rPr/>
      </w:pPr>
      <w:r>
        <w:rPr>
          <w:rFonts w:ascii="Times New Roman" w:hAnsi="Times New Roman"/>
          <w:b/>
          <w:color w:val="000000"/>
          <w:sz w:val="20"/>
        </w:rPr>
        <w:t xml:space="preserve">Waiver. </w:t>
      </w:r>
      <w:r>
        <w:rPr>
          <w:rFonts w:ascii="Times New Roman" w:hAnsi="Times New Roman"/>
          <w:color w:val="000000"/>
          <w:sz w:val="20"/>
        </w:rPr>
        <w:t>No failure or delay on the part of any Party in exercising any right, power or remedy hereunder will operate as a waiver thereof. No provision of this Agreement will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will not be construed to be a waiver of any succeeding breach of such provision or a waiver of the provision itself.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14.7.</w:t>
      </w:r>
    </w:p>
    <w:p>
      <w:pPr>
        <w:pStyle w:val="TextBody"/>
        <w:bidi w:val="0"/>
        <w:spacing w:before="0" w:after="240"/>
        <w:jc w:val="left"/>
        <w:rPr/>
      </w:pPr>
      <w:r>
        <w:rPr>
          <w:rFonts w:ascii="Times New Roman" w:hAnsi="Times New Roman"/>
          <w:b/>
          <w:color w:val="000000"/>
          <w:sz w:val="20"/>
        </w:rPr>
        <w:t>Remedies Cumulative</w:t>
      </w:r>
      <w:r>
        <w:rPr>
          <w:rFonts w:ascii="Times New Roman" w:hAnsi="Times New Roman"/>
          <w:color w:val="000000"/>
          <w:sz w:val="20"/>
        </w:rPr>
        <w:t>. Except as expressly provided otherwise herein, the remedies provided for herein are cumulative and are not exclusive of any remedies that may be available to any Party at law, in equity or otherwise.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14.8.</w:t>
      </w:r>
    </w:p>
    <w:p>
      <w:pPr>
        <w:pStyle w:val="TextBody"/>
        <w:bidi w:val="0"/>
        <w:spacing w:before="0" w:after="240"/>
        <w:jc w:val="left"/>
        <w:rPr/>
      </w:pPr>
      <w:r>
        <w:rPr>
          <w:rFonts w:ascii="Times New Roman" w:hAnsi="Times New Roman"/>
          <w:b/>
          <w:color w:val="000000"/>
          <w:sz w:val="20"/>
        </w:rPr>
        <w:t>Further Assurance</w:t>
      </w:r>
      <w:r>
        <w:rPr>
          <w:rFonts w:ascii="Times New Roman" w:hAnsi="Times New Roman"/>
          <w:color w:val="000000"/>
          <w:sz w:val="20"/>
        </w:rPr>
        <w:t>. Each Party will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to carry out more effectively the provisions and purposes 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14.9.</w:t>
      </w:r>
    </w:p>
    <w:p>
      <w:pPr>
        <w:pStyle w:val="TextBody"/>
        <w:bidi w:val="0"/>
        <w:spacing w:before="0" w:after="240"/>
        <w:jc w:val="left"/>
        <w:rPr/>
      </w:pPr>
      <w:r>
        <w:rPr>
          <w:rFonts w:ascii="Times New Roman" w:hAnsi="Times New Roman"/>
          <w:b/>
          <w:color w:val="000000"/>
          <w:sz w:val="20"/>
        </w:rPr>
        <w:t>Relationship of the Parties</w:t>
      </w:r>
      <w:r>
        <w:rPr>
          <w:rFonts w:ascii="Times New Roman" w:hAnsi="Times New Roman"/>
          <w:color w:val="000000"/>
          <w:sz w:val="20"/>
        </w:rPr>
        <w:t>. It is expressly agreed that Fortis, on the one hand, and FibroGen, on the other hand, will be independent contractors and that the relationship between the two Parties will not constitute a partnership, joint venture or agency. Neither Fortis nor FibroGen will have the authority to make any statements, representations or commitments of any kind, or to take any other action, which will be binding on the other, without the prior written consent of the other Party to do so. All persons employed by a Party will be employees of that Party and not of the other Party and all costs and obligations incurred by reason of such employment will be for the account and expense of such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14.10.</w:t>
      </w:r>
    </w:p>
    <w:p>
      <w:pPr>
        <w:pStyle w:val="TextBody"/>
        <w:bidi w:val="0"/>
        <w:spacing w:before="0" w:after="240"/>
        <w:jc w:val="left"/>
        <w:rPr/>
      </w:pPr>
      <w:r>
        <w:rPr>
          <w:rFonts w:ascii="Times New Roman" w:hAnsi="Times New Roman"/>
          <w:b/>
          <w:color w:val="000000"/>
          <w:sz w:val="20"/>
        </w:rPr>
        <w:t>Construction</w:t>
      </w:r>
      <w:r>
        <w:rPr>
          <w:rFonts w:ascii="Times New Roman" w:hAnsi="Times New Roman"/>
          <w:color w:val="000000"/>
          <w:sz w:val="20"/>
        </w:rPr>
        <w:t>. Except where expressly stated otherwise in this Agreement, the following rules of interpretation apply to this Agreement: (a) “or” has the inclusive meaning represented by the phrase “and/or”; (b) “include”, “includes” and “including” are not limiting; (c) “hereof”, “hereto”, “hereby”, “herein” and “hereunder” and words of similar import when used in this Agreement refer to this Agreement as a whole and not to any particular provision of this Agreement; (d) “extent” in the phrase “to the extent” means the degree to which a subject or other thing extends, and such phrase does not mean simply “if”; (e) definitions contained in this Agreement are applicable to the singular as well as the plural forms of such terms; (f) references to an agreement or instrument mean such agreement or instrument as from time to time amended, modified or supplemented; (g) references to a Person are also to its permitted successors and assigns; (h) references to an “Article”, “Section”, “Subsection”, “Exhibit” or “Schedule” refer to an Article of, a Section or Subsection of, or an Exhibit or Schedule to, this Agreement; (i) words importing the masculine gender include the feminine or neuter and, in each case, vice versa; (j) “day” or “days” refers to calendar days; (k) the word “shall” will be construed to have the same meaning and effect as the word “will”; and (l) references to a law include any amendment or modification to such law and any rules or regulations issued thereunder, whether such amendment or modification is made, or issuance of such rules or regulations occurs, before or, only with respect to events or developments occurring or actions taken or conditions existing after the date of such amendment, modification or issuance, after the date of this Agreement, but only to the extent such amendment or modification, to the extent it occurs after the date hereof, does not have a retroactive effect. The language of this Agreement will be deemed to be the language mutually chosen by the Parties and no rule of strict construction will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14.11.</w:t>
      </w:r>
    </w:p>
    <w:p>
      <w:pPr>
        <w:pStyle w:val="TextBody"/>
        <w:bidi w:val="0"/>
        <w:spacing w:before="0" w:after="240"/>
        <w:jc w:val="left"/>
        <w:rPr/>
      </w:pPr>
      <w:r>
        <w:rPr>
          <w:rFonts w:ascii="Times New Roman" w:hAnsi="Times New Roman"/>
          <w:b/>
          <w:color w:val="000000"/>
          <w:sz w:val="20"/>
        </w:rPr>
        <w:t>Entire Agreement</w:t>
      </w:r>
      <w:r>
        <w:rPr>
          <w:rFonts w:ascii="Times New Roman" w:hAnsi="Times New Roman"/>
          <w:color w:val="000000"/>
          <w:sz w:val="20"/>
        </w:rPr>
        <w:t>. This Agreement and the Option and Merger Agreement, together with their schedules and exhibits and all ancillary agreements, documents or instruments to be delivered in connection herewith and therewith, contain the entire agreement and understanding between the Parties with respect to the subject matter hereof and thereof and supersede, as of the Restatement Effective Date, all prior discussions, negotiations, commitments, agreements and understandings, both written and oral, relating to such subject matter, including the Original Agreement; provided that the amendment and restatement of the Original Agreement shall not affect any rights or obligations of the Parties that accrued under the Original Agreement between the Effective Date and the Restatement Effective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14.12.</w:t>
      </w:r>
    </w:p>
    <w:p>
      <w:pPr>
        <w:pStyle w:val="TextBody"/>
        <w:bidi w:val="0"/>
        <w:spacing w:before="0" w:after="240"/>
        <w:jc w:val="left"/>
        <w:rPr/>
      </w:pPr>
      <w:r>
        <w:rPr>
          <w:rFonts w:ascii="Times New Roman" w:hAnsi="Times New Roman"/>
          <w:b/>
          <w:color w:val="000000"/>
          <w:sz w:val="20"/>
        </w:rPr>
        <w:t>No Third Party Beneficiaries</w:t>
      </w:r>
      <w:r>
        <w:rPr>
          <w:rFonts w:ascii="Times New Roman" w:hAnsi="Times New Roman"/>
          <w:color w:val="000000"/>
          <w:sz w:val="20"/>
        </w:rPr>
        <w:t>. Except for the indemnification rights of FibroGen Indemnitees and Fortis Indemnitees under Article 13, this Agreement is for the sole benefit of the Parties and their permitted successors and assigns and nothing herein expressed or implied will give or be construed to give to any Third Party any legal or equitable rights hereunder.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14.13.</w:t>
      </w:r>
    </w:p>
    <w:p>
      <w:pPr>
        <w:pStyle w:val="TextBody"/>
        <w:bidi w:val="0"/>
        <w:spacing w:before="0" w:after="240"/>
        <w:jc w:val="left"/>
        <w:rPr/>
      </w:pPr>
      <w:r>
        <w:rPr>
          <w:rFonts w:ascii="Times New Roman" w:hAnsi="Times New Roman"/>
          <w:b/>
          <w:color w:val="000000"/>
          <w:sz w:val="20"/>
        </w:rPr>
        <w:t>Counterparts</w:t>
      </w:r>
      <w:r>
        <w:rPr>
          <w:rFonts w:ascii="Times New Roman" w:hAnsi="Times New Roman"/>
          <w:color w:val="000000"/>
          <w:sz w:val="20"/>
        </w:rPr>
        <w:t>. This Agreement may be executed in any number of counterparts and by the Parties in separate counterparts, each of which when so executed will be deemed to be an original and all of which taken together will constitute one and the same agreement. This Agreement may be executed by facsimile, .pdf or other electronically transmitted signatures and such signatures will be deemed to bind each Party hereto as if they were the original 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14.14.</w:t>
      </w:r>
    </w:p>
    <w:p>
      <w:pPr>
        <w:pStyle w:val="TextBody"/>
        <w:bidi w:val="0"/>
        <w:spacing w:before="0" w:after="240"/>
        <w:jc w:val="left"/>
        <w:rPr/>
      </w:pPr>
      <w:r>
        <w:rPr>
          <w:rFonts w:ascii="Times New Roman" w:hAnsi="Times New Roman"/>
          <w:b/>
          <w:color w:val="000000"/>
          <w:sz w:val="20"/>
        </w:rPr>
        <w:t>Governing Laws</w:t>
      </w:r>
      <w:r>
        <w:rPr>
          <w:rFonts w:ascii="Times New Roman" w:hAnsi="Times New Roman"/>
          <w:color w:val="000000"/>
          <w:sz w:val="20"/>
        </w:rPr>
        <w:t>. This Agreement will be governed by, and construed in accordance with, the substantive laws of the State of Delaware, regardless of the laws that might otherwise govern under applicable principles of conflicts of laws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14.15.</w:t>
      </w:r>
    </w:p>
    <w:p>
      <w:pPr>
        <w:pStyle w:val="TextBody"/>
        <w:bidi w:val="0"/>
        <w:spacing w:before="0" w:after="240"/>
        <w:jc w:val="left"/>
        <w:rPr/>
      </w:pPr>
      <w:r>
        <w:rPr>
          <w:rFonts w:ascii="Times New Roman" w:hAnsi="Times New Roman"/>
          <w:b/>
          <w:color w:val="000000"/>
          <w:sz w:val="20"/>
        </w:rPr>
        <w:t>Severability</w:t>
      </w:r>
      <w:r>
        <w:rPr>
          <w:rFonts w:ascii="Times New Roman" w:hAnsi="Times New Roman"/>
          <w:color w:val="000000"/>
          <w:sz w:val="20"/>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The Parties will use all reasonable efforts to replace such invalid or unenforceable provision of this Agreement with a valid and enforceable provision that will achieve, to the greatest extent possible, the economic, business and other purposes of such invalid or unenforceable provision.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14.16.</w:t>
      </w:r>
    </w:p>
    <w:p>
      <w:pPr>
        <w:pStyle w:val="TextBody"/>
        <w:bidi w:val="0"/>
        <w:spacing w:before="0" w:after="240"/>
        <w:jc w:val="left"/>
        <w:rPr/>
      </w:pPr>
      <w:r>
        <w:rPr>
          <w:rFonts w:ascii="Times New Roman" w:hAnsi="Times New Roman"/>
          <w:b/>
          <w:color w:val="000000"/>
          <w:sz w:val="20"/>
        </w:rPr>
        <w:t>Headings</w:t>
      </w:r>
      <w:r>
        <w:rPr>
          <w:rFonts w:ascii="Times New Roman" w:hAnsi="Times New Roman"/>
          <w:color w:val="000000"/>
          <w:sz w:val="20"/>
        </w:rPr>
        <w:t>. The headings of each Article and Section in this Agreement have been inserted for convenience of reference only and will be of no force or effect in construing or interpreting any of the provisions of this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smallCaps/>
          <w:color w:val="000000"/>
          <w:sz w:val="20"/>
        </w:rPr>
        <w:t>In Witness Whereof</w:t>
      </w:r>
      <w:r>
        <w:rPr>
          <w:rFonts w:ascii="Times New Roman" w:hAnsi="Times New Roman"/>
          <w:color w:val="000000"/>
          <w:sz w:val="20"/>
        </w:rPr>
        <w:t>, the Parties have caused this Agreement to be signed by their respective officers thereunto duly authorized as of the Restatement Effective Date.</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FIBROGEN,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Therapeutics,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A Current Study Plan</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1.12: CD46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1.64: FOR46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1.74: Fortis In-Licenses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1.117: PET46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1.149: YS5 (YS5FL)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Schedule 5.5: Fortis Existing Subcontractors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9.2: Disclosure Schedule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r>
        <w:rPr>
          <w:rFonts w:ascii="Times New Roman" w:hAnsi="Times New Roman"/>
          <w:i/>
          <w:color w:val="000000"/>
          <w:sz w:val="24"/>
        </w:rPr>
        <w:t>CONFIDENTIAL</w:t>
      </w:r>
    </w:p>
    <w:p>
      <w:pPr>
        <w:pStyle w:val="TextBody"/>
        <w:bidi w:val="0"/>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Schedule 9.2(b): Fortis Patent Rights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Schedule 9.2(g)</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9.2(l)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10.5: Press Release</w:t>
      </w:r>
    </w:p>
    <w:p>
      <w:pPr>
        <w:pStyle w:val="TextBody"/>
        <w:bidi w:val="0"/>
        <w:spacing w:before="0" w:after="240"/>
        <w:jc w:val="center"/>
        <w:rPr/>
      </w:pPr>
      <w:r>
        <w:rPr/>
        <w:t> </w:t>
      </w:r>
    </w:p>
    <w:p>
      <w:pPr>
        <w:pStyle w:val="TextBody"/>
        <w:bidi w:val="0"/>
        <w:spacing w:before="0" w:after="240"/>
        <w:jc w:val="center"/>
        <w:rPr/>
      </w:pPr>
      <w:r>
        <w:rPr/>
        <w:drawing>
          <wp:inline distT="0" distB="0" distL="0" distR="0">
            <wp:extent cx="25146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514600" cy="657225"/>
                    </a:xfrm>
                    <a:prstGeom prst="rect">
                      <a:avLst/>
                    </a:prstGeom>
                  </pic:spPr>
                </pic:pic>
              </a:graphicData>
            </a:graphic>
          </wp:inline>
        </w:drawing>
      </w:r>
      <w:r>
        <w:rPr>
          <w:color w:val="000000"/>
        </w:rPr>
        <w:t xml:space="preserve"> </w:t>
      </w:r>
      <w:r>
        <w:rPr/>
        <w:drawing>
          <wp:inline distT="0" distB="0" distL="0" distR="0">
            <wp:extent cx="191452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914525" cy="523875"/>
                    </a:xfrm>
                    <a:prstGeom prst="rect">
                      <a:avLst/>
                    </a:prstGeom>
                  </pic:spPr>
                </pic:pic>
              </a:graphicData>
            </a:graphic>
          </wp:inline>
        </w:drawing>
      </w:r>
      <w:r>
        <w:rPr>
          <w:color w:val="00000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FibroGen Enters into Exclusive License for FOR46 with Fortis Therapeutics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FOR46, an ADC targeting CD46, is in Phase 1 development with potential applications in mCRPC and other CD46-expressing cancers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 xml:space="preserve">Collaboration expands FibroGen’s clinical pipeline with potential first-in-class product candidate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SAN FRANCISCO, CA and LA JOLLA, CA May 8, 2023 (GLOBE NEWSWIRE) – FibroGen, Inc. (Nasdaq: FGEN) and Fortis Therapeutics announced that FibroGen has entered into an exclusive license with Fortis Therapeutics for FOR46, a potential first-in-class Phase 1 antibody-drug conjugate (ADC) targeting a novel epitope on CD46. FOR46 is being developed for the treatment of metastatic castration-resistant prostate cancer (mCRPC) and is being explored for use in other CD46 expressing cancers. As part of the clinical development strategy, FibroGen will continue Fortis Therapeutics’ work to develop a PET-based biomarker utilizing a radiolabeled version of the targeting antibody (PET46) for patient selection.</w:t>
      </w:r>
    </w:p>
    <w:p>
      <w:pPr>
        <w:pStyle w:val="TextBody"/>
        <w:bidi w:val="0"/>
        <w:spacing w:before="0" w:after="240"/>
        <w:jc w:val="left"/>
        <w:rPr>
          <w:color w:val="000000"/>
        </w:rPr>
      </w:pPr>
      <w:r>
        <w:rPr>
          <w:color w:val="000000"/>
        </w:rPr>
        <w:t>“</w:t>
      </w:r>
      <w:r>
        <w:rPr>
          <w:rFonts w:ascii="Times New Roman" w:hAnsi="Times New Roman"/>
          <w:color w:val="000000"/>
          <w:sz w:val="20"/>
        </w:rPr>
        <w:t>The agreement with Fortis Therapeutics bolsters FibroGen’s clinical pipeline in a capital-efficient manner, providing a product candidate with the potential to address a significant unmet medical need in oncology,” said Enrique Conterno, Chief Executive Officer, FibroGen. “FOR46 is a natural fit with our R&amp;D capabilities and expertise. The flexibility of the agreement gives us the opportunity to clinically develop FOR46, and ultimately acquire it as a Phase 3-ready asset, potentially delivering a therapy that may transform the treatment of patients with mCRPC and other CD46 expressing cancers.”</w:t>
      </w:r>
    </w:p>
    <w:p>
      <w:pPr>
        <w:pStyle w:val="TextBody"/>
        <w:bidi w:val="0"/>
        <w:spacing w:before="0" w:after="240"/>
        <w:jc w:val="left"/>
        <w:rPr>
          <w:color w:val="000000"/>
        </w:rPr>
      </w:pPr>
      <w:r>
        <w:rPr>
          <w:color w:val="000000"/>
        </w:rPr>
        <w:t>“</w:t>
      </w:r>
      <w:r>
        <w:rPr>
          <w:rFonts w:ascii="Times New Roman" w:hAnsi="Times New Roman"/>
          <w:color w:val="000000"/>
          <w:sz w:val="20"/>
        </w:rPr>
        <w:t>We are pleased to partner with the team at FibroGen, who are experienced in advancing novel drug candidates in the clinic for life-threatening diseases,” said Jay Lichter, Ph.D., President and CEO of Fortis and Managing Partner of Avalon Bioventures. “We believe that FOR46 is a novel and unique antibody drug conjugate therapy that could help patients with prostate cancer and other cancers, where currently approved treatments have failed.”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the terms of the agreement, there is no upfront consideration. FibroGen will conduct and fund future research, development, and manufacturing of FOR46 and PET46. During the four-year evaluation period, FibroGen has the option to acquire Fortis Therapeutics for $80 million. In addition, Fortis is eligible to receive up to a total of $200 million based on various regulatory approvals.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About FOR46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FOR46 is an antibody drug conjugate that binds a specific conformational epitope of CD46 that is highly expressed in various cancer types, including multiple myeloma and prostate and colorectal tumors, with limited reactivity against normal tissues. FOR46 is a fully human antibody conjugated to MMAE, a potent cytotoxic payload utilized in a variety of approved ADCs. Early clinical data show FOR46 to be generally well tolerated with demonstrated monotherapy activity in multiple myeloma and mCRPC.</w:t>
      </w:r>
    </w:p>
    <w:p>
      <w:pPr>
        <w:pStyle w:val="TextBody"/>
        <w:bidi w:val="0"/>
        <w:jc w:val="left"/>
        <w:rPr>
          <w:rFonts w:ascii="Times New Roman" w:hAnsi="Times New Roman"/>
          <w:sz w:val="20"/>
        </w:rPr>
      </w:pPr>
      <w:r>
        <w:rPr>
          <w:rFonts w:ascii="Times New Roman" w:hAnsi="Times New Roman"/>
          <w:b/>
          <w:color w:val="000000"/>
          <w:sz w:val="20"/>
        </w:rPr>
        <w:t>About FibroGen</w:t>
      </w:r>
      <w:r>
        <w:rPr>
          <w:rFonts w:ascii="Times New Roman" w:hAnsi="Times New Roman"/>
          <w:color w:val="000000"/>
          <w:sz w:val="20"/>
        </w:rPr>
        <w:t xml:space="preserve"> </w:t>
      </w:r>
    </w:p>
    <w:p>
      <w:pPr>
        <w:pStyle w:val="TextBody"/>
        <w:bidi w:val="0"/>
        <w:spacing w:before="0" w:after="240"/>
        <w:jc w:val="left"/>
        <w:rPr/>
      </w:pPr>
      <w:r>
        <w:rPr>
          <w:rFonts w:ascii="Times New Roman" w:hAnsi="Times New Roman"/>
          <w:color w:val="000000"/>
          <w:sz w:val="20"/>
        </w:rPr>
        <w:t>FibroGen, Inc. is a biopharmaceutical company committed to discovering, developing, and commercializing a pipeline of first-in-class therapeutics. The Company applies its pioneering expertise in connective tissue growth factor (CTGF) biology and hypoxia-inducible factor (HIF) to advance innovative medicines for the treatment of unmet needs. Pamrevlumab, an anti-CTGF human monoclonal antibody, is in clinical development for the treatment of idiopathic pulmonary fibrosis (IPF), locally advanced unresectable pancreatic cancer (LAPC), metastatic pancreatic cancer, and Duchenne muscular dystrophy (DMD). Roxadustat (</w:t>
      </w:r>
      <w:r>
        <w:rPr>
          <w:rFonts w:eastAsia="Times New Roman"/>
          <w:color w:val="000000"/>
          <w:sz w:val="20"/>
        </w:rPr>
        <w:t>爱瑞卓</w:t>
      </w:r>
      <w:r>
        <w:rPr>
          <w:rFonts w:ascii="Times New Roman" w:hAnsi="Times New Roman"/>
          <w:color w:val="000000"/>
          <w:sz w:val="13"/>
        </w:rPr>
        <w:t>®</w:t>
      </w:r>
      <w:r>
        <w:rPr>
          <w:rFonts w:ascii="Times New Roman" w:hAnsi="Times New Roman"/>
          <w:color w:val="000000"/>
          <w:sz w:val="20"/>
        </w:rPr>
        <w:t>, EVRENZO</w:t>
      </w:r>
      <w:r>
        <w:rPr>
          <w:rFonts w:ascii="Times New Roman" w:hAnsi="Times New Roman"/>
          <w:color w:val="000000"/>
          <w:sz w:val="13"/>
        </w:rPr>
        <w:t>TM</w:t>
      </w:r>
      <w:r>
        <w:rPr>
          <w:rFonts w:ascii="Times New Roman" w:hAnsi="Times New Roman"/>
          <w:color w:val="000000"/>
          <w:sz w:val="20"/>
        </w:rPr>
        <w:t>) is currently approved in China, Europe, Japan, and numerous other countries for the treatment of anemia in CKD patients on dialysis and not on dialysis. Roxadustat is in clinical development for anemia of chronic kidney disease (CKD) and anemia associated with myelodysplastic syndromes (MDS), and for chemotherapy-induced anemia (CIA). FibroGen recently expanded its research and development portfolio to include product candidates in the immuno-oncology space. For more information, please visit www.fibrogen.com.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About Fortis Therapeutics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Fortis Therapeutics is an immuno-oncology biotech developing a novel antibody-drug conjugate for late-stage multiple myeloma and metastatic castration-resistant prostate cancer. Fortis was founded based on technology exclusively licensed from UCSF and developed in the laboratory of Bin Liu, Ph.D. Fortis is located in Avalon Bioventures’s Community of Innovation, in San Diego. FOR46 is Fortis’ sole pharmaceutical asset. For more information, please visit www.fortistx.com.</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release contains forward-looking statements regarding FibroGen’s strategy, future plans and prospects, and the timing of potential events, including statements regarding the development and commercialization of the company’s product candidates, the potential safety and efficacy profile of its product candidates, and timelines for our clinical programs. These forward-looking statements include, but are not limited to, statements about FibroGen’s plans and objectives and typically are identified by use of terms such as “may,” “will”, “should,” “on track,” “could,” “expect,” “plan,” “anticipate,” “believe,” “estimate,” “predict,” “potential,” “continue” and similar words, although some forward-looking statements are expressed differently. FibroGen’s actual results may differ materially from those indicated in these forward-looking statements due to risks and uncertainties related to the continued progress and timing of its various programs, including the enrollment and results from ongoing and potential future clinical trials, and other matters that are described in FibroGen’s Annual Report on Form 10-K for the fiscal year ended December 31, 2022, as filed with the Securities and Exchange Commission (SEC) on February 27, 2023, including the risk factors set forth therein. Investors are cautioned not to place undue reliance on these forward-looking statements, which speak only as of the date of this release, and FibroGen undertakes no obligation to update any forward-looking statement in this press release, except as required by law.</w:t>
      </w:r>
    </w:p>
    <w:p>
      <w:pPr>
        <w:pStyle w:val="TextBody"/>
        <w:bidi w:val="0"/>
        <w:jc w:val="left"/>
        <w:rPr>
          <w:rFonts w:ascii="Times New Roman" w:hAnsi="Times New Roman"/>
          <w:b/>
          <w:color w:val="000000"/>
          <w:sz w:val="20"/>
        </w:rPr>
      </w:pPr>
      <w:r>
        <w:rPr>
          <w:rFonts w:ascii="Times New Roman" w:hAnsi="Times New Roman"/>
          <w:b/>
          <w:color w:val="000000"/>
          <w:sz w:val="20"/>
        </w:rPr>
        <w:t>Contacts:</w:t>
      </w:r>
    </w:p>
    <w:p>
      <w:pPr>
        <w:pStyle w:val="TextBody"/>
        <w:bidi w:val="0"/>
        <w:jc w:val="left"/>
        <w:rPr>
          <w:rFonts w:ascii="Times New Roman" w:hAnsi="Times New Roman"/>
          <w:b/>
          <w:color w:val="000000"/>
          <w:sz w:val="20"/>
        </w:rPr>
      </w:pPr>
      <w:r>
        <w:rPr>
          <w:rFonts w:ascii="Times New Roman" w:hAnsi="Times New Roman"/>
          <w:b/>
          <w:color w:val="000000"/>
          <w:sz w:val="20"/>
        </w:rPr>
        <w:t>FibroGen,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Michael Tung, M.D.</w:t>
      </w:r>
    </w:p>
    <w:p>
      <w:pPr>
        <w:pStyle w:val="TextBody"/>
        <w:bidi w:val="0"/>
        <w:jc w:val="left"/>
        <w:rPr>
          <w:rFonts w:ascii="Times New Roman" w:hAnsi="Times New Roman"/>
          <w:color w:val="000000"/>
          <w:sz w:val="20"/>
        </w:rPr>
      </w:pPr>
      <w:r>
        <w:rPr>
          <w:rFonts w:ascii="Times New Roman" w:hAnsi="Times New Roman"/>
          <w:color w:val="000000"/>
          <w:sz w:val="20"/>
        </w:rPr>
        <w:t>Corporate Strategy / Investor Relations</w:t>
      </w:r>
    </w:p>
    <w:p>
      <w:pPr>
        <w:pStyle w:val="TextBody"/>
        <w:bidi w:val="0"/>
        <w:jc w:val="left"/>
        <w:rPr>
          <w:rFonts w:ascii="Times New Roman" w:hAnsi="Times New Roman"/>
          <w:color w:val="000000"/>
          <w:sz w:val="20"/>
        </w:rPr>
      </w:pPr>
      <w:r>
        <w:rPr>
          <w:rFonts w:ascii="Times New Roman" w:hAnsi="Times New Roman"/>
          <w:color w:val="000000"/>
          <w:sz w:val="20"/>
        </w:rPr>
        <w:t>415.978.1434</w:t>
      </w:r>
    </w:p>
    <w:p>
      <w:pPr>
        <w:pStyle w:val="TextBody"/>
        <w:bidi w:val="0"/>
        <w:jc w:val="left"/>
        <w:rPr>
          <w:rFonts w:ascii="Times New Roman" w:hAnsi="Times New Roman"/>
          <w:color w:val="000000"/>
          <w:sz w:val="20"/>
        </w:rPr>
      </w:pPr>
      <w:r>
        <w:rPr>
          <w:rFonts w:ascii="Times New Roman" w:hAnsi="Times New Roman"/>
          <w:color w:val="000000"/>
          <w:sz w:val="20"/>
        </w:rPr>
        <w:t>mtung@fibrogen.com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Meichiel Jennifer Keenan</w:t>
      </w:r>
    </w:p>
    <w:p>
      <w:pPr>
        <w:pStyle w:val="TextBody"/>
        <w:bidi w:val="0"/>
        <w:jc w:val="left"/>
        <w:rPr>
          <w:rFonts w:ascii="Times New Roman" w:hAnsi="Times New Roman"/>
          <w:color w:val="000000"/>
          <w:sz w:val="20"/>
        </w:rPr>
      </w:pPr>
      <w:r>
        <w:rPr>
          <w:rFonts w:ascii="Times New Roman" w:hAnsi="Times New Roman"/>
          <w:color w:val="000000"/>
          <w:sz w:val="20"/>
        </w:rPr>
        <w:t>Investor Relations/Corporate Communications</w:t>
      </w:r>
    </w:p>
    <w:p>
      <w:pPr>
        <w:pStyle w:val="TextBody"/>
        <w:bidi w:val="0"/>
        <w:jc w:val="left"/>
        <w:rPr>
          <w:rFonts w:ascii="Times New Roman" w:hAnsi="Times New Roman"/>
          <w:color w:val="000000"/>
          <w:sz w:val="20"/>
        </w:rPr>
      </w:pPr>
      <w:r>
        <w:rPr>
          <w:rFonts w:ascii="Times New Roman" w:hAnsi="Times New Roman"/>
          <w:color w:val="000000"/>
          <w:sz w:val="20"/>
        </w:rPr>
        <w:t>mkeenan@fibrogen.com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Fortis Therapeutics</w:t>
      </w:r>
    </w:p>
    <w:p>
      <w:pPr>
        <w:pStyle w:val="TextBody"/>
        <w:bidi w:val="0"/>
        <w:jc w:val="left"/>
        <w:rPr>
          <w:rFonts w:ascii="Times New Roman" w:hAnsi="Times New Roman"/>
          <w:b/>
          <w:color w:val="000000"/>
          <w:sz w:val="20"/>
        </w:rPr>
      </w:pPr>
      <w:r>
        <w:rPr>
          <w:rFonts w:ascii="Times New Roman" w:hAnsi="Times New Roman"/>
          <w:b/>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Jessica Yingling</w:t>
      </w:r>
    </w:p>
    <w:p>
      <w:pPr>
        <w:pStyle w:val="TextBody"/>
        <w:bidi w:val="0"/>
        <w:jc w:val="left"/>
        <w:rPr>
          <w:rFonts w:ascii="Times New Roman" w:hAnsi="Times New Roman"/>
          <w:color w:val="000000"/>
          <w:sz w:val="20"/>
        </w:rPr>
      </w:pPr>
      <w:r>
        <w:rPr>
          <w:rFonts w:ascii="Times New Roman" w:hAnsi="Times New Roman"/>
          <w:color w:val="000000"/>
          <w:sz w:val="20"/>
        </w:rPr>
        <w:t>858.344.8091</w:t>
      </w:r>
    </w:p>
    <w:p>
      <w:pPr>
        <w:pStyle w:val="TextBody"/>
        <w:bidi w:val="0"/>
        <w:jc w:val="left"/>
        <w:rPr>
          <w:rFonts w:ascii="Times New Roman" w:hAnsi="Times New Roman"/>
          <w:color w:val="000000"/>
          <w:sz w:val="20"/>
        </w:rPr>
      </w:pPr>
      <w:r>
        <w:rPr>
          <w:rFonts w:ascii="Times New Roman" w:hAnsi="Times New Roman"/>
          <w:color w:val="000000"/>
          <w:sz w:val="20"/>
        </w:rPr>
        <w:t>jessica@litldog.com</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0"/>
        </w:rPr>
      </w:pPr>
      <w:bookmarkStart w:id="25" w:name="fgen-ex10_3.htm"/>
      <w:bookmarkStart w:id="26" w:name="ksfgenex10_3"/>
      <w:bookmarkEnd w:id="25"/>
      <w:bookmarkEnd w:id="26"/>
      <w:r>
        <w:rPr>
          <w:rFonts w:ascii="Times New Roman" w:hAnsi="Times New Roman"/>
          <w:b/>
          <w:i/>
          <w:color w:val="000000"/>
          <w:sz w:val="20"/>
        </w:rPr>
        <w:t>Execution Version</w:t>
      </w:r>
      <w:r>
        <w:br w:type="page"/>
      </w:r>
    </w:p>
    <w:p>
      <w:pPr>
        <w:pStyle w:val="TextBody"/>
        <w:bidi w:val="0"/>
        <w:jc w:val="right"/>
        <w:rPr/>
      </w:pPr>
      <w:r>
        <w:rPr/>
        <w:t> </w:t>
      </w:r>
    </w:p>
    <w:p>
      <w:pPr>
        <w:pStyle w:val="TextBody"/>
        <w:bidi w:val="0"/>
        <w:spacing w:before="0" w:after="480"/>
        <w:jc w:val="both"/>
        <w:rPr>
          <w:rFonts w:ascii="Times New Roman" w:hAnsi="Times New Roman"/>
          <w:b/>
          <w:color w:val="000000"/>
          <w:sz w:val="20"/>
        </w:rPr>
      </w:pPr>
      <w:r>
        <w:rPr>
          <w:rFonts w:ascii="Times New Roman" w:hAnsi="Times New Roman"/>
          <w:b/>
          <w:color w:val="000000"/>
          <w:sz w:val="20"/>
        </w:rPr>
        <w:t>[*] = Certain confidential information contained in this document, marked by brackets, has been omitted because it is both (i) not material and (ii) would likely cause competitive harm to the company if publicly disclosed.</w:t>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right"/>
        <w:rPr/>
      </w:pPr>
      <w:r>
        <w:rPr/>
        <w:t> </w:t>
      </w:r>
    </w:p>
    <w:p>
      <w:pPr>
        <w:pStyle w:val="TextBody"/>
        <w:bidi w:val="0"/>
        <w:jc w:val="right"/>
        <w:rPr/>
      </w:pPr>
      <w:r>
        <w:rPr/>
        <w:t> </w:t>
      </w:r>
    </w:p>
    <w:p>
      <w:pPr>
        <w:pStyle w:val="TextBody"/>
        <w:pBdr>
          <w:top w:val="double" w:sz="6" w:space="31" w:color="000000"/>
        </w:pBdr>
        <w:bidi w:val="0"/>
        <w:spacing w:before="120" w:after="120"/>
        <w:jc w:val="center"/>
        <w:rPr>
          <w:rFonts w:ascii="Times New Roman" w:hAnsi="Times New Roman"/>
          <w:smallCaps/>
          <w:color w:val="000000"/>
          <w:sz w:val="20"/>
        </w:rPr>
      </w:pPr>
      <w:r>
        <w:rPr>
          <w:rFonts w:ascii="Times New Roman" w:hAnsi="Times New Roman"/>
          <w:smallCaps/>
          <w:color w:val="000000"/>
          <w:sz w:val="20"/>
        </w:rPr>
        <w:t>FIRST AMENDED AND RESTATED</w:t>
      </w:r>
    </w:p>
    <w:p>
      <w:pPr>
        <w:pStyle w:val="TextBody"/>
        <w:bidi w:val="0"/>
        <w:spacing w:before="0" w:after="60"/>
        <w:jc w:val="center"/>
        <w:rPr>
          <w:rFonts w:ascii="Times New Roman" w:hAnsi="Times New Roman"/>
          <w:caps/>
          <w:color w:val="000000"/>
          <w:sz w:val="20"/>
        </w:rPr>
      </w:pPr>
      <w:r>
        <w:rPr>
          <w:rFonts w:ascii="Times New Roman" w:hAnsi="Times New Roman"/>
          <w:caps/>
          <w:color w:val="000000"/>
          <w:sz w:val="20"/>
        </w:rPr>
        <w:t>Option Agreement and Plan of Merger</w:t>
      </w:r>
    </w:p>
    <w:p>
      <w:pPr>
        <w:pStyle w:val="TextBody"/>
        <w:bidi w:val="0"/>
        <w:spacing w:before="0" w:after="60"/>
        <w:jc w:val="center"/>
        <w:rPr>
          <w:rFonts w:ascii="Times New Roman" w:hAnsi="Times New Roman"/>
          <w:caps/>
          <w:color w:val="000000"/>
          <w:sz w:val="20"/>
        </w:rPr>
      </w:pPr>
      <w:r>
        <w:rPr>
          <w:rFonts w:ascii="Times New Roman" w:hAnsi="Times New Roman"/>
          <w:caps/>
          <w:color w:val="000000"/>
          <w:sz w:val="20"/>
        </w:rPr>
        <w:t>BY AND among</w:t>
      </w:r>
    </w:p>
    <w:p>
      <w:pPr>
        <w:pStyle w:val="TextBody"/>
        <w:bidi w:val="0"/>
        <w:spacing w:before="0" w:after="60"/>
        <w:jc w:val="center"/>
        <w:rPr>
          <w:rFonts w:ascii="Times New Roman" w:hAnsi="Times New Roman"/>
          <w:smallCaps/>
          <w:color w:val="000000"/>
          <w:sz w:val="20"/>
        </w:rPr>
      </w:pPr>
      <w:r>
        <w:rPr>
          <w:rFonts w:ascii="Times New Roman" w:hAnsi="Times New Roman"/>
          <w:smallCaps/>
          <w:color w:val="000000"/>
          <w:sz w:val="20"/>
        </w:rPr>
        <w:t>Fibrogen, Inc.,</w:t>
      </w:r>
    </w:p>
    <w:p>
      <w:pPr>
        <w:pStyle w:val="TextBody"/>
        <w:bidi w:val="0"/>
        <w:spacing w:before="0" w:after="60"/>
        <w:jc w:val="center"/>
        <w:rPr>
          <w:rFonts w:ascii="Times New Roman" w:hAnsi="Times New Roman"/>
          <w:smallCaps/>
          <w:color w:val="000000"/>
          <w:sz w:val="20"/>
        </w:rPr>
      </w:pPr>
      <w:r>
        <w:rPr>
          <w:rFonts w:ascii="Times New Roman" w:hAnsi="Times New Roman"/>
          <w:smallCaps/>
          <w:color w:val="000000"/>
          <w:sz w:val="20"/>
        </w:rPr>
        <w:t>Fortis therapeutics, Inc.</w:t>
      </w:r>
    </w:p>
    <w:p>
      <w:pPr>
        <w:pStyle w:val="TextBody"/>
        <w:bidi w:val="0"/>
        <w:spacing w:before="0" w:after="60"/>
        <w:jc w:val="center"/>
        <w:rPr>
          <w:rFonts w:ascii="Times New Roman" w:hAnsi="Times New Roman"/>
          <w:smallCaps/>
          <w:color w:val="000000"/>
          <w:sz w:val="20"/>
        </w:rPr>
      </w:pPr>
      <w:r>
        <w:rPr>
          <w:rFonts w:ascii="Times New Roman" w:hAnsi="Times New Roman"/>
          <w:smallCaps/>
          <w:color w:val="000000"/>
          <w:sz w:val="20"/>
        </w:rPr>
        <w:t>and</w:t>
      </w:r>
    </w:p>
    <w:p>
      <w:pPr>
        <w:pStyle w:val="TextBody"/>
        <w:bidi w:val="0"/>
        <w:spacing w:before="0" w:after="60"/>
        <w:jc w:val="center"/>
        <w:rPr>
          <w:rFonts w:ascii="Times New Roman" w:hAnsi="Times New Roman"/>
          <w:smallCaps/>
          <w:color w:val="000000"/>
          <w:sz w:val="20"/>
        </w:rPr>
      </w:pPr>
      <w:r>
        <w:rPr>
          <w:rFonts w:ascii="Times New Roman" w:hAnsi="Times New Roman"/>
          <w:smallCaps/>
          <w:color w:val="000000"/>
          <w:sz w:val="20"/>
        </w:rPr>
        <w:t>SHAREHOLDER REPRESENTATIVE SERVICES LLC, as Sellers’ Representative</w:t>
      </w:r>
    </w:p>
    <w:p>
      <w:pPr>
        <w:pStyle w:val="TextBody"/>
        <w:bidi w:val="0"/>
        <w:spacing w:before="0" w:after="720"/>
        <w:jc w:val="center"/>
        <w:rPr>
          <w:rFonts w:ascii="Times New Roman" w:hAnsi="Times New Roman"/>
          <w:caps/>
          <w:color w:val="000000"/>
          <w:sz w:val="20"/>
        </w:rPr>
      </w:pPr>
      <w:r>
        <w:rPr>
          <w:rFonts w:ascii="Times New Roman" w:hAnsi="Times New Roman"/>
          <w:caps/>
          <w:color w:val="000000"/>
          <w:sz w:val="20"/>
        </w:rPr>
        <w:t>Dated as of JUNE 6, 2024</w:t>
      </w:r>
    </w:p>
    <w:p>
      <w:pPr>
        <w:pStyle w:val="TextBody"/>
        <w:pBdr>
          <w:bottom w:val="double" w:sz="6" w:space="1" w:color="000000"/>
        </w:pBdr>
        <w:bidi w:val="0"/>
        <w:spacing w:before="120" w:after="12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mallCaps/>
          <w:color w:val="000000"/>
          <w:sz w:val="20"/>
        </w:rPr>
      </w:pPr>
      <w:r>
        <w:rPr>
          <w:rFonts w:ascii="Times New Roman" w:hAnsi="Times New Roman"/>
          <w:smallCaps/>
          <w:color w:val="000000"/>
          <w:sz w:val="20"/>
        </w:rPr>
        <w:t>Table of Contents</w:t>
      </w:r>
    </w:p>
    <w:p>
      <w:pPr>
        <w:pStyle w:val="TextBody"/>
        <w:bidi w:val="0"/>
        <w:spacing w:before="0" w:after="240"/>
        <w:jc w:val="both"/>
        <w:rPr>
          <w:rFonts w:ascii="Times New Roman" w:hAnsi="Times New Roman"/>
          <w:smallCaps/>
          <w:color w:val="000000"/>
          <w:sz w:val="20"/>
          <w:u w:val="single"/>
        </w:rPr>
      </w:pPr>
      <w:r>
        <w:rPr>
          <w:rFonts w:ascii="Times New Roman" w:hAnsi="Times New Roman"/>
          <w:smallCaps/>
          <w:color w:val="000000"/>
          <w:sz w:val="20"/>
          <w:u w:val="single"/>
        </w:rPr>
        <w:t>Page</w:t>
      </w:r>
    </w:p>
    <w:tbl>
      <w:tblPr>
        <w:tblW w:w="7625" w:type="dxa"/>
        <w:jc w:val="left"/>
        <w:tblInd w:w="0" w:type="dxa"/>
        <w:tblLayout w:type="fixed"/>
        <w:tblCellMar>
          <w:top w:w="28" w:type="dxa"/>
          <w:left w:w="28" w:type="dxa"/>
          <w:bottom w:w="28" w:type="dxa"/>
          <w:right w:w="28" w:type="dxa"/>
        </w:tblCellMar>
      </w:tblPr>
      <w:tblGrid>
        <w:gridCol w:w="1186"/>
        <w:gridCol w:w="3961"/>
        <w:gridCol w:w="2478"/>
      </w:tblGrid>
      <w:tr>
        <w:trPr/>
        <w:tc>
          <w:tcPr>
            <w:tcW w:w="118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ind w:left="0" w:right="0" w:firstLine="2117"/>
              <w:jc w:val="left"/>
              <w:rPr>
                <w:sz w:val="4"/>
                <w:szCs w:val="4"/>
              </w:rPr>
            </w:pPr>
            <w:r>
              <w:rPr>
                <w:sz w:val="4"/>
                <w:szCs w:val="4"/>
              </w:rPr>
            </w:r>
          </w:p>
        </w:tc>
      </w:tr>
      <w:tr>
        <w:trPr/>
        <w:tc>
          <w:tcPr>
            <w:tcW w:w="5147"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1 Defined Terms</w:t>
            </w:r>
          </w:p>
        </w:tc>
        <w:tc>
          <w:tcPr>
            <w:tcW w:w="2478" w:type="dxa"/>
            <w:tcBorders/>
            <w:shd w:fill="FFFFFF" w:val="clear"/>
            <w:vAlign w:val="center"/>
          </w:tcPr>
          <w:p>
            <w:pPr>
              <w:pStyle w:val="TableContents"/>
              <w:bidi w:val="0"/>
              <w:spacing w:before="240" w:after="40"/>
              <w:ind w:left="0" w:right="0" w:firstLine="2117"/>
              <w:jc w:val="right"/>
              <w:rPr>
                <w:rFonts w:ascii="Times New Roman" w:hAnsi="Times New Roman"/>
                <w:color w:val="000000"/>
                <w:sz w:val="20"/>
              </w:rPr>
            </w:pPr>
            <w:r>
              <w:rPr>
                <w:rFonts w:ascii="Times New Roman" w:hAnsi="Times New Roman"/>
                <w:color w:val="000000"/>
                <w:sz w:val="20"/>
              </w:rPr>
              <w:t>2</w:t>
            </w:r>
          </w:p>
        </w:tc>
      </w:tr>
      <w:tr>
        <w:trPr/>
        <w:tc>
          <w:tcPr>
            <w:tcW w:w="5147"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2 Option Grant &amp; Option Premium; The Merger</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27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Option Grant &amp; Option Premium</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2.2.</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The Merger</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2.3.</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Closing</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2.4.</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Actions at the Closing</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2.5.</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Effects of the Merger</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2.6.</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Certificate of Incorporation and By-laws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2.7.</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Directors and Officers of Surviving Corporation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2.8.</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Conversion of Capital Stock</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29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2.9.</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Fortis Stock Options; Warrants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31</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2.10.</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Paying Agent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32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2.11.</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Exchange Procedures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33</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2.12.</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Sellers’ Representative</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34</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2.13.</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Contingent Payments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37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2.14.</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Close of Stock Transfer Books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42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2.15.</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Post-Closing Adjustment.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42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2.16.</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Dissenting Shares</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44</w:t>
            </w:r>
          </w:p>
        </w:tc>
      </w:tr>
      <w:tr>
        <w:trPr/>
        <w:tc>
          <w:tcPr>
            <w:tcW w:w="5147"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3 Option Exercise</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45</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3.1.</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Notices; Updated Financial Statements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45</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3.2.</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Option Exercise</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47</w:t>
            </w:r>
          </w:p>
        </w:tc>
      </w:tr>
      <w:tr>
        <w:trPr/>
        <w:tc>
          <w:tcPr>
            <w:tcW w:w="5147"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4 Closing Conditions</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48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4.1.</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Conditions to Fortis’ Obligation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48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4.2.</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Conditions to FibroGen’s Obligation</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48</w:t>
            </w:r>
          </w:p>
        </w:tc>
      </w:tr>
      <w:tr>
        <w:trPr/>
        <w:tc>
          <w:tcPr>
            <w:tcW w:w="5147"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5 Representations and Warranties of Fortis</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49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Organization and Standing; No Subsidiaries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49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Power and Authority; Binding Agreement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5.3.</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Authorization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5.4.</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Capitalization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51</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5.5.</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Noncontravention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53</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5.6.</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Compliance with Laws; Regulatory Matters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54</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5.7.</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Permits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56</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5.8.</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Financial Statements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56</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5.9.</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Absence of Changes or Events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5.10.</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Undisclosed Liabilities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5.11.</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Assets; Personal Property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5.12.</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Real Property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5.13.</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Contracts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57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5.14.</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Intellectual Property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5.15.</w:t>
            </w:r>
          </w:p>
        </w:tc>
        <w:tc>
          <w:tcPr>
            <w:tcW w:w="396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Litigation</w:t>
            </w:r>
          </w:p>
        </w:tc>
        <w:tc>
          <w:tcPr>
            <w:tcW w:w="2478" w:type="dxa"/>
            <w:tcBorders/>
            <w:shd w:fill="FFFFFF" w:val="cle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62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280" w:type="dxa"/>
        <w:jc w:val="left"/>
        <w:tblInd w:w="0" w:type="dxa"/>
        <w:tblLayout w:type="fixed"/>
        <w:tblCellMar>
          <w:top w:w="28" w:type="dxa"/>
          <w:left w:w="28" w:type="dxa"/>
          <w:bottom w:w="28" w:type="dxa"/>
          <w:right w:w="28" w:type="dxa"/>
        </w:tblCellMar>
      </w:tblPr>
      <w:tblGrid>
        <w:gridCol w:w="1186"/>
        <w:gridCol w:w="3616"/>
        <w:gridCol w:w="2478"/>
      </w:tblGrid>
      <w:tr>
        <w:trPr/>
        <w:tc>
          <w:tcPr>
            <w:tcW w:w="118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ind w:left="0" w:right="0" w:firstLine="1570"/>
              <w:jc w:val="left"/>
              <w:rPr>
                <w:sz w:val="4"/>
                <w:szCs w:val="4"/>
              </w:rPr>
            </w:pPr>
            <w:r>
              <w:rPr>
                <w:sz w:val="4"/>
                <w:szCs w:val="4"/>
              </w:rPr>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5.16.</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Taxes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63</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5.17.</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Insurance</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65</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5.18.</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Benefit Plans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66</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5.19.</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Employee and Labor Matters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5.20.</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Environmental Matters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5.21.</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Books and Records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5.22.</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Bank Accounts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5.23.</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Transactions with Affiliates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69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5.24.</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Brokers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5.25.</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Anticorruption Matters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5.26.</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Relationships with Suppliers</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70</w:t>
            </w:r>
          </w:p>
        </w:tc>
      </w:tr>
      <w:tr>
        <w:trPr/>
        <w:tc>
          <w:tcPr>
            <w:tcW w:w="4802"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6 Representations and Warranties of FibroGen</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70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6.1.</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Organization and Standing</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6.2.</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Power and Authority; Binding Agreement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6.3.</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Noncontravention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71</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6.4.</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Litigation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71</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6.5.</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Brokers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71</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6.6.</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Capital Resources</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71</w:t>
            </w:r>
          </w:p>
        </w:tc>
      </w:tr>
      <w:tr>
        <w:trPr/>
        <w:tc>
          <w:tcPr>
            <w:tcW w:w="4802"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7 Certain Covenants</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72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7.1.</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Conduct of Business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7.2.</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Tax Matters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76</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7.3.</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Insurance</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7.4.</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Exclusivity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7.5.</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Indemnification of Officers and Directors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81</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7.6.</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 Right to Control Fortis Pre-Closing</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7.7.</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Confidentiality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82</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7.8.</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Restrictive Covenants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83</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7.9.</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Security Interest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83</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7.10.</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Additional Equityholders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84</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7.11.</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280G Matters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84</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7.12.</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Discharge of Indebtedness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85</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7.13.</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Incorporation of Merger Sub</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85</w:t>
            </w:r>
          </w:p>
        </w:tc>
      </w:tr>
      <w:tr>
        <w:trPr/>
        <w:tc>
          <w:tcPr>
            <w:tcW w:w="4802"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8 Certain Additional Covenants</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85</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8.1.</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Commercially Reasonable Efforts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85</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8.2.</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Publicity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86</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8.3.</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Antitrust Notification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87</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8.4.</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Expenses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8.5.</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Further Assurances</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88</w:t>
            </w:r>
          </w:p>
        </w:tc>
      </w:tr>
      <w:tr>
        <w:trPr/>
        <w:tc>
          <w:tcPr>
            <w:tcW w:w="4802"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9 Indemnification</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88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9.1.</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Survival of Representations and Warranties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9.2.</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Indemnification of FibroGen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88</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9.3.</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Indemnification of Sellers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89</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9.4.</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Limits on Indemnification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90</w:t>
            </w:r>
          </w:p>
        </w:tc>
      </w:tr>
      <w:tr>
        <w:trPr/>
        <w:tc>
          <w:tcPr>
            <w:tcW w:w="1186"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9.5.</w:t>
            </w:r>
          </w:p>
        </w:tc>
        <w:tc>
          <w:tcPr>
            <w:tcW w:w="3616"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Notice of Loss; Third Party Claims</w:t>
            </w:r>
          </w:p>
        </w:tc>
        <w:tc>
          <w:tcPr>
            <w:tcW w:w="2478" w:type="dxa"/>
            <w:tcBorders/>
            <w:shd w:fill="FFFFFF" w:val="cle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200" w:type="dxa"/>
        <w:jc w:val="left"/>
        <w:tblInd w:w="0" w:type="dxa"/>
        <w:tblLayout w:type="fixed"/>
        <w:tblCellMar>
          <w:top w:w="28" w:type="dxa"/>
          <w:left w:w="28" w:type="dxa"/>
          <w:bottom w:w="28" w:type="dxa"/>
          <w:right w:w="28" w:type="dxa"/>
        </w:tblCellMar>
      </w:tblPr>
      <w:tblGrid>
        <w:gridCol w:w="1291"/>
        <w:gridCol w:w="2431"/>
        <w:gridCol w:w="2478"/>
      </w:tblGrid>
      <w:tr>
        <w:trPr/>
        <w:tc>
          <w:tcPr>
            <w:tcW w:w="129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ind w:left="0" w:right="0" w:firstLine="1570"/>
              <w:jc w:val="left"/>
              <w:rPr>
                <w:sz w:val="4"/>
                <w:szCs w:val="4"/>
              </w:rPr>
            </w:pPr>
            <w:r>
              <w:rPr>
                <w:sz w:val="4"/>
                <w:szCs w:val="4"/>
              </w:rPr>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9.6.</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Tax Treatment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93</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9.7.</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Remedies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94</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9.8.</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Set-Off</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94</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9.9.</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 Circular Recovery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94</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9.10.</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 Duplicative Recovery</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94</w:t>
            </w:r>
          </w:p>
        </w:tc>
      </w:tr>
      <w:tr>
        <w:trPr/>
        <w:tc>
          <w:tcPr>
            <w:tcW w:w="3722"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10 Termination</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95</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10.1.</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Termination</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95</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10.2.</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Effect of Termination</w:t>
            </w:r>
          </w:p>
        </w:tc>
        <w:tc>
          <w:tcPr>
            <w:tcW w:w="2478" w:type="dxa"/>
            <w:tcBorders/>
            <w:shd w:fill="FFFFFF" w:val="clear"/>
            <w:vAlign w:val="center"/>
          </w:tcPr>
          <w:p>
            <w:pPr>
              <w:pStyle w:val="TableContents"/>
              <w:bidi w:val="0"/>
              <w:spacing w:before="0" w:after="40"/>
              <w:ind w:left="0" w:right="0" w:firstLine="2117"/>
              <w:jc w:val="right"/>
              <w:rPr>
                <w:rFonts w:ascii="Times New Roman" w:hAnsi="Times New Roman"/>
                <w:color w:val="000000"/>
                <w:sz w:val="20"/>
              </w:rPr>
            </w:pPr>
            <w:r>
              <w:rPr>
                <w:rFonts w:ascii="Times New Roman" w:hAnsi="Times New Roman"/>
                <w:color w:val="000000"/>
                <w:sz w:val="20"/>
              </w:rPr>
              <w:t>95</w:t>
            </w:r>
          </w:p>
        </w:tc>
      </w:tr>
      <w:tr>
        <w:trPr/>
        <w:tc>
          <w:tcPr>
            <w:tcW w:w="3722" w:type="dxa"/>
            <w:gridSpan w:val="2"/>
            <w:tcBorders/>
            <w:shd w:fill="FFFFFF" w:val="clear"/>
            <w:vAlign w:val="center"/>
          </w:tcPr>
          <w:p>
            <w:pPr>
              <w:pStyle w:val="TableContents"/>
              <w:pBdr/>
              <w:bidi w:val="0"/>
              <w:spacing w:before="240" w:after="40"/>
              <w:ind w:left="0" w:right="0" w:hanging="2117"/>
              <w:jc w:val="left"/>
              <w:rPr>
                <w:rFonts w:ascii="Times New Roman" w:hAnsi="Times New Roman"/>
                <w:color w:val="0000FF"/>
                <w:sz w:val="20"/>
              </w:rPr>
            </w:pPr>
            <w:r>
              <w:rPr>
                <w:rFonts w:ascii="Times New Roman" w:hAnsi="Times New Roman"/>
                <w:color w:val="0000FF"/>
                <w:sz w:val="20"/>
              </w:rPr>
              <w:t>Article 11 Miscellaneous</w:t>
            </w:r>
          </w:p>
        </w:tc>
        <w:tc>
          <w:tcPr>
            <w:tcW w:w="2478" w:type="dxa"/>
            <w:tcBorders/>
            <w:shd w:fill="FFFFFF" w:val="clear"/>
            <w:vAlign w:val="center"/>
          </w:tcPr>
          <w:p>
            <w:pPr>
              <w:pStyle w:val="TableContents"/>
              <w:bidi w:val="0"/>
              <w:spacing w:before="240" w:after="40"/>
              <w:ind w:left="0" w:right="0" w:firstLine="1570"/>
              <w:jc w:val="right"/>
              <w:rPr>
                <w:rFonts w:ascii="Times New Roman" w:hAnsi="Times New Roman"/>
                <w:color w:val="000000"/>
                <w:sz w:val="20"/>
              </w:rPr>
            </w:pPr>
            <w:r>
              <w:rPr>
                <w:rFonts w:ascii="Times New Roman" w:hAnsi="Times New Roman"/>
                <w:color w:val="000000"/>
                <w:sz w:val="20"/>
              </w:rPr>
              <w:t>96</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11.1.</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Notices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96</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11.2.</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Assignment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97</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11.3.</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Consents and Approvals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98</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11.4.</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Enforcement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98</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11.5.</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Amendment and Waiver</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98</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11.6.</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Entire Agreement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99</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11.7.</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No Third-Party Beneficiaries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99</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11.8.</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Counterparts</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11.9.</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Governing Law</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11.10.</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Severability</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11.11.</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English Language</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11.12.</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Conflict of Interest</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11.13.</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Attorney-Client Privilege</w:t>
            </w:r>
          </w:p>
        </w:tc>
        <w:tc>
          <w:tcPr>
            <w:tcW w:w="2478" w:type="dxa"/>
            <w:tcBorders/>
            <w:shd w:fill="FFFFFF" w:val="clear"/>
            <w:vAlign w:val="center"/>
          </w:tcPr>
          <w:p>
            <w:pPr>
              <w:pStyle w:val="TableContents"/>
              <w:bidi w:val="0"/>
              <w:spacing w:before="0" w:after="40"/>
              <w:ind w:left="0" w:right="0" w:firstLine="1570"/>
              <w:jc w:val="right"/>
              <w:rPr>
                <w:rFonts w:ascii="Times New Roman" w:hAnsi="Times New Roman"/>
                <w:color w:val="000000"/>
                <w:sz w:val="20"/>
              </w:rPr>
            </w:pPr>
            <w:r>
              <w:rPr>
                <w:rFonts w:ascii="Times New Roman" w:hAnsi="Times New Roman"/>
                <w:color w:val="000000"/>
                <w:sz w:val="20"/>
              </w:rPr>
              <w:t>101</w:t>
            </w:r>
          </w:p>
        </w:tc>
      </w:tr>
      <w:tr>
        <w:trPr/>
        <w:tc>
          <w:tcPr>
            <w:tcW w:w="1291" w:type="dxa"/>
            <w:tcBorders/>
            <w:shd w:fill="FFFFFF" w:val="clear"/>
            <w:vAlign w:val="center"/>
          </w:tcPr>
          <w:p>
            <w:pPr>
              <w:pStyle w:val="TableContents"/>
              <w:pBdr/>
              <w:bidi w:val="0"/>
              <w:spacing w:before="0" w:after="40"/>
              <w:ind w:left="576" w:right="0" w:hanging="994"/>
              <w:jc w:val="left"/>
              <w:rPr>
                <w:rFonts w:ascii="Times New Roman" w:hAnsi="Times New Roman"/>
                <w:color w:val="0000FF"/>
                <w:sz w:val="20"/>
              </w:rPr>
            </w:pPr>
            <w:r>
              <w:rPr>
                <w:rFonts w:ascii="Times New Roman" w:hAnsi="Times New Roman"/>
                <w:color w:val="0000FF"/>
                <w:sz w:val="20"/>
              </w:rPr>
              <w:t>Section 11.14.</w:t>
            </w:r>
          </w:p>
        </w:tc>
        <w:tc>
          <w:tcPr>
            <w:tcW w:w="2431" w:type="dxa"/>
            <w:tcBorders/>
            <w:shd w:fill="FFFFFF" w:val="clear"/>
            <w:vAlign w:val="center"/>
          </w:tcPr>
          <w:p>
            <w:pPr>
              <w:pStyle w:val="TableContents"/>
              <w:bidi w:val="0"/>
              <w:spacing w:before="0" w:after="40"/>
              <w:jc w:val="left"/>
              <w:rPr>
                <w:rFonts w:ascii="Times New Roman" w:hAnsi="Times New Roman"/>
                <w:color w:val="0000FF"/>
                <w:sz w:val="20"/>
              </w:rPr>
            </w:pPr>
            <w:r>
              <w:rPr>
                <w:rFonts w:ascii="Times New Roman" w:hAnsi="Times New Roman"/>
                <w:color w:val="0000FF"/>
                <w:sz w:val="20"/>
              </w:rPr>
              <w:t>FibroGen Acknowledgment</w:t>
            </w:r>
          </w:p>
        </w:tc>
        <w:tc>
          <w:tcPr>
            <w:tcW w:w="2478" w:type="dxa"/>
            <w:tcBorders/>
            <w:shd w:fill="FFFFFF" w:val="cle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smallCaps/>
          <w:color w:val="000000"/>
          <w:sz w:val="20"/>
          <w:u w:val="single"/>
        </w:rPr>
        <w:t>Exhibits and Schedules</w:t>
      </w:r>
      <w:r>
        <w:rPr>
          <w:rFonts w:ascii="Times New Roman" w:hAnsi="Times New Roman"/>
          <w:smallCaps/>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Exhibit A: Joinder</w:t>
      </w:r>
    </w:p>
    <w:p>
      <w:pPr>
        <w:pStyle w:val="TextBody"/>
        <w:bidi w:val="0"/>
        <w:jc w:val="left"/>
        <w:rPr>
          <w:rFonts w:ascii="Times New Roman" w:hAnsi="Times New Roman"/>
          <w:color w:val="000000"/>
          <w:sz w:val="20"/>
        </w:rPr>
      </w:pPr>
      <w:r>
        <w:rPr>
          <w:rFonts w:ascii="Times New Roman" w:hAnsi="Times New Roman"/>
          <w:color w:val="000000"/>
          <w:sz w:val="20"/>
        </w:rPr>
        <w:t>Exhibit B: Written Consent</w:t>
      </w:r>
    </w:p>
    <w:p>
      <w:pPr>
        <w:pStyle w:val="TextBody"/>
        <w:bidi w:val="0"/>
        <w:jc w:val="left"/>
        <w:rPr>
          <w:rFonts w:ascii="Times New Roman" w:hAnsi="Times New Roman"/>
          <w:color w:val="000000"/>
          <w:sz w:val="20"/>
        </w:rPr>
      </w:pPr>
      <w:r>
        <w:rPr>
          <w:rFonts w:ascii="Times New Roman" w:hAnsi="Times New Roman"/>
          <w:color w:val="000000"/>
          <w:sz w:val="20"/>
        </w:rPr>
        <w:t>Exhibit C: Certificate of Merger</w:t>
      </w:r>
    </w:p>
    <w:p>
      <w:pPr>
        <w:pStyle w:val="TextBody"/>
        <w:bidi w:val="0"/>
        <w:jc w:val="left"/>
        <w:rPr>
          <w:rFonts w:ascii="Times New Roman" w:hAnsi="Times New Roman"/>
          <w:color w:val="000000"/>
          <w:sz w:val="20"/>
        </w:rPr>
      </w:pPr>
      <w:r>
        <w:rPr>
          <w:rFonts w:ascii="Times New Roman" w:hAnsi="Times New Roman"/>
          <w:color w:val="000000"/>
          <w:sz w:val="20"/>
        </w:rPr>
        <w:t>Exhibit D: Amended and Restated Charter of Surviving Corporation</w:t>
      </w:r>
    </w:p>
    <w:p>
      <w:pPr>
        <w:pStyle w:val="TextBody"/>
        <w:bidi w:val="0"/>
        <w:jc w:val="left"/>
        <w:rPr>
          <w:rFonts w:ascii="Times New Roman" w:hAnsi="Times New Roman"/>
          <w:color w:val="000000"/>
          <w:sz w:val="20"/>
        </w:rPr>
      </w:pPr>
      <w:r>
        <w:rPr>
          <w:rFonts w:ascii="Times New Roman" w:hAnsi="Times New Roman"/>
          <w:color w:val="000000"/>
          <w:sz w:val="20"/>
        </w:rPr>
        <w:t>Exhibit E: Letter of Transmittal</w:t>
      </w:r>
    </w:p>
    <w:p>
      <w:pPr>
        <w:pStyle w:val="TextBody"/>
        <w:bidi w:val="0"/>
        <w:jc w:val="left"/>
        <w:rPr>
          <w:rFonts w:ascii="Times New Roman" w:hAnsi="Times New Roman"/>
          <w:color w:val="000000"/>
          <w:sz w:val="20"/>
        </w:rPr>
      </w:pPr>
      <w:r>
        <w:rPr>
          <w:rFonts w:ascii="Times New Roman" w:hAnsi="Times New Roman"/>
          <w:color w:val="000000"/>
          <w:sz w:val="20"/>
        </w:rPr>
        <w:t>Exhibit F: Exercise Notice</w:t>
      </w:r>
    </w:p>
    <w:p>
      <w:pPr>
        <w:pStyle w:val="TextBody"/>
        <w:bidi w:val="0"/>
        <w:jc w:val="left"/>
        <w:rPr>
          <w:rFonts w:ascii="Times New Roman" w:hAnsi="Times New Roman"/>
          <w:color w:val="000000"/>
          <w:sz w:val="20"/>
        </w:rPr>
      </w:pPr>
      <w:r>
        <w:rPr>
          <w:rFonts w:ascii="Times New Roman" w:hAnsi="Times New Roman"/>
          <w:color w:val="000000"/>
          <w:sz w:val="20"/>
        </w:rPr>
        <w:t>Exhibit G: Fortis Compliance Certificate</w:t>
      </w:r>
    </w:p>
    <w:p>
      <w:pPr>
        <w:pStyle w:val="TextBody"/>
        <w:bidi w:val="0"/>
        <w:jc w:val="left"/>
        <w:rPr>
          <w:rFonts w:ascii="Times New Roman" w:hAnsi="Times New Roman"/>
          <w:color w:val="000000"/>
          <w:sz w:val="20"/>
        </w:rPr>
      </w:pPr>
      <w:r>
        <w:rPr>
          <w:rFonts w:ascii="Times New Roman" w:hAnsi="Times New Roman"/>
          <w:color w:val="000000"/>
          <w:sz w:val="20"/>
        </w:rPr>
        <w:t>Exhibit H: Restrictive Covenants Agreement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Schedules</w:t>
      </w:r>
    </w:p>
    <w:p>
      <w:pPr>
        <w:pStyle w:val="TextBody"/>
        <w:bidi w:val="0"/>
        <w:jc w:val="left"/>
        <w:rPr>
          <w:rFonts w:ascii="Times New Roman" w:hAnsi="Times New Roman"/>
          <w:color w:val="000000"/>
          <w:sz w:val="20"/>
        </w:rPr>
      </w:pPr>
      <w:r>
        <w:rPr>
          <w:rFonts w:ascii="Times New Roman" w:hAnsi="Times New Roman"/>
          <w:color w:val="000000"/>
          <w:sz w:val="20"/>
        </w:rPr>
        <w:t>Schedule I</w:t>
      </w:r>
    </w:p>
    <w:p>
      <w:pPr>
        <w:pStyle w:val="TextBody"/>
        <w:bidi w:val="0"/>
        <w:jc w:val="left"/>
        <w:rPr>
          <w:rFonts w:ascii="Times New Roman" w:hAnsi="Times New Roman"/>
          <w:color w:val="000000"/>
          <w:sz w:val="20"/>
        </w:rPr>
      </w:pPr>
      <w:r>
        <w:rPr>
          <w:rFonts w:ascii="Times New Roman" w:hAnsi="Times New Roman"/>
          <w:color w:val="000000"/>
          <w:sz w:val="20"/>
        </w:rPr>
        <w:t>Schedule 1.55: CVR Product</w:t>
      </w:r>
    </w:p>
    <w:p>
      <w:pPr>
        <w:pStyle w:val="TextBody"/>
        <w:bidi w:val="0"/>
        <w:jc w:val="left"/>
        <w:rPr>
          <w:rFonts w:ascii="Times New Roman" w:hAnsi="Times New Roman"/>
          <w:color w:val="000000"/>
          <w:sz w:val="20"/>
        </w:rPr>
      </w:pPr>
      <w:r>
        <w:rPr>
          <w:rFonts w:ascii="Times New Roman" w:hAnsi="Times New Roman"/>
          <w:color w:val="000000"/>
          <w:sz w:val="20"/>
        </w:rPr>
        <w:t>Schedule 4.2(c): Governmental Approvals</w:t>
      </w:r>
    </w:p>
    <w:p>
      <w:pPr>
        <w:pStyle w:val="TextBody"/>
        <w:bidi w:val="0"/>
        <w:jc w:val="left"/>
        <w:rPr>
          <w:rFonts w:ascii="Times New Roman" w:hAnsi="Times New Roman"/>
          <w:color w:val="000000"/>
          <w:sz w:val="20"/>
        </w:rPr>
      </w:pPr>
      <w:r>
        <w:rPr>
          <w:rFonts w:ascii="Times New Roman" w:hAnsi="Times New Roman"/>
          <w:color w:val="000000"/>
          <w:sz w:val="20"/>
        </w:rPr>
        <w:t>Schedule 4.2(d): Contractual Consents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FIRST AMENDED AND RESTATED</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OPTION AGREEMENT AND PLAN OF MERGER</w:t>
      </w:r>
    </w:p>
    <w:p>
      <w:pPr>
        <w:pStyle w:val="TextBody"/>
        <w:bidi w:val="0"/>
        <w:spacing w:before="0" w:after="240"/>
        <w:jc w:val="left"/>
        <w:rPr>
          <w:rFonts w:ascii="Times New Roman" w:hAnsi="Times New Roman"/>
          <w:sz w:val="20"/>
        </w:rPr>
      </w:pPr>
      <w:r>
        <w:rPr>
          <w:rFonts w:ascii="Times New Roman" w:hAnsi="Times New Roman"/>
          <w:color w:val="000000"/>
          <w:sz w:val="20"/>
        </w:rPr>
        <w:t>This First Amended and Restated Option Agreement and Plan of Merger (this “</w:t>
      </w:r>
      <w:r>
        <w:rPr>
          <w:rFonts w:ascii="Times New Roman" w:hAnsi="Times New Roman"/>
          <w:i/>
          <w:color w:val="000000"/>
          <w:sz w:val="20"/>
        </w:rPr>
        <w:t>Option Agreement</w:t>
      </w:r>
      <w:r>
        <w:rPr>
          <w:rFonts w:ascii="Times New Roman" w:hAnsi="Times New Roman"/>
          <w:color w:val="000000"/>
          <w:sz w:val="20"/>
        </w:rPr>
        <w:t>”) dated as of June 6, 2024 (the “</w:t>
      </w:r>
      <w:r>
        <w:rPr>
          <w:rFonts w:ascii="Times New Roman" w:hAnsi="Times New Roman"/>
          <w:i/>
          <w:color w:val="000000"/>
          <w:sz w:val="20"/>
        </w:rPr>
        <w:t>Restatement Effective Date</w:t>
      </w:r>
      <w:r>
        <w:rPr>
          <w:rFonts w:ascii="Times New Roman" w:hAnsi="Times New Roman"/>
          <w:color w:val="000000"/>
          <w:sz w:val="20"/>
        </w:rPr>
        <w:t>”) amends and restates that certain Option Agreement and Plan of Merger, effective as of May 5, 2023 (the “</w:t>
      </w:r>
      <w:r>
        <w:rPr>
          <w:rFonts w:ascii="Times New Roman" w:hAnsi="Times New Roman"/>
          <w:i/>
          <w:color w:val="000000"/>
          <w:sz w:val="20"/>
        </w:rPr>
        <w:t>Original Effective Date</w:t>
      </w:r>
      <w:r>
        <w:rPr>
          <w:rFonts w:ascii="Times New Roman" w:hAnsi="Times New Roman"/>
          <w:color w:val="000000"/>
          <w:sz w:val="20"/>
        </w:rPr>
        <w:t>” and such agreement, the “</w:t>
      </w:r>
      <w:r>
        <w:rPr>
          <w:rFonts w:ascii="Times New Roman" w:hAnsi="Times New Roman"/>
          <w:i/>
          <w:color w:val="000000"/>
          <w:sz w:val="20"/>
        </w:rPr>
        <w:t>Original Agreement</w:t>
      </w:r>
      <w:r>
        <w:rPr>
          <w:rFonts w:ascii="Times New Roman" w:hAnsi="Times New Roman"/>
          <w:color w:val="000000"/>
          <w:sz w:val="20"/>
        </w:rPr>
        <w:t>”), by and among FibroGen, Inc., a Delaware corporation (“</w:t>
      </w:r>
      <w:r>
        <w:rPr>
          <w:rFonts w:ascii="Times New Roman" w:hAnsi="Times New Roman"/>
          <w:i/>
          <w:color w:val="000000"/>
          <w:sz w:val="20"/>
        </w:rPr>
        <w:t>FibroGen</w:t>
      </w:r>
      <w:r>
        <w:rPr>
          <w:rFonts w:ascii="Times New Roman" w:hAnsi="Times New Roman"/>
          <w:color w:val="000000"/>
          <w:sz w:val="20"/>
        </w:rPr>
        <w:t>”), Fortis Therapeutics, Inc., a Delaware corporation (“</w:t>
      </w:r>
      <w:r>
        <w:rPr>
          <w:rFonts w:ascii="Times New Roman" w:hAnsi="Times New Roman"/>
          <w:i/>
          <w:color w:val="000000"/>
          <w:sz w:val="20"/>
        </w:rPr>
        <w:t>Fortis</w:t>
      </w:r>
      <w:r>
        <w:rPr>
          <w:rFonts w:ascii="Times New Roman" w:hAnsi="Times New Roman"/>
          <w:color w:val="000000"/>
          <w:sz w:val="20"/>
        </w:rPr>
        <w:t xml:space="preserve">”), and Shareholder Representative Services LLC, a Colorado limited liability company, solely in its capacity as the Sellers’ Representative. </w:t>
      </w:r>
    </w:p>
    <w:p>
      <w:pPr>
        <w:pStyle w:val="TextBody"/>
        <w:bidi w:val="0"/>
        <w:spacing w:before="240" w:after="240"/>
        <w:jc w:val="center"/>
        <w:rPr>
          <w:rFonts w:ascii="Times New Roman" w:hAnsi="Times New Roman"/>
          <w:smallCaps/>
          <w:color w:val="000000"/>
          <w:sz w:val="20"/>
        </w:rPr>
      </w:pPr>
      <w:r>
        <w:rPr>
          <w:rFonts w:ascii="Times New Roman" w:hAnsi="Times New Roman"/>
          <w:smallCaps/>
          <w:color w:val="000000"/>
          <w:sz w:val="20"/>
        </w:rPr>
        <w:t>Recitals</w:t>
      </w:r>
    </w:p>
    <w:p>
      <w:pPr>
        <w:pStyle w:val="TextBody"/>
        <w:bidi w:val="0"/>
        <w:spacing w:before="0" w:after="240"/>
        <w:jc w:val="left"/>
        <w:rPr>
          <w:rFonts w:ascii="Times New Roman" w:hAnsi="Times New Roman"/>
          <w:sz w:val="20"/>
        </w:rPr>
      </w:pPr>
      <w:r>
        <w:rPr>
          <w:rFonts w:ascii="Times New Roman" w:hAnsi="Times New Roman"/>
          <w:color w:val="000000"/>
          <w:sz w:val="20"/>
        </w:rPr>
        <w:t>WHEREAS, the board of directors of FibroGen and Fortis have each (i) determined that the merger of Merger Sub with and into Fortis (the “</w:t>
      </w:r>
      <w:r>
        <w:rPr>
          <w:rFonts w:ascii="Times New Roman" w:hAnsi="Times New Roman"/>
          <w:i/>
          <w:color w:val="000000"/>
          <w:sz w:val="20"/>
        </w:rPr>
        <w:t>Merger</w:t>
      </w:r>
      <w:r>
        <w:rPr>
          <w:rFonts w:ascii="Times New Roman" w:hAnsi="Times New Roman"/>
          <w:color w:val="000000"/>
          <w:sz w:val="20"/>
        </w:rPr>
        <w:t>”) on the terms and subject to the conditions set forth in this Option Agreement are advisable and in the best interest of their respective stockholders to consummate and (ii) approved the Merger on the terms and subject to the conditions set forth in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WHEREAS, in consideration for Fortis granting to FibroGen the exclusive option (the “</w:t>
      </w:r>
      <w:r>
        <w:rPr>
          <w:rFonts w:ascii="Times New Roman" w:hAnsi="Times New Roman"/>
          <w:i/>
          <w:color w:val="000000"/>
          <w:sz w:val="20"/>
        </w:rPr>
        <w:t>Option</w:t>
      </w:r>
      <w:r>
        <w:rPr>
          <w:rFonts w:ascii="Times New Roman" w:hAnsi="Times New Roman"/>
          <w:color w:val="000000"/>
          <w:sz w:val="20"/>
        </w:rPr>
        <w:t>”) to consummate the Merger pursuant to the terms of this Option Agreement, FibroGen paid to Fortis the Option Premium, in accordance with the terms and conditions of the Original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the Merger and this Option Agreement have been submitted to a vote (or written consent) of the stockholders of Fortis and approved by the stockholders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the consummation of the Merger is subject to FibroGen’s exercise, in its sole discretion, of the Option in accordance with the terms of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concurrently with the execution and delivery of the Original Agreement, (i) all of the Fortis Shareholders have executed and delivered to Fortis the Written Consent and (ii) all of the Fortis Equityholders have executed and delivered a Joinder.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concurrently with the execution and delivery of the Original Agreement, certain Fortis Equityholders have executed and delivered to FibroGen the Restrictive Covenants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concurrently with the execution and delivery of the Original Agreement, FibroGen and Fortis entered into an Evaluation Agreement, pursuant to which FibroGen and Fortis agreed to conduct certain development and evaluation activities of certain Fortis’s assets, including FOR46.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WHEREAS, as of the Restatement Effective Date, FibroGen and Fortis desire to amend and restate the Evaluation Agreement to clarify their understanding regarding certain data transfer and regulatory obligations of FibroGen, and the time period during which FibroGen may exercise its Option; accordingly, the Parties desire to amend and restate the Original Agreement in connection with the amendment and restatement of the Evaluation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NOW, THEREFORE, in consideration of the foregoing and the respective representations, warranties, covenants and agreements set forth herein, the Parties agree as follows: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r>
        <w:rPr>
          <w:rFonts w:ascii="Times New Roman" w:hAnsi="Times New Roman"/>
          <w:caps/>
          <w:color w:val="000000"/>
          <w:sz w:val="20"/>
        </w:rPr>
        <w:t>Article 1</w:t>
      </w:r>
      <w:r>
        <w:rPr>
          <w:rFonts w:ascii="Times New Roman" w:hAnsi="Times New Roman"/>
          <w:caps/>
          <w:color w:val="000000"/>
          <w:sz w:val="20"/>
          <w:u w:val="single"/>
        </w:rPr>
        <w:br/>
        <w:t>Defined Terms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capitalized terms set forth in this </w:t>
      </w:r>
      <w:r>
        <w:rPr>
          <w:rFonts w:ascii="Times New Roman" w:hAnsi="Times New Roman"/>
          <w:color w:val="000000"/>
          <w:sz w:val="20"/>
          <w:u w:val="single"/>
        </w:rPr>
        <w:t>Article 1</w:t>
      </w:r>
      <w:r>
        <w:rPr>
          <w:rFonts w:ascii="Times New Roman" w:hAnsi="Times New Roman"/>
          <w:color w:val="000000"/>
          <w:sz w:val="20"/>
        </w:rPr>
        <w:t xml:space="preserve"> shall have the meanings set forth herein.</w:t>
      </w:r>
    </w:p>
    <w:p>
      <w:pPr>
        <w:pStyle w:val="TextBody"/>
        <w:bidi w:val="0"/>
        <w:spacing w:before="0" w:after="240"/>
        <w:jc w:val="left"/>
        <w:rPr>
          <w:rFonts w:ascii="Times New Roman" w:hAnsi="Times New Roman"/>
          <w:sz w:val="20"/>
        </w:rPr>
      </w:pPr>
      <w:r>
        <w:rPr>
          <w:rFonts w:ascii="Times New Roman" w:hAnsi="Times New Roman"/>
          <w:color w:val="000000"/>
          <w:sz w:val="20"/>
        </w:rPr>
        <w:t>Section 1.1. “</w:t>
      </w:r>
      <w:r>
        <w:rPr>
          <w:rFonts w:ascii="Times New Roman" w:hAnsi="Times New Roman"/>
          <w:i/>
          <w:color w:val="000000"/>
          <w:sz w:val="20"/>
        </w:rPr>
        <w:t>280G Payments</w:t>
      </w:r>
      <w:r>
        <w:rPr>
          <w:rFonts w:ascii="Times New Roman" w:hAnsi="Times New Roman"/>
          <w:color w:val="000000"/>
          <w:sz w:val="20"/>
        </w:rPr>
        <w:t xml:space="preserve">” is defined in </w:t>
      </w:r>
      <w:r>
        <w:rPr>
          <w:rFonts w:ascii="Times New Roman" w:hAnsi="Times New Roman"/>
          <w:color w:val="000000"/>
          <w:sz w:val="20"/>
          <w:u w:val="single"/>
        </w:rPr>
        <w:t>Section 7.11</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 “</w:t>
      </w:r>
      <w:r>
        <w:rPr>
          <w:rFonts w:ascii="Times New Roman" w:hAnsi="Times New Roman"/>
          <w:i/>
          <w:color w:val="000000"/>
          <w:sz w:val="20"/>
        </w:rPr>
        <w:t>280G Stockholder Approval</w:t>
      </w:r>
      <w:r>
        <w:rPr>
          <w:rFonts w:ascii="Times New Roman" w:hAnsi="Times New Roman"/>
          <w:color w:val="000000"/>
          <w:sz w:val="20"/>
        </w:rPr>
        <w:t xml:space="preserve">” is defined in </w:t>
      </w:r>
      <w:r>
        <w:rPr>
          <w:rFonts w:ascii="Times New Roman" w:hAnsi="Times New Roman"/>
          <w:color w:val="000000"/>
          <w:sz w:val="20"/>
          <w:u w:val="single"/>
        </w:rPr>
        <w:t>Section 7.11</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1.3. “</w:t>
      </w:r>
      <w:r>
        <w:rPr>
          <w:rFonts w:ascii="Times New Roman" w:hAnsi="Times New Roman"/>
          <w:i/>
          <w:color w:val="000000"/>
          <w:sz w:val="20"/>
        </w:rPr>
        <w:t>280G Stockholder Vote</w:t>
      </w:r>
      <w:r>
        <w:rPr>
          <w:rFonts w:ascii="Times New Roman" w:hAnsi="Times New Roman"/>
          <w:color w:val="000000"/>
          <w:sz w:val="20"/>
        </w:rPr>
        <w:t xml:space="preserve">” is defined in </w:t>
      </w:r>
      <w:r>
        <w:rPr>
          <w:rFonts w:ascii="Times New Roman" w:hAnsi="Times New Roman"/>
          <w:color w:val="000000"/>
          <w:sz w:val="20"/>
          <w:u w:val="single"/>
        </w:rPr>
        <w:t>Section 7.11</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1.4. “</w:t>
      </w:r>
      <w:r>
        <w:rPr>
          <w:rFonts w:ascii="Times New Roman" w:hAnsi="Times New Roman"/>
          <w:i/>
          <w:color w:val="000000"/>
          <w:sz w:val="20"/>
        </w:rPr>
        <w:t>Action</w:t>
      </w:r>
      <w:r>
        <w:rPr>
          <w:rFonts w:ascii="Times New Roman" w:hAnsi="Times New Roman"/>
          <w:color w:val="000000"/>
          <w:sz w:val="20"/>
        </w:rPr>
        <w:t>” means any claim, action, cause of action or suit (whether in contract or tort or otherwise), litigation (whether at law or in equity, whether civil or criminal), arbitration, investigation, hearing, charge, complaint, or proceeding to, from, by or before any Governmental Entity.</w:t>
      </w:r>
    </w:p>
    <w:p>
      <w:pPr>
        <w:pStyle w:val="TextBody"/>
        <w:bidi w:val="0"/>
        <w:spacing w:before="0" w:after="240"/>
        <w:jc w:val="left"/>
        <w:rPr>
          <w:rFonts w:ascii="Times New Roman" w:hAnsi="Times New Roman"/>
          <w:sz w:val="20"/>
        </w:rPr>
      </w:pPr>
      <w:r>
        <w:rPr>
          <w:rFonts w:ascii="Times New Roman" w:hAnsi="Times New Roman"/>
          <w:color w:val="000000"/>
          <w:sz w:val="20"/>
        </w:rPr>
        <w:t>Section 1.5. “</w:t>
      </w:r>
      <w:r>
        <w:rPr>
          <w:rFonts w:ascii="Times New Roman" w:hAnsi="Times New Roman"/>
          <w:i/>
          <w:color w:val="000000"/>
          <w:sz w:val="20"/>
        </w:rPr>
        <w:t>Adjusted Closing Statement</w:t>
      </w:r>
      <w:r>
        <w:rPr>
          <w:rFonts w:ascii="Times New Roman" w:hAnsi="Times New Roman"/>
          <w:color w:val="000000"/>
          <w:sz w:val="20"/>
        </w:rPr>
        <w:t xml:space="preserve">” is defined in </w:t>
      </w:r>
      <w:r>
        <w:rPr>
          <w:rFonts w:ascii="Times New Roman" w:hAnsi="Times New Roman"/>
          <w:color w:val="000000"/>
          <w:sz w:val="20"/>
          <w:u w:val="single"/>
        </w:rPr>
        <w:t>Section 2.15(b)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1.6. “</w:t>
      </w:r>
      <w:r>
        <w:rPr>
          <w:rFonts w:ascii="Times New Roman" w:hAnsi="Times New Roman"/>
          <w:i/>
          <w:color w:val="000000"/>
          <w:sz w:val="20"/>
        </w:rPr>
        <w:t>Affiliate</w:t>
      </w:r>
      <w:r>
        <w:rPr>
          <w:rFonts w:ascii="Times New Roman" w:hAnsi="Times New Roman"/>
          <w:color w:val="000000"/>
          <w:sz w:val="20"/>
        </w:rPr>
        <w:t xml:space="preserve">” means, with respect to a Person, another Person that directly, or indirectly through one or more intermediaries, controls, or is controlled by, or is under common control with, such Person; </w:t>
      </w:r>
      <w:r>
        <w:rPr>
          <w:rFonts w:ascii="Times New Roman" w:hAnsi="Times New Roman"/>
          <w:i/>
          <w:color w:val="000000"/>
          <w:sz w:val="20"/>
        </w:rPr>
        <w:t>provided</w:t>
      </w:r>
      <w:r>
        <w:rPr>
          <w:rFonts w:ascii="Times New Roman" w:hAnsi="Times New Roman"/>
          <w:color w:val="000000"/>
          <w:sz w:val="20"/>
        </w:rPr>
        <w:t xml:space="preserve"> that for purposes of this definition, “control” means, with respect to a Person, the possession, directly or indirectly, of the power to direct or cause the direction of the management or policies of such Person, whether through the ownership of more than fifty percent (50%) voting securities of such Person, by Contract, by board of director membership or representation, or otherwise. Subject to the foregoing, a Person shall only be deemed an Affiliate of a Party under this Agreement solely for the period it qualifies as an Affiliate under this definition. For purposes hereof, with respect to any investor in Fortis that is an Affiliate of Fortis, the portfolio companies of that investor shall not be deemed to be an Affiliate of Fortis solely by virtue of the fact that Fortis and such other portfolio companies are deemed to be under the common control of such investor.</w:t>
      </w:r>
    </w:p>
    <w:p>
      <w:pPr>
        <w:pStyle w:val="TextBody"/>
        <w:bidi w:val="0"/>
        <w:spacing w:before="0" w:after="240"/>
        <w:jc w:val="left"/>
        <w:rPr>
          <w:rFonts w:ascii="Times New Roman" w:hAnsi="Times New Roman"/>
          <w:sz w:val="20"/>
        </w:rPr>
      </w:pPr>
      <w:r>
        <w:rPr>
          <w:rFonts w:ascii="Times New Roman" w:hAnsi="Times New Roman"/>
          <w:color w:val="000000"/>
          <w:sz w:val="20"/>
        </w:rPr>
        <w:t>Section 1.7. “</w:t>
      </w:r>
      <w:r>
        <w:rPr>
          <w:rFonts w:ascii="Times New Roman" w:hAnsi="Times New Roman"/>
          <w:i/>
          <w:color w:val="000000"/>
          <w:sz w:val="20"/>
        </w:rPr>
        <w:t>Affordable Care Act</w:t>
      </w:r>
      <w:r>
        <w:rPr>
          <w:rFonts w:ascii="Times New Roman" w:hAnsi="Times New Roman"/>
          <w:color w:val="000000"/>
          <w:sz w:val="20"/>
        </w:rPr>
        <w:t xml:space="preserve">” is defined in </w:t>
      </w:r>
      <w:r>
        <w:rPr>
          <w:rFonts w:ascii="Times New Roman" w:hAnsi="Times New Roman"/>
          <w:color w:val="000000"/>
          <w:sz w:val="20"/>
          <w:u w:val="single"/>
        </w:rPr>
        <w:t>Section 5.18(f)</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 “</w:t>
      </w:r>
      <w:r>
        <w:rPr>
          <w:rFonts w:ascii="Times New Roman" w:hAnsi="Times New Roman"/>
          <w:i/>
          <w:color w:val="000000"/>
          <w:sz w:val="20"/>
        </w:rPr>
        <w:t>Aggregate Closing Merger Consideration Adjustment Amount</w:t>
      </w:r>
      <w:r>
        <w:rPr>
          <w:rFonts w:ascii="Times New Roman" w:hAnsi="Times New Roman"/>
          <w:color w:val="000000"/>
          <w:sz w:val="20"/>
        </w:rPr>
        <w:t xml:space="preserve">” means the Final Closing Payment </w:t>
      </w:r>
      <w:r>
        <w:rPr>
          <w:rFonts w:ascii="Times New Roman" w:hAnsi="Times New Roman"/>
          <w:i/>
          <w:color w:val="000000"/>
          <w:sz w:val="20"/>
        </w:rPr>
        <w:t>minus</w:t>
      </w:r>
      <w:r>
        <w:rPr>
          <w:rFonts w:ascii="Times New Roman" w:hAnsi="Times New Roman"/>
          <w:color w:val="000000"/>
          <w:sz w:val="20"/>
        </w:rPr>
        <w:t xml:space="preserve"> the Estimated Closing Payment.</w:t>
      </w:r>
    </w:p>
    <w:p>
      <w:pPr>
        <w:pStyle w:val="TextBody"/>
        <w:bidi w:val="0"/>
        <w:spacing w:before="0" w:after="240"/>
        <w:jc w:val="left"/>
        <w:rPr>
          <w:rFonts w:ascii="Times New Roman" w:hAnsi="Times New Roman"/>
          <w:sz w:val="20"/>
        </w:rPr>
      </w:pPr>
      <w:r>
        <w:rPr>
          <w:rFonts w:ascii="Times New Roman" w:hAnsi="Times New Roman"/>
          <w:color w:val="000000"/>
          <w:sz w:val="20"/>
        </w:rPr>
        <w:t>Section 1.9. “</w:t>
      </w:r>
      <w:r>
        <w:rPr>
          <w:rFonts w:ascii="Times New Roman" w:hAnsi="Times New Roman"/>
          <w:i/>
          <w:color w:val="000000"/>
          <w:sz w:val="20"/>
        </w:rPr>
        <w:t>Ancillary Agreements</w:t>
      </w:r>
      <w:r>
        <w:rPr>
          <w:rFonts w:ascii="Times New Roman" w:hAnsi="Times New Roman"/>
          <w:color w:val="000000"/>
          <w:sz w:val="20"/>
        </w:rPr>
        <w:t>” means the Evaluation Agreement, the Joinders, the Restrictive Covenants Agreements, the Letters of Transmittal, the Fortis Compliance Certificate and all other agreements and certificates entered into by Fortis, FibroGen or the Sellers in connection with the Closing and the transactions contemplated herein.</w:t>
      </w:r>
    </w:p>
    <w:p>
      <w:pPr>
        <w:pStyle w:val="TextBody"/>
        <w:bidi w:val="0"/>
        <w:spacing w:before="0" w:after="240"/>
        <w:jc w:val="left"/>
        <w:rPr>
          <w:rFonts w:ascii="Times New Roman" w:hAnsi="Times New Roman"/>
          <w:sz w:val="20"/>
        </w:rPr>
      </w:pPr>
      <w:r>
        <w:rPr>
          <w:rFonts w:ascii="Times New Roman" w:hAnsi="Times New Roman"/>
          <w:color w:val="000000"/>
          <w:sz w:val="20"/>
        </w:rPr>
        <w:t>Section 1.10. “</w:t>
      </w:r>
      <w:r>
        <w:rPr>
          <w:rFonts w:ascii="Times New Roman" w:hAnsi="Times New Roman"/>
          <w:i/>
          <w:color w:val="000000"/>
          <w:sz w:val="20"/>
        </w:rPr>
        <w:t>Applicable Regulatory Entity</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1.11. “</w:t>
      </w:r>
      <w:r>
        <w:rPr>
          <w:rFonts w:ascii="Times New Roman" w:hAnsi="Times New Roman"/>
          <w:i/>
          <w:color w:val="000000"/>
          <w:sz w:val="20"/>
        </w:rPr>
        <w:t>Audit Opinion</w:t>
      </w:r>
      <w:r>
        <w:rPr>
          <w:rFonts w:ascii="Times New Roman" w:hAnsi="Times New Roman"/>
          <w:color w:val="000000"/>
          <w:sz w:val="20"/>
        </w:rPr>
        <w:t xml:space="preserve">” is defined in </w:t>
      </w:r>
      <w:r>
        <w:rPr>
          <w:rFonts w:ascii="Times New Roman" w:hAnsi="Times New Roman"/>
          <w:color w:val="000000"/>
          <w:sz w:val="20"/>
          <w:u w:val="single"/>
        </w:rPr>
        <w:t>Section 3.1(e)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1.12. “</w:t>
      </w:r>
      <w:r>
        <w:rPr>
          <w:rFonts w:ascii="Times New Roman" w:hAnsi="Times New Roman"/>
          <w:i/>
          <w:color w:val="000000"/>
          <w:sz w:val="20"/>
        </w:rPr>
        <w:t>Auditor</w:t>
      </w:r>
      <w:r>
        <w:rPr>
          <w:rFonts w:ascii="Times New Roman" w:hAnsi="Times New Roman"/>
          <w:color w:val="000000"/>
          <w:sz w:val="20"/>
        </w:rPr>
        <w:t xml:space="preserve">” is defined in </w:t>
      </w:r>
      <w:r>
        <w:rPr>
          <w:rFonts w:ascii="Times New Roman" w:hAnsi="Times New Roman"/>
          <w:color w:val="000000"/>
          <w:sz w:val="20"/>
          <w:u w:val="single"/>
        </w:rPr>
        <w:t>Section 2.15(d)</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1.13. “</w:t>
      </w:r>
      <w:r>
        <w:rPr>
          <w:rFonts w:ascii="Times New Roman" w:hAnsi="Times New Roman"/>
          <w:i/>
          <w:color w:val="000000"/>
          <w:sz w:val="20"/>
        </w:rPr>
        <w:t>Basket</w:t>
      </w:r>
      <w:r>
        <w:rPr>
          <w:rFonts w:ascii="Times New Roman" w:hAnsi="Times New Roman"/>
          <w:color w:val="000000"/>
          <w:sz w:val="20"/>
        </w:rPr>
        <w:t xml:space="preserve">” is defined in </w:t>
      </w:r>
      <w:r>
        <w:rPr>
          <w:rFonts w:ascii="Times New Roman" w:hAnsi="Times New Roman"/>
          <w:color w:val="000000"/>
          <w:sz w:val="20"/>
          <w:u w:val="single"/>
        </w:rPr>
        <w:t>Section 9.4(a)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1.14. “</w:t>
      </w:r>
      <w:r>
        <w:rPr>
          <w:rFonts w:ascii="Times New Roman" w:hAnsi="Times New Roman"/>
          <w:i/>
          <w:color w:val="000000"/>
          <w:sz w:val="20"/>
        </w:rPr>
        <w:t>Benefit Plan</w:t>
      </w:r>
      <w:r>
        <w:rPr>
          <w:rFonts w:ascii="Times New Roman" w:hAnsi="Times New Roman"/>
          <w:color w:val="000000"/>
          <w:sz w:val="20"/>
        </w:rPr>
        <w:t xml:space="preserve">” is defined in </w:t>
      </w:r>
      <w:r>
        <w:rPr>
          <w:rFonts w:ascii="Times New Roman" w:hAnsi="Times New Roman"/>
          <w:color w:val="000000"/>
          <w:sz w:val="20"/>
          <w:u w:val="single"/>
        </w:rPr>
        <w:t>Section 5.18(a)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1.15. “</w:t>
      </w:r>
      <w:r>
        <w:rPr>
          <w:rFonts w:ascii="Times New Roman" w:hAnsi="Times New Roman"/>
          <w:i/>
          <w:color w:val="000000"/>
          <w:sz w:val="20"/>
        </w:rPr>
        <w:t>Business</w:t>
      </w:r>
      <w:r>
        <w:rPr>
          <w:rFonts w:ascii="Times New Roman" w:hAnsi="Times New Roman"/>
          <w:color w:val="000000"/>
          <w:sz w:val="20"/>
        </w:rPr>
        <w:t>” means the businesses conducted by Fortis as of the date hereof.</w:t>
      </w:r>
    </w:p>
    <w:p>
      <w:pPr>
        <w:pStyle w:val="TextBody"/>
        <w:bidi w:val="0"/>
        <w:spacing w:before="0" w:after="240"/>
        <w:jc w:val="left"/>
        <w:rPr>
          <w:rFonts w:ascii="Times New Roman" w:hAnsi="Times New Roman"/>
          <w:sz w:val="20"/>
        </w:rPr>
      </w:pPr>
      <w:r>
        <w:rPr>
          <w:rFonts w:ascii="Times New Roman" w:hAnsi="Times New Roman"/>
          <w:color w:val="000000"/>
          <w:sz w:val="20"/>
        </w:rPr>
        <w:t>Section 1.16. “</w:t>
      </w:r>
      <w:r>
        <w:rPr>
          <w:rFonts w:ascii="Times New Roman" w:hAnsi="Times New Roman"/>
          <w:i/>
          <w:color w:val="000000"/>
          <w:sz w:val="20"/>
        </w:rPr>
        <w:t>Business Day</w:t>
      </w:r>
      <w:r>
        <w:rPr>
          <w:rFonts w:ascii="Times New Roman" w:hAnsi="Times New Roman"/>
          <w:color w:val="000000"/>
          <w:sz w:val="20"/>
        </w:rPr>
        <w:t>” means a day other than Saturday, Sunday or any other day on which commercial banks located in the State of New York or California, U.S. are authorized or obligated by applicable Laws to close.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1.17. “</w:t>
      </w:r>
      <w:r>
        <w:rPr>
          <w:rFonts w:ascii="Times New Roman" w:hAnsi="Times New Roman"/>
          <w:i/>
          <w:color w:val="000000"/>
          <w:sz w:val="20"/>
        </w:rPr>
        <w:t>Capitalization Table</w:t>
      </w:r>
      <w:r>
        <w:rPr>
          <w:rFonts w:ascii="Times New Roman" w:hAnsi="Times New Roman"/>
          <w:color w:val="000000"/>
          <w:sz w:val="20"/>
        </w:rPr>
        <w:t xml:space="preserve">” is defined in </w:t>
      </w:r>
      <w:r>
        <w:rPr>
          <w:rFonts w:ascii="Times New Roman" w:hAnsi="Times New Roman"/>
          <w:color w:val="000000"/>
          <w:sz w:val="20"/>
          <w:u w:val="single"/>
        </w:rPr>
        <w:t>Section 5.4(e)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 “</w:t>
      </w:r>
      <w:r>
        <w:rPr>
          <w:rFonts w:ascii="Times New Roman" w:hAnsi="Times New Roman"/>
          <w:i/>
          <w:color w:val="000000"/>
          <w:sz w:val="20"/>
        </w:rPr>
        <w:t>Capital Stock</w:t>
      </w:r>
      <w:r>
        <w:rPr>
          <w:rFonts w:ascii="Times New Roman" w:hAnsi="Times New Roman"/>
          <w:color w:val="000000"/>
          <w:sz w:val="20"/>
        </w:rPr>
        <w:t>” means any capital stock or share capital of, other voting securities of, other equity interest in, or right to receive profits, losses or distributions of, any Person.</w:t>
      </w:r>
    </w:p>
    <w:p>
      <w:pPr>
        <w:pStyle w:val="TextBody"/>
        <w:bidi w:val="0"/>
        <w:spacing w:before="0" w:after="240"/>
        <w:jc w:val="left"/>
        <w:rPr>
          <w:rFonts w:ascii="Times New Roman" w:hAnsi="Times New Roman"/>
          <w:sz w:val="20"/>
        </w:rPr>
      </w:pPr>
      <w:r>
        <w:rPr>
          <w:rFonts w:ascii="Times New Roman" w:hAnsi="Times New Roman"/>
          <w:color w:val="000000"/>
          <w:sz w:val="20"/>
        </w:rPr>
        <w:t>Section 1.19. “</w:t>
      </w:r>
      <w:r>
        <w:rPr>
          <w:rFonts w:ascii="Times New Roman" w:hAnsi="Times New Roman"/>
          <w:i/>
          <w:color w:val="000000"/>
          <w:sz w:val="20"/>
        </w:rPr>
        <w:t>CARES Act</w:t>
      </w:r>
      <w:r>
        <w:rPr>
          <w:rFonts w:ascii="Times New Roman" w:hAnsi="Times New Roman"/>
          <w:color w:val="000000"/>
          <w:sz w:val="20"/>
        </w:rPr>
        <w:t>” means the Coronavirus Aid, Relief, and Economic Security Act of 2020, P.L. 116-136, the Consolidated Appropriations Act, 2021, the Health and Economic Recovery Omnibus Emergency Solutions Act, and any similar or successor Law, in each case, including any regulations promulgated thereunder including any presidential memoranda or executive orders or memoranda, relating to COVID-19, as well as any applicable guidance (including, without limitation, IRS Notices 2020-65 and 2021-11, 2020-38 IRB, the Memorandum on Deferring Payroll Tax Obligations in Light of the Ongoing Covid-19 Disaster, dated August 8, 2020) issued thereunder or relating thereto, and any subsequent Law relating to COVID-19, including the Health, Economic Assistance, Liability, and Schools Act.</w:t>
      </w:r>
    </w:p>
    <w:p>
      <w:pPr>
        <w:pStyle w:val="TextBody"/>
        <w:bidi w:val="0"/>
        <w:spacing w:before="0" w:after="240"/>
        <w:jc w:val="left"/>
        <w:rPr>
          <w:rFonts w:ascii="Times New Roman" w:hAnsi="Times New Roman"/>
          <w:sz w:val="20"/>
        </w:rPr>
      </w:pPr>
      <w:r>
        <w:rPr>
          <w:rFonts w:ascii="Times New Roman" w:hAnsi="Times New Roman"/>
          <w:color w:val="000000"/>
          <w:sz w:val="20"/>
        </w:rPr>
        <w:t>Section 1.20. “</w:t>
      </w:r>
      <w:r>
        <w:rPr>
          <w:rFonts w:ascii="Times New Roman" w:hAnsi="Times New Roman"/>
          <w:i/>
          <w:color w:val="000000"/>
          <w:sz w:val="20"/>
        </w:rPr>
        <w:t>Cash Amount</w:t>
      </w:r>
      <w:r>
        <w:rPr>
          <w:rFonts w:ascii="Times New Roman" w:hAnsi="Times New Roman"/>
          <w:color w:val="000000"/>
          <w:sz w:val="20"/>
        </w:rPr>
        <w:t>” means [*] by FibroGen to Fortis pursuant to the Evaluation Agreement. For the avoidance of doubt, the Cash Amount shall not be less than [*].</w:t>
      </w:r>
    </w:p>
    <w:p>
      <w:pPr>
        <w:pStyle w:val="TextBody"/>
        <w:bidi w:val="0"/>
        <w:spacing w:before="0" w:after="240"/>
        <w:jc w:val="left"/>
        <w:rPr>
          <w:rFonts w:ascii="Times New Roman" w:hAnsi="Times New Roman"/>
          <w:sz w:val="20"/>
        </w:rPr>
      </w:pPr>
      <w:r>
        <w:rPr>
          <w:rFonts w:ascii="Times New Roman" w:hAnsi="Times New Roman"/>
          <w:color w:val="000000"/>
          <w:sz w:val="20"/>
        </w:rPr>
        <w:t>Section 1.21. “</w:t>
      </w:r>
      <w:r>
        <w:rPr>
          <w:rFonts w:ascii="Times New Roman" w:hAnsi="Times New Roman"/>
          <w:i/>
          <w:color w:val="000000"/>
          <w:sz w:val="20"/>
        </w:rPr>
        <w:t>CD46 Agent</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1.22. “</w:t>
      </w:r>
      <w:r>
        <w:rPr>
          <w:rFonts w:ascii="Times New Roman" w:hAnsi="Times New Roman"/>
          <w:i/>
          <w:color w:val="000000"/>
          <w:sz w:val="20"/>
        </w:rPr>
        <w:t>CERCLA</w:t>
      </w:r>
      <w:r>
        <w:rPr>
          <w:rFonts w:ascii="Times New Roman" w:hAnsi="Times New Roman"/>
          <w:color w:val="000000"/>
          <w:sz w:val="20"/>
        </w:rPr>
        <w:t>” means the Federal Comprehensive, Environmental Response, Compensation, and Liability Act of 1980 (42 U.S.C. §§ 9601 et seq.), as amended, and the rules and regulations promulgated thereunder, and any foreign and state Law counterparts.</w:t>
      </w:r>
    </w:p>
    <w:p>
      <w:pPr>
        <w:pStyle w:val="TextBody"/>
        <w:bidi w:val="0"/>
        <w:spacing w:before="0" w:after="240"/>
        <w:jc w:val="left"/>
        <w:rPr>
          <w:rFonts w:ascii="Times New Roman" w:hAnsi="Times New Roman"/>
          <w:sz w:val="20"/>
        </w:rPr>
      </w:pPr>
      <w:r>
        <w:rPr>
          <w:rFonts w:ascii="Times New Roman" w:hAnsi="Times New Roman"/>
          <w:color w:val="000000"/>
          <w:sz w:val="20"/>
        </w:rPr>
        <w:t>Section 1.23. “</w:t>
      </w:r>
      <w:r>
        <w:rPr>
          <w:rFonts w:ascii="Times New Roman" w:hAnsi="Times New Roman"/>
          <w:i/>
          <w:color w:val="000000"/>
          <w:sz w:val="20"/>
        </w:rPr>
        <w:t>Certificate</w:t>
      </w:r>
      <w:r>
        <w:rPr>
          <w:rFonts w:ascii="Times New Roman" w:hAnsi="Times New Roman"/>
          <w:color w:val="000000"/>
          <w:sz w:val="20"/>
        </w:rPr>
        <w:t xml:space="preserve">” is defined in </w:t>
      </w:r>
      <w:r>
        <w:rPr>
          <w:rFonts w:ascii="Times New Roman" w:hAnsi="Times New Roman"/>
          <w:color w:val="000000"/>
          <w:sz w:val="20"/>
          <w:u w:val="single"/>
        </w:rPr>
        <w:t>Section 2.8(d)</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1.24. “</w:t>
      </w:r>
      <w:r>
        <w:rPr>
          <w:rFonts w:ascii="Times New Roman" w:hAnsi="Times New Roman"/>
          <w:i/>
          <w:color w:val="000000"/>
          <w:sz w:val="20"/>
        </w:rPr>
        <w:t>Certificate of Merger</w:t>
      </w:r>
      <w:r>
        <w:rPr>
          <w:rFonts w:ascii="Times New Roman" w:hAnsi="Times New Roman"/>
          <w:color w:val="000000"/>
          <w:sz w:val="20"/>
        </w:rPr>
        <w:t xml:space="preserve">” is defined in </w:t>
      </w:r>
      <w:r>
        <w:rPr>
          <w:rFonts w:ascii="Times New Roman" w:hAnsi="Times New Roman"/>
          <w:color w:val="000000"/>
          <w:sz w:val="20"/>
          <w:u w:val="single"/>
        </w:rPr>
        <w:t>Section 2.4(c)</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1.25. “</w:t>
      </w:r>
      <w:r>
        <w:rPr>
          <w:rFonts w:ascii="Times New Roman" w:hAnsi="Times New Roman"/>
          <w:i/>
          <w:color w:val="000000"/>
          <w:sz w:val="20"/>
        </w:rPr>
        <w:t>CGCL</w:t>
      </w:r>
      <w:r>
        <w:rPr>
          <w:rFonts w:ascii="Times New Roman" w:hAnsi="Times New Roman"/>
          <w:color w:val="000000"/>
          <w:sz w:val="20"/>
        </w:rPr>
        <w:t>” means the General Corporation Law of the State of California.</w:t>
      </w:r>
    </w:p>
    <w:p>
      <w:pPr>
        <w:pStyle w:val="TextBody"/>
        <w:bidi w:val="0"/>
        <w:spacing w:before="0" w:after="240"/>
        <w:jc w:val="left"/>
        <w:rPr>
          <w:rFonts w:ascii="Times New Roman" w:hAnsi="Times New Roman"/>
          <w:sz w:val="20"/>
        </w:rPr>
      </w:pPr>
      <w:r>
        <w:rPr>
          <w:rFonts w:ascii="Times New Roman" w:hAnsi="Times New Roman"/>
          <w:color w:val="000000"/>
          <w:sz w:val="20"/>
        </w:rPr>
        <w:t>Section 1.26. “</w:t>
      </w:r>
      <w:r>
        <w:rPr>
          <w:rFonts w:ascii="Times New Roman" w:hAnsi="Times New Roman"/>
          <w:i/>
          <w:color w:val="000000"/>
          <w:sz w:val="20"/>
        </w:rPr>
        <w:t>Change of Control Payments</w:t>
      </w:r>
      <w:r>
        <w:rPr>
          <w:rFonts w:ascii="Times New Roman" w:hAnsi="Times New Roman"/>
          <w:color w:val="000000"/>
          <w:sz w:val="20"/>
        </w:rPr>
        <w:t>” means, in each case, [*].</w:t>
      </w:r>
    </w:p>
    <w:p>
      <w:pPr>
        <w:pStyle w:val="TextBody"/>
        <w:bidi w:val="0"/>
        <w:spacing w:before="0" w:after="240"/>
        <w:jc w:val="left"/>
        <w:rPr>
          <w:rFonts w:ascii="Times New Roman" w:hAnsi="Times New Roman"/>
          <w:sz w:val="20"/>
        </w:rPr>
      </w:pPr>
      <w:r>
        <w:rPr>
          <w:rFonts w:ascii="Times New Roman" w:hAnsi="Times New Roman"/>
          <w:color w:val="000000"/>
          <w:sz w:val="20"/>
        </w:rPr>
        <w:t>Section 1.27. “</w:t>
      </w:r>
      <w:r>
        <w:rPr>
          <w:rFonts w:ascii="Times New Roman" w:hAnsi="Times New Roman"/>
          <w:i/>
          <w:color w:val="000000"/>
          <w:sz w:val="20"/>
        </w:rPr>
        <w:t>Charter</w:t>
      </w:r>
      <w:r>
        <w:rPr>
          <w:rFonts w:ascii="Times New Roman" w:hAnsi="Times New Roman"/>
          <w:color w:val="000000"/>
          <w:sz w:val="20"/>
        </w:rPr>
        <w:t>” means Fortis’ Amended and Restated Certificate of Incorporation, as amended, in effect immediately prior to the Effective Time.</w:t>
      </w:r>
    </w:p>
    <w:p>
      <w:pPr>
        <w:pStyle w:val="TextBody"/>
        <w:bidi w:val="0"/>
        <w:spacing w:before="0" w:after="240"/>
        <w:jc w:val="left"/>
        <w:rPr>
          <w:rFonts w:ascii="Times New Roman" w:hAnsi="Times New Roman"/>
          <w:sz w:val="20"/>
        </w:rPr>
      </w:pPr>
      <w:r>
        <w:rPr>
          <w:rFonts w:ascii="Times New Roman" w:hAnsi="Times New Roman"/>
          <w:color w:val="000000"/>
          <w:sz w:val="20"/>
        </w:rPr>
        <w:t>Section 1.28. “</w:t>
      </w:r>
      <w:r>
        <w:rPr>
          <w:rFonts w:ascii="Times New Roman" w:hAnsi="Times New Roman"/>
          <w:i/>
          <w:color w:val="000000"/>
          <w:sz w:val="20"/>
        </w:rPr>
        <w:t>Claim Dispute Notice</w:t>
      </w:r>
      <w:r>
        <w:rPr>
          <w:rFonts w:ascii="Times New Roman" w:hAnsi="Times New Roman"/>
          <w:color w:val="000000"/>
          <w:sz w:val="20"/>
        </w:rPr>
        <w:t xml:space="preserve">” is defined in </w:t>
      </w:r>
      <w:r>
        <w:rPr>
          <w:rFonts w:ascii="Times New Roman" w:hAnsi="Times New Roman"/>
          <w:color w:val="000000"/>
          <w:sz w:val="20"/>
          <w:u w:val="single"/>
        </w:rPr>
        <w:t>Section 9.5(b)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1.29. “</w:t>
      </w:r>
      <w:r>
        <w:rPr>
          <w:rFonts w:ascii="Times New Roman" w:hAnsi="Times New Roman"/>
          <w:i/>
          <w:color w:val="000000"/>
          <w:sz w:val="20"/>
        </w:rPr>
        <w:t>Clinical Trial</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1.30. “</w:t>
      </w:r>
      <w:r>
        <w:rPr>
          <w:rFonts w:ascii="Times New Roman" w:hAnsi="Times New Roman"/>
          <w:i/>
          <w:color w:val="000000"/>
          <w:sz w:val="20"/>
        </w:rPr>
        <w:t>Closing</w:t>
      </w:r>
      <w:r>
        <w:rPr>
          <w:rFonts w:ascii="Times New Roman" w:hAnsi="Times New Roman"/>
          <w:color w:val="000000"/>
          <w:sz w:val="20"/>
        </w:rPr>
        <w:t xml:space="preserve">” is defined in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1.31. “</w:t>
      </w:r>
      <w:r>
        <w:rPr>
          <w:rFonts w:ascii="Times New Roman" w:hAnsi="Times New Roman"/>
          <w:i/>
          <w:color w:val="000000"/>
          <w:sz w:val="20"/>
        </w:rPr>
        <w:t>Closing Balance Sheet</w:t>
      </w:r>
      <w:r>
        <w:rPr>
          <w:rFonts w:ascii="Times New Roman" w:hAnsi="Times New Roman"/>
          <w:color w:val="000000"/>
          <w:sz w:val="20"/>
        </w:rPr>
        <w:t>” means the balance sheet of Fortis as of 12:01 a.m. Pacific Time on the Closing Date, prepared in accordance with GAAP, and, to the extent in conformance with GAAP, applied in a manner consistent with the principles, practices, procedures, policies and methods used by Fortis in the preparation of the Latest Balance Sheet.</w:t>
      </w:r>
    </w:p>
    <w:p>
      <w:pPr>
        <w:pStyle w:val="TextBody"/>
        <w:bidi w:val="0"/>
        <w:spacing w:before="0" w:after="240"/>
        <w:jc w:val="left"/>
        <w:rPr>
          <w:rFonts w:ascii="Times New Roman" w:hAnsi="Times New Roman"/>
          <w:sz w:val="20"/>
        </w:rPr>
      </w:pPr>
      <w:r>
        <w:rPr>
          <w:rFonts w:ascii="Times New Roman" w:hAnsi="Times New Roman"/>
          <w:color w:val="000000"/>
          <w:sz w:val="20"/>
        </w:rPr>
        <w:t>Section 1.32. “</w:t>
      </w:r>
      <w:r>
        <w:rPr>
          <w:rFonts w:ascii="Times New Roman" w:hAnsi="Times New Roman"/>
          <w:i/>
          <w:color w:val="000000"/>
          <w:sz w:val="20"/>
        </w:rPr>
        <w:t>Closing Cash Amount</w:t>
      </w:r>
      <w:r>
        <w:rPr>
          <w:rFonts w:ascii="Times New Roman" w:hAnsi="Times New Roman"/>
          <w:color w:val="000000"/>
          <w:sz w:val="20"/>
        </w:rPr>
        <w:t xml:space="preserve">” means the Cash Amount as finally determined pursuant to </w:t>
      </w:r>
      <w:r>
        <w:rPr>
          <w:rFonts w:ascii="Times New Roman" w:hAnsi="Times New Roman"/>
          <w:color w:val="000000"/>
          <w:sz w:val="20"/>
          <w:u w:val="single"/>
        </w:rPr>
        <w:t>Section 2.15</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1.33. “</w:t>
      </w:r>
      <w:r>
        <w:rPr>
          <w:rFonts w:ascii="Times New Roman" w:hAnsi="Times New Roman"/>
          <w:i/>
          <w:color w:val="000000"/>
          <w:sz w:val="20"/>
        </w:rPr>
        <w:t>Closing Date</w:t>
      </w:r>
      <w:r>
        <w:rPr>
          <w:rFonts w:ascii="Times New Roman" w:hAnsi="Times New Roman"/>
          <w:color w:val="000000"/>
          <w:sz w:val="20"/>
        </w:rPr>
        <w:t>” means the date on which the Closing occurs.</w:t>
      </w:r>
    </w:p>
    <w:p>
      <w:pPr>
        <w:pStyle w:val="TextBody"/>
        <w:bidi w:val="0"/>
        <w:spacing w:before="0" w:after="240"/>
        <w:jc w:val="left"/>
        <w:rPr>
          <w:rFonts w:ascii="Times New Roman" w:hAnsi="Times New Roman"/>
          <w:sz w:val="20"/>
        </w:rPr>
      </w:pPr>
      <w:r>
        <w:rPr>
          <w:rFonts w:ascii="Times New Roman" w:hAnsi="Times New Roman"/>
          <w:color w:val="000000"/>
          <w:sz w:val="20"/>
        </w:rPr>
        <w:t>Section 1.34. “</w:t>
      </w:r>
      <w:r>
        <w:rPr>
          <w:rFonts w:ascii="Times New Roman" w:hAnsi="Times New Roman"/>
          <w:i/>
          <w:color w:val="000000"/>
          <w:sz w:val="20"/>
        </w:rPr>
        <w:t>Closing Indebtedness</w:t>
      </w:r>
      <w:r>
        <w:rPr>
          <w:rFonts w:ascii="Times New Roman" w:hAnsi="Times New Roman"/>
          <w:color w:val="000000"/>
          <w:sz w:val="20"/>
        </w:rPr>
        <w:t xml:space="preserve">” means all Indebtedness of Fortis (and all accrued interest thereon and any premium, penalties or fees due as a result of any prepayment thereof) to the extent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outstanding as of immediately prior to the Closing (but which, for the avoidance of doubt, shall include Closing Payroll Taxes).</w:t>
      </w:r>
    </w:p>
    <w:p>
      <w:pPr>
        <w:pStyle w:val="TextBody"/>
        <w:bidi w:val="0"/>
        <w:spacing w:before="0" w:after="240"/>
        <w:jc w:val="left"/>
        <w:rPr>
          <w:rFonts w:ascii="Times New Roman" w:hAnsi="Times New Roman"/>
          <w:sz w:val="20"/>
        </w:rPr>
      </w:pPr>
      <w:r>
        <w:rPr>
          <w:rFonts w:ascii="Times New Roman" w:hAnsi="Times New Roman"/>
          <w:color w:val="000000"/>
          <w:sz w:val="20"/>
        </w:rPr>
        <w:t>Section 1.35. “</w:t>
      </w:r>
      <w:r>
        <w:rPr>
          <w:rFonts w:ascii="Times New Roman" w:hAnsi="Times New Roman"/>
          <w:i/>
          <w:color w:val="000000"/>
          <w:sz w:val="20"/>
        </w:rPr>
        <w:t>Closing Liability Amount</w:t>
      </w:r>
      <w:r>
        <w:rPr>
          <w:rFonts w:ascii="Times New Roman" w:hAnsi="Times New Roman"/>
          <w:color w:val="000000"/>
          <w:sz w:val="20"/>
        </w:rPr>
        <w:t>” means, without duplication, the sum of (i) the Closing Indebtedness, (ii) all Deal Fees, (iii) all Change of Control Payments and (iv) all Transfer Costs. For the avoidance of doubt, no amount shall be included in more than one of clauses (i) through (iv) in the calculation of “Closing Liability Amount,” and “Closing Liability Amount” shall exclude any amount included in the calculation of the Closing Working Capital Adjustment.</w:t>
      </w:r>
    </w:p>
    <w:p>
      <w:pPr>
        <w:pStyle w:val="TextBody"/>
        <w:bidi w:val="0"/>
        <w:spacing w:before="0" w:after="240"/>
        <w:jc w:val="left"/>
        <w:rPr>
          <w:rFonts w:ascii="Times New Roman" w:hAnsi="Times New Roman"/>
          <w:sz w:val="20"/>
        </w:rPr>
      </w:pPr>
      <w:r>
        <w:rPr>
          <w:rFonts w:ascii="Times New Roman" w:hAnsi="Times New Roman"/>
          <w:color w:val="000000"/>
          <w:sz w:val="20"/>
        </w:rPr>
        <w:t>Section 1.36. “</w:t>
      </w:r>
      <w:r>
        <w:rPr>
          <w:rFonts w:ascii="Times New Roman" w:hAnsi="Times New Roman"/>
          <w:i/>
          <w:color w:val="000000"/>
          <w:sz w:val="20"/>
        </w:rPr>
        <w:t>Closing Payment</w:t>
      </w:r>
      <w:r>
        <w:rPr>
          <w:rFonts w:ascii="Times New Roman" w:hAnsi="Times New Roman"/>
          <w:color w:val="000000"/>
          <w:sz w:val="20"/>
        </w:rPr>
        <w:t>” means (i) $80,000,000, [</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Section 1.37. “</w:t>
      </w:r>
      <w:r>
        <w:rPr>
          <w:rFonts w:ascii="Times New Roman" w:hAnsi="Times New Roman"/>
          <w:i/>
          <w:color w:val="000000"/>
          <w:sz w:val="20"/>
        </w:rPr>
        <w:t>Closing Payroll Taxes</w:t>
      </w:r>
      <w:r>
        <w:rPr>
          <w:rFonts w:ascii="Times New Roman" w:hAnsi="Times New Roman"/>
          <w:color w:val="000000"/>
          <w:sz w:val="20"/>
        </w:rPr>
        <w:t>” means the employer portion of any payroll, employment or social security Taxes incurred in connection with any Change of Control Payments or amounts payable under this Option Agreement in respect of Fortis Stock Options or Restricted Stock, in each case, to the extent unpaid as of immediately prior to the Closing and payable at or in connection with the Closing.</w:t>
      </w:r>
    </w:p>
    <w:p>
      <w:pPr>
        <w:pStyle w:val="TextBody"/>
        <w:bidi w:val="0"/>
        <w:spacing w:before="0" w:after="240"/>
        <w:jc w:val="left"/>
        <w:rPr>
          <w:rFonts w:ascii="Times New Roman" w:hAnsi="Times New Roman"/>
          <w:sz w:val="20"/>
        </w:rPr>
      </w:pPr>
      <w:r>
        <w:rPr>
          <w:rFonts w:ascii="Times New Roman" w:hAnsi="Times New Roman"/>
          <w:color w:val="000000"/>
          <w:sz w:val="20"/>
        </w:rPr>
        <w:t>Section 1.38. “</w:t>
      </w:r>
      <w:r>
        <w:rPr>
          <w:rFonts w:ascii="Times New Roman" w:hAnsi="Times New Roman"/>
          <w:i/>
          <w:color w:val="000000"/>
          <w:sz w:val="20"/>
        </w:rPr>
        <w:t>Closing Working Capital Adjustment</w:t>
      </w:r>
      <w:r>
        <w:rPr>
          <w:rFonts w:ascii="Times New Roman" w:hAnsi="Times New Roman"/>
          <w:color w:val="000000"/>
          <w:sz w:val="20"/>
        </w:rPr>
        <w:t xml:space="preserve">” means, an amount, which may be positive or negative, equal to (i) the sum of Fortis’ Current Assets [*] determined in accordance with GAAP, and, to the extent in conformance with GAAP, applied in a manner consistent with the principles, practices, procedures, policies and methods used by Fortis in the preparation of the Latest Balance Sheet; </w:t>
      </w:r>
      <w:r>
        <w:rPr>
          <w:rFonts w:ascii="Times New Roman" w:hAnsi="Times New Roman"/>
          <w:i/>
          <w:color w:val="000000"/>
          <w:sz w:val="20"/>
        </w:rPr>
        <w:t>minus</w:t>
      </w:r>
      <w:r>
        <w:rPr>
          <w:rFonts w:ascii="Times New Roman" w:hAnsi="Times New Roman"/>
          <w:color w:val="000000"/>
          <w:sz w:val="20"/>
        </w:rPr>
        <w:t xml:space="preserve"> (ii) the sum of Fortis’ current liabilities, including accrued expenses and accounts payable; in each case [*] determined in accordance with GAAP, and, to the extent in conformance with GAAP, applied in a manner consistent with the principles, practices, procedures, policies and methods used by Fortis in the preparation of the Latest Balance Sheet;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for purposes of this definition of “Closing Working Capital Adjustment,” (a) “current liabilities” shall exclude all amounts included in the calculation of the Closing Liability Amount, (b) “current assets” shall exclude all cash and cash equivalents to the extent such amounts are included in the calculation of the Closing Payment, and (c) the Closing Working Capital Adjustment shall not include deferred Tax assets or deferred Tax Liabilities and shall include all current non-income Tax Liabilities and Tax assets, [*] determined in accordance with GAAP, and, to the extent in conformance with GAAP, applied in a manner consistent with the principles, practices, procedures, policies and methods used by Fortis in the preparation of the Latest Balance Sheet.</w:t>
      </w:r>
    </w:p>
    <w:p>
      <w:pPr>
        <w:pStyle w:val="TextBody"/>
        <w:bidi w:val="0"/>
        <w:spacing w:before="0" w:after="240"/>
        <w:jc w:val="left"/>
        <w:rPr>
          <w:rFonts w:ascii="Times New Roman" w:hAnsi="Times New Roman"/>
          <w:sz w:val="20"/>
        </w:rPr>
      </w:pPr>
      <w:r>
        <w:rPr>
          <w:rFonts w:ascii="Times New Roman" w:hAnsi="Times New Roman"/>
          <w:color w:val="000000"/>
          <w:sz w:val="20"/>
        </w:rPr>
        <w:t>Section 1.39. “</w:t>
      </w:r>
      <w:r>
        <w:rPr>
          <w:rFonts w:ascii="Times New Roman" w:hAnsi="Times New Roman"/>
          <w:i/>
          <w:color w:val="000000"/>
          <w:sz w:val="20"/>
        </w:rPr>
        <w:t>Code</w:t>
      </w:r>
      <w:r>
        <w:rPr>
          <w:rFonts w:ascii="Times New Roman" w:hAnsi="Times New Roman"/>
          <w:color w:val="000000"/>
          <w:sz w:val="20"/>
        </w:rPr>
        <w:t>” means the Internal Revenue Code of 1986, as amended.</w:t>
      </w:r>
    </w:p>
    <w:p>
      <w:pPr>
        <w:pStyle w:val="TextBody"/>
        <w:bidi w:val="0"/>
        <w:spacing w:before="0" w:after="240"/>
        <w:jc w:val="left"/>
        <w:rPr>
          <w:rFonts w:ascii="Times New Roman" w:hAnsi="Times New Roman"/>
          <w:sz w:val="20"/>
        </w:rPr>
      </w:pPr>
      <w:r>
        <w:rPr>
          <w:rFonts w:ascii="Times New Roman" w:hAnsi="Times New Roman"/>
          <w:color w:val="000000"/>
          <w:sz w:val="20"/>
        </w:rPr>
        <w:t>Section 1.40. “</w:t>
      </w:r>
      <w:r>
        <w:rPr>
          <w:rFonts w:ascii="Times New Roman" w:hAnsi="Times New Roman"/>
          <w:i/>
          <w:color w:val="000000"/>
          <w:sz w:val="20"/>
        </w:rPr>
        <w:t>Collateral</w:t>
      </w:r>
      <w:r>
        <w:rPr>
          <w:rFonts w:ascii="Times New Roman" w:hAnsi="Times New Roman"/>
          <w:color w:val="000000"/>
          <w:sz w:val="20"/>
        </w:rPr>
        <w:t xml:space="preserve">” is defined in </w:t>
      </w:r>
      <w:r>
        <w:rPr>
          <w:rFonts w:ascii="Times New Roman" w:hAnsi="Times New Roman"/>
          <w:color w:val="000000"/>
          <w:sz w:val="20"/>
          <w:u w:val="single"/>
        </w:rPr>
        <w:t>Section 7.9(a)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1.41. “</w:t>
      </w:r>
      <w:r>
        <w:rPr>
          <w:rFonts w:ascii="Times New Roman" w:hAnsi="Times New Roman"/>
          <w:i/>
          <w:color w:val="000000"/>
          <w:sz w:val="20"/>
        </w:rPr>
        <w:t>Commercially Reasonable Efforts</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1.42. “</w:t>
      </w:r>
      <w:r>
        <w:rPr>
          <w:rFonts w:ascii="Times New Roman" w:hAnsi="Times New Roman"/>
          <w:i/>
          <w:color w:val="000000"/>
          <w:sz w:val="20"/>
        </w:rPr>
        <w:t>Competing Product</w:t>
      </w:r>
      <w:r>
        <w:rPr>
          <w:rFonts w:ascii="Times New Roman" w:hAnsi="Times New Roman"/>
          <w:color w:val="000000"/>
          <w:sz w:val="20"/>
        </w:rPr>
        <w:t xml:space="preserve">” is defined in </w:t>
      </w:r>
      <w:r>
        <w:rPr>
          <w:rFonts w:ascii="Times New Roman" w:hAnsi="Times New Roman"/>
          <w:color w:val="000000"/>
          <w:sz w:val="20"/>
          <w:u w:val="single"/>
        </w:rPr>
        <w:t>Section 7.8(a)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1.43. “</w:t>
      </w:r>
      <w:r>
        <w:rPr>
          <w:rFonts w:ascii="Times New Roman" w:hAnsi="Times New Roman"/>
          <w:i/>
          <w:color w:val="000000"/>
          <w:sz w:val="20"/>
        </w:rPr>
        <w:t>Confidential Information</w:t>
      </w:r>
      <w:r>
        <w:rPr>
          <w:rFonts w:ascii="Times New Roman" w:hAnsi="Times New Roman"/>
          <w:color w:val="000000"/>
          <w:sz w:val="20"/>
        </w:rPr>
        <w:t xml:space="preserve">” is defined in </w:t>
      </w:r>
      <w:r>
        <w:rPr>
          <w:rFonts w:ascii="Times New Roman" w:hAnsi="Times New Roman"/>
          <w:color w:val="000000"/>
          <w:sz w:val="20"/>
          <w:u w:val="single"/>
        </w:rPr>
        <w:t>Section 7.7</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1.44. “</w:t>
      </w:r>
      <w:r>
        <w:rPr>
          <w:rFonts w:ascii="Times New Roman" w:hAnsi="Times New Roman"/>
          <w:i/>
          <w:color w:val="000000"/>
          <w:sz w:val="20"/>
        </w:rPr>
        <w:t>Constitutive Documents</w:t>
      </w:r>
      <w:r>
        <w:rPr>
          <w:rFonts w:ascii="Times New Roman" w:hAnsi="Times New Roman"/>
          <w:color w:val="000000"/>
          <w:sz w:val="20"/>
        </w:rPr>
        <w:t>” means (i) the articles or certificate of incorporation and by-laws of a Person if such Person is a corporation, and analogous constitutive documents if such Person is another form of entity and (ii) with respect to Fortis, the Stockholder Agreements.</w:t>
      </w:r>
    </w:p>
    <w:p>
      <w:pPr>
        <w:pStyle w:val="TextBody"/>
        <w:bidi w:val="0"/>
        <w:spacing w:before="0" w:after="240"/>
        <w:jc w:val="left"/>
        <w:rPr>
          <w:rFonts w:ascii="Times New Roman" w:hAnsi="Times New Roman"/>
          <w:sz w:val="20"/>
        </w:rPr>
      </w:pPr>
      <w:r>
        <w:rPr>
          <w:rFonts w:ascii="Times New Roman" w:hAnsi="Times New Roman"/>
          <w:color w:val="000000"/>
          <w:sz w:val="20"/>
        </w:rPr>
        <w:t>Section 1.45. “</w:t>
      </w:r>
      <w:r>
        <w:rPr>
          <w:rFonts w:ascii="Times New Roman" w:hAnsi="Times New Roman"/>
          <w:i/>
          <w:color w:val="000000"/>
          <w:sz w:val="20"/>
        </w:rPr>
        <w:t>Contingent Payment</w:t>
      </w:r>
      <w:r>
        <w:rPr>
          <w:rFonts w:ascii="Times New Roman" w:hAnsi="Times New Roman"/>
          <w:color w:val="000000"/>
          <w:sz w:val="20"/>
        </w:rPr>
        <w:t xml:space="preserve">” is defined in </w:t>
      </w:r>
      <w:r>
        <w:rPr>
          <w:rFonts w:ascii="Times New Roman" w:hAnsi="Times New Roman"/>
          <w:color w:val="000000"/>
          <w:sz w:val="20"/>
          <w:u w:val="single"/>
        </w:rPr>
        <w:t>Section 2.13(a)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1.46. “</w:t>
      </w:r>
      <w:r>
        <w:rPr>
          <w:rFonts w:ascii="Times New Roman" w:hAnsi="Times New Roman"/>
          <w:i/>
          <w:color w:val="000000"/>
          <w:sz w:val="20"/>
        </w:rPr>
        <w:t>Contingent Payment Deal Fees</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1.47. “</w:t>
      </w:r>
      <w:r>
        <w:rPr>
          <w:rFonts w:ascii="Times New Roman" w:hAnsi="Times New Roman"/>
          <w:i/>
          <w:color w:val="000000"/>
          <w:sz w:val="20"/>
        </w:rPr>
        <w:t>Contingent Payment Development Milestone</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1.48. “</w:t>
      </w:r>
      <w:r>
        <w:rPr>
          <w:rFonts w:ascii="Times New Roman" w:hAnsi="Times New Roman"/>
          <w:i/>
          <w:color w:val="000000"/>
          <w:sz w:val="20"/>
        </w:rPr>
        <w:t>Contract</w:t>
      </w:r>
      <w:r>
        <w:rPr>
          <w:rFonts w:ascii="Times New Roman" w:hAnsi="Times New Roman"/>
          <w:color w:val="000000"/>
          <w:sz w:val="20"/>
        </w:rPr>
        <w:t>” means any loan or credit agreement, bond, debenture, note, mortgage, indenture, guarantee, security agreement, lease or other contract, agreement, instrument, or other legally binding arrangement or understanding, whether written or oral.</w:t>
      </w:r>
    </w:p>
    <w:p>
      <w:pPr>
        <w:pStyle w:val="TextBody"/>
        <w:bidi w:val="0"/>
        <w:spacing w:before="0" w:after="240"/>
        <w:jc w:val="left"/>
        <w:rPr>
          <w:rFonts w:ascii="Times New Roman" w:hAnsi="Times New Roman"/>
          <w:sz w:val="20"/>
        </w:rPr>
      </w:pPr>
      <w:r>
        <w:rPr>
          <w:rFonts w:ascii="Times New Roman" w:hAnsi="Times New Roman"/>
          <w:color w:val="000000"/>
          <w:sz w:val="20"/>
        </w:rPr>
        <w:t>Section 1.49. “</w:t>
      </w:r>
      <w:r>
        <w:rPr>
          <w:rFonts w:ascii="Times New Roman" w:hAnsi="Times New Roman"/>
          <w:i/>
          <w:color w:val="000000"/>
          <w:sz w:val="20"/>
        </w:rPr>
        <w:t>Contractual Obligation</w:t>
      </w:r>
      <w:r>
        <w:rPr>
          <w:rFonts w:ascii="Times New Roman" w:hAnsi="Times New Roman"/>
          <w:color w:val="000000"/>
          <w:sz w:val="20"/>
        </w:rPr>
        <w:t>” means, with respect to any Person, any Contract to which or by which such Person is a party or otherwise subject or bound or to which or by which any property, business, operation or right of such Person is legally subject or legally bound.</w:t>
      </w:r>
    </w:p>
    <w:p>
      <w:pPr>
        <w:pStyle w:val="TextBody"/>
        <w:bidi w:val="0"/>
        <w:spacing w:before="0" w:after="240"/>
        <w:jc w:val="left"/>
        <w:rPr>
          <w:rFonts w:ascii="Times New Roman" w:hAnsi="Times New Roman"/>
          <w:sz w:val="20"/>
        </w:rPr>
      </w:pPr>
      <w:r>
        <w:rPr>
          <w:rFonts w:ascii="Times New Roman" w:hAnsi="Times New Roman"/>
          <w:color w:val="000000"/>
          <w:sz w:val="20"/>
        </w:rPr>
        <w:t>Section 1.50. “</w:t>
      </w:r>
      <w:r>
        <w:rPr>
          <w:rFonts w:ascii="Times New Roman" w:hAnsi="Times New Roman"/>
          <w:i/>
          <w:color w:val="000000"/>
          <w:sz w:val="20"/>
        </w:rPr>
        <w:t>Cooley</w:t>
      </w:r>
      <w:r>
        <w:rPr>
          <w:rFonts w:ascii="Times New Roman" w:hAnsi="Times New Roman"/>
          <w:color w:val="000000"/>
          <w:sz w:val="20"/>
        </w:rPr>
        <w:t xml:space="preserve">” is defined in </w:t>
      </w:r>
      <w:r>
        <w:rPr>
          <w:rFonts w:ascii="Times New Roman" w:hAnsi="Times New Roman"/>
          <w:color w:val="000000"/>
          <w:sz w:val="20"/>
          <w:u w:val="single"/>
        </w:rPr>
        <w:t>Section 11.12</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1.51. “</w:t>
      </w:r>
      <w:r>
        <w:rPr>
          <w:rFonts w:ascii="Times New Roman" w:hAnsi="Times New Roman"/>
          <w:i/>
          <w:color w:val="000000"/>
          <w:sz w:val="20"/>
        </w:rPr>
        <w:t>Copyright</w:t>
      </w:r>
      <w:r>
        <w:rPr>
          <w:rFonts w:ascii="Times New Roman" w:hAnsi="Times New Roman"/>
          <w:color w:val="000000"/>
          <w:sz w:val="20"/>
        </w:rPr>
        <w:t xml:space="preserve">” means any copyright (i) licensed from any third party (other than commercial off-the-shelf software) or (ii) assigned, registered or applied for. </w:t>
      </w:r>
    </w:p>
    <w:p>
      <w:pPr>
        <w:pStyle w:val="TextBody"/>
        <w:bidi w:val="0"/>
        <w:spacing w:before="0" w:after="240"/>
        <w:jc w:val="left"/>
        <w:rPr>
          <w:rFonts w:ascii="Times New Roman" w:hAnsi="Times New Roman"/>
          <w:sz w:val="20"/>
        </w:rPr>
      </w:pPr>
      <w:r>
        <w:rPr>
          <w:rFonts w:ascii="Times New Roman" w:hAnsi="Times New Roman"/>
          <w:color w:val="000000"/>
          <w:sz w:val="20"/>
        </w:rPr>
        <w:t>Section 1.52. “</w:t>
      </w:r>
      <w:r>
        <w:rPr>
          <w:rFonts w:ascii="Times New Roman" w:hAnsi="Times New Roman"/>
          <w:i/>
          <w:color w:val="000000"/>
          <w:sz w:val="20"/>
        </w:rPr>
        <w:t>Covered</w:t>
      </w:r>
      <w:r>
        <w:rPr>
          <w:rFonts w:ascii="Times New Roman" w:hAnsi="Times New Roman"/>
          <w:color w:val="000000"/>
          <w:sz w:val="20"/>
        </w:rPr>
        <w:t>” or “</w:t>
      </w:r>
      <w:r>
        <w:rPr>
          <w:rFonts w:ascii="Times New Roman" w:hAnsi="Times New Roman"/>
          <w:i/>
          <w:color w:val="000000"/>
          <w:sz w:val="20"/>
        </w:rPr>
        <w:t>Covering</w:t>
      </w:r>
      <w:r>
        <w:rPr>
          <w:rFonts w:ascii="Times New Roman" w:hAnsi="Times New Roman"/>
          <w:color w:val="000000"/>
          <w:sz w:val="20"/>
        </w:rPr>
        <w:t>” means, with respect to a product and an Issued Patent or Patent Application, that (a) the manufacture, importation, offer for sale, use or sale of such product in a particular country, in the absence of ownership to, or a license under, such Issued Patent, would infringe a Valid Claim of a specific Issued Patent or (b) the manufacture, importation, offer for sale, use or sale of such product in a particular country, in the absence of ownership to, or a license under, such Patent Application if it were issued as an Issued Patent, would infringe a Valid Claim of such Patent Application.</w:t>
      </w:r>
    </w:p>
    <w:p>
      <w:pPr>
        <w:pStyle w:val="TextBody"/>
        <w:bidi w:val="0"/>
        <w:spacing w:before="0" w:after="240"/>
        <w:jc w:val="left"/>
        <w:rPr>
          <w:rFonts w:ascii="Times New Roman" w:hAnsi="Times New Roman"/>
          <w:sz w:val="20"/>
        </w:rPr>
      </w:pPr>
      <w:r>
        <w:rPr>
          <w:rFonts w:ascii="Times New Roman" w:hAnsi="Times New Roman"/>
          <w:color w:val="000000"/>
          <w:sz w:val="20"/>
        </w:rPr>
        <w:t>Section 1.53. “</w:t>
      </w:r>
      <w:r>
        <w:rPr>
          <w:rFonts w:ascii="Times New Roman" w:hAnsi="Times New Roman"/>
          <w:i/>
          <w:color w:val="000000"/>
          <w:sz w:val="20"/>
        </w:rPr>
        <w:t>Covered Materials</w:t>
      </w:r>
      <w:r>
        <w:rPr>
          <w:rFonts w:ascii="Times New Roman" w:hAnsi="Times New Roman"/>
          <w:color w:val="000000"/>
          <w:sz w:val="20"/>
        </w:rPr>
        <w:t xml:space="preserve">” is defined in </w:t>
      </w:r>
      <w:r>
        <w:rPr>
          <w:rFonts w:ascii="Times New Roman" w:hAnsi="Times New Roman"/>
          <w:color w:val="000000"/>
          <w:sz w:val="20"/>
          <w:u w:val="single"/>
        </w:rPr>
        <w:t>Section 11.13</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1.54. “</w:t>
      </w:r>
      <w:r>
        <w:rPr>
          <w:rFonts w:ascii="Times New Roman" w:hAnsi="Times New Roman"/>
          <w:i/>
          <w:color w:val="000000"/>
          <w:sz w:val="20"/>
        </w:rPr>
        <w:t>Current Assets</w:t>
      </w:r>
      <w:r>
        <w:rPr>
          <w:rFonts w:ascii="Times New Roman" w:hAnsi="Times New Roman"/>
          <w:color w:val="000000"/>
          <w:sz w:val="20"/>
        </w:rPr>
        <w:t>” means the current assets of Fortis, including accounts receivable, deposits on leased property, inventory and prepaid expenses.</w:t>
      </w:r>
    </w:p>
    <w:p>
      <w:pPr>
        <w:pStyle w:val="TextBody"/>
        <w:bidi w:val="0"/>
        <w:spacing w:before="0" w:after="240"/>
        <w:jc w:val="left"/>
        <w:rPr>
          <w:rFonts w:ascii="Times New Roman" w:hAnsi="Times New Roman"/>
          <w:sz w:val="20"/>
        </w:rPr>
      </w:pPr>
      <w:r>
        <w:rPr>
          <w:rFonts w:ascii="Times New Roman" w:hAnsi="Times New Roman"/>
          <w:color w:val="000000"/>
          <w:sz w:val="20"/>
        </w:rPr>
        <w:t>Section 1.55. “</w:t>
      </w:r>
      <w:r>
        <w:rPr>
          <w:rFonts w:ascii="Times New Roman" w:hAnsi="Times New Roman"/>
          <w:i/>
          <w:color w:val="000000"/>
          <w:sz w:val="20"/>
        </w:rPr>
        <w:t>CVR Product</w:t>
      </w:r>
      <w:r>
        <w:rPr>
          <w:rFonts w:ascii="Times New Roman" w:hAnsi="Times New Roman"/>
          <w:color w:val="000000"/>
          <w:sz w:val="20"/>
        </w:rPr>
        <w:t>” means any [*].</w:t>
      </w:r>
    </w:p>
    <w:p>
      <w:pPr>
        <w:pStyle w:val="TextBody"/>
        <w:bidi w:val="0"/>
        <w:spacing w:before="0" w:after="240"/>
        <w:jc w:val="left"/>
        <w:rPr>
          <w:rFonts w:ascii="Times New Roman" w:hAnsi="Times New Roman"/>
          <w:sz w:val="20"/>
        </w:rPr>
      </w:pPr>
      <w:r>
        <w:rPr>
          <w:rFonts w:ascii="Times New Roman" w:hAnsi="Times New Roman"/>
          <w:color w:val="000000"/>
          <w:sz w:val="20"/>
        </w:rPr>
        <w:t>Section 1.56. “</w:t>
      </w:r>
      <w:r>
        <w:rPr>
          <w:rFonts w:ascii="Times New Roman" w:hAnsi="Times New Roman"/>
          <w:i/>
          <w:color w:val="000000"/>
          <w:sz w:val="20"/>
        </w:rPr>
        <w:t>D&amp;O Indemnified Parties</w:t>
      </w:r>
      <w:r>
        <w:rPr>
          <w:rFonts w:ascii="Times New Roman" w:hAnsi="Times New Roman"/>
          <w:color w:val="000000"/>
          <w:sz w:val="20"/>
        </w:rPr>
        <w:t xml:space="preserve">” is defined in </w:t>
      </w:r>
      <w:r>
        <w:rPr>
          <w:rFonts w:ascii="Times New Roman" w:hAnsi="Times New Roman"/>
          <w:color w:val="000000"/>
          <w:sz w:val="20"/>
          <w:u w:val="single"/>
        </w:rPr>
        <w:t>Section 7.5(a)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1.57. “</w:t>
      </w:r>
      <w:r>
        <w:rPr>
          <w:rFonts w:ascii="Times New Roman" w:hAnsi="Times New Roman"/>
          <w:i/>
          <w:color w:val="000000"/>
          <w:sz w:val="20"/>
        </w:rPr>
        <w:t>D&amp;O Policy</w:t>
      </w:r>
      <w:r>
        <w:rPr>
          <w:rFonts w:ascii="Times New Roman" w:hAnsi="Times New Roman"/>
          <w:color w:val="000000"/>
          <w:sz w:val="20"/>
        </w:rPr>
        <w:t xml:space="preserve">” is defined in </w:t>
      </w:r>
      <w:r>
        <w:rPr>
          <w:rFonts w:ascii="Times New Roman" w:hAnsi="Times New Roman"/>
          <w:color w:val="000000"/>
          <w:sz w:val="20"/>
          <w:u w:val="single"/>
        </w:rPr>
        <w:t>Section 7.5(c)</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1.58. “</w:t>
      </w:r>
      <w:r>
        <w:rPr>
          <w:rFonts w:ascii="Times New Roman" w:hAnsi="Times New Roman"/>
          <w:i/>
          <w:color w:val="000000"/>
          <w:sz w:val="20"/>
        </w:rPr>
        <w:t>Data Room</w:t>
      </w:r>
      <w:r>
        <w:rPr>
          <w:rFonts w:ascii="Times New Roman" w:hAnsi="Times New Roman"/>
          <w:color w:val="000000"/>
          <w:sz w:val="20"/>
        </w:rPr>
        <w:t>” means the electronic data room made available to FibroGen by Fortis through Microsoft Sharepoint in connection with the negotiation of this Option Agreement, as constituted on or prior to the date of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1.59. “</w:t>
      </w:r>
      <w:r>
        <w:rPr>
          <w:rFonts w:ascii="Times New Roman" w:hAnsi="Times New Roman"/>
          <w:i/>
          <w:color w:val="000000"/>
          <w:sz w:val="20"/>
        </w:rPr>
        <w:t>Deal Fees</w:t>
      </w:r>
      <w:r>
        <w:rPr>
          <w:rFonts w:ascii="Times New Roman" w:hAnsi="Times New Roman"/>
          <w:color w:val="000000"/>
          <w:sz w:val="20"/>
        </w:rPr>
        <w:t xml:space="preserve">” means [*]. </w:t>
      </w:r>
    </w:p>
    <w:p>
      <w:pPr>
        <w:pStyle w:val="TextBody"/>
        <w:bidi w:val="0"/>
        <w:spacing w:before="0" w:after="240"/>
        <w:jc w:val="left"/>
        <w:rPr>
          <w:rFonts w:ascii="Times New Roman" w:hAnsi="Times New Roman"/>
          <w:sz w:val="20"/>
        </w:rPr>
      </w:pPr>
      <w:r>
        <w:rPr>
          <w:rFonts w:ascii="Times New Roman" w:hAnsi="Times New Roman"/>
          <w:color w:val="000000"/>
          <w:sz w:val="20"/>
        </w:rPr>
        <w:t>Section 1.60. “</w:t>
      </w:r>
      <w:r>
        <w:rPr>
          <w:rFonts w:ascii="Times New Roman" w:hAnsi="Times New Roman"/>
          <w:i/>
          <w:color w:val="000000"/>
          <w:sz w:val="20"/>
        </w:rPr>
        <w:t>Development Activities</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1.61. “</w:t>
      </w:r>
      <w:r>
        <w:rPr>
          <w:rFonts w:ascii="Times New Roman" w:hAnsi="Times New Roman"/>
          <w:i/>
          <w:color w:val="000000"/>
          <w:sz w:val="20"/>
        </w:rPr>
        <w:t>Development Fees</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1.62. “</w:t>
      </w:r>
      <w:r>
        <w:rPr>
          <w:rFonts w:ascii="Times New Roman" w:hAnsi="Times New Roman"/>
          <w:i/>
          <w:color w:val="000000"/>
          <w:sz w:val="20"/>
        </w:rPr>
        <w:t>Development Force Majeure Event</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1.63. “</w:t>
      </w:r>
      <w:r>
        <w:rPr>
          <w:rFonts w:ascii="Times New Roman" w:hAnsi="Times New Roman"/>
          <w:i/>
          <w:color w:val="000000"/>
          <w:sz w:val="20"/>
        </w:rPr>
        <w:t>DGCL</w:t>
      </w:r>
      <w:r>
        <w:rPr>
          <w:rFonts w:ascii="Times New Roman" w:hAnsi="Times New Roman"/>
          <w:color w:val="000000"/>
          <w:sz w:val="20"/>
        </w:rPr>
        <w:t>” means the General Corporation Law of the State of Delaware.</w:t>
      </w:r>
    </w:p>
    <w:p>
      <w:pPr>
        <w:pStyle w:val="TextBody"/>
        <w:bidi w:val="0"/>
        <w:spacing w:before="0" w:after="240"/>
        <w:jc w:val="left"/>
        <w:rPr>
          <w:rFonts w:ascii="Times New Roman" w:hAnsi="Times New Roman"/>
          <w:sz w:val="20"/>
        </w:rPr>
      </w:pPr>
      <w:r>
        <w:rPr>
          <w:rFonts w:ascii="Times New Roman" w:hAnsi="Times New Roman"/>
          <w:color w:val="000000"/>
          <w:sz w:val="20"/>
        </w:rPr>
        <w:t>Section 1.64. “</w:t>
      </w:r>
      <w:r>
        <w:rPr>
          <w:rFonts w:ascii="Times New Roman" w:hAnsi="Times New Roman"/>
          <w:i/>
          <w:color w:val="000000"/>
          <w:sz w:val="20"/>
        </w:rPr>
        <w:t>Disclosed Events</w:t>
      </w:r>
      <w:r>
        <w:rPr>
          <w:rFonts w:ascii="Times New Roman" w:hAnsi="Times New Roman"/>
          <w:color w:val="000000"/>
          <w:sz w:val="20"/>
        </w:rPr>
        <w:t xml:space="preserve">” is defined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bookmarkStart w:id="27" w:name="el2d01o"/>
      <w:bookmarkEnd w:id="27"/>
      <w:r>
        <w:rPr>
          <w:rFonts w:ascii="Times New Roman" w:hAnsi="Times New Roman"/>
          <w:color w:val="000000"/>
          <w:sz w:val="20"/>
        </w:rPr>
        <w:t>Section 1.65. “</w:t>
      </w:r>
      <w:r>
        <w:rPr>
          <w:rFonts w:ascii="Times New Roman" w:hAnsi="Times New Roman"/>
          <w:i/>
          <w:color w:val="000000"/>
          <w:sz w:val="20"/>
        </w:rPr>
        <w:t>Disclosure Schedule</w:t>
      </w:r>
      <w:r>
        <w:rPr>
          <w:rFonts w:ascii="Times New Roman" w:hAnsi="Times New Roman"/>
          <w:color w:val="000000"/>
          <w:sz w:val="20"/>
        </w:rPr>
        <w:t xml:space="preserve">” means a schedule of exceptions to the representations and warranties of Fortis set forth in this Option Agreement, delivered contemporaneously with this Option Agreement. The Disclosure Schedule shall be arranged in sections and subsections corresponding to the numbered and lettered sections and subsections contained in this Option Agreement;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that any information or disclosure disclosed under a particular section or sub</w:t>
      </w:r>
      <w:bookmarkStart w:id="28" w:name="el2e01o"/>
      <w:bookmarkEnd w:id="28"/>
      <w:r>
        <w:rPr>
          <w:rFonts w:ascii="Times New Roman" w:hAnsi="Times New Roman"/>
          <w:color w:val="000000"/>
          <w:sz w:val="20"/>
        </w:rPr>
        <w:t xml:space="preserve">section of the Disclosure Schedule shall be deemed to be disclosed for purposes of and qualify each other </w:t>
      </w:r>
      <w:bookmarkStart w:id="29" w:name="el2f01o"/>
      <w:bookmarkEnd w:id="29"/>
      <w:r>
        <w:rPr>
          <w:rFonts w:ascii="Times New Roman" w:hAnsi="Times New Roman"/>
          <w:color w:val="000000"/>
          <w:sz w:val="20"/>
        </w:rPr>
        <w:t>section or sub</w:t>
      </w:r>
      <w:bookmarkStart w:id="30" w:name="el2g01o"/>
      <w:bookmarkEnd w:id="30"/>
      <w:r>
        <w:rPr>
          <w:rFonts w:ascii="Times New Roman" w:hAnsi="Times New Roman"/>
          <w:color w:val="000000"/>
          <w:sz w:val="20"/>
        </w:rPr>
        <w:t xml:space="preserve">section of this </w:t>
      </w:r>
      <w:bookmarkStart w:id="31" w:name="el2801o"/>
      <w:bookmarkEnd w:id="31"/>
      <w:r>
        <w:rPr>
          <w:rFonts w:ascii="Times New Roman" w:hAnsi="Times New Roman"/>
          <w:color w:val="000000"/>
          <w:sz w:val="20"/>
        </w:rPr>
        <w:t xml:space="preserve">Option Agreement </w:t>
      </w:r>
      <w:bookmarkStart w:id="32" w:name="el2b01o"/>
      <w:bookmarkEnd w:id="32"/>
      <w:r>
        <w:rPr>
          <w:rFonts w:ascii="Times New Roman" w:hAnsi="Times New Roman"/>
          <w:color w:val="000000"/>
          <w:sz w:val="20"/>
        </w:rPr>
        <w:t>to the extent it is reasonably apparent from the face of such disclosure that such disclosure is applicable to such other numbered or lettered sections and subsections.</w:t>
      </w:r>
    </w:p>
    <w:p>
      <w:pPr>
        <w:pStyle w:val="TextBody"/>
        <w:bidi w:val="0"/>
        <w:spacing w:before="0" w:after="240"/>
        <w:jc w:val="left"/>
        <w:rPr>
          <w:rFonts w:ascii="Times New Roman" w:hAnsi="Times New Roman"/>
          <w:sz w:val="20"/>
        </w:rPr>
      </w:pPr>
      <w:r>
        <w:rPr>
          <w:rFonts w:ascii="Times New Roman" w:hAnsi="Times New Roman"/>
          <w:color w:val="000000"/>
          <w:sz w:val="20"/>
        </w:rPr>
        <w:t>Section 1.66. “</w:t>
      </w:r>
      <w:r>
        <w:rPr>
          <w:rFonts w:ascii="Times New Roman" w:hAnsi="Times New Roman"/>
          <w:i/>
          <w:color w:val="000000"/>
          <w:sz w:val="20"/>
        </w:rPr>
        <w:t>Disqualified Individual</w:t>
      </w:r>
      <w:r>
        <w:rPr>
          <w:rFonts w:ascii="Times New Roman" w:hAnsi="Times New Roman"/>
          <w:color w:val="000000"/>
          <w:sz w:val="20"/>
        </w:rPr>
        <w:t xml:space="preserve">” is defined in </w:t>
      </w:r>
      <w:r>
        <w:rPr>
          <w:rFonts w:ascii="Times New Roman" w:hAnsi="Times New Roman"/>
          <w:color w:val="000000"/>
          <w:sz w:val="20"/>
          <w:u w:val="single"/>
        </w:rPr>
        <w:t>Section 7.11</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1.67. “</w:t>
      </w:r>
      <w:r>
        <w:rPr>
          <w:rFonts w:ascii="Times New Roman" w:hAnsi="Times New Roman"/>
          <w:i/>
          <w:color w:val="000000"/>
          <w:sz w:val="20"/>
        </w:rPr>
        <w:t>Dissenting Shares</w:t>
      </w:r>
      <w:r>
        <w:rPr>
          <w:rFonts w:ascii="Times New Roman" w:hAnsi="Times New Roman"/>
          <w:color w:val="000000"/>
          <w:sz w:val="20"/>
        </w:rPr>
        <w:t xml:space="preserve">” is defined in </w:t>
      </w:r>
      <w:r>
        <w:rPr>
          <w:rFonts w:ascii="Times New Roman" w:hAnsi="Times New Roman"/>
          <w:color w:val="000000"/>
          <w:sz w:val="20"/>
          <w:u w:val="single"/>
        </w:rPr>
        <w:t>Section 2.16(a)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1.68. “</w:t>
      </w:r>
      <w:r>
        <w:rPr>
          <w:rFonts w:ascii="Times New Roman" w:hAnsi="Times New Roman"/>
          <w:i/>
          <w:color w:val="000000"/>
          <w:sz w:val="20"/>
        </w:rPr>
        <w:t>DOJ</w:t>
      </w:r>
      <w:r>
        <w:rPr>
          <w:rFonts w:ascii="Times New Roman" w:hAnsi="Times New Roman"/>
          <w:color w:val="000000"/>
          <w:sz w:val="20"/>
        </w:rPr>
        <w:t>” means the United States Department of Justice.</w:t>
      </w:r>
    </w:p>
    <w:p>
      <w:pPr>
        <w:pStyle w:val="TextBody"/>
        <w:bidi w:val="0"/>
        <w:spacing w:before="0" w:after="240"/>
        <w:jc w:val="left"/>
        <w:rPr>
          <w:rFonts w:ascii="Times New Roman" w:hAnsi="Times New Roman"/>
          <w:sz w:val="20"/>
        </w:rPr>
      </w:pPr>
      <w:r>
        <w:rPr>
          <w:rFonts w:ascii="Times New Roman" w:hAnsi="Times New Roman"/>
          <w:color w:val="000000"/>
          <w:sz w:val="20"/>
        </w:rPr>
        <w:t>Section 1.69. “</w:t>
      </w:r>
      <w:r>
        <w:rPr>
          <w:rFonts w:ascii="Times New Roman" w:hAnsi="Times New Roman"/>
          <w:i/>
          <w:color w:val="000000"/>
          <w:sz w:val="20"/>
        </w:rPr>
        <w:t>Due Diligence Review Period</w:t>
      </w:r>
      <w:r>
        <w:rPr>
          <w:rFonts w:ascii="Times New Roman" w:hAnsi="Times New Roman"/>
          <w:color w:val="000000"/>
          <w:sz w:val="20"/>
        </w:rPr>
        <w:t xml:space="preserve">” is defined in </w:t>
      </w:r>
      <w:r>
        <w:rPr>
          <w:rFonts w:ascii="Times New Roman" w:hAnsi="Times New Roman"/>
          <w:color w:val="000000"/>
          <w:sz w:val="20"/>
          <w:u w:val="single"/>
        </w:rPr>
        <w:t>Section 3.1(d)</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1.70. “</w:t>
      </w:r>
      <w:r>
        <w:rPr>
          <w:rFonts w:ascii="Times New Roman" w:hAnsi="Times New Roman"/>
          <w:i/>
          <w:color w:val="000000"/>
          <w:sz w:val="20"/>
        </w:rPr>
        <w:t>Effective Time</w:t>
      </w:r>
      <w:r>
        <w:rPr>
          <w:rFonts w:ascii="Times New Roman" w:hAnsi="Times New Roman"/>
          <w:color w:val="000000"/>
          <w:sz w:val="20"/>
        </w:rPr>
        <w:t>” means the later of the acceptance of the filing of the Certificate of Merger by the Secretary of State of the State of Delaware or such time thereafter as specified in the Certificate of Merger.</w:t>
      </w:r>
    </w:p>
    <w:p>
      <w:pPr>
        <w:pStyle w:val="TextBody"/>
        <w:bidi w:val="0"/>
        <w:spacing w:before="0" w:after="240"/>
        <w:jc w:val="left"/>
        <w:rPr>
          <w:rFonts w:ascii="Times New Roman" w:hAnsi="Times New Roman"/>
          <w:sz w:val="20"/>
        </w:rPr>
      </w:pPr>
      <w:r>
        <w:rPr>
          <w:rFonts w:ascii="Times New Roman" w:hAnsi="Times New Roman"/>
          <w:color w:val="000000"/>
          <w:sz w:val="20"/>
        </w:rPr>
        <w:t>Section 1.71. “</w:t>
      </w:r>
      <w:r>
        <w:rPr>
          <w:rFonts w:ascii="Times New Roman" w:hAnsi="Times New Roman"/>
          <w:i/>
          <w:color w:val="000000"/>
          <w:sz w:val="20"/>
        </w:rPr>
        <w:t>EMA</w:t>
      </w:r>
      <w:r>
        <w:rPr>
          <w:rFonts w:ascii="Times New Roman" w:hAnsi="Times New Roman"/>
          <w:color w:val="000000"/>
          <w:sz w:val="20"/>
        </w:rPr>
        <w:t>” means the European Medicines Agency or any successor agency or authority having substantially the same function.</w:t>
      </w:r>
    </w:p>
    <w:p>
      <w:pPr>
        <w:pStyle w:val="TextBody"/>
        <w:bidi w:val="0"/>
        <w:spacing w:before="0" w:after="240"/>
        <w:jc w:val="left"/>
        <w:rPr>
          <w:rFonts w:ascii="Times New Roman" w:hAnsi="Times New Roman"/>
          <w:sz w:val="20"/>
        </w:rPr>
      </w:pPr>
      <w:bookmarkStart w:id="33" w:name="el2jlo"/>
      <w:bookmarkEnd w:id="33"/>
      <w:r>
        <w:rPr>
          <w:rFonts w:ascii="Times New Roman" w:hAnsi="Times New Roman"/>
          <w:color w:val="000000"/>
          <w:sz w:val="20"/>
        </w:rPr>
        <w:t>Section 1.72. “</w:t>
      </w:r>
      <w:r>
        <w:rPr>
          <w:rFonts w:ascii="Times New Roman" w:hAnsi="Times New Roman"/>
          <w:i/>
          <w:color w:val="000000"/>
          <w:sz w:val="20"/>
        </w:rPr>
        <w:t>Employee Stock Option</w:t>
      </w:r>
      <w:r>
        <w:rPr>
          <w:rFonts w:ascii="Times New Roman" w:hAnsi="Times New Roman"/>
          <w:color w:val="000000"/>
          <w:sz w:val="20"/>
        </w:rPr>
        <w:t xml:space="preserve">” means a Fortis Stock Option granted to the holder in the holder’s capacity as an employee of </w:t>
      </w:r>
      <w:bookmarkStart w:id="34" w:name="el2nlo"/>
      <w:bookmarkEnd w:id="34"/>
      <w:r>
        <w:rPr>
          <w:rFonts w:ascii="Times New Roman" w:hAnsi="Times New Roman"/>
          <w:color w:val="000000"/>
          <w:sz w:val="20"/>
        </w:rPr>
        <w:t xml:space="preserve">Fortis for applicable employment </w:t>
      </w:r>
      <w:bookmarkStart w:id="35" w:name="el2klo"/>
      <w:bookmarkEnd w:id="35"/>
      <w:r>
        <w:rPr>
          <w:rFonts w:ascii="Times New Roman" w:hAnsi="Times New Roman"/>
          <w:color w:val="000000"/>
          <w:sz w:val="20"/>
        </w:rPr>
        <w:t>Tax purposes.</w:t>
      </w:r>
    </w:p>
    <w:p>
      <w:pPr>
        <w:pStyle w:val="TextBody"/>
        <w:bidi w:val="0"/>
        <w:spacing w:before="0" w:after="240"/>
        <w:jc w:val="left"/>
        <w:rPr>
          <w:rFonts w:ascii="Times New Roman" w:hAnsi="Times New Roman"/>
          <w:sz w:val="20"/>
        </w:rPr>
      </w:pPr>
      <w:r>
        <w:rPr>
          <w:rFonts w:ascii="Times New Roman" w:hAnsi="Times New Roman"/>
          <w:color w:val="000000"/>
          <w:sz w:val="20"/>
        </w:rPr>
        <w:t>Section 1.73. “</w:t>
      </w:r>
      <w:r>
        <w:rPr>
          <w:rFonts w:ascii="Times New Roman" w:hAnsi="Times New Roman"/>
          <w:i/>
          <w:color w:val="000000"/>
          <w:sz w:val="20"/>
        </w:rPr>
        <w:t>Enforceable</w:t>
      </w:r>
      <w:r>
        <w:rPr>
          <w:rFonts w:ascii="Times New Roman" w:hAnsi="Times New Roman"/>
          <w:color w:val="000000"/>
          <w:sz w:val="20"/>
        </w:rPr>
        <w:t>” means, with respect to any Contractual Obligation stated to be Enforceable by or against any Person, that such Contractual Obligation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pStyle w:val="TextBody"/>
        <w:bidi w:val="0"/>
        <w:spacing w:before="0" w:after="240"/>
        <w:jc w:val="left"/>
        <w:rPr>
          <w:rFonts w:ascii="Times New Roman" w:hAnsi="Times New Roman"/>
          <w:sz w:val="20"/>
        </w:rPr>
      </w:pPr>
      <w:bookmarkStart w:id="36" w:name="docxtextref35"/>
      <w:bookmarkEnd w:id="36"/>
      <w:r>
        <w:rPr>
          <w:rFonts w:ascii="Times New Roman" w:hAnsi="Times New Roman"/>
          <w:color w:val="000000"/>
          <w:sz w:val="20"/>
        </w:rPr>
        <w:t>Section 1.74. “</w:t>
      </w:r>
      <w:r>
        <w:rPr>
          <w:rFonts w:ascii="Times New Roman" w:hAnsi="Times New Roman"/>
          <w:i/>
          <w:color w:val="000000"/>
          <w:sz w:val="20"/>
        </w:rPr>
        <w:t>Environmental Law</w:t>
      </w:r>
      <w:r>
        <w:rPr>
          <w:rFonts w:ascii="Times New Roman" w:hAnsi="Times New Roman"/>
          <w:color w:val="000000"/>
          <w:sz w:val="20"/>
        </w:rPr>
        <w:t xml:space="preserve">” means any Law relating to (i) the manufacture, processing, use, labeling, distribution, treatment, storage, discharge, disposal, recycling, generation or transportation of Hazardous Materials; </w:t>
      </w:r>
      <w:bookmarkStart w:id="37" w:name="docxtextref36"/>
      <w:bookmarkEnd w:id="37"/>
      <w:r>
        <w:rPr>
          <w:rFonts w:ascii="Times New Roman" w:hAnsi="Times New Roman"/>
          <w:color w:val="000000"/>
          <w:sz w:val="20"/>
        </w:rPr>
        <w:t xml:space="preserve">(ii) air (including indoor air), soil, surface, subsurface, groundwater or noise pollution; </w:t>
      </w:r>
      <w:bookmarkStart w:id="38" w:name="docxtextref37"/>
      <w:bookmarkEnd w:id="38"/>
      <w:r>
        <w:rPr>
          <w:rFonts w:ascii="Times New Roman" w:hAnsi="Times New Roman"/>
          <w:color w:val="000000"/>
          <w:sz w:val="20"/>
        </w:rPr>
        <w:t xml:space="preserve">(iii) Releases or threatened Releases; </w:t>
      </w:r>
      <w:bookmarkStart w:id="39" w:name="docxtextref38"/>
      <w:bookmarkEnd w:id="39"/>
      <w:r>
        <w:rPr>
          <w:rFonts w:ascii="Times New Roman" w:hAnsi="Times New Roman"/>
          <w:color w:val="000000"/>
          <w:sz w:val="20"/>
        </w:rPr>
        <w:t xml:space="preserve">(iv) protection of wildlife, endangered species, wetlands or natural resources; </w:t>
      </w:r>
      <w:bookmarkStart w:id="40" w:name="docxtextref39"/>
      <w:bookmarkEnd w:id="40"/>
      <w:r>
        <w:rPr>
          <w:rFonts w:ascii="Times New Roman" w:hAnsi="Times New Roman"/>
          <w:color w:val="000000"/>
          <w:sz w:val="20"/>
        </w:rPr>
        <w:t xml:space="preserve">(v) underground storage tanks; </w:t>
      </w:r>
      <w:bookmarkStart w:id="41" w:name="docxtextref40"/>
      <w:bookmarkEnd w:id="41"/>
      <w:r>
        <w:rPr>
          <w:rFonts w:ascii="Times New Roman" w:hAnsi="Times New Roman"/>
          <w:color w:val="000000"/>
          <w:sz w:val="20"/>
        </w:rPr>
        <w:t xml:space="preserve">(vi) above-ground storage tanks; </w:t>
      </w:r>
      <w:bookmarkStart w:id="42" w:name="docxtextref41"/>
      <w:bookmarkEnd w:id="42"/>
      <w:r>
        <w:rPr>
          <w:rFonts w:ascii="Times New Roman" w:hAnsi="Times New Roman"/>
          <w:color w:val="000000"/>
          <w:sz w:val="20"/>
        </w:rPr>
        <w:t xml:space="preserve">(vii) health and safety of employees and other persons; </w:t>
      </w:r>
      <w:bookmarkStart w:id="43" w:name="docxtextref42"/>
      <w:bookmarkEnd w:id="43"/>
      <w:r>
        <w:rPr>
          <w:rFonts w:ascii="Times New Roman" w:hAnsi="Times New Roman"/>
          <w:color w:val="000000"/>
          <w:sz w:val="20"/>
        </w:rPr>
        <w:t xml:space="preserve">(viii) the presence or content of Hazardous Materials in a product, item or article, whether a component or finished product; </w:t>
      </w:r>
      <w:bookmarkStart w:id="44" w:name="docxtextref43"/>
      <w:bookmarkEnd w:id="44"/>
      <w:r>
        <w:rPr>
          <w:rFonts w:ascii="Times New Roman" w:hAnsi="Times New Roman"/>
          <w:color w:val="000000"/>
          <w:sz w:val="20"/>
        </w:rPr>
        <w:t xml:space="preserve">(ix) product life-cycle requirements; </w:t>
      </w:r>
      <w:bookmarkStart w:id="45" w:name="docxtextref44"/>
      <w:bookmarkEnd w:id="45"/>
      <w:r>
        <w:rPr>
          <w:rFonts w:ascii="Times New Roman" w:hAnsi="Times New Roman"/>
          <w:color w:val="000000"/>
          <w:sz w:val="20"/>
        </w:rPr>
        <w:t xml:space="preserve">(x) land use and zoning requirements; and </w:t>
      </w:r>
      <w:bookmarkStart w:id="46" w:name="docxtextref45"/>
      <w:bookmarkEnd w:id="46"/>
      <w:r>
        <w:rPr>
          <w:rFonts w:ascii="Times New Roman" w:hAnsi="Times New Roman"/>
          <w:color w:val="000000"/>
          <w:sz w:val="20"/>
        </w:rPr>
        <w:t xml:space="preserve">(xi) notification requirements relating to the foregoing. Without limiting the above, Environmental Law also includes the following within the United States and all foreign equivalents thereof: </w:t>
      </w:r>
      <w:bookmarkStart w:id="47" w:name="docxtextref46"/>
      <w:bookmarkEnd w:id="47"/>
      <w:r>
        <w:rPr>
          <w:rFonts w:ascii="Times New Roman" w:hAnsi="Times New Roman"/>
          <w:color w:val="000000"/>
          <w:sz w:val="20"/>
        </w:rPr>
        <w:t xml:space="preserve">(a) CERCLA; (b) the Solid Waste Disposal Act, as amended by RCRA; (c) the Emergency Planning and Community Right to Know Act of 1986 (42 U.S.C. §§ I </w:t>
      </w:r>
      <w:bookmarkStart w:id="48" w:name="docxtextref31"/>
      <w:bookmarkEnd w:id="48"/>
      <w:r>
        <w:rPr>
          <w:rFonts w:ascii="Times New Roman" w:hAnsi="Times New Roman"/>
          <w:color w:val="000000"/>
          <w:sz w:val="20"/>
        </w:rPr>
        <w:t xml:space="preserve">101 et seq.), as amended; (d) the Clean Air Act (42 U.S.C. §§ 7401 et seq.), as amended; </w:t>
      </w:r>
      <w:bookmarkStart w:id="49" w:name="docxtextref47"/>
      <w:bookmarkEnd w:id="49"/>
      <w:r>
        <w:rPr>
          <w:rFonts w:ascii="Times New Roman" w:hAnsi="Times New Roman"/>
          <w:color w:val="000000"/>
          <w:sz w:val="20"/>
        </w:rPr>
        <w:t xml:space="preserve">(e) the Clean Water Act (33 U.S.C. §§ 1251 et seq.), as amended; (f) the Toxic Substances Control Act (15 U.S.C. §§ 2601 et seq.), as amended; (g) the Hazardous Materials Transportation Act (49 U.S.C. §§ 1801 et seq.), as amended; (h) the Federal Insecticide, Fungicide and Rodenticide Act (7 U.S.C. §§ </w:t>
      </w:r>
      <w:bookmarkStart w:id="50" w:name="docxtextref32"/>
      <w:bookmarkEnd w:id="50"/>
      <w:r>
        <w:rPr>
          <w:rFonts w:ascii="Times New Roman" w:hAnsi="Times New Roman"/>
          <w:color w:val="000000"/>
          <w:sz w:val="20"/>
        </w:rPr>
        <w:t xml:space="preserve">136 et seq.), as amended; (i) the Federal Safe Drinking Water Act (42 U.S.C. §§ </w:t>
      </w:r>
      <w:bookmarkStart w:id="51" w:name="docxtextref33"/>
      <w:bookmarkEnd w:id="51"/>
      <w:r>
        <w:rPr>
          <w:rFonts w:ascii="Times New Roman" w:hAnsi="Times New Roman"/>
          <w:color w:val="000000"/>
          <w:sz w:val="20"/>
        </w:rPr>
        <w:t xml:space="preserve">300 et seq.), as amended; </w:t>
      </w:r>
      <w:bookmarkStart w:id="52" w:name="docxtextref48"/>
      <w:bookmarkEnd w:id="52"/>
      <w:r>
        <w:rPr>
          <w:rFonts w:ascii="Times New Roman" w:hAnsi="Times New Roman"/>
          <w:color w:val="000000"/>
          <w:sz w:val="20"/>
        </w:rPr>
        <w:t xml:space="preserve">(j) the Federal Radon and Indoor Air Quality Research Act (42 U.S.C. §§ 7401 note, et seq.), as amended; (k) the Occupational Safety and Health Act (29 U.S.C §§ </w:t>
      </w:r>
      <w:bookmarkStart w:id="53" w:name="docxtextref34"/>
      <w:bookmarkEnd w:id="53"/>
      <w:r>
        <w:rPr>
          <w:rFonts w:ascii="Times New Roman" w:hAnsi="Times New Roman"/>
          <w:color w:val="000000"/>
          <w:sz w:val="20"/>
        </w:rPr>
        <w:t>651 et seq.), as amended; and (l) any Laws similar or analogous to (including counterparts of) any of the statutes listed above in effect as of the Closing Date.</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1.75. “</w:t>
      </w:r>
      <w:r>
        <w:rPr>
          <w:rFonts w:ascii="Times New Roman" w:hAnsi="Times New Roman"/>
          <w:i/>
          <w:color w:val="000000"/>
          <w:sz w:val="20"/>
        </w:rPr>
        <w:t>EOP2 Meeting</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1.76. [</w:t>
      </w:r>
      <w:r>
        <w:rPr>
          <w:rFonts w:ascii="Times New Roman" w:hAnsi="Times New Roman"/>
          <w:i/>
          <w:color w:val="000000"/>
          <w:sz w:val="20"/>
        </w:rPr>
        <w:t>intentionally left blank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Section 1.77. “</w:t>
      </w:r>
      <w:r>
        <w:rPr>
          <w:rFonts w:ascii="Times New Roman" w:hAnsi="Times New Roman"/>
          <w:i/>
          <w:color w:val="000000"/>
          <w:sz w:val="20"/>
        </w:rPr>
        <w:t>ERISA</w:t>
      </w:r>
      <w:r>
        <w:rPr>
          <w:rFonts w:ascii="Times New Roman" w:hAnsi="Times New Roman"/>
          <w:color w:val="000000"/>
          <w:sz w:val="20"/>
        </w:rPr>
        <w:t>” means the Employee Retirement Income Security Act of 1974.</w:t>
      </w:r>
    </w:p>
    <w:p>
      <w:pPr>
        <w:pStyle w:val="TextBody"/>
        <w:bidi w:val="0"/>
        <w:spacing w:before="0" w:after="240"/>
        <w:jc w:val="left"/>
        <w:rPr>
          <w:rFonts w:ascii="Times New Roman" w:hAnsi="Times New Roman"/>
          <w:sz w:val="20"/>
        </w:rPr>
      </w:pPr>
      <w:r>
        <w:rPr>
          <w:rFonts w:ascii="Times New Roman" w:hAnsi="Times New Roman"/>
          <w:color w:val="000000"/>
          <w:sz w:val="20"/>
        </w:rPr>
        <w:t>Section 1.78. “</w:t>
      </w:r>
      <w:r>
        <w:rPr>
          <w:rFonts w:ascii="Times New Roman" w:hAnsi="Times New Roman"/>
          <w:i/>
          <w:color w:val="000000"/>
          <w:sz w:val="20"/>
        </w:rPr>
        <w:t>ERISA Affiliate</w:t>
      </w:r>
      <w:r>
        <w:rPr>
          <w:rFonts w:ascii="Times New Roman" w:hAnsi="Times New Roman"/>
          <w:color w:val="000000"/>
          <w:sz w:val="20"/>
        </w:rPr>
        <w:t>” means, with respect to any Person, any other Person which, together with such Person, is a member of a controlled group of corporations or a group of trades or businesses under common control within the meaning of section 414 of the Code.</w:t>
      </w:r>
    </w:p>
    <w:p>
      <w:pPr>
        <w:pStyle w:val="TextBody"/>
        <w:bidi w:val="0"/>
        <w:spacing w:before="0" w:after="240"/>
        <w:jc w:val="left"/>
        <w:rPr>
          <w:rFonts w:ascii="Times New Roman" w:hAnsi="Times New Roman"/>
          <w:sz w:val="20"/>
        </w:rPr>
      </w:pPr>
      <w:r>
        <w:rPr>
          <w:rFonts w:ascii="Times New Roman" w:hAnsi="Times New Roman"/>
          <w:color w:val="000000"/>
          <w:sz w:val="20"/>
        </w:rPr>
        <w:t>Section 1.79. “</w:t>
      </w:r>
      <w:r>
        <w:rPr>
          <w:rFonts w:ascii="Times New Roman" w:hAnsi="Times New Roman"/>
          <w:i/>
          <w:color w:val="000000"/>
          <w:sz w:val="20"/>
        </w:rPr>
        <w:t>Estimated Closing Balance Sheet</w:t>
      </w:r>
      <w:r>
        <w:rPr>
          <w:rFonts w:ascii="Times New Roman" w:hAnsi="Times New Roman"/>
          <w:color w:val="000000"/>
          <w:sz w:val="20"/>
        </w:rPr>
        <w:t xml:space="preserve">” is defined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1.80. “</w:t>
      </w:r>
      <w:r>
        <w:rPr>
          <w:rFonts w:ascii="Times New Roman" w:hAnsi="Times New Roman"/>
          <w:i/>
          <w:color w:val="000000"/>
          <w:sz w:val="20"/>
        </w:rPr>
        <w:t>Estimated Closing Cash Amount</w:t>
      </w:r>
      <w:r>
        <w:rPr>
          <w:rFonts w:ascii="Times New Roman" w:hAnsi="Times New Roman"/>
          <w:color w:val="000000"/>
          <w:sz w:val="20"/>
        </w:rPr>
        <w:t xml:space="preserve">” is defined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1.81. “</w:t>
      </w:r>
      <w:r>
        <w:rPr>
          <w:rFonts w:ascii="Times New Roman" w:hAnsi="Times New Roman"/>
          <w:i/>
          <w:color w:val="000000"/>
          <w:sz w:val="20"/>
        </w:rPr>
        <w:t>Estimated Closing Liability Amount</w:t>
      </w:r>
      <w:r>
        <w:rPr>
          <w:rFonts w:ascii="Times New Roman" w:hAnsi="Times New Roman"/>
          <w:color w:val="000000"/>
          <w:sz w:val="20"/>
        </w:rPr>
        <w:t xml:space="preserve">” is defined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1.82. “</w:t>
      </w:r>
      <w:r>
        <w:rPr>
          <w:rFonts w:ascii="Times New Roman" w:hAnsi="Times New Roman"/>
          <w:i/>
          <w:color w:val="000000"/>
          <w:sz w:val="20"/>
        </w:rPr>
        <w:t>Estimated Closing Payment</w:t>
      </w:r>
      <w:r>
        <w:rPr>
          <w:rFonts w:ascii="Times New Roman" w:hAnsi="Times New Roman"/>
          <w:color w:val="000000"/>
          <w:sz w:val="20"/>
        </w:rPr>
        <w:t xml:space="preserve">” is defined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1.83. “</w:t>
      </w:r>
      <w:r>
        <w:rPr>
          <w:rFonts w:ascii="Times New Roman" w:hAnsi="Times New Roman"/>
          <w:i/>
          <w:color w:val="000000"/>
          <w:sz w:val="20"/>
        </w:rPr>
        <w:t>Estimated Closing Statement</w:t>
      </w:r>
      <w:r>
        <w:rPr>
          <w:rFonts w:ascii="Times New Roman" w:hAnsi="Times New Roman"/>
          <w:color w:val="000000"/>
          <w:sz w:val="20"/>
        </w:rPr>
        <w:t xml:space="preserve">” is defined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1.84. “</w:t>
      </w:r>
      <w:r>
        <w:rPr>
          <w:rFonts w:ascii="Times New Roman" w:hAnsi="Times New Roman"/>
          <w:i/>
          <w:color w:val="000000"/>
          <w:sz w:val="20"/>
        </w:rPr>
        <w:t>Estimated Closing Working Capital Adjustment</w:t>
      </w:r>
      <w:r>
        <w:rPr>
          <w:rFonts w:ascii="Times New Roman" w:hAnsi="Times New Roman"/>
          <w:color w:val="000000"/>
          <w:sz w:val="20"/>
        </w:rPr>
        <w:t xml:space="preserve">” is defined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1.85. “</w:t>
      </w:r>
      <w:r>
        <w:rPr>
          <w:rFonts w:ascii="Times New Roman" w:hAnsi="Times New Roman"/>
          <w:i/>
          <w:color w:val="000000"/>
          <w:sz w:val="20"/>
        </w:rPr>
        <w:t>EU</w:t>
      </w:r>
      <w:r>
        <w:rPr>
          <w:rFonts w:ascii="Times New Roman" w:hAnsi="Times New Roman"/>
          <w:color w:val="000000"/>
          <w:sz w:val="20"/>
        </w:rPr>
        <w:t>” means all of the European Union member states as of the applicable time.</w:t>
      </w:r>
    </w:p>
    <w:p>
      <w:pPr>
        <w:pStyle w:val="TextBody"/>
        <w:bidi w:val="0"/>
        <w:spacing w:before="0" w:after="240"/>
        <w:jc w:val="left"/>
        <w:rPr>
          <w:rFonts w:ascii="Times New Roman" w:hAnsi="Times New Roman"/>
          <w:sz w:val="20"/>
        </w:rPr>
      </w:pPr>
      <w:r>
        <w:rPr>
          <w:rFonts w:ascii="Times New Roman" w:hAnsi="Times New Roman"/>
          <w:color w:val="000000"/>
          <w:sz w:val="20"/>
        </w:rPr>
        <w:t>Section 1.86. “</w:t>
      </w:r>
      <w:r>
        <w:rPr>
          <w:rFonts w:ascii="Times New Roman" w:hAnsi="Times New Roman"/>
          <w:i/>
          <w:color w:val="000000"/>
          <w:sz w:val="20"/>
        </w:rPr>
        <w:t>Evaluation Agreement</w:t>
      </w:r>
      <w:r>
        <w:rPr>
          <w:rFonts w:ascii="Times New Roman" w:hAnsi="Times New Roman"/>
          <w:color w:val="000000"/>
          <w:sz w:val="20"/>
        </w:rPr>
        <w:t>” means the Evaluation Agreement between Fortis and FibroGen, dated as of the date hereof, as amended.</w:t>
      </w:r>
    </w:p>
    <w:p>
      <w:pPr>
        <w:pStyle w:val="TextBody"/>
        <w:bidi w:val="0"/>
        <w:spacing w:before="0" w:after="240"/>
        <w:jc w:val="left"/>
        <w:rPr>
          <w:rFonts w:ascii="Times New Roman" w:hAnsi="Times New Roman"/>
          <w:sz w:val="20"/>
        </w:rPr>
      </w:pPr>
      <w:r>
        <w:rPr>
          <w:rFonts w:ascii="Times New Roman" w:hAnsi="Times New Roman"/>
          <w:color w:val="000000"/>
          <w:sz w:val="20"/>
        </w:rPr>
        <w:t>Section 1.87. “</w:t>
      </w:r>
      <w:r>
        <w:rPr>
          <w:rFonts w:ascii="Times New Roman" w:hAnsi="Times New Roman"/>
          <w:i/>
          <w:color w:val="000000"/>
          <w:sz w:val="20"/>
        </w:rPr>
        <w:t>Exercise Notice</w:t>
      </w:r>
      <w:r>
        <w:rPr>
          <w:rFonts w:ascii="Times New Roman" w:hAnsi="Times New Roman"/>
          <w:color w:val="000000"/>
          <w:sz w:val="20"/>
        </w:rPr>
        <w:t xml:space="preserve">” is defined in </w:t>
      </w:r>
      <w:r>
        <w:rPr>
          <w:rFonts w:ascii="Times New Roman" w:hAnsi="Times New Roman"/>
          <w:color w:val="000000"/>
          <w:sz w:val="20"/>
          <w:u w:val="single"/>
        </w:rPr>
        <w:t>Section 3.2(a)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1.88. “</w:t>
      </w:r>
      <w:r>
        <w:rPr>
          <w:rFonts w:ascii="Times New Roman" w:hAnsi="Times New Roman"/>
          <w:i/>
          <w:color w:val="000000"/>
          <w:sz w:val="20"/>
        </w:rPr>
        <w:t>Exploit</w:t>
      </w:r>
      <w:r>
        <w:rPr>
          <w:rFonts w:ascii="Times New Roman" w:hAnsi="Times New Roman"/>
          <w:color w:val="000000"/>
          <w:sz w:val="20"/>
        </w:rPr>
        <w:t>” or “</w:t>
      </w:r>
      <w:r>
        <w:rPr>
          <w:rFonts w:ascii="Times New Roman" w:hAnsi="Times New Roman"/>
          <w:i/>
          <w:color w:val="000000"/>
          <w:sz w:val="20"/>
        </w:rPr>
        <w:t>Exploitation</w:t>
      </w:r>
      <w:r>
        <w:rPr>
          <w:rFonts w:ascii="Times New Roman" w:hAnsi="Times New Roman"/>
          <w:color w:val="000000"/>
          <w:sz w:val="20"/>
        </w:rPr>
        <w:t>” means to research, make, have made, distribute, import, export, use, have used, sell, have sold, or offer for sale, including to develop, commercialize, register, modify, enhance, improve, manufacture, have manufactured or otherwise dispose of.</w:t>
      </w:r>
    </w:p>
    <w:p>
      <w:pPr>
        <w:pStyle w:val="TextBody"/>
        <w:bidi w:val="0"/>
        <w:spacing w:before="0" w:after="240"/>
        <w:jc w:val="left"/>
        <w:rPr>
          <w:rFonts w:ascii="Times New Roman" w:hAnsi="Times New Roman"/>
          <w:sz w:val="20"/>
        </w:rPr>
      </w:pPr>
      <w:r>
        <w:rPr>
          <w:rFonts w:ascii="Times New Roman" w:hAnsi="Times New Roman"/>
          <w:color w:val="000000"/>
          <w:sz w:val="20"/>
        </w:rPr>
        <w:t>Section 1.89. “</w:t>
      </w:r>
      <w:r>
        <w:rPr>
          <w:rFonts w:ascii="Times New Roman" w:hAnsi="Times New Roman"/>
          <w:i/>
          <w:color w:val="000000"/>
          <w:sz w:val="20"/>
        </w:rPr>
        <w:t>FCPA</w:t>
      </w:r>
      <w:r>
        <w:rPr>
          <w:rFonts w:ascii="Times New Roman" w:hAnsi="Times New Roman"/>
          <w:color w:val="000000"/>
          <w:sz w:val="20"/>
        </w:rPr>
        <w:t xml:space="preserve">” is defined in </w:t>
      </w:r>
      <w:r>
        <w:rPr>
          <w:rFonts w:ascii="Times New Roman" w:hAnsi="Times New Roman"/>
          <w:color w:val="000000"/>
          <w:sz w:val="20"/>
          <w:u w:val="single"/>
        </w:rPr>
        <w:t>Section 5.25</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1.90. “</w:t>
      </w:r>
      <w:r>
        <w:rPr>
          <w:rFonts w:ascii="Times New Roman" w:hAnsi="Times New Roman"/>
          <w:i/>
          <w:color w:val="000000"/>
          <w:sz w:val="20"/>
        </w:rPr>
        <w:t>FDA</w:t>
      </w:r>
      <w:r>
        <w:rPr>
          <w:rFonts w:ascii="Times New Roman" w:hAnsi="Times New Roman"/>
          <w:color w:val="000000"/>
          <w:sz w:val="20"/>
        </w:rPr>
        <w:t>” means the U.S. Food and Drug Administration, or any successor agency or authority thereto.</w:t>
      </w:r>
    </w:p>
    <w:p>
      <w:pPr>
        <w:pStyle w:val="TextBody"/>
        <w:bidi w:val="0"/>
        <w:spacing w:before="0" w:after="240"/>
        <w:jc w:val="left"/>
        <w:rPr>
          <w:rFonts w:ascii="Times New Roman" w:hAnsi="Times New Roman"/>
          <w:sz w:val="20"/>
        </w:rPr>
      </w:pPr>
      <w:r>
        <w:rPr>
          <w:rFonts w:ascii="Times New Roman" w:hAnsi="Times New Roman"/>
          <w:color w:val="000000"/>
          <w:sz w:val="20"/>
        </w:rPr>
        <w:t>Section 1.91. “</w:t>
      </w:r>
      <w:r>
        <w:rPr>
          <w:rFonts w:ascii="Times New Roman" w:hAnsi="Times New Roman"/>
          <w:i/>
          <w:color w:val="000000"/>
          <w:sz w:val="20"/>
        </w:rPr>
        <w:t>FFDCA</w:t>
      </w:r>
      <w:r>
        <w:rPr>
          <w:rFonts w:ascii="Times New Roman" w:hAnsi="Times New Roman"/>
          <w:color w:val="000000"/>
          <w:sz w:val="20"/>
        </w:rPr>
        <w:t>” means the United States Federal Food, Drug, and Cosmetic Act, as amended.</w:t>
      </w:r>
    </w:p>
    <w:p>
      <w:pPr>
        <w:pStyle w:val="TextBody"/>
        <w:bidi w:val="0"/>
        <w:spacing w:before="0" w:after="240"/>
        <w:jc w:val="left"/>
        <w:rPr>
          <w:rFonts w:ascii="Times New Roman" w:hAnsi="Times New Roman"/>
          <w:sz w:val="20"/>
        </w:rPr>
      </w:pPr>
      <w:r>
        <w:rPr>
          <w:rFonts w:ascii="Times New Roman" w:hAnsi="Times New Roman"/>
          <w:color w:val="000000"/>
          <w:sz w:val="20"/>
        </w:rPr>
        <w:t>Section 1.92. “</w:t>
      </w:r>
      <w:r>
        <w:rPr>
          <w:rFonts w:ascii="Times New Roman" w:hAnsi="Times New Roman"/>
          <w:i/>
          <w:color w:val="000000"/>
          <w:sz w:val="20"/>
        </w:rPr>
        <w:t>FibroGen</w:t>
      </w:r>
      <w:r>
        <w:rPr>
          <w:rFonts w:ascii="Times New Roman" w:hAnsi="Times New Roman"/>
          <w:color w:val="000000"/>
          <w:sz w:val="20"/>
        </w:rPr>
        <w:t>” is defined in the preamble of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1.93. “</w:t>
      </w:r>
      <w:r>
        <w:rPr>
          <w:rFonts w:ascii="Times New Roman" w:hAnsi="Times New Roman"/>
          <w:i/>
          <w:color w:val="000000"/>
          <w:sz w:val="20"/>
        </w:rPr>
        <w:t>FibroGen Clinical Studies</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1.94. “</w:t>
      </w:r>
      <w:r>
        <w:rPr>
          <w:rFonts w:ascii="Times New Roman" w:hAnsi="Times New Roman"/>
          <w:i/>
          <w:color w:val="000000"/>
          <w:sz w:val="20"/>
        </w:rPr>
        <w:t>FibroGen Indemnified Party</w:t>
      </w:r>
      <w:r>
        <w:rPr>
          <w:rFonts w:ascii="Times New Roman" w:hAnsi="Times New Roman"/>
          <w:color w:val="000000"/>
          <w:sz w:val="20"/>
        </w:rPr>
        <w:t xml:space="preserve">” is defined in </w:t>
      </w:r>
      <w:r>
        <w:rPr>
          <w:rFonts w:ascii="Times New Roman" w:hAnsi="Times New Roman"/>
          <w:color w:val="000000"/>
          <w:sz w:val="20"/>
          <w:u w:val="single"/>
        </w:rPr>
        <w:t>Section 9.2</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1.95. “</w:t>
      </w:r>
      <w:r>
        <w:rPr>
          <w:rFonts w:ascii="Times New Roman" w:hAnsi="Times New Roman"/>
          <w:i/>
          <w:color w:val="000000"/>
          <w:sz w:val="20"/>
        </w:rPr>
        <w:t>FibroGen Tax Action</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1.96. “</w:t>
      </w:r>
      <w:r>
        <w:rPr>
          <w:rFonts w:ascii="Times New Roman" w:hAnsi="Times New Roman"/>
          <w:i/>
          <w:color w:val="000000"/>
          <w:sz w:val="20"/>
        </w:rPr>
        <w:t>Final Closing Payment</w:t>
      </w:r>
      <w:r>
        <w:rPr>
          <w:rFonts w:ascii="Times New Roman" w:hAnsi="Times New Roman"/>
          <w:color w:val="000000"/>
          <w:sz w:val="20"/>
        </w:rPr>
        <w:t xml:space="preserve">” means the Closing Payment as finally determined pursuant to </w:t>
      </w:r>
      <w:r>
        <w:rPr>
          <w:rFonts w:ascii="Times New Roman" w:hAnsi="Times New Roman"/>
          <w:color w:val="000000"/>
          <w:sz w:val="20"/>
          <w:u w:val="single"/>
        </w:rPr>
        <w:t>Section 2.15</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1.97. “</w:t>
      </w:r>
      <w:r>
        <w:rPr>
          <w:rFonts w:ascii="Times New Roman" w:hAnsi="Times New Roman"/>
          <w:i/>
          <w:color w:val="000000"/>
          <w:sz w:val="20"/>
        </w:rPr>
        <w:t>Final Exercise Date</w:t>
      </w:r>
      <w:r>
        <w:rPr>
          <w:rFonts w:ascii="Times New Roman" w:hAnsi="Times New Roman"/>
          <w:color w:val="000000"/>
          <w:sz w:val="20"/>
        </w:rPr>
        <w:t xml:space="preserve">” is defined in </w:t>
      </w:r>
      <w:r>
        <w:rPr>
          <w:rFonts w:ascii="Times New Roman" w:hAnsi="Times New Roman"/>
          <w:color w:val="000000"/>
          <w:sz w:val="20"/>
          <w:u w:val="single"/>
        </w:rPr>
        <w:t>Section 3.2(b)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1.98. “</w:t>
      </w:r>
      <w:r>
        <w:rPr>
          <w:rFonts w:ascii="Times New Roman" w:hAnsi="Times New Roman"/>
          <w:i/>
          <w:color w:val="000000"/>
          <w:sz w:val="20"/>
        </w:rPr>
        <w:t>Final Exercise Notice</w:t>
      </w:r>
      <w:r>
        <w:rPr>
          <w:rFonts w:ascii="Times New Roman" w:hAnsi="Times New Roman"/>
          <w:color w:val="000000"/>
          <w:sz w:val="20"/>
        </w:rPr>
        <w:t xml:space="preserve">” is defined in </w:t>
      </w:r>
      <w:r>
        <w:rPr>
          <w:rFonts w:ascii="Times New Roman" w:hAnsi="Times New Roman"/>
          <w:color w:val="000000"/>
          <w:sz w:val="20"/>
          <w:u w:val="single"/>
        </w:rPr>
        <w:t>Section 3.2(b)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1.99. “</w:t>
      </w:r>
      <w:r>
        <w:rPr>
          <w:rFonts w:ascii="Times New Roman" w:hAnsi="Times New Roman"/>
          <w:i/>
          <w:color w:val="000000"/>
          <w:sz w:val="20"/>
        </w:rPr>
        <w:t>Financial Statements</w:t>
      </w:r>
      <w:r>
        <w:rPr>
          <w:rFonts w:ascii="Times New Roman" w:hAnsi="Times New Roman"/>
          <w:color w:val="000000"/>
          <w:sz w:val="20"/>
        </w:rPr>
        <w:t xml:space="preserve">” is defined in </w:t>
      </w:r>
      <w:r>
        <w:rPr>
          <w:rFonts w:ascii="Times New Roman" w:hAnsi="Times New Roman"/>
          <w:color w:val="000000"/>
          <w:sz w:val="20"/>
          <w:u w:val="single"/>
        </w:rPr>
        <w:t>Section 5.8</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1.100. “</w:t>
      </w:r>
      <w:r>
        <w:rPr>
          <w:rFonts w:ascii="Times New Roman" w:hAnsi="Times New Roman"/>
          <w:i/>
          <w:color w:val="000000"/>
          <w:sz w:val="20"/>
        </w:rPr>
        <w:t>First CVR Product Approval</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Section 1.101. “</w:t>
      </w:r>
      <w:r>
        <w:rPr>
          <w:rFonts w:ascii="Times New Roman" w:hAnsi="Times New Roman"/>
          <w:i/>
          <w:color w:val="000000"/>
          <w:sz w:val="20"/>
        </w:rPr>
        <w:t>FOR46</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1.102. “</w:t>
      </w:r>
      <w:r>
        <w:rPr>
          <w:rFonts w:ascii="Times New Roman" w:hAnsi="Times New Roman"/>
          <w:i/>
          <w:color w:val="000000"/>
          <w:sz w:val="20"/>
        </w:rPr>
        <w:t>Fortis</w:t>
      </w:r>
      <w:r>
        <w:rPr>
          <w:rFonts w:ascii="Times New Roman" w:hAnsi="Times New Roman"/>
          <w:color w:val="000000"/>
          <w:sz w:val="20"/>
        </w:rPr>
        <w:t>” is defined in the preamble of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1.103. “</w:t>
      </w:r>
      <w:r>
        <w:rPr>
          <w:rFonts w:ascii="Times New Roman" w:hAnsi="Times New Roman"/>
          <w:i/>
          <w:color w:val="000000"/>
          <w:sz w:val="20"/>
        </w:rPr>
        <w:t>Fortis Capital Stock</w:t>
      </w:r>
      <w:r>
        <w:rPr>
          <w:rFonts w:ascii="Times New Roman" w:hAnsi="Times New Roman"/>
          <w:color w:val="000000"/>
          <w:sz w:val="20"/>
        </w:rPr>
        <w:t>” means the Capital Stock of Fortis.</w:t>
      </w:r>
    </w:p>
    <w:p>
      <w:pPr>
        <w:pStyle w:val="TextBody"/>
        <w:bidi w:val="0"/>
        <w:spacing w:before="0" w:after="240"/>
        <w:jc w:val="left"/>
        <w:rPr>
          <w:rFonts w:ascii="Times New Roman" w:hAnsi="Times New Roman"/>
          <w:sz w:val="20"/>
        </w:rPr>
      </w:pPr>
      <w:r>
        <w:rPr>
          <w:rFonts w:ascii="Times New Roman" w:hAnsi="Times New Roman"/>
          <w:color w:val="000000"/>
          <w:sz w:val="20"/>
        </w:rPr>
        <w:t>Section 1.104. “</w:t>
      </w:r>
      <w:r>
        <w:rPr>
          <w:rFonts w:ascii="Times New Roman" w:hAnsi="Times New Roman"/>
          <w:i/>
          <w:color w:val="000000"/>
          <w:sz w:val="20"/>
        </w:rPr>
        <w:t>Fortis Common Stock</w:t>
      </w:r>
      <w:r>
        <w:rPr>
          <w:rFonts w:ascii="Times New Roman" w:hAnsi="Times New Roman"/>
          <w:color w:val="000000"/>
          <w:sz w:val="20"/>
        </w:rPr>
        <w:t xml:space="preserve">” is defined in </w:t>
      </w:r>
      <w:r>
        <w:rPr>
          <w:rFonts w:ascii="Times New Roman" w:hAnsi="Times New Roman"/>
          <w:color w:val="000000"/>
          <w:sz w:val="20"/>
          <w:u w:val="single"/>
        </w:rPr>
        <w:t>Section 5.4(a)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1.105. “</w:t>
      </w:r>
      <w:r>
        <w:rPr>
          <w:rFonts w:ascii="Times New Roman" w:hAnsi="Times New Roman"/>
          <w:i/>
          <w:color w:val="000000"/>
          <w:sz w:val="20"/>
        </w:rPr>
        <w:t>Fortis Equityholders</w:t>
      </w:r>
      <w:r>
        <w:rPr>
          <w:rFonts w:ascii="Times New Roman" w:hAnsi="Times New Roman"/>
          <w:color w:val="000000"/>
          <w:sz w:val="20"/>
        </w:rPr>
        <w:t>” means Fortis Shareholders and Fortis Warrantholders.</w:t>
      </w:r>
    </w:p>
    <w:p>
      <w:pPr>
        <w:pStyle w:val="TextBody"/>
        <w:bidi w:val="0"/>
        <w:spacing w:before="0" w:after="240"/>
        <w:jc w:val="left"/>
        <w:rPr>
          <w:rFonts w:ascii="Times New Roman" w:hAnsi="Times New Roman"/>
          <w:sz w:val="20"/>
        </w:rPr>
      </w:pPr>
      <w:r>
        <w:rPr>
          <w:rFonts w:ascii="Times New Roman" w:hAnsi="Times New Roman"/>
          <w:color w:val="000000"/>
          <w:sz w:val="20"/>
        </w:rPr>
        <w:t>Section 1.106. “</w:t>
      </w:r>
      <w:r>
        <w:rPr>
          <w:rFonts w:ascii="Times New Roman" w:hAnsi="Times New Roman"/>
          <w:i/>
          <w:color w:val="000000"/>
          <w:sz w:val="20"/>
        </w:rPr>
        <w:t>Fortis Intellectual Property</w:t>
      </w:r>
      <w:r>
        <w:rPr>
          <w:rFonts w:ascii="Times New Roman" w:hAnsi="Times New Roman"/>
          <w:color w:val="000000"/>
          <w:sz w:val="20"/>
        </w:rPr>
        <w:t>” means all Intellectual Property owned by or licensed to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1.107. [*]. </w:t>
      </w:r>
    </w:p>
    <w:p>
      <w:pPr>
        <w:pStyle w:val="TextBody"/>
        <w:bidi w:val="0"/>
        <w:spacing w:before="0" w:after="240"/>
        <w:jc w:val="left"/>
        <w:rPr>
          <w:rFonts w:ascii="Times New Roman" w:hAnsi="Times New Roman"/>
          <w:sz w:val="20"/>
        </w:rPr>
      </w:pPr>
      <w:r>
        <w:rPr>
          <w:rFonts w:ascii="Times New Roman" w:hAnsi="Times New Roman"/>
          <w:color w:val="000000"/>
          <w:sz w:val="20"/>
        </w:rPr>
        <w:t>Section 1.108. “</w:t>
      </w:r>
      <w:r>
        <w:rPr>
          <w:rFonts w:ascii="Times New Roman" w:hAnsi="Times New Roman"/>
          <w:i/>
          <w:color w:val="000000"/>
          <w:sz w:val="20"/>
        </w:rPr>
        <w:t>Fortis Personnel</w:t>
      </w:r>
      <w:r>
        <w:rPr>
          <w:rFonts w:ascii="Times New Roman" w:hAnsi="Times New Roman"/>
          <w:color w:val="000000"/>
          <w:sz w:val="20"/>
        </w:rPr>
        <w:t>” means any former or current director, officer, employee, individual independent contractor or consultant of Fortis, including, for the avoidance of doubt, any individual engaged (or who has previously been engaged) to provide services for Fortis pursuant to the Support Services Agreement between Fortis and [*] dated as of August 1, 2016 (in each case solely in their capacity as a service provider to Fortis).</w:t>
      </w:r>
    </w:p>
    <w:p>
      <w:pPr>
        <w:pStyle w:val="TextBody"/>
        <w:bidi w:val="0"/>
        <w:spacing w:before="0" w:after="240"/>
        <w:jc w:val="left"/>
        <w:rPr>
          <w:rFonts w:ascii="Times New Roman" w:hAnsi="Times New Roman"/>
          <w:sz w:val="20"/>
        </w:rPr>
      </w:pPr>
      <w:r>
        <w:rPr>
          <w:rFonts w:ascii="Times New Roman" w:hAnsi="Times New Roman"/>
          <w:color w:val="000000"/>
          <w:sz w:val="20"/>
        </w:rPr>
        <w:t>Section 1.109. “</w:t>
      </w:r>
      <w:r>
        <w:rPr>
          <w:rFonts w:ascii="Times New Roman" w:hAnsi="Times New Roman"/>
          <w:i/>
          <w:color w:val="000000"/>
          <w:sz w:val="20"/>
        </w:rPr>
        <w:t>Fortis Preferred Stock</w:t>
      </w:r>
      <w:r>
        <w:rPr>
          <w:rFonts w:ascii="Times New Roman" w:hAnsi="Times New Roman"/>
          <w:color w:val="000000"/>
          <w:sz w:val="20"/>
        </w:rPr>
        <w:t xml:space="preserve">” is defined in </w:t>
      </w:r>
      <w:r>
        <w:rPr>
          <w:rFonts w:ascii="Times New Roman" w:hAnsi="Times New Roman"/>
          <w:color w:val="000000"/>
          <w:sz w:val="20"/>
          <w:u w:val="single"/>
        </w:rPr>
        <w:t>Section 5.4(a)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1.110. “</w:t>
      </w:r>
      <w:r>
        <w:rPr>
          <w:rFonts w:ascii="Times New Roman" w:hAnsi="Times New Roman"/>
          <w:i/>
          <w:color w:val="000000"/>
          <w:sz w:val="20"/>
        </w:rPr>
        <w:t>Fortis Registrations</w:t>
      </w:r>
      <w:r>
        <w:rPr>
          <w:rFonts w:ascii="Times New Roman" w:hAnsi="Times New Roman"/>
          <w:color w:val="000000"/>
          <w:sz w:val="20"/>
        </w:rPr>
        <w:t xml:space="preserve">” is defined in </w:t>
      </w:r>
      <w:r>
        <w:rPr>
          <w:rFonts w:ascii="Times New Roman" w:hAnsi="Times New Roman"/>
          <w:color w:val="000000"/>
          <w:sz w:val="20"/>
          <w:u w:val="single"/>
        </w:rPr>
        <w:t>Section 5.14(a)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1.111. “</w:t>
      </w:r>
      <w:r>
        <w:rPr>
          <w:rFonts w:ascii="Times New Roman" w:hAnsi="Times New Roman"/>
          <w:i/>
          <w:color w:val="000000"/>
          <w:sz w:val="20"/>
        </w:rPr>
        <w:t>Fortis Shareholder</w:t>
      </w:r>
      <w:r>
        <w:rPr>
          <w:rFonts w:ascii="Times New Roman" w:hAnsi="Times New Roman"/>
          <w:color w:val="000000"/>
          <w:sz w:val="20"/>
        </w:rPr>
        <w:t>” means a holder of Fortis Capital Stock.</w:t>
      </w:r>
    </w:p>
    <w:p>
      <w:pPr>
        <w:pStyle w:val="TextBody"/>
        <w:bidi w:val="0"/>
        <w:spacing w:before="0" w:after="240"/>
        <w:jc w:val="left"/>
        <w:rPr>
          <w:rFonts w:ascii="Times New Roman" w:hAnsi="Times New Roman"/>
          <w:sz w:val="20"/>
        </w:rPr>
      </w:pPr>
      <w:r>
        <w:rPr>
          <w:rFonts w:ascii="Times New Roman" w:hAnsi="Times New Roman"/>
          <w:color w:val="000000"/>
          <w:sz w:val="20"/>
        </w:rPr>
        <w:t>Section 1.112. “</w:t>
      </w:r>
      <w:r>
        <w:rPr>
          <w:rFonts w:ascii="Times New Roman" w:hAnsi="Times New Roman"/>
          <w:i/>
          <w:color w:val="000000"/>
          <w:sz w:val="20"/>
        </w:rPr>
        <w:t>Fortis Stock Option</w:t>
      </w:r>
      <w:r>
        <w:rPr>
          <w:rFonts w:ascii="Times New Roman" w:hAnsi="Times New Roman"/>
          <w:color w:val="000000"/>
          <w:sz w:val="20"/>
        </w:rPr>
        <w:t>” means an option to purchase or acquire shares of Fortis Capital Stock granted under the Fortis Stock Plan.</w:t>
      </w:r>
    </w:p>
    <w:p>
      <w:pPr>
        <w:pStyle w:val="TextBody"/>
        <w:bidi w:val="0"/>
        <w:spacing w:before="0" w:after="240"/>
        <w:jc w:val="left"/>
        <w:rPr>
          <w:rFonts w:ascii="Times New Roman" w:hAnsi="Times New Roman"/>
          <w:sz w:val="20"/>
        </w:rPr>
      </w:pPr>
      <w:r>
        <w:rPr>
          <w:rFonts w:ascii="Times New Roman" w:hAnsi="Times New Roman"/>
          <w:color w:val="000000"/>
          <w:sz w:val="20"/>
        </w:rPr>
        <w:t>Section 1.113. “</w:t>
      </w:r>
      <w:r>
        <w:rPr>
          <w:rFonts w:ascii="Times New Roman" w:hAnsi="Times New Roman"/>
          <w:i/>
          <w:color w:val="000000"/>
          <w:sz w:val="20"/>
        </w:rPr>
        <w:t>Fortis Stock Plan</w:t>
      </w:r>
      <w:r>
        <w:rPr>
          <w:rFonts w:ascii="Times New Roman" w:hAnsi="Times New Roman"/>
          <w:color w:val="000000"/>
          <w:sz w:val="20"/>
        </w:rPr>
        <w:t>” means Fortis’s 2016 Equity Incentive Plan, as amended.</w:t>
      </w:r>
    </w:p>
    <w:p>
      <w:pPr>
        <w:pStyle w:val="TextBody"/>
        <w:bidi w:val="0"/>
        <w:spacing w:before="0" w:after="240"/>
        <w:jc w:val="left"/>
        <w:rPr>
          <w:rFonts w:ascii="Times New Roman" w:hAnsi="Times New Roman"/>
          <w:sz w:val="20"/>
        </w:rPr>
      </w:pPr>
      <w:r>
        <w:rPr>
          <w:rFonts w:ascii="Times New Roman" w:hAnsi="Times New Roman"/>
          <w:color w:val="000000"/>
          <w:sz w:val="20"/>
        </w:rPr>
        <w:t>Section 1.114. “</w:t>
      </w:r>
      <w:r>
        <w:rPr>
          <w:rFonts w:ascii="Times New Roman" w:hAnsi="Times New Roman"/>
          <w:i/>
          <w:color w:val="000000"/>
          <w:sz w:val="20"/>
        </w:rPr>
        <w:t>Fortis Voting Agreement</w:t>
      </w:r>
      <w:r>
        <w:rPr>
          <w:rFonts w:ascii="Times New Roman" w:hAnsi="Times New Roman"/>
          <w:color w:val="000000"/>
          <w:sz w:val="20"/>
        </w:rPr>
        <w:t>” means that certain Voting Agreement, [*] by and among Fortis and the Voting Parties (as defined therein) party thereto.</w:t>
      </w:r>
    </w:p>
    <w:p>
      <w:pPr>
        <w:pStyle w:val="TextBody"/>
        <w:bidi w:val="0"/>
        <w:spacing w:before="0" w:after="240"/>
        <w:jc w:val="left"/>
        <w:rPr>
          <w:rFonts w:ascii="Times New Roman" w:hAnsi="Times New Roman"/>
          <w:sz w:val="20"/>
        </w:rPr>
      </w:pPr>
      <w:r>
        <w:rPr>
          <w:rFonts w:ascii="Times New Roman" w:hAnsi="Times New Roman"/>
          <w:color w:val="000000"/>
          <w:sz w:val="20"/>
        </w:rPr>
        <w:t>Section 1.115. “</w:t>
      </w:r>
      <w:r>
        <w:rPr>
          <w:rFonts w:ascii="Times New Roman" w:hAnsi="Times New Roman"/>
          <w:i/>
          <w:color w:val="000000"/>
          <w:sz w:val="20"/>
        </w:rPr>
        <w:t>Fortis Warrantholder</w:t>
      </w:r>
      <w:r>
        <w:rPr>
          <w:rFonts w:ascii="Times New Roman" w:hAnsi="Times New Roman"/>
          <w:color w:val="000000"/>
          <w:sz w:val="20"/>
        </w:rPr>
        <w:t>” means a holder of Warrants.</w:t>
      </w:r>
    </w:p>
    <w:p>
      <w:pPr>
        <w:pStyle w:val="TextBody"/>
        <w:bidi w:val="0"/>
        <w:spacing w:before="0" w:after="240"/>
        <w:jc w:val="left"/>
        <w:rPr>
          <w:rFonts w:ascii="Times New Roman" w:hAnsi="Times New Roman"/>
          <w:sz w:val="20"/>
        </w:rPr>
      </w:pPr>
      <w:r>
        <w:rPr>
          <w:rFonts w:ascii="Times New Roman" w:hAnsi="Times New Roman"/>
          <w:color w:val="000000"/>
          <w:sz w:val="20"/>
        </w:rPr>
        <w:t>Section 1.116. “</w:t>
      </w:r>
      <w:r>
        <w:rPr>
          <w:rFonts w:ascii="Times New Roman" w:hAnsi="Times New Roman"/>
          <w:i/>
          <w:color w:val="000000"/>
          <w:sz w:val="20"/>
        </w:rPr>
        <w:t>Fraud</w:t>
      </w:r>
      <w:r>
        <w:rPr>
          <w:rFonts w:ascii="Times New Roman" w:hAnsi="Times New Roman"/>
          <w:color w:val="000000"/>
          <w:sz w:val="20"/>
        </w:rPr>
        <w:t xml:space="preserve">” means actual and intentional fraud under Delaware common law with respect to the making of one or more of the representations and warranties of (i) Fortis contained in </w:t>
      </w:r>
      <w:r>
        <w:rPr>
          <w:rFonts w:ascii="Times New Roman" w:hAnsi="Times New Roman"/>
          <w:color w:val="000000"/>
          <w:sz w:val="20"/>
          <w:u w:val="single"/>
        </w:rPr>
        <w:t>Article 5</w:t>
      </w:r>
      <w:r>
        <w:rPr>
          <w:rFonts w:ascii="Times New Roman" w:hAnsi="Times New Roman"/>
          <w:color w:val="000000"/>
          <w:sz w:val="20"/>
        </w:rPr>
        <w:t xml:space="preserve"> of this Agreement or (ii) FibroGen contained in </w:t>
      </w:r>
      <w:r>
        <w:rPr>
          <w:rFonts w:ascii="Times New Roman" w:hAnsi="Times New Roman"/>
          <w:color w:val="000000"/>
          <w:sz w:val="20"/>
          <w:u w:val="single"/>
        </w:rPr>
        <w:t>Article 6</w:t>
      </w:r>
      <w:r>
        <w:rPr>
          <w:rFonts w:ascii="Times New Roman" w:hAnsi="Times New Roman"/>
          <w:color w:val="000000"/>
          <w:sz w:val="20"/>
        </w:rPr>
        <w:t xml:space="preserve"> of this Agreement;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“Fraud” shall not include any cause of action based on constructive fraud. </w:t>
      </w:r>
    </w:p>
    <w:p>
      <w:pPr>
        <w:pStyle w:val="TextBody"/>
        <w:bidi w:val="0"/>
        <w:spacing w:before="0" w:after="240"/>
        <w:jc w:val="left"/>
        <w:rPr>
          <w:rFonts w:ascii="Times New Roman" w:hAnsi="Times New Roman"/>
          <w:sz w:val="20"/>
        </w:rPr>
      </w:pPr>
      <w:r>
        <w:rPr>
          <w:rFonts w:ascii="Times New Roman" w:hAnsi="Times New Roman"/>
          <w:color w:val="000000"/>
          <w:sz w:val="20"/>
        </w:rPr>
        <w:t>Section 1.117. “</w:t>
      </w:r>
      <w:r>
        <w:rPr>
          <w:rFonts w:ascii="Times New Roman" w:hAnsi="Times New Roman"/>
          <w:i/>
          <w:color w:val="000000"/>
          <w:sz w:val="20"/>
        </w:rPr>
        <w:t>FTC</w:t>
      </w:r>
      <w:r>
        <w:rPr>
          <w:rFonts w:ascii="Times New Roman" w:hAnsi="Times New Roman"/>
          <w:color w:val="000000"/>
          <w:sz w:val="20"/>
        </w:rPr>
        <w:t>” means the United States Federal Trade Commission.</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1.118. “</w:t>
      </w:r>
      <w:r>
        <w:rPr>
          <w:rFonts w:ascii="Times New Roman" w:hAnsi="Times New Roman"/>
          <w:i/>
          <w:color w:val="000000"/>
          <w:sz w:val="20"/>
        </w:rPr>
        <w:t>Fundamental Representations</w:t>
      </w:r>
      <w:r>
        <w:rPr>
          <w:rFonts w:ascii="Times New Roman" w:hAnsi="Times New Roman"/>
          <w:color w:val="000000"/>
          <w:sz w:val="20"/>
        </w:rPr>
        <w:t>” means the representations and warranties contained in [*].</w:t>
      </w:r>
    </w:p>
    <w:p>
      <w:pPr>
        <w:pStyle w:val="TextBody"/>
        <w:bidi w:val="0"/>
        <w:spacing w:before="0" w:after="240"/>
        <w:jc w:val="left"/>
        <w:rPr>
          <w:rFonts w:ascii="Times New Roman" w:hAnsi="Times New Roman"/>
          <w:sz w:val="20"/>
        </w:rPr>
      </w:pPr>
      <w:r>
        <w:rPr>
          <w:rFonts w:ascii="Times New Roman" w:hAnsi="Times New Roman"/>
          <w:color w:val="000000"/>
          <w:sz w:val="20"/>
        </w:rPr>
        <w:t>Section 1.119. “</w:t>
      </w:r>
      <w:r>
        <w:rPr>
          <w:rFonts w:ascii="Times New Roman" w:hAnsi="Times New Roman"/>
          <w:i/>
          <w:color w:val="000000"/>
          <w:sz w:val="20"/>
        </w:rPr>
        <w:t>GAAP</w:t>
      </w:r>
      <w:r>
        <w:rPr>
          <w:rFonts w:ascii="Times New Roman" w:hAnsi="Times New Roman"/>
          <w:color w:val="000000"/>
          <w:sz w:val="20"/>
        </w:rPr>
        <w:t>” means United States generally accepted accounting principles, consistently applied.</w:t>
      </w:r>
    </w:p>
    <w:p>
      <w:pPr>
        <w:pStyle w:val="TextBody"/>
        <w:bidi w:val="0"/>
        <w:spacing w:before="0" w:after="240"/>
        <w:jc w:val="left"/>
        <w:rPr>
          <w:rFonts w:ascii="Times New Roman" w:hAnsi="Times New Roman"/>
          <w:sz w:val="20"/>
        </w:rPr>
      </w:pPr>
      <w:r>
        <w:rPr>
          <w:rFonts w:ascii="Times New Roman" w:hAnsi="Times New Roman"/>
          <w:color w:val="000000"/>
          <w:sz w:val="20"/>
        </w:rPr>
        <w:t>Section 1.120. “</w:t>
      </w:r>
      <w:r>
        <w:rPr>
          <w:rFonts w:ascii="Times New Roman" w:hAnsi="Times New Roman"/>
          <w:i/>
          <w:color w:val="000000"/>
          <w:sz w:val="20"/>
        </w:rPr>
        <w:t>GCP</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1.121. “</w:t>
      </w:r>
      <w:r>
        <w:rPr>
          <w:rFonts w:ascii="Times New Roman" w:hAnsi="Times New Roman"/>
          <w:i/>
          <w:color w:val="000000"/>
          <w:sz w:val="20"/>
        </w:rPr>
        <w:t>GLP</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1.122. “</w:t>
      </w:r>
      <w:r>
        <w:rPr>
          <w:rFonts w:ascii="Times New Roman" w:hAnsi="Times New Roman"/>
          <w:i/>
          <w:color w:val="000000"/>
          <w:sz w:val="20"/>
        </w:rPr>
        <w:t>GMP</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1.123. “</w:t>
      </w:r>
      <w:r>
        <w:rPr>
          <w:rFonts w:ascii="Times New Roman" w:hAnsi="Times New Roman"/>
          <w:i/>
          <w:color w:val="000000"/>
          <w:sz w:val="20"/>
        </w:rPr>
        <w:t>Governmental Entity</w:t>
      </w:r>
      <w:r>
        <w:rPr>
          <w:rFonts w:ascii="Times New Roman" w:hAnsi="Times New Roman"/>
          <w:color w:val="000000"/>
          <w:sz w:val="20"/>
        </w:rPr>
        <w:t>” means any instrumentality, subdivision, court, administrative agency, commission, official or other authority of any country, state, province, prefect, municipality, locality or other government or political subdivision thereof, or any multinational organization or authority, or any quasi-governmental, private body, mediator, arbitrator or arbitral body exercising any executive, legislative, judicial, quasi-judicial, regulatory, taxing, importing, administrative or other governmental or quasi-governmental authority.</w:t>
      </w:r>
    </w:p>
    <w:p>
      <w:pPr>
        <w:pStyle w:val="TextBody"/>
        <w:bidi w:val="0"/>
        <w:spacing w:before="0" w:after="240"/>
        <w:jc w:val="left"/>
        <w:rPr>
          <w:rFonts w:ascii="Times New Roman" w:hAnsi="Times New Roman"/>
          <w:sz w:val="20"/>
        </w:rPr>
      </w:pPr>
      <w:r>
        <w:rPr>
          <w:rFonts w:ascii="Times New Roman" w:hAnsi="Times New Roman"/>
          <w:color w:val="000000"/>
          <w:sz w:val="20"/>
        </w:rPr>
        <w:t>Section 1.124. “</w:t>
      </w:r>
      <w:r>
        <w:rPr>
          <w:rFonts w:ascii="Times New Roman" w:hAnsi="Times New Roman"/>
          <w:i/>
          <w:color w:val="000000"/>
          <w:sz w:val="20"/>
        </w:rPr>
        <w:t>Government Order</w:t>
      </w:r>
      <w:r>
        <w:rPr>
          <w:rFonts w:ascii="Times New Roman" w:hAnsi="Times New Roman"/>
          <w:color w:val="000000"/>
          <w:sz w:val="20"/>
        </w:rPr>
        <w:t>” means any order, writ, judgment, injunction, decree, stipulation, ruling, decision, verdict, determination or award made, issued or entered by or with any Governmental Entity.</w:t>
      </w:r>
    </w:p>
    <w:p>
      <w:pPr>
        <w:pStyle w:val="TextBody"/>
        <w:bidi w:val="0"/>
        <w:spacing w:before="0" w:after="240"/>
        <w:jc w:val="left"/>
        <w:rPr>
          <w:rFonts w:ascii="Times New Roman" w:hAnsi="Times New Roman"/>
          <w:sz w:val="20"/>
        </w:rPr>
      </w:pPr>
      <w:r>
        <w:rPr>
          <w:rFonts w:ascii="Times New Roman" w:hAnsi="Times New Roman"/>
          <w:color w:val="000000"/>
          <w:sz w:val="20"/>
        </w:rPr>
        <w:t>Section 1.125. “</w:t>
      </w:r>
      <w:r>
        <w:rPr>
          <w:rFonts w:ascii="Times New Roman" w:hAnsi="Times New Roman"/>
          <w:i/>
          <w:color w:val="000000"/>
          <w:sz w:val="20"/>
        </w:rPr>
        <w:t>Handling</w:t>
      </w:r>
      <w:r>
        <w:rPr>
          <w:rFonts w:ascii="Times New Roman" w:hAnsi="Times New Roman"/>
          <w:color w:val="000000"/>
          <w:sz w:val="20"/>
        </w:rPr>
        <w:t>” means the receipt, access, acquisition, collection, compilation, use, storage, processing, transmission, safeguarding, security, disposal, destruction, disclosure, sale, licensing, rental, or transfer of information.</w:t>
      </w:r>
    </w:p>
    <w:p>
      <w:pPr>
        <w:pStyle w:val="TextBody"/>
        <w:bidi w:val="0"/>
        <w:spacing w:before="0" w:after="240"/>
        <w:jc w:val="left"/>
        <w:rPr>
          <w:rFonts w:ascii="Times New Roman" w:hAnsi="Times New Roman"/>
          <w:sz w:val="20"/>
        </w:rPr>
      </w:pPr>
      <w:bookmarkStart w:id="54" w:name="docxtextref49"/>
      <w:bookmarkEnd w:id="54"/>
      <w:r>
        <w:rPr>
          <w:rFonts w:ascii="Times New Roman" w:hAnsi="Times New Roman"/>
          <w:color w:val="000000"/>
          <w:sz w:val="20"/>
        </w:rPr>
        <w:t>Section 1.126. “</w:t>
      </w:r>
      <w:r>
        <w:rPr>
          <w:rFonts w:ascii="Times New Roman" w:hAnsi="Times New Roman"/>
          <w:i/>
          <w:color w:val="000000"/>
          <w:sz w:val="20"/>
        </w:rPr>
        <w:t>Hazardous Material</w:t>
      </w:r>
      <w:r>
        <w:rPr>
          <w:rFonts w:ascii="Times New Roman" w:hAnsi="Times New Roman"/>
          <w:color w:val="000000"/>
          <w:sz w:val="20"/>
        </w:rPr>
        <w:t>” means any chemical, pollutant, contaminant, pesticide, fungicide, rodenticide, poison, petroleum or petroleum product, radioactive substance, biological material, genetically modified organism, wastes (including solid, hazardous, extremely hazardous, special, dangerous, or toxic), any substance, chemical or material regulated, listed, limited or defined as such under any Environmental Law, including: (i) any by-products, derivatives, or combinations of such material; (ii) lead, asbestos, asbestos-containing material, presumed asbestos-containing material, poly-chlorinated biphenyls, solvents and waste oil, and mold or other indoor air contaminants; (iii) any “hazardous substance,” “pollutant”, “toxic pollutant” or “contaminant” as defined under Environmental Laws; (iv) any “hazardous waste” as defined under RCRA, or any Environmental Law applicable to the management of waste; and (v) any other substance which may be subject of regulatory action by any Governmental Entity in connection with any Environmental Law.</w:t>
      </w:r>
    </w:p>
    <w:p>
      <w:pPr>
        <w:pStyle w:val="TextBody"/>
        <w:bidi w:val="0"/>
        <w:spacing w:before="0" w:after="240"/>
        <w:jc w:val="left"/>
        <w:rPr>
          <w:rFonts w:ascii="Times New Roman" w:hAnsi="Times New Roman"/>
          <w:sz w:val="20"/>
        </w:rPr>
      </w:pPr>
      <w:r>
        <w:rPr>
          <w:rFonts w:ascii="Times New Roman" w:hAnsi="Times New Roman"/>
          <w:color w:val="000000"/>
          <w:sz w:val="20"/>
        </w:rPr>
        <w:t>Section 1.127. “</w:t>
      </w:r>
      <w:r>
        <w:rPr>
          <w:rFonts w:ascii="Times New Roman" w:hAnsi="Times New Roman"/>
          <w:i/>
          <w:color w:val="000000"/>
          <w:sz w:val="20"/>
        </w:rPr>
        <w:t>HSR Act</w:t>
      </w:r>
      <w:r>
        <w:rPr>
          <w:rFonts w:ascii="Times New Roman" w:hAnsi="Times New Roman"/>
          <w:color w:val="000000"/>
          <w:sz w:val="20"/>
        </w:rPr>
        <w:t>” means the Hart</w:t>
        <w:noBreakHyphen/>
        <w:t>Scott</w:t>
        <w:noBreakHyphen/>
        <w:t>Rodino Antitrust Improvements Act of 1976, as amended.</w:t>
      </w:r>
    </w:p>
    <w:p>
      <w:pPr>
        <w:pStyle w:val="TextBody"/>
        <w:bidi w:val="0"/>
        <w:spacing w:before="0" w:after="240"/>
        <w:jc w:val="left"/>
        <w:rPr>
          <w:rFonts w:ascii="Times New Roman" w:hAnsi="Times New Roman"/>
          <w:sz w:val="20"/>
        </w:rPr>
      </w:pPr>
      <w:r>
        <w:rPr>
          <w:rFonts w:ascii="Times New Roman" w:hAnsi="Times New Roman"/>
          <w:color w:val="000000"/>
          <w:sz w:val="20"/>
        </w:rPr>
        <w:t>Section 1.128. “</w:t>
      </w:r>
      <w:r>
        <w:rPr>
          <w:rFonts w:ascii="Times New Roman" w:hAnsi="Times New Roman"/>
          <w:i/>
          <w:color w:val="000000"/>
          <w:sz w:val="20"/>
        </w:rPr>
        <w:t>HSR Approval</w:t>
      </w:r>
      <w:r>
        <w:rPr>
          <w:rFonts w:ascii="Times New Roman" w:hAnsi="Times New Roman"/>
          <w:color w:val="000000"/>
          <w:sz w:val="20"/>
        </w:rPr>
        <w:t xml:space="preserve">” is defined in </w:t>
      </w:r>
      <w:r>
        <w:rPr>
          <w:rFonts w:ascii="Times New Roman" w:hAnsi="Times New Roman"/>
          <w:color w:val="000000"/>
          <w:sz w:val="20"/>
          <w:u w:val="single"/>
        </w:rPr>
        <w:t>Section 8.3(b)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1.129. “</w:t>
      </w:r>
      <w:r>
        <w:rPr>
          <w:rFonts w:ascii="Times New Roman" w:hAnsi="Times New Roman"/>
          <w:i/>
          <w:color w:val="000000"/>
          <w:sz w:val="20"/>
        </w:rPr>
        <w:t>In-the-Money Fortis Stock Options</w:t>
      </w:r>
      <w:r>
        <w:rPr>
          <w:rFonts w:ascii="Times New Roman" w:hAnsi="Times New Roman"/>
          <w:color w:val="000000"/>
          <w:sz w:val="20"/>
        </w:rPr>
        <w:t>” means all Fortis Stock Options that are issued, outstanding and vested (including as a result of any acceleration approved by the board of directors of Fortis in accordance with this Option Agreement) as of immediately prior to the Effective Time and that have an exercise price that is less than the per share portion of the Estimated Closing Payment payable in respect of each share of Fortis Common Stock, determined in accordance with the Charter.</w:t>
      </w:r>
    </w:p>
    <w:p>
      <w:pPr>
        <w:pStyle w:val="TextBody"/>
        <w:bidi w:val="0"/>
        <w:spacing w:before="0" w:after="240"/>
        <w:jc w:val="left"/>
        <w:rPr>
          <w:rFonts w:ascii="Times New Roman" w:hAnsi="Times New Roman"/>
          <w:sz w:val="20"/>
        </w:rPr>
      </w:pPr>
      <w:r>
        <w:rPr>
          <w:rFonts w:ascii="Times New Roman" w:hAnsi="Times New Roman"/>
          <w:color w:val="000000"/>
          <w:sz w:val="20"/>
        </w:rPr>
        <w:t>Section 1.130. “</w:t>
      </w:r>
      <w:r>
        <w:rPr>
          <w:rFonts w:ascii="Times New Roman" w:hAnsi="Times New Roman"/>
          <w:i/>
          <w:color w:val="000000"/>
          <w:sz w:val="20"/>
        </w:rPr>
        <w:t>In-the-Money Warrants</w:t>
      </w:r>
      <w:r>
        <w:rPr>
          <w:rFonts w:ascii="Times New Roman" w:hAnsi="Times New Roman"/>
          <w:color w:val="000000"/>
          <w:sz w:val="20"/>
        </w:rPr>
        <w:t xml:space="preserve">” means all Warrants issued and outstanding as of immediately prior to the Effective Time with an exercise price that is less than the per share portion of the Estimated Closing Payment payable in respect of each share of Fortis Common Stock, determined in accordance with the Charter.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1.131. “</w:t>
      </w:r>
      <w:r>
        <w:rPr>
          <w:rFonts w:ascii="Times New Roman" w:hAnsi="Times New Roman"/>
          <w:i/>
          <w:color w:val="000000"/>
          <w:sz w:val="20"/>
        </w:rPr>
        <w:t>IND</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1.132. “</w:t>
      </w:r>
      <w:r>
        <w:rPr>
          <w:rFonts w:ascii="Times New Roman" w:hAnsi="Times New Roman"/>
          <w:i/>
          <w:color w:val="000000"/>
          <w:sz w:val="20"/>
        </w:rPr>
        <w:t>Indebtedness</w:t>
      </w:r>
      <w:r>
        <w:rPr>
          <w:rFonts w:ascii="Times New Roman" w:hAnsi="Times New Roman"/>
          <w:color w:val="000000"/>
          <w:sz w:val="20"/>
        </w:rPr>
        <w:t>” of any Person means, without duplication, (i) all indebtedness of such Person for borrowed money or indebtedness issued or incurred in substitution or exchange for indebtedness for borrowed money (other than trade payables or other trade liabilities), (ii) all obligations of such Person evidenced by bonds, debentures, notes, mortgages or similar instruments, (iii) all Indebtedness of others secured by (or for which the holder of such Indebtedness has an existing right, contingent or otherwise, to be secured by) any Lien or other claim on any assets and properties owned or acquired by such Person, whether or not the obligations secured thereby have been assumed, (iv) all guarantees by such Person or contingent liabilities of such Person with respect to the Indebtedness of others, (v) all capital lease obligations of such Person, (vi) all obligations of such Person as an account party in respect of letters of credit and banker’s acceptances (solely to the extent drawn), (vii) all obligations with respect to severance pay or other termination-related payments or benefits owed to any person whose employment or other service relationship with Fortis terminates prior to the Closing, together with the employer portion of any Taxes arising therefrom, (viii) all obligations with respect to accrued but unpaid bonus and commission payments payable to current or former employees or other service providers of such Person, together with the employer portion of any Taxes arising therefrom, (ix) obligations under any interest rate, currency or other hedging agreement and (x) with respect to Fortis, all accrued and unpaid income Taxes of Fortis and any of its Subsidiaries for all Pre-Closing Tax Periods calculated in accordance with past practice (with the amount of such Taxes with respect to each applicable taxing jurisdiction and Tax for each applicable Pre-Closing Tax Period not being less than zero), and (xi) with respect to Fortis, all Closing Payroll Taxes.</w:t>
      </w:r>
    </w:p>
    <w:p>
      <w:pPr>
        <w:pStyle w:val="TextBody"/>
        <w:bidi w:val="0"/>
        <w:spacing w:before="0" w:after="240"/>
        <w:jc w:val="left"/>
        <w:rPr>
          <w:rFonts w:ascii="Times New Roman" w:hAnsi="Times New Roman"/>
          <w:sz w:val="20"/>
        </w:rPr>
      </w:pPr>
      <w:r>
        <w:rPr>
          <w:rFonts w:ascii="Times New Roman" w:hAnsi="Times New Roman"/>
          <w:color w:val="000000"/>
          <w:sz w:val="20"/>
        </w:rPr>
        <w:t>Section 1.133. “</w:t>
      </w:r>
      <w:r>
        <w:rPr>
          <w:rFonts w:ascii="Times New Roman" w:hAnsi="Times New Roman"/>
          <w:i/>
          <w:color w:val="000000"/>
          <w:sz w:val="20"/>
        </w:rPr>
        <w:t>Indemnified Party</w:t>
      </w:r>
      <w:r>
        <w:rPr>
          <w:rFonts w:ascii="Times New Roman" w:hAnsi="Times New Roman"/>
          <w:color w:val="000000"/>
          <w:sz w:val="20"/>
        </w:rPr>
        <w:t>” means the FibroGen Indemnified Parties or Seller Indemnified Parties, as applicable.</w:t>
      </w:r>
    </w:p>
    <w:p>
      <w:pPr>
        <w:pStyle w:val="TextBody"/>
        <w:bidi w:val="0"/>
        <w:spacing w:before="0" w:after="240"/>
        <w:jc w:val="left"/>
        <w:rPr>
          <w:rFonts w:ascii="Times New Roman" w:hAnsi="Times New Roman"/>
          <w:sz w:val="20"/>
        </w:rPr>
      </w:pPr>
      <w:r>
        <w:rPr>
          <w:rFonts w:ascii="Times New Roman" w:hAnsi="Times New Roman"/>
          <w:color w:val="000000"/>
          <w:sz w:val="20"/>
        </w:rPr>
        <w:t>Section 1.134. “</w:t>
      </w:r>
      <w:r>
        <w:rPr>
          <w:rFonts w:ascii="Times New Roman" w:hAnsi="Times New Roman"/>
          <w:i/>
          <w:color w:val="000000"/>
          <w:sz w:val="20"/>
        </w:rPr>
        <w:t>Indemnifying Party</w:t>
      </w:r>
      <w:r>
        <w:rPr>
          <w:rFonts w:ascii="Times New Roman" w:hAnsi="Times New Roman"/>
          <w:color w:val="000000"/>
          <w:sz w:val="20"/>
        </w:rPr>
        <w:t xml:space="preserve">” means any Person against whom a claim for indemnification is being asserted under any provision of </w:t>
      </w:r>
      <w:r>
        <w:rPr>
          <w:rFonts w:ascii="Times New Roman" w:hAnsi="Times New Roman"/>
          <w:color w:val="000000"/>
          <w:sz w:val="20"/>
          <w:u w:val="single"/>
        </w:rPr>
        <w:t>Article 9</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with respect to the Sellers, all references to “Indemnifying Party” in </w:t>
      </w:r>
      <w:r>
        <w:rPr>
          <w:rFonts w:ascii="Times New Roman" w:hAnsi="Times New Roman"/>
          <w:color w:val="000000"/>
          <w:sz w:val="20"/>
          <w:u w:val="single"/>
        </w:rPr>
        <w:t>Article 9</w:t>
      </w:r>
      <w:r>
        <w:rPr>
          <w:rFonts w:ascii="Times New Roman" w:hAnsi="Times New Roman"/>
          <w:color w:val="000000"/>
          <w:sz w:val="20"/>
        </w:rPr>
        <w:t xml:space="preserve"> with notices required to be delivered to, and all rights of the Indemnifying Party shall be deemed to refer to the Sellers’ Representative (except for provisions relating to an obligation to make or right to receive any payments), acting on behalf of the Sellers.</w:t>
      </w:r>
    </w:p>
    <w:p>
      <w:pPr>
        <w:pStyle w:val="TextBody"/>
        <w:bidi w:val="0"/>
        <w:spacing w:before="0" w:after="240"/>
        <w:jc w:val="left"/>
        <w:rPr>
          <w:rFonts w:ascii="Times New Roman" w:hAnsi="Times New Roman"/>
          <w:sz w:val="20"/>
        </w:rPr>
      </w:pPr>
      <w:r>
        <w:rPr>
          <w:rFonts w:ascii="Times New Roman" w:hAnsi="Times New Roman"/>
          <w:color w:val="000000"/>
          <w:sz w:val="20"/>
        </w:rPr>
        <w:t>Section 1.135. “</w:t>
      </w:r>
      <w:r>
        <w:rPr>
          <w:rFonts w:ascii="Times New Roman" w:hAnsi="Times New Roman"/>
          <w:i/>
          <w:color w:val="000000"/>
          <w:sz w:val="20"/>
        </w:rPr>
        <w:t>Indemnity Liability Cap</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1.136. “</w:t>
      </w:r>
      <w:r>
        <w:rPr>
          <w:rFonts w:ascii="Times New Roman" w:hAnsi="Times New Roman"/>
          <w:i/>
          <w:color w:val="000000"/>
          <w:sz w:val="20"/>
        </w:rPr>
        <w:t>Indemnity Pro Rata Share</w:t>
      </w:r>
      <w:r>
        <w:rPr>
          <w:rFonts w:ascii="Times New Roman" w:hAnsi="Times New Roman"/>
          <w:color w:val="000000"/>
          <w:sz w:val="20"/>
        </w:rPr>
        <w:t>” means, with respect to each Seller, the percentage amount obtained by dividing (i) the aggregate Merger Consideration paid or, with respect to Contingent Payments, payable to such Seller under this Option Agreement, by (ii) the aggregate Merger Consideration paid or, with respect to Contingent Payments, payable to all Sellers under this Option Agreement, in each case prior to any deductions.</w:t>
      </w:r>
    </w:p>
    <w:p>
      <w:pPr>
        <w:pStyle w:val="TextBody"/>
        <w:bidi w:val="0"/>
        <w:spacing w:before="0" w:after="240"/>
        <w:jc w:val="left"/>
        <w:rPr>
          <w:rFonts w:ascii="Times New Roman" w:hAnsi="Times New Roman"/>
          <w:sz w:val="20"/>
        </w:rPr>
      </w:pPr>
      <w:r>
        <w:rPr>
          <w:rFonts w:ascii="Times New Roman" w:hAnsi="Times New Roman"/>
          <w:color w:val="000000"/>
          <w:sz w:val="20"/>
        </w:rPr>
        <w:t>Section 1.137. “</w:t>
      </w:r>
      <w:r>
        <w:rPr>
          <w:rFonts w:ascii="Times New Roman" w:hAnsi="Times New Roman"/>
          <w:i/>
          <w:color w:val="000000"/>
          <w:sz w:val="20"/>
        </w:rPr>
        <w:t>Indication</w:t>
      </w:r>
      <w:r>
        <w:rPr>
          <w:rFonts w:ascii="Times New Roman" w:hAnsi="Times New Roman"/>
          <w:color w:val="000000"/>
          <w:sz w:val="20"/>
        </w:rPr>
        <w:t>” means each differentiated disease, condition, disorder or syndrome. For cancer, (i) any unique tissue or cell type of origin or patient population for which there are applicable NCCN Clinical Guidelines (e.g. prostate cancer, colon cancer, non-small cell lung cancer, pancreatic adenocarcinoma, pediatric central nervous system cancers, etc.), (ii) any new lines of therapy within the same cancer type (for example, 1st line NSCLC vs. 2nd line NSCLC), or (iii) different tumor or patient subpopulations described in any particular NCCN Clinical Guidelines (for example, triple negative breast cancer), in each case ((i)-(iii)) will be deemed separate Indications.</w:t>
      </w:r>
    </w:p>
    <w:p>
      <w:pPr>
        <w:pStyle w:val="TextBody"/>
        <w:bidi w:val="0"/>
        <w:spacing w:before="0" w:after="240"/>
        <w:jc w:val="left"/>
        <w:rPr>
          <w:rFonts w:ascii="Times New Roman" w:hAnsi="Times New Roman"/>
          <w:sz w:val="20"/>
        </w:rPr>
      </w:pPr>
      <w:r>
        <w:rPr>
          <w:rFonts w:ascii="Times New Roman" w:hAnsi="Times New Roman"/>
          <w:color w:val="000000"/>
          <w:sz w:val="20"/>
        </w:rPr>
        <w:t>Section 1.138. “</w:t>
      </w:r>
      <w:r>
        <w:rPr>
          <w:rFonts w:ascii="Times New Roman" w:hAnsi="Times New Roman"/>
          <w:i/>
          <w:color w:val="000000"/>
          <w:sz w:val="20"/>
        </w:rPr>
        <w:t>Intellectual Property</w:t>
      </w:r>
      <w:r>
        <w:rPr>
          <w:rFonts w:ascii="Times New Roman" w:hAnsi="Times New Roman"/>
          <w:color w:val="000000"/>
          <w:sz w:val="20"/>
        </w:rPr>
        <w:t>” means any (i) Patents, (ii) Marks or applications for Marks, (iii) Copyrights, (iv) Know-How or (v) other intellectual property or proprietary rights, including tangible biologic materials.</w:t>
      </w:r>
    </w:p>
    <w:p>
      <w:pPr>
        <w:pStyle w:val="TextBody"/>
        <w:bidi w:val="0"/>
        <w:spacing w:before="0" w:after="240"/>
        <w:jc w:val="left"/>
        <w:rPr>
          <w:rFonts w:ascii="Times New Roman" w:hAnsi="Times New Roman"/>
          <w:sz w:val="20"/>
        </w:rPr>
      </w:pPr>
      <w:r>
        <w:rPr>
          <w:rFonts w:ascii="Times New Roman" w:hAnsi="Times New Roman"/>
          <w:color w:val="000000"/>
          <w:sz w:val="20"/>
        </w:rPr>
        <w:t>Section 1.139. “</w:t>
      </w:r>
      <w:r>
        <w:rPr>
          <w:rFonts w:ascii="Times New Roman" w:hAnsi="Times New Roman"/>
          <w:i/>
          <w:color w:val="000000"/>
          <w:sz w:val="20"/>
        </w:rPr>
        <w:t>Invention Assignment Agreement</w:t>
      </w:r>
      <w:r>
        <w:rPr>
          <w:rFonts w:ascii="Times New Roman" w:hAnsi="Times New Roman"/>
          <w:color w:val="000000"/>
          <w:sz w:val="20"/>
        </w:rPr>
        <w:t xml:space="preserve">” is defined in </w:t>
      </w:r>
      <w:r>
        <w:rPr>
          <w:rFonts w:ascii="Times New Roman" w:hAnsi="Times New Roman"/>
          <w:color w:val="000000"/>
          <w:sz w:val="20"/>
          <w:u w:val="single"/>
        </w:rPr>
        <w:t>Section 5.14(g)</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1.140. “</w:t>
      </w:r>
      <w:r>
        <w:rPr>
          <w:rFonts w:ascii="Times New Roman" w:hAnsi="Times New Roman"/>
          <w:i/>
          <w:color w:val="000000"/>
          <w:sz w:val="20"/>
        </w:rPr>
        <w:t>Investors’ Rights Agreement</w:t>
      </w:r>
      <w:r>
        <w:rPr>
          <w:rFonts w:ascii="Times New Roman" w:hAnsi="Times New Roman"/>
          <w:color w:val="000000"/>
          <w:sz w:val="20"/>
        </w:rPr>
        <w:t>” means that certain Investors’ Rights Agreement, dated as of [*], by and among Fortis and the Investors (as defined therein) party thereto.</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1.141. “</w:t>
      </w:r>
      <w:r>
        <w:rPr>
          <w:rFonts w:ascii="Times New Roman" w:hAnsi="Times New Roman"/>
          <w:i/>
          <w:color w:val="000000"/>
          <w:sz w:val="20"/>
        </w:rPr>
        <w:t>IRS</w:t>
      </w:r>
      <w:r>
        <w:rPr>
          <w:rFonts w:ascii="Times New Roman" w:hAnsi="Times New Roman"/>
          <w:color w:val="000000"/>
          <w:sz w:val="20"/>
        </w:rPr>
        <w:t>” means the Internal Revenue Service of the United States of America.</w:t>
      </w:r>
    </w:p>
    <w:p>
      <w:pPr>
        <w:pStyle w:val="TextBody"/>
        <w:bidi w:val="0"/>
        <w:spacing w:before="0" w:after="240"/>
        <w:jc w:val="left"/>
        <w:rPr>
          <w:rFonts w:ascii="Times New Roman" w:hAnsi="Times New Roman"/>
          <w:sz w:val="20"/>
        </w:rPr>
      </w:pPr>
      <w:r>
        <w:rPr>
          <w:rFonts w:ascii="Times New Roman" w:hAnsi="Times New Roman"/>
          <w:color w:val="000000"/>
          <w:sz w:val="20"/>
        </w:rPr>
        <w:t>Section 1.142. “</w:t>
      </w:r>
      <w:r>
        <w:rPr>
          <w:rFonts w:ascii="Times New Roman" w:hAnsi="Times New Roman"/>
          <w:i/>
          <w:color w:val="000000"/>
          <w:sz w:val="20"/>
        </w:rPr>
        <w:t>Issued Patent</w:t>
      </w:r>
      <w:r>
        <w:rPr>
          <w:rFonts w:ascii="Times New Roman" w:hAnsi="Times New Roman"/>
          <w:color w:val="000000"/>
          <w:sz w:val="20"/>
        </w:rPr>
        <w:t>” means all issued patents, reissued or reexamined patents, including petty patents, design patents, revivals of patents, utility models, certificates of invention, registrations of patents and extensions thereof (including supplementary protection certificates), regardless of country issued or formal name, and any counterparts claiming priority therefrom or the benefit thereof under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Section 1.143. “</w:t>
      </w:r>
      <w:r>
        <w:rPr>
          <w:rFonts w:ascii="Times New Roman" w:hAnsi="Times New Roman"/>
          <w:i/>
          <w:color w:val="000000"/>
          <w:sz w:val="20"/>
        </w:rPr>
        <w:t>Joinder</w:t>
      </w:r>
      <w:r>
        <w:rPr>
          <w:rFonts w:ascii="Times New Roman" w:hAnsi="Times New Roman"/>
          <w:color w:val="000000"/>
          <w:sz w:val="20"/>
        </w:rPr>
        <w:t xml:space="preserve">” means the joinder to this Option Agreement in the form attached hereto as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1.144. “</w:t>
      </w:r>
      <w:r>
        <w:rPr>
          <w:rFonts w:ascii="Times New Roman" w:hAnsi="Times New Roman"/>
          <w:i/>
          <w:color w:val="000000"/>
          <w:sz w:val="20"/>
        </w:rPr>
        <w:t>Judgment</w:t>
      </w:r>
      <w:r>
        <w:rPr>
          <w:rFonts w:ascii="Times New Roman" w:hAnsi="Times New Roman"/>
          <w:color w:val="000000"/>
          <w:sz w:val="20"/>
        </w:rPr>
        <w:t>” means any writ, judgment, injunction, order, decree, stipulation determination or award entered by or with any Governmental Entity.</w:t>
      </w:r>
    </w:p>
    <w:p>
      <w:pPr>
        <w:pStyle w:val="TextBody"/>
        <w:bidi w:val="0"/>
        <w:spacing w:before="0" w:after="240"/>
        <w:jc w:val="left"/>
        <w:rPr>
          <w:rFonts w:ascii="Times New Roman" w:hAnsi="Times New Roman"/>
          <w:sz w:val="20"/>
        </w:rPr>
      </w:pPr>
      <w:r>
        <w:rPr>
          <w:rFonts w:ascii="Times New Roman" w:hAnsi="Times New Roman"/>
          <w:color w:val="000000"/>
          <w:sz w:val="20"/>
        </w:rPr>
        <w:t>Section 1.145. “</w:t>
      </w:r>
      <w:r>
        <w:rPr>
          <w:rFonts w:ascii="Times New Roman" w:hAnsi="Times New Roman"/>
          <w:i/>
          <w:color w:val="000000"/>
          <w:sz w:val="20"/>
        </w:rPr>
        <w:t>Know-How</w:t>
      </w:r>
      <w:r>
        <w:rPr>
          <w:rFonts w:ascii="Times New Roman" w:hAnsi="Times New Roman"/>
          <w:color w:val="000000"/>
          <w:sz w:val="20"/>
        </w:rPr>
        <w:t>” means information (including confidential information), know-how, inventions, discoveries, compositions, formulations, formulas, practices, procedures, processes, methods, knowledge, trade secrets, technology, techniques, designs, drawings, correspondence, computer programs, documents, apparatus, results, strategies, information pertaining to, or made in association with, filings with any Regulatory Entity or patent office, data (including pharmacological, toxicological, non-clinical, pre-clinical and clinical data, analytical and quality control data, manufacturing data and descriptions, market data, financial data or descriptions), devices, assays, specifications, physical, chemical and biological materials and compounds, and the like, in written, electronic, oral or other tangible or intangible form, now known or hereafter developed, whether or not patentable. Know-How shall include all contents of the Data Room and all Confidential Information shared with FibroGen by Fortis.</w:t>
      </w:r>
    </w:p>
    <w:p>
      <w:pPr>
        <w:pStyle w:val="TextBody"/>
        <w:bidi w:val="0"/>
        <w:spacing w:before="0" w:after="240"/>
        <w:jc w:val="left"/>
        <w:rPr>
          <w:rFonts w:ascii="Times New Roman" w:hAnsi="Times New Roman"/>
          <w:sz w:val="20"/>
        </w:rPr>
      </w:pPr>
      <w:r>
        <w:rPr>
          <w:rFonts w:ascii="Times New Roman" w:hAnsi="Times New Roman"/>
          <w:color w:val="000000"/>
          <w:sz w:val="20"/>
        </w:rPr>
        <w:t>Section 1.146. “</w:t>
      </w:r>
      <w:r>
        <w:rPr>
          <w:rFonts w:ascii="Times New Roman" w:hAnsi="Times New Roman"/>
          <w:i/>
          <w:color w:val="000000"/>
          <w:sz w:val="20"/>
        </w:rPr>
        <w:t>Latest Balance Sheet</w:t>
      </w:r>
      <w:r>
        <w:rPr>
          <w:rFonts w:ascii="Times New Roman" w:hAnsi="Times New Roman"/>
          <w:color w:val="000000"/>
          <w:sz w:val="20"/>
        </w:rPr>
        <w:t xml:space="preserve">” means Fortis’s most recently prepared balance sheet in the Updated Financial Statements delivered to FibroGen prior to the Closing pursuant to </w:t>
      </w:r>
      <w:r>
        <w:rPr>
          <w:rFonts w:ascii="Times New Roman" w:hAnsi="Times New Roman"/>
          <w:color w:val="000000"/>
          <w:sz w:val="20"/>
          <w:u w:val="single"/>
        </w:rPr>
        <w:t>Section 3.1(c)</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1.147. “</w:t>
      </w:r>
      <w:r>
        <w:rPr>
          <w:rFonts w:ascii="Times New Roman" w:hAnsi="Times New Roman"/>
          <w:i/>
          <w:color w:val="000000"/>
          <w:sz w:val="20"/>
        </w:rPr>
        <w:t>Law</w:t>
      </w:r>
      <w:r>
        <w:rPr>
          <w:rFonts w:ascii="Times New Roman" w:hAnsi="Times New Roman"/>
          <w:color w:val="000000"/>
          <w:sz w:val="20"/>
        </w:rPr>
        <w:t>” means any federal, state, territorial, foreign or local law, common law, statute, ordinance, judicial decision, rule, regulation or code of any Governmental Entity.</w:t>
      </w:r>
    </w:p>
    <w:p>
      <w:pPr>
        <w:pStyle w:val="TextBody"/>
        <w:bidi w:val="0"/>
        <w:spacing w:before="0" w:after="240"/>
        <w:jc w:val="left"/>
        <w:rPr>
          <w:rFonts w:ascii="Times New Roman" w:hAnsi="Times New Roman"/>
          <w:sz w:val="20"/>
        </w:rPr>
      </w:pPr>
      <w:r>
        <w:rPr>
          <w:rFonts w:ascii="Times New Roman" w:hAnsi="Times New Roman"/>
          <w:color w:val="000000"/>
          <w:sz w:val="20"/>
        </w:rPr>
        <w:t>Section 1.148. “</w:t>
      </w:r>
      <w:r>
        <w:rPr>
          <w:rFonts w:ascii="Times New Roman" w:hAnsi="Times New Roman"/>
          <w:i/>
          <w:color w:val="000000"/>
          <w:sz w:val="20"/>
        </w:rPr>
        <w:t>Legal Requirement</w:t>
      </w:r>
      <w:r>
        <w:rPr>
          <w:rFonts w:ascii="Times New Roman" w:hAnsi="Times New Roman"/>
          <w:color w:val="000000"/>
          <w:sz w:val="20"/>
        </w:rPr>
        <w:t>” means any United States federal, state or local or any foreign law, statute, standard, ordinance, code, rule, regulation, resolution or promulgation, or any Government Order.</w:t>
      </w:r>
    </w:p>
    <w:p>
      <w:pPr>
        <w:pStyle w:val="TextBody"/>
        <w:bidi w:val="0"/>
        <w:spacing w:before="0" w:after="240"/>
        <w:jc w:val="left"/>
        <w:rPr>
          <w:rFonts w:ascii="Times New Roman" w:hAnsi="Times New Roman"/>
          <w:sz w:val="20"/>
        </w:rPr>
      </w:pPr>
      <w:r>
        <w:rPr>
          <w:rFonts w:ascii="Times New Roman" w:hAnsi="Times New Roman"/>
          <w:color w:val="000000"/>
          <w:sz w:val="20"/>
        </w:rPr>
        <w:t>Section 1.149. “</w:t>
      </w:r>
      <w:r>
        <w:rPr>
          <w:rFonts w:ascii="Times New Roman" w:hAnsi="Times New Roman"/>
          <w:i/>
          <w:color w:val="000000"/>
          <w:sz w:val="20"/>
        </w:rPr>
        <w:t>Letter of Transmittal</w:t>
      </w:r>
      <w:r>
        <w:rPr>
          <w:rFonts w:ascii="Times New Roman" w:hAnsi="Times New Roman"/>
          <w:color w:val="000000"/>
          <w:sz w:val="20"/>
        </w:rPr>
        <w:t xml:space="preserve">” is defined in </w:t>
      </w:r>
      <w:r>
        <w:rPr>
          <w:rFonts w:ascii="Times New Roman" w:hAnsi="Times New Roman"/>
          <w:color w:val="000000"/>
          <w:sz w:val="20"/>
          <w:u w:val="single"/>
        </w:rPr>
        <w:t>Section 2.11(a)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1.150. “</w:t>
      </w:r>
      <w:r>
        <w:rPr>
          <w:rFonts w:ascii="Times New Roman" w:hAnsi="Times New Roman"/>
          <w:i/>
          <w:color w:val="000000"/>
          <w:sz w:val="20"/>
        </w:rPr>
        <w:t>Liabilities</w:t>
      </w:r>
      <w:r>
        <w:rPr>
          <w:rFonts w:ascii="Times New Roman" w:hAnsi="Times New Roman"/>
          <w:color w:val="000000"/>
          <w:sz w:val="20"/>
        </w:rPr>
        <w:t>” means any and all damages, debts, liabilities and obligations, Losses, Taxes, interest obligations, deficiencies, judgments, assessments, fines, fees, penalties, and expenses, whether accrued or fixed, absolute or contingent, matured or unmatured or determined or determinable, including those arising under any Law, Action or Judgment and those arising under any contract, agreement, arrangement, commitment or undertaking.</w:t>
      </w:r>
    </w:p>
    <w:p>
      <w:pPr>
        <w:pStyle w:val="TextBody"/>
        <w:bidi w:val="0"/>
        <w:spacing w:before="0" w:after="240"/>
        <w:jc w:val="left"/>
        <w:rPr>
          <w:rFonts w:ascii="Times New Roman" w:hAnsi="Times New Roman"/>
          <w:sz w:val="20"/>
        </w:rPr>
      </w:pPr>
      <w:r>
        <w:rPr>
          <w:rFonts w:ascii="Times New Roman" w:hAnsi="Times New Roman"/>
          <w:color w:val="000000"/>
          <w:sz w:val="20"/>
        </w:rPr>
        <w:t>Section 1.151. “</w:t>
      </w:r>
      <w:r>
        <w:rPr>
          <w:rFonts w:ascii="Times New Roman" w:hAnsi="Times New Roman"/>
          <w:i/>
          <w:color w:val="000000"/>
          <w:sz w:val="20"/>
        </w:rPr>
        <w:t>Lien”</w:t>
      </w:r>
      <w:r>
        <w:rPr>
          <w:rFonts w:ascii="Times New Roman" w:hAnsi="Times New Roman"/>
          <w:color w:val="000000"/>
          <w:sz w:val="20"/>
        </w:rPr>
        <w:t xml:space="preserve"> means any lien, security interest, mortgage, pledge, lease, levy, charge, equitable or ownership interest, license, or other encumbrance or restriction of any kind, whether arising by Contract or by operation of Law, or any conditional sale Contract or title retention Contract.</w:t>
      </w:r>
    </w:p>
    <w:p>
      <w:pPr>
        <w:pStyle w:val="TextBody"/>
        <w:bidi w:val="0"/>
        <w:spacing w:before="0" w:after="240"/>
        <w:jc w:val="left"/>
        <w:rPr>
          <w:rFonts w:ascii="Times New Roman" w:hAnsi="Times New Roman"/>
          <w:sz w:val="20"/>
        </w:rPr>
      </w:pPr>
      <w:r>
        <w:rPr>
          <w:rFonts w:ascii="Times New Roman" w:hAnsi="Times New Roman"/>
          <w:color w:val="000000"/>
          <w:sz w:val="20"/>
        </w:rPr>
        <w:t>Section 1.152. “</w:t>
      </w:r>
      <w:r>
        <w:rPr>
          <w:rFonts w:ascii="Times New Roman" w:hAnsi="Times New Roman"/>
          <w:i/>
          <w:color w:val="000000"/>
          <w:sz w:val="20"/>
        </w:rPr>
        <w:t>Losses</w:t>
      </w:r>
      <w:r>
        <w:rPr>
          <w:rFonts w:ascii="Times New Roman" w:hAnsi="Times New Roman"/>
          <w:color w:val="000000"/>
          <w:sz w:val="20"/>
        </w:rPr>
        <w:t>” means any [*].</w:t>
      </w:r>
    </w:p>
    <w:p>
      <w:pPr>
        <w:pStyle w:val="TextBody"/>
        <w:bidi w:val="0"/>
        <w:spacing w:before="0" w:after="240"/>
        <w:jc w:val="left"/>
        <w:rPr>
          <w:rFonts w:ascii="Times New Roman" w:hAnsi="Times New Roman"/>
          <w:sz w:val="20"/>
        </w:rPr>
      </w:pPr>
      <w:r>
        <w:rPr>
          <w:rFonts w:ascii="Times New Roman" w:hAnsi="Times New Roman"/>
          <w:color w:val="000000"/>
          <w:sz w:val="20"/>
        </w:rPr>
        <w:t>Section 1.153. “</w:t>
      </w:r>
      <w:r>
        <w:rPr>
          <w:rFonts w:ascii="Times New Roman" w:hAnsi="Times New Roman"/>
          <w:i/>
          <w:color w:val="000000"/>
          <w:sz w:val="20"/>
        </w:rPr>
        <w:t>Manufacture</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1.154. “</w:t>
      </w:r>
      <w:r>
        <w:rPr>
          <w:rFonts w:ascii="Times New Roman" w:hAnsi="Times New Roman"/>
          <w:i/>
          <w:color w:val="000000"/>
          <w:sz w:val="20"/>
        </w:rPr>
        <w:t>Mark</w:t>
      </w:r>
      <w:r>
        <w:rPr>
          <w:rFonts w:ascii="Times New Roman" w:hAnsi="Times New Roman"/>
          <w:color w:val="000000"/>
          <w:sz w:val="20"/>
        </w:rPr>
        <w:t>” means any trademark, trade name, trade dress, service mark or domain name.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1.155. “</w:t>
      </w:r>
      <w:r>
        <w:rPr>
          <w:rFonts w:ascii="Times New Roman" w:hAnsi="Times New Roman"/>
          <w:i/>
          <w:color w:val="000000"/>
          <w:sz w:val="20"/>
        </w:rPr>
        <w:t>Material Adverse Change</w:t>
      </w:r>
      <w:r>
        <w:rPr>
          <w:rFonts w:ascii="Times New Roman" w:hAnsi="Times New Roman"/>
          <w:color w:val="000000"/>
          <w:sz w:val="20"/>
        </w:rPr>
        <w:t>” means any change, effect, event, occurrence, state of facts or development (collectively, “</w:t>
      </w:r>
      <w:r>
        <w:rPr>
          <w:rFonts w:ascii="Times New Roman" w:hAnsi="Times New Roman"/>
          <w:i/>
          <w:color w:val="000000"/>
          <w:sz w:val="20"/>
        </w:rPr>
        <w:t>Effect</w:t>
      </w:r>
      <w:r>
        <w:rPr>
          <w:rFonts w:ascii="Times New Roman" w:hAnsi="Times New Roman"/>
          <w:color w:val="000000"/>
          <w:sz w:val="20"/>
        </w:rPr>
        <w:t xml:space="preserve">”) which, individually or in the aggregate, would reasonably be expected to result in, or has resulted in, any change or effect, that (i) is materially adverse to the business, condition (financial or otherwise), assets, liabilities or results of operations of Fortis, or (ii) would reasonably be expected to prevent or materially impede, materially interfere with, materially hinder or materially delay the consummation of the Merger; </w:t>
      </w:r>
      <w:r>
        <w:rPr>
          <w:rFonts w:ascii="Times New Roman" w:hAnsi="Times New Roman"/>
          <w:i/>
          <w:color w:val="000000"/>
          <w:sz w:val="20"/>
        </w:rPr>
        <w:t>provided</w:t>
      </w:r>
      <w:r>
        <w:rPr>
          <w:rFonts w:ascii="Times New Roman" w:hAnsi="Times New Roman"/>
          <w:color w:val="000000"/>
          <w:sz w:val="20"/>
        </w:rPr>
        <w:t xml:space="preserve"> that none of the following shall be deemed, either alone or in combination, to constitute, and none of the following shall be taken into account in determining whether there has been or will be, a Material Adverse Change: (a) any Effect relating to the economy in general in the United States or in any other jurisdiction in which Fortis has operations or conducts business, to the extent such Effects do not disproportionately impact Fortis as compared to any of the other companies in Fortis’s industry; (b) any Effect reasonably attributable to conditions affecting the industry in which Fortis participates, to the extent such Effects do not disproportionately impact Fortis as compared to any of the other companies in Fortis’s industry; (c) any natural disaster or acts of terrorism, military action or war, or any escalation or worsening thereof; (d) changes in applicable Laws or GAAP, to the extent such changes do not disproportionately impact Fortis as compared to any of the other companies in Fortis’s industry; and (e) any Effect to the extent resulting from or arising out of the execution, delivery, announcement or performance of this Option Agreement, any of the Ancillary Agreements or the announcement, pendency or anticipated consummation of the Merger or the other transactions contemplated herein or therein.</w:t>
      </w:r>
    </w:p>
    <w:p>
      <w:pPr>
        <w:pStyle w:val="TextBody"/>
        <w:bidi w:val="0"/>
        <w:spacing w:before="0" w:after="240"/>
        <w:jc w:val="left"/>
        <w:rPr>
          <w:rFonts w:ascii="Times New Roman" w:hAnsi="Times New Roman"/>
          <w:sz w:val="20"/>
        </w:rPr>
      </w:pPr>
      <w:r>
        <w:rPr>
          <w:rFonts w:ascii="Times New Roman" w:hAnsi="Times New Roman"/>
          <w:color w:val="000000"/>
          <w:sz w:val="20"/>
        </w:rPr>
        <w:t>Section 1.156. “</w:t>
      </w:r>
      <w:r>
        <w:rPr>
          <w:rFonts w:ascii="Times New Roman" w:hAnsi="Times New Roman"/>
          <w:i/>
          <w:color w:val="000000"/>
          <w:sz w:val="20"/>
        </w:rPr>
        <w:t>Material Claims</w:t>
      </w:r>
      <w:r>
        <w:rPr>
          <w:rFonts w:ascii="Times New Roman" w:hAnsi="Times New Roman"/>
          <w:color w:val="000000"/>
          <w:sz w:val="20"/>
        </w:rPr>
        <w:t xml:space="preserve">” is defined in </w:t>
      </w:r>
      <w:r>
        <w:rPr>
          <w:rFonts w:ascii="Times New Roman" w:hAnsi="Times New Roman"/>
          <w:color w:val="000000"/>
          <w:sz w:val="20"/>
          <w:u w:val="single"/>
        </w:rPr>
        <w:t>Section 9.4(e)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1.157. “</w:t>
      </w:r>
      <w:r>
        <w:rPr>
          <w:rFonts w:ascii="Times New Roman" w:hAnsi="Times New Roman"/>
          <w:i/>
          <w:color w:val="000000"/>
          <w:sz w:val="20"/>
        </w:rPr>
        <w:t>Material Contract</w:t>
      </w:r>
      <w:r>
        <w:rPr>
          <w:rFonts w:ascii="Times New Roman" w:hAnsi="Times New Roman"/>
          <w:color w:val="000000"/>
          <w:sz w:val="20"/>
        </w:rPr>
        <w:t xml:space="preserve">” is defined in </w:t>
      </w:r>
      <w:r>
        <w:rPr>
          <w:rFonts w:ascii="Times New Roman" w:hAnsi="Times New Roman"/>
          <w:color w:val="000000"/>
          <w:sz w:val="20"/>
          <w:u w:val="single"/>
        </w:rPr>
        <w:t>Section 5.13(a)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1.158. “</w:t>
      </w:r>
      <w:r>
        <w:rPr>
          <w:rFonts w:ascii="Times New Roman" w:hAnsi="Times New Roman"/>
          <w:i/>
          <w:color w:val="000000"/>
          <w:sz w:val="20"/>
        </w:rPr>
        <w:t>Merger</w:t>
      </w:r>
      <w:r>
        <w:rPr>
          <w:rFonts w:ascii="Times New Roman" w:hAnsi="Times New Roman"/>
          <w:color w:val="000000"/>
          <w:sz w:val="20"/>
        </w:rPr>
        <w:t>” is defined in the Recitals.</w:t>
      </w:r>
    </w:p>
    <w:p>
      <w:pPr>
        <w:pStyle w:val="TextBody"/>
        <w:bidi w:val="0"/>
        <w:spacing w:before="0" w:after="240"/>
        <w:jc w:val="left"/>
        <w:rPr>
          <w:rFonts w:ascii="Times New Roman" w:hAnsi="Times New Roman"/>
          <w:sz w:val="20"/>
        </w:rPr>
      </w:pPr>
      <w:r>
        <w:rPr>
          <w:rFonts w:ascii="Times New Roman" w:hAnsi="Times New Roman"/>
          <w:color w:val="000000"/>
          <w:sz w:val="20"/>
        </w:rPr>
        <w:t>Section 1.159. “</w:t>
      </w:r>
      <w:r>
        <w:rPr>
          <w:rFonts w:ascii="Times New Roman" w:hAnsi="Times New Roman"/>
          <w:i/>
          <w:color w:val="000000"/>
          <w:sz w:val="20"/>
        </w:rPr>
        <w:t>Merger Consideration</w:t>
      </w:r>
      <w:r>
        <w:rPr>
          <w:rFonts w:ascii="Times New Roman" w:hAnsi="Times New Roman"/>
          <w:color w:val="000000"/>
          <w:sz w:val="20"/>
        </w:rPr>
        <w:t xml:space="preserve">” is defined in </w:t>
      </w:r>
      <w:r>
        <w:rPr>
          <w:rFonts w:ascii="Times New Roman" w:hAnsi="Times New Roman"/>
          <w:color w:val="000000"/>
          <w:sz w:val="20"/>
          <w:u w:val="single"/>
        </w:rPr>
        <w:t>Section 2.8(c)</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1.160. “</w:t>
      </w:r>
      <w:r>
        <w:rPr>
          <w:rFonts w:ascii="Times New Roman" w:hAnsi="Times New Roman"/>
          <w:i/>
          <w:color w:val="000000"/>
          <w:sz w:val="20"/>
        </w:rPr>
        <w:t>Merger Sub</w:t>
      </w:r>
      <w:r>
        <w:rPr>
          <w:rFonts w:ascii="Times New Roman" w:hAnsi="Times New Roman"/>
          <w:color w:val="000000"/>
          <w:sz w:val="20"/>
        </w:rPr>
        <w:t xml:space="preserve">” means the direct, wholly owned subsidiary of FibroGen that FibroGen will incorporate after the date of this Option Agreement pursuant to </w:t>
      </w:r>
      <w:r>
        <w:rPr>
          <w:rFonts w:ascii="Times New Roman" w:hAnsi="Times New Roman"/>
          <w:color w:val="000000"/>
          <w:sz w:val="20"/>
          <w:u w:val="single"/>
        </w:rPr>
        <w:t>Section 7.13</w:t>
      </w:r>
      <w:r>
        <w:rPr>
          <w:rFonts w:ascii="Times New Roman" w:hAnsi="Times New Roman"/>
          <w:color w:val="000000"/>
          <w:sz w:val="20"/>
        </w:rPr>
        <w:t xml:space="preserve"> to effectuate the Merger.</w:t>
      </w:r>
    </w:p>
    <w:p>
      <w:pPr>
        <w:pStyle w:val="TextBody"/>
        <w:bidi w:val="0"/>
        <w:spacing w:before="0" w:after="240"/>
        <w:jc w:val="left"/>
        <w:rPr>
          <w:rFonts w:ascii="Times New Roman" w:hAnsi="Times New Roman"/>
          <w:sz w:val="20"/>
        </w:rPr>
      </w:pPr>
      <w:r>
        <w:rPr>
          <w:rFonts w:ascii="Times New Roman" w:hAnsi="Times New Roman"/>
          <w:color w:val="000000"/>
          <w:sz w:val="20"/>
        </w:rPr>
        <w:t>Section 1.161. “</w:t>
      </w:r>
      <w:r>
        <w:rPr>
          <w:rFonts w:ascii="Times New Roman" w:hAnsi="Times New Roman"/>
          <w:i/>
          <w:color w:val="000000"/>
          <w:sz w:val="20"/>
        </w:rPr>
        <w:t>Merger Sub Common Stock</w:t>
      </w:r>
      <w:r>
        <w:rPr>
          <w:rFonts w:ascii="Times New Roman" w:hAnsi="Times New Roman"/>
          <w:color w:val="000000"/>
          <w:sz w:val="20"/>
        </w:rPr>
        <w:t>” means the common stock of Merger Sub.</w:t>
      </w:r>
    </w:p>
    <w:p>
      <w:pPr>
        <w:pStyle w:val="TextBody"/>
        <w:bidi w:val="0"/>
        <w:spacing w:before="0" w:after="240"/>
        <w:jc w:val="left"/>
        <w:rPr>
          <w:rFonts w:ascii="Times New Roman" w:hAnsi="Times New Roman"/>
          <w:sz w:val="20"/>
        </w:rPr>
      </w:pPr>
      <w:r>
        <w:rPr>
          <w:rFonts w:ascii="Times New Roman" w:hAnsi="Times New Roman"/>
          <w:color w:val="000000"/>
          <w:sz w:val="20"/>
        </w:rPr>
        <w:t>Section 1.162. “</w:t>
      </w:r>
      <w:r>
        <w:rPr>
          <w:rFonts w:ascii="Times New Roman" w:hAnsi="Times New Roman"/>
          <w:i/>
          <w:color w:val="000000"/>
          <w:sz w:val="20"/>
        </w:rPr>
        <w:t>Mini Basket</w:t>
      </w:r>
      <w:r>
        <w:rPr>
          <w:rFonts w:ascii="Times New Roman" w:hAnsi="Times New Roman"/>
          <w:color w:val="000000"/>
          <w:sz w:val="20"/>
        </w:rPr>
        <w:t xml:space="preserve">” is defined in </w:t>
      </w:r>
      <w:r>
        <w:rPr>
          <w:rFonts w:ascii="Times New Roman" w:hAnsi="Times New Roman"/>
          <w:color w:val="000000"/>
          <w:sz w:val="20"/>
          <w:u w:val="single"/>
        </w:rPr>
        <w:t>Section 9.4(a)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1.163. “</w:t>
      </w:r>
      <w:r>
        <w:rPr>
          <w:rFonts w:ascii="Times New Roman" w:hAnsi="Times New Roman"/>
          <w:i/>
          <w:color w:val="000000"/>
          <w:sz w:val="20"/>
        </w:rPr>
        <w:t>Modified Product</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1.164. “</w:t>
      </w:r>
      <w:r>
        <w:rPr>
          <w:rFonts w:ascii="Times New Roman" w:hAnsi="Times New Roman"/>
          <w:i/>
          <w:color w:val="000000"/>
          <w:sz w:val="20"/>
        </w:rPr>
        <w:t>Most Recent Balance Sheet</w:t>
      </w:r>
      <w:r>
        <w:rPr>
          <w:rFonts w:ascii="Times New Roman" w:hAnsi="Times New Roman"/>
          <w:color w:val="000000"/>
          <w:sz w:val="20"/>
        </w:rPr>
        <w:t>” means the unaudited consolidated balance sheet of Fortis as of the Most Recent Balance Sheet Date.</w:t>
      </w:r>
    </w:p>
    <w:p>
      <w:pPr>
        <w:pStyle w:val="TextBody"/>
        <w:bidi w:val="0"/>
        <w:spacing w:before="0" w:after="240"/>
        <w:jc w:val="left"/>
        <w:rPr>
          <w:rFonts w:ascii="Times New Roman" w:hAnsi="Times New Roman"/>
          <w:sz w:val="20"/>
        </w:rPr>
      </w:pPr>
      <w:r>
        <w:rPr>
          <w:rFonts w:ascii="Times New Roman" w:hAnsi="Times New Roman"/>
          <w:color w:val="000000"/>
          <w:sz w:val="20"/>
        </w:rPr>
        <w:t>Section 1.165. “</w:t>
      </w:r>
      <w:r>
        <w:rPr>
          <w:rFonts w:ascii="Times New Roman" w:hAnsi="Times New Roman"/>
          <w:i/>
          <w:color w:val="000000"/>
          <w:sz w:val="20"/>
        </w:rPr>
        <w:t>Most Recent Balance Sheet Date</w:t>
      </w:r>
      <w:r>
        <w:rPr>
          <w:rFonts w:ascii="Times New Roman" w:hAnsi="Times New Roman"/>
          <w:color w:val="000000"/>
          <w:sz w:val="20"/>
        </w:rPr>
        <w:t xml:space="preserve">” is defined in </w:t>
      </w:r>
      <w:r>
        <w:rPr>
          <w:rFonts w:ascii="Times New Roman" w:hAnsi="Times New Roman"/>
          <w:color w:val="000000"/>
          <w:sz w:val="20"/>
          <w:u w:val="single"/>
        </w:rPr>
        <w:t>Section 5.8</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1.166. “</w:t>
      </w:r>
      <w:r>
        <w:rPr>
          <w:rFonts w:ascii="Times New Roman" w:hAnsi="Times New Roman"/>
          <w:i/>
          <w:color w:val="000000"/>
          <w:sz w:val="20"/>
        </w:rPr>
        <w:t>NCCN</w:t>
      </w:r>
      <w:r>
        <w:rPr>
          <w:rFonts w:ascii="Times New Roman" w:hAnsi="Times New Roman"/>
          <w:color w:val="000000"/>
          <w:sz w:val="20"/>
        </w:rPr>
        <w:t>” means the National Comprehensive Cancer Network.</w:t>
      </w:r>
    </w:p>
    <w:p>
      <w:pPr>
        <w:pStyle w:val="TextBody"/>
        <w:bidi w:val="0"/>
        <w:spacing w:before="0" w:after="240"/>
        <w:jc w:val="left"/>
        <w:rPr>
          <w:rFonts w:ascii="Times New Roman" w:hAnsi="Times New Roman"/>
          <w:sz w:val="20"/>
        </w:rPr>
      </w:pPr>
      <w:r>
        <w:rPr>
          <w:rFonts w:ascii="Times New Roman" w:hAnsi="Times New Roman"/>
          <w:color w:val="000000"/>
          <w:sz w:val="20"/>
        </w:rPr>
        <w:t>Section 1.167. “</w:t>
      </w:r>
      <w:r>
        <w:rPr>
          <w:rFonts w:ascii="Times New Roman" w:hAnsi="Times New Roman"/>
          <w:i/>
          <w:color w:val="000000"/>
          <w:sz w:val="20"/>
        </w:rPr>
        <w:t>NCCN Clinical Guideline</w:t>
      </w:r>
      <w:r>
        <w:rPr>
          <w:rFonts w:ascii="Times New Roman" w:hAnsi="Times New Roman"/>
          <w:color w:val="000000"/>
          <w:sz w:val="20"/>
        </w:rPr>
        <w:t xml:space="preserve">” means the then current NCCN Clinical Practice Guidelines in Oncology as found at www.nccn.org/guidelines. </w:t>
      </w:r>
    </w:p>
    <w:p>
      <w:pPr>
        <w:pStyle w:val="TextBody"/>
        <w:bidi w:val="0"/>
        <w:spacing w:before="0" w:after="240"/>
        <w:jc w:val="left"/>
        <w:rPr>
          <w:rFonts w:ascii="Times New Roman" w:hAnsi="Times New Roman"/>
          <w:sz w:val="20"/>
        </w:rPr>
      </w:pPr>
      <w:r>
        <w:rPr>
          <w:rFonts w:ascii="Times New Roman" w:hAnsi="Times New Roman"/>
          <w:color w:val="000000"/>
          <w:sz w:val="20"/>
        </w:rPr>
        <w:t>Section 1.168. “</w:t>
      </w:r>
      <w:r>
        <w:rPr>
          <w:rFonts w:ascii="Times New Roman" w:hAnsi="Times New Roman"/>
          <w:i/>
          <w:color w:val="000000"/>
          <w:sz w:val="20"/>
        </w:rPr>
        <w:t>Negative Adjustment Amount</w:t>
      </w:r>
      <w:r>
        <w:rPr>
          <w:rFonts w:ascii="Times New Roman" w:hAnsi="Times New Roman"/>
          <w:color w:val="000000"/>
          <w:sz w:val="20"/>
        </w:rPr>
        <w:t xml:space="preserve">” is defined in </w:t>
      </w:r>
      <w:r>
        <w:rPr>
          <w:rFonts w:ascii="Times New Roman" w:hAnsi="Times New Roman"/>
          <w:color w:val="000000"/>
          <w:sz w:val="20"/>
          <w:u w:val="single"/>
        </w:rPr>
        <w:t>Section 2.15(e)</w:t>
      </w:r>
      <w:r>
        <w:rPr>
          <w:rFonts w:ascii="Times New Roman" w:hAnsi="Times New Roman"/>
          <w:color w:val="000000"/>
          <w:sz w:val="20"/>
        </w:rPr>
        <w:t>.</w:t>
      </w:r>
    </w:p>
    <w:p>
      <w:pPr>
        <w:pStyle w:val="TextBody"/>
        <w:bidi w:val="0"/>
        <w:spacing w:before="0" w:after="240"/>
        <w:jc w:val="left"/>
        <w:rPr>
          <w:rFonts w:ascii="Times New Roman" w:hAnsi="Times New Roman"/>
          <w:sz w:val="20"/>
        </w:rPr>
      </w:pPr>
      <w:bookmarkStart w:id="55" w:name="el2o_o"/>
      <w:bookmarkEnd w:id="55"/>
      <w:r>
        <w:rPr>
          <w:rFonts w:ascii="Times New Roman" w:hAnsi="Times New Roman"/>
          <w:color w:val="000000"/>
          <w:sz w:val="20"/>
        </w:rPr>
        <w:t>Section 1.169. “</w:t>
      </w:r>
      <w:r>
        <w:rPr>
          <w:rFonts w:ascii="Times New Roman" w:hAnsi="Times New Roman"/>
          <w:i/>
          <w:color w:val="000000"/>
          <w:sz w:val="20"/>
        </w:rPr>
        <w:t>Non-Employee Stock Option</w:t>
      </w:r>
      <w:r>
        <w:rPr>
          <w:rFonts w:ascii="Times New Roman" w:hAnsi="Times New Roman"/>
          <w:color w:val="000000"/>
          <w:sz w:val="20"/>
        </w:rPr>
        <w:t xml:space="preserve">” means a Fortis Stock Option that is not an </w:t>
      </w:r>
      <w:bookmarkStart w:id="56" w:name="el2p_o"/>
      <w:bookmarkEnd w:id="56"/>
      <w:r>
        <w:rPr>
          <w:rFonts w:ascii="Times New Roman" w:hAnsi="Times New Roman"/>
          <w:color w:val="000000"/>
          <w:sz w:val="20"/>
        </w:rPr>
        <w:t>Employee Stock Option.</w:t>
      </w:r>
    </w:p>
    <w:p>
      <w:pPr>
        <w:pStyle w:val="TextBody"/>
        <w:bidi w:val="0"/>
        <w:spacing w:before="0" w:after="240"/>
        <w:jc w:val="left"/>
        <w:rPr>
          <w:rFonts w:ascii="Times New Roman" w:hAnsi="Times New Roman"/>
          <w:sz w:val="20"/>
        </w:rPr>
      </w:pPr>
      <w:r>
        <w:rPr>
          <w:rFonts w:ascii="Times New Roman" w:hAnsi="Times New Roman"/>
          <w:color w:val="000000"/>
          <w:sz w:val="20"/>
        </w:rPr>
        <w:t>Section 1.170. “</w:t>
      </w:r>
      <w:r>
        <w:rPr>
          <w:rFonts w:ascii="Times New Roman" w:hAnsi="Times New Roman"/>
          <w:i/>
          <w:color w:val="000000"/>
          <w:sz w:val="20"/>
        </w:rPr>
        <w:t>Objection Period</w:t>
      </w:r>
      <w:r>
        <w:rPr>
          <w:rFonts w:ascii="Times New Roman" w:hAnsi="Times New Roman"/>
          <w:color w:val="000000"/>
          <w:sz w:val="20"/>
        </w:rPr>
        <w:t xml:space="preserve">” is defined in </w:t>
      </w:r>
      <w:r>
        <w:rPr>
          <w:rFonts w:ascii="Times New Roman" w:hAnsi="Times New Roman"/>
          <w:color w:val="000000"/>
          <w:sz w:val="20"/>
          <w:u w:val="single"/>
        </w:rPr>
        <w:t>Section 2.15(c)</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1.171. “</w:t>
      </w:r>
      <w:r>
        <w:rPr>
          <w:rFonts w:ascii="Times New Roman" w:hAnsi="Times New Roman"/>
          <w:i/>
          <w:color w:val="000000"/>
          <w:sz w:val="20"/>
        </w:rPr>
        <w:t>Off-the-Shelf Software</w:t>
      </w:r>
      <w:r>
        <w:rPr>
          <w:rFonts w:ascii="Times New Roman" w:hAnsi="Times New Roman"/>
          <w:color w:val="000000"/>
          <w:sz w:val="20"/>
        </w:rPr>
        <w:t>” means generally available commercial software obtained from a third party on general commercial terms that (i) continues to be widely available on such commercial terms as of the Closing Date, (ii) involves license, maintenance, support, and other fees less than [*], (iii) is not material to the Business, (iv) is not distributed with, incorporated in, or necessary for use or development of, any product or service of Fortis, and (v) is not Open Source Software.</w:t>
      </w:r>
    </w:p>
    <w:p>
      <w:pPr>
        <w:pStyle w:val="TextBody"/>
        <w:bidi w:val="0"/>
        <w:spacing w:before="0" w:after="240"/>
        <w:jc w:val="left"/>
        <w:rPr>
          <w:rFonts w:ascii="Times New Roman" w:hAnsi="Times New Roman"/>
          <w:sz w:val="20"/>
        </w:rPr>
      </w:pPr>
      <w:r>
        <w:rPr>
          <w:rFonts w:ascii="Times New Roman" w:hAnsi="Times New Roman"/>
          <w:color w:val="000000"/>
          <w:sz w:val="20"/>
        </w:rPr>
        <w:t>Section 1.172. “</w:t>
      </w:r>
      <w:r>
        <w:rPr>
          <w:rFonts w:ascii="Times New Roman" w:hAnsi="Times New Roman"/>
          <w:i/>
          <w:color w:val="000000"/>
          <w:sz w:val="20"/>
        </w:rPr>
        <w:t>Open Source Software</w:t>
      </w:r>
      <w:r>
        <w:rPr>
          <w:rFonts w:ascii="Times New Roman" w:hAnsi="Times New Roman"/>
          <w:color w:val="000000"/>
          <w:sz w:val="20"/>
        </w:rPr>
        <w:t>” means any software that is distributed (i) as “free software” (as defined by the Free Software Foundation), (ii) as “open source software” or pursuant to any license identified as an “open source license” by the Open Source Initiative (www.opensource.org/licenses), or (iii) under any similar licensing or distribution model, or (iv) under a license that requires disclosure of source code or requires derivative works based on such software to be made publicly available under the same license.</w:t>
      </w:r>
    </w:p>
    <w:p>
      <w:pPr>
        <w:pStyle w:val="TextBody"/>
        <w:bidi w:val="0"/>
        <w:spacing w:before="0" w:after="240"/>
        <w:jc w:val="left"/>
        <w:rPr>
          <w:rFonts w:ascii="Times New Roman" w:hAnsi="Times New Roman"/>
          <w:sz w:val="20"/>
        </w:rPr>
      </w:pPr>
      <w:r>
        <w:rPr>
          <w:rFonts w:ascii="Times New Roman" w:hAnsi="Times New Roman"/>
          <w:color w:val="000000"/>
          <w:sz w:val="20"/>
        </w:rPr>
        <w:t>Section 1.173. “</w:t>
      </w:r>
      <w:r>
        <w:rPr>
          <w:rFonts w:ascii="Times New Roman" w:hAnsi="Times New Roman"/>
          <w:i/>
          <w:color w:val="000000"/>
          <w:sz w:val="20"/>
        </w:rPr>
        <w:t>Option</w:t>
      </w:r>
      <w:r>
        <w:rPr>
          <w:rFonts w:ascii="Times New Roman" w:hAnsi="Times New Roman"/>
          <w:color w:val="000000"/>
          <w:sz w:val="20"/>
        </w:rPr>
        <w:t>” is defined in the Recitals.</w:t>
      </w:r>
    </w:p>
    <w:p>
      <w:pPr>
        <w:pStyle w:val="TextBody"/>
        <w:bidi w:val="0"/>
        <w:spacing w:before="0" w:after="240"/>
        <w:jc w:val="left"/>
        <w:rPr>
          <w:rFonts w:ascii="Times New Roman" w:hAnsi="Times New Roman"/>
          <w:sz w:val="20"/>
        </w:rPr>
      </w:pPr>
      <w:r>
        <w:rPr>
          <w:rFonts w:ascii="Times New Roman" w:hAnsi="Times New Roman"/>
          <w:color w:val="000000"/>
          <w:sz w:val="20"/>
        </w:rPr>
        <w:t>Section 1.174. “</w:t>
      </w:r>
      <w:r>
        <w:rPr>
          <w:rFonts w:ascii="Times New Roman" w:hAnsi="Times New Roman"/>
          <w:i/>
          <w:color w:val="000000"/>
          <w:sz w:val="20"/>
        </w:rPr>
        <w:t>Option Agreement</w:t>
      </w:r>
      <w:r>
        <w:rPr>
          <w:rFonts w:ascii="Times New Roman" w:hAnsi="Times New Roman"/>
          <w:color w:val="000000"/>
          <w:sz w:val="20"/>
        </w:rPr>
        <w:t>” is defined in the preamble of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1.175. “</w:t>
      </w:r>
      <w:r>
        <w:rPr>
          <w:rFonts w:ascii="Times New Roman" w:hAnsi="Times New Roman"/>
          <w:i/>
          <w:color w:val="000000"/>
          <w:sz w:val="20"/>
        </w:rPr>
        <w:t>Option Exercise Deadline</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1.176. “</w:t>
      </w:r>
      <w:r>
        <w:rPr>
          <w:rFonts w:ascii="Times New Roman" w:hAnsi="Times New Roman"/>
          <w:i/>
          <w:color w:val="000000"/>
          <w:sz w:val="20"/>
        </w:rPr>
        <w:t>Option Period</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1.177. “</w:t>
      </w:r>
      <w:r>
        <w:rPr>
          <w:rFonts w:ascii="Times New Roman" w:hAnsi="Times New Roman"/>
          <w:i/>
          <w:color w:val="000000"/>
          <w:sz w:val="20"/>
        </w:rPr>
        <w:t>Option Premium</w:t>
      </w:r>
      <w:r>
        <w:rPr>
          <w:rFonts w:ascii="Times New Roman" w:hAnsi="Times New Roman"/>
          <w:color w:val="000000"/>
          <w:sz w:val="20"/>
        </w:rPr>
        <w:t xml:space="preserve">” means [*]. </w:t>
      </w:r>
    </w:p>
    <w:p>
      <w:pPr>
        <w:pStyle w:val="TextBody"/>
        <w:bidi w:val="0"/>
        <w:spacing w:before="0" w:after="240"/>
        <w:jc w:val="left"/>
        <w:rPr>
          <w:rFonts w:ascii="Times New Roman" w:hAnsi="Times New Roman"/>
          <w:sz w:val="20"/>
        </w:rPr>
      </w:pPr>
      <w:r>
        <w:rPr>
          <w:rFonts w:ascii="Times New Roman" w:hAnsi="Times New Roman"/>
          <w:color w:val="000000"/>
          <w:sz w:val="20"/>
        </w:rPr>
        <w:t>Section 1.178. “</w:t>
      </w:r>
      <w:r>
        <w:rPr>
          <w:rFonts w:ascii="Times New Roman" w:hAnsi="Times New Roman"/>
          <w:i/>
          <w:color w:val="000000"/>
          <w:sz w:val="20"/>
        </w:rPr>
        <w:t>Ordinary Course of Business</w:t>
      </w:r>
      <w:r>
        <w:rPr>
          <w:rFonts w:ascii="Times New Roman" w:hAnsi="Times New Roman"/>
          <w:color w:val="000000"/>
          <w:sz w:val="20"/>
        </w:rPr>
        <w:t xml:space="preserve">” means the ordinary course of business, consistent with past practice or, with respect to matters covered under a development plan for a Product (including the Study Plan), materially in accordance with such development plan (including the Study Plan). </w:t>
      </w:r>
    </w:p>
    <w:p>
      <w:pPr>
        <w:pStyle w:val="TextBody"/>
        <w:bidi w:val="0"/>
        <w:spacing w:before="0" w:after="240"/>
        <w:jc w:val="left"/>
        <w:rPr>
          <w:rFonts w:ascii="Times New Roman" w:hAnsi="Times New Roman"/>
          <w:sz w:val="20"/>
        </w:rPr>
      </w:pPr>
      <w:r>
        <w:rPr>
          <w:rFonts w:ascii="Times New Roman" w:hAnsi="Times New Roman"/>
          <w:color w:val="000000"/>
          <w:sz w:val="20"/>
        </w:rPr>
        <w:t>Section 1.179. “</w:t>
      </w:r>
      <w:r>
        <w:rPr>
          <w:rFonts w:ascii="Times New Roman" w:hAnsi="Times New Roman"/>
          <w:i/>
          <w:color w:val="000000"/>
          <w:sz w:val="20"/>
        </w:rPr>
        <w:t>Out-of-the-Money Fortis Stock Option</w:t>
      </w:r>
      <w:r>
        <w:rPr>
          <w:rFonts w:ascii="Times New Roman" w:hAnsi="Times New Roman"/>
          <w:color w:val="000000"/>
          <w:sz w:val="20"/>
        </w:rPr>
        <w:t xml:space="preserve">” is defined in </w:t>
      </w:r>
      <w:r>
        <w:rPr>
          <w:rFonts w:ascii="Times New Roman" w:hAnsi="Times New Roman"/>
          <w:color w:val="000000"/>
          <w:sz w:val="20"/>
          <w:u w:val="single"/>
        </w:rPr>
        <w:t>Section 2.9(b)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1.180. “</w:t>
      </w:r>
      <w:r>
        <w:rPr>
          <w:rFonts w:ascii="Times New Roman" w:hAnsi="Times New Roman"/>
          <w:i/>
          <w:color w:val="000000"/>
          <w:sz w:val="20"/>
        </w:rPr>
        <w:t>Out-of-the-Money Warrant</w:t>
      </w:r>
      <w:r>
        <w:rPr>
          <w:rFonts w:ascii="Times New Roman" w:hAnsi="Times New Roman"/>
          <w:color w:val="000000"/>
          <w:sz w:val="20"/>
        </w:rPr>
        <w:t xml:space="preserve">” is defined in </w:t>
      </w:r>
      <w:r>
        <w:rPr>
          <w:rFonts w:ascii="Times New Roman" w:hAnsi="Times New Roman"/>
          <w:color w:val="000000"/>
          <w:sz w:val="20"/>
          <w:u w:val="single"/>
        </w:rPr>
        <w:t>Section 2.9(d)</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1.181. “</w:t>
      </w:r>
      <w:r>
        <w:rPr>
          <w:rFonts w:ascii="Times New Roman" w:hAnsi="Times New Roman"/>
          <w:i/>
          <w:color w:val="000000"/>
          <w:sz w:val="20"/>
        </w:rPr>
        <w:t>Outside Date</w:t>
      </w:r>
      <w:r>
        <w:rPr>
          <w:rFonts w:ascii="Times New Roman" w:hAnsi="Times New Roman"/>
          <w:color w:val="000000"/>
          <w:sz w:val="20"/>
        </w:rPr>
        <w:t xml:space="preserve">” is defined in </w:t>
      </w:r>
      <w:r>
        <w:rPr>
          <w:rFonts w:ascii="Times New Roman" w:hAnsi="Times New Roman"/>
          <w:color w:val="000000"/>
          <w:sz w:val="20"/>
          <w:u w:val="single"/>
        </w:rPr>
        <w:t>Section 1.175</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Section 1.182. “</w:t>
      </w:r>
      <w:r>
        <w:rPr>
          <w:rFonts w:ascii="Times New Roman" w:hAnsi="Times New Roman"/>
          <w:i/>
          <w:color w:val="000000"/>
          <w:sz w:val="20"/>
        </w:rPr>
        <w:t>Partial Payment #1</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1.183. “</w:t>
      </w:r>
      <w:r>
        <w:rPr>
          <w:rFonts w:ascii="Times New Roman" w:hAnsi="Times New Roman"/>
          <w:i/>
          <w:color w:val="000000"/>
          <w:sz w:val="20"/>
        </w:rPr>
        <w:t>Partial Payment #2</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1.184. “</w:t>
      </w:r>
      <w:r>
        <w:rPr>
          <w:rFonts w:ascii="Times New Roman" w:hAnsi="Times New Roman"/>
          <w:i/>
          <w:color w:val="000000"/>
          <w:sz w:val="20"/>
        </w:rPr>
        <w:t>Party</w:t>
      </w:r>
      <w:r>
        <w:rPr>
          <w:rFonts w:ascii="Times New Roman" w:hAnsi="Times New Roman"/>
          <w:color w:val="000000"/>
          <w:sz w:val="20"/>
        </w:rPr>
        <w:t>” means FibroGen, Fortis and the Sellers’ Representative.</w:t>
      </w:r>
    </w:p>
    <w:p>
      <w:pPr>
        <w:pStyle w:val="TextBody"/>
        <w:bidi w:val="0"/>
        <w:spacing w:before="0" w:after="240"/>
        <w:jc w:val="left"/>
        <w:rPr>
          <w:rFonts w:ascii="Times New Roman" w:hAnsi="Times New Roman"/>
          <w:sz w:val="20"/>
        </w:rPr>
      </w:pPr>
      <w:r>
        <w:rPr>
          <w:rFonts w:ascii="Times New Roman" w:hAnsi="Times New Roman"/>
          <w:color w:val="000000"/>
          <w:sz w:val="20"/>
        </w:rPr>
        <w:t>Section 1.185. “</w:t>
      </w:r>
      <w:r>
        <w:rPr>
          <w:rFonts w:ascii="Times New Roman" w:hAnsi="Times New Roman"/>
          <w:i/>
          <w:color w:val="000000"/>
          <w:sz w:val="20"/>
        </w:rPr>
        <w:t>Patent Applications</w:t>
      </w:r>
      <w:r>
        <w:rPr>
          <w:rFonts w:ascii="Times New Roman" w:hAnsi="Times New Roman"/>
          <w:color w:val="000000"/>
          <w:sz w:val="20"/>
        </w:rPr>
        <w:t>” means all published or unpublished nonprovisional and provisional patent applications, international (PCT) applications, substitutions, divisionals, renewals, reissue applications, reexamination proceedings, invention disclosures and records of invention, continuations, continuations-in-part, requests for continued examination and divisions, regardless of country filed or formal name.</w:t>
      </w:r>
    </w:p>
    <w:p>
      <w:pPr>
        <w:pStyle w:val="TextBody"/>
        <w:bidi w:val="0"/>
        <w:spacing w:before="0" w:after="240"/>
        <w:jc w:val="left"/>
        <w:rPr>
          <w:rFonts w:ascii="Times New Roman" w:hAnsi="Times New Roman"/>
          <w:sz w:val="20"/>
        </w:rPr>
      </w:pPr>
      <w:r>
        <w:rPr>
          <w:rFonts w:ascii="Times New Roman" w:hAnsi="Times New Roman"/>
          <w:color w:val="000000"/>
          <w:sz w:val="20"/>
        </w:rPr>
        <w:t>Section 1.186. “</w:t>
      </w:r>
      <w:r>
        <w:rPr>
          <w:rFonts w:ascii="Times New Roman" w:hAnsi="Times New Roman"/>
          <w:i/>
          <w:color w:val="000000"/>
          <w:sz w:val="20"/>
        </w:rPr>
        <w:t>Patents</w:t>
      </w:r>
      <w:r>
        <w:rPr>
          <w:rFonts w:ascii="Times New Roman" w:hAnsi="Times New Roman"/>
          <w:color w:val="000000"/>
          <w:sz w:val="20"/>
        </w:rPr>
        <w:t>” means the Issued Patents and Patent Applications.</w:t>
      </w:r>
    </w:p>
    <w:p>
      <w:pPr>
        <w:pStyle w:val="TextBody"/>
        <w:bidi w:val="0"/>
        <w:spacing w:before="0" w:after="240"/>
        <w:jc w:val="left"/>
        <w:rPr>
          <w:rFonts w:ascii="Times New Roman" w:hAnsi="Times New Roman"/>
          <w:sz w:val="20"/>
        </w:rPr>
      </w:pPr>
      <w:r>
        <w:rPr>
          <w:rFonts w:ascii="Times New Roman" w:hAnsi="Times New Roman"/>
          <w:color w:val="000000"/>
          <w:sz w:val="20"/>
        </w:rPr>
        <w:t>Section 1.187. “</w:t>
      </w:r>
      <w:r>
        <w:rPr>
          <w:rFonts w:ascii="Times New Roman" w:hAnsi="Times New Roman"/>
          <w:i/>
          <w:color w:val="000000"/>
          <w:sz w:val="20"/>
        </w:rPr>
        <w:t>Paying Agen</w:t>
      </w:r>
      <w:r>
        <w:rPr>
          <w:rFonts w:ascii="Times New Roman" w:hAnsi="Times New Roman"/>
          <w:color w:val="000000"/>
          <w:sz w:val="20"/>
        </w:rPr>
        <w:t xml:space="preserve">t” is defined in </w:t>
      </w:r>
      <w:r>
        <w:rPr>
          <w:rFonts w:ascii="Times New Roman" w:hAnsi="Times New Roman"/>
          <w:color w:val="000000"/>
          <w:sz w:val="20"/>
          <w:u w:val="single"/>
        </w:rPr>
        <w:t>Section 2.10</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1.188. “</w:t>
      </w:r>
      <w:r>
        <w:rPr>
          <w:rFonts w:ascii="Times New Roman" w:hAnsi="Times New Roman"/>
          <w:i/>
          <w:color w:val="000000"/>
          <w:sz w:val="20"/>
        </w:rPr>
        <w:t>Paying Agen</w:t>
      </w:r>
      <w:r>
        <w:rPr>
          <w:rFonts w:ascii="Times New Roman" w:hAnsi="Times New Roman"/>
          <w:color w:val="000000"/>
          <w:sz w:val="20"/>
        </w:rPr>
        <w:t xml:space="preserve">t Agreement” is defined in </w:t>
      </w:r>
      <w:r>
        <w:rPr>
          <w:rFonts w:ascii="Times New Roman" w:hAnsi="Times New Roman"/>
          <w:color w:val="000000"/>
          <w:sz w:val="20"/>
          <w:u w:val="single"/>
        </w:rPr>
        <w:t>Section 2.10</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1.189. “</w:t>
      </w:r>
      <w:r>
        <w:rPr>
          <w:rFonts w:ascii="Times New Roman" w:hAnsi="Times New Roman"/>
          <w:i/>
          <w:color w:val="000000"/>
          <w:sz w:val="20"/>
        </w:rPr>
        <w:t>Payoff Recipient</w:t>
      </w:r>
      <w:r>
        <w:rPr>
          <w:rFonts w:ascii="Times New Roman" w:hAnsi="Times New Roman"/>
          <w:color w:val="000000"/>
          <w:sz w:val="20"/>
        </w:rPr>
        <w:t>” means the holders of Indebtedness for borrowed money to be paid in connection with the Closing.</w:t>
      </w:r>
    </w:p>
    <w:p>
      <w:pPr>
        <w:pStyle w:val="TextBody"/>
        <w:bidi w:val="0"/>
        <w:spacing w:before="0" w:after="240"/>
        <w:jc w:val="left"/>
        <w:rPr>
          <w:rFonts w:ascii="Times New Roman" w:hAnsi="Times New Roman"/>
          <w:sz w:val="20"/>
        </w:rPr>
      </w:pPr>
      <w:r>
        <w:rPr>
          <w:rFonts w:ascii="Times New Roman" w:hAnsi="Times New Roman"/>
          <w:color w:val="000000"/>
          <w:sz w:val="20"/>
        </w:rPr>
        <w:t>Section 1.190. “</w:t>
      </w:r>
      <w:r>
        <w:rPr>
          <w:rFonts w:ascii="Times New Roman" w:hAnsi="Times New Roman"/>
          <w:i/>
          <w:color w:val="000000"/>
          <w:sz w:val="20"/>
        </w:rPr>
        <w:t>Periodic Updates</w:t>
      </w:r>
      <w:r>
        <w:rPr>
          <w:rFonts w:ascii="Times New Roman" w:hAnsi="Times New Roman"/>
          <w:color w:val="000000"/>
          <w:sz w:val="20"/>
        </w:rPr>
        <w:t xml:space="preserve">” is defined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1.191. “</w:t>
      </w:r>
      <w:r>
        <w:rPr>
          <w:rFonts w:ascii="Times New Roman" w:hAnsi="Times New Roman"/>
          <w:i/>
          <w:color w:val="000000"/>
          <w:sz w:val="20"/>
        </w:rPr>
        <w:t>Permit</w:t>
      </w:r>
      <w:r>
        <w:rPr>
          <w:rFonts w:ascii="Times New Roman" w:hAnsi="Times New Roman"/>
          <w:color w:val="000000"/>
          <w:sz w:val="20"/>
        </w:rPr>
        <w:t>” means any federal, state or local, domestic or foreign, governmental consent, approval, order, authorization, certificate, permit, registration, franchise, license or right.</w:t>
      </w:r>
    </w:p>
    <w:p>
      <w:pPr>
        <w:pStyle w:val="TextBody"/>
        <w:bidi w:val="0"/>
        <w:spacing w:before="0" w:after="240"/>
        <w:jc w:val="left"/>
        <w:rPr>
          <w:rFonts w:ascii="Times New Roman" w:hAnsi="Times New Roman"/>
          <w:sz w:val="20"/>
        </w:rPr>
      </w:pPr>
      <w:r>
        <w:rPr>
          <w:rFonts w:ascii="Times New Roman" w:hAnsi="Times New Roman"/>
          <w:color w:val="000000"/>
          <w:sz w:val="20"/>
        </w:rPr>
        <w:t>Section 1.192. “</w:t>
      </w:r>
      <w:r>
        <w:rPr>
          <w:rFonts w:ascii="Times New Roman" w:hAnsi="Times New Roman"/>
          <w:i/>
          <w:color w:val="000000"/>
          <w:sz w:val="20"/>
        </w:rPr>
        <w:t>Permitted Liens</w:t>
      </w:r>
      <w:r>
        <w:rPr>
          <w:rFonts w:ascii="Times New Roman" w:hAnsi="Times New Roman"/>
          <w:color w:val="000000"/>
          <w:sz w:val="20"/>
        </w:rPr>
        <w:t>” means the following: (i) statutory Liens for Taxes not yet due or payable or that are being contested in good faith through appropriate procedures and for which adequate reserves have been established on financial statements in accordance with GAAP; (ii) Liens for assessments and other governmental charges or Liens of landlords, carriers, warehousemen, mechanics and repairmen incurred in the Ordinary Course of Business, in each case for sums not yet due and payable or due but not delinquent; (iii) Liens incurred in the Ordinary Course of Business in connection with workers’ compensation, unemployment insurance and other types of social security; and (iv) encumbrances in the nature of zoning restrictions, easements, rights or restrictions of record on the use of real property if the same do not materially detract from the value of the property encumbered thereby or materially impair the use of such property in Fortis’ business.</w:t>
      </w:r>
    </w:p>
    <w:p>
      <w:pPr>
        <w:pStyle w:val="TextBody"/>
        <w:bidi w:val="0"/>
        <w:spacing w:before="0" w:after="240"/>
        <w:jc w:val="left"/>
        <w:rPr>
          <w:rFonts w:ascii="Times New Roman" w:hAnsi="Times New Roman"/>
          <w:sz w:val="20"/>
        </w:rPr>
      </w:pPr>
      <w:r>
        <w:rPr>
          <w:rFonts w:ascii="Times New Roman" w:hAnsi="Times New Roman"/>
          <w:color w:val="000000"/>
          <w:sz w:val="20"/>
        </w:rPr>
        <w:t>Section 1.193. “</w:t>
      </w:r>
      <w:r>
        <w:rPr>
          <w:rFonts w:ascii="Times New Roman" w:hAnsi="Times New Roman"/>
          <w:i/>
          <w:color w:val="000000"/>
          <w:sz w:val="20"/>
        </w:rPr>
        <w:t>Person</w:t>
      </w:r>
      <w:r>
        <w:rPr>
          <w:rFonts w:ascii="Times New Roman" w:hAnsi="Times New Roman"/>
          <w:color w:val="000000"/>
          <w:sz w:val="20"/>
        </w:rPr>
        <w:t>” means an individual, corporation, company, partnership, limited liability company, joint venture, association, trust, business trust, Governmental Entity, unincorporated organization, a division or operating group of any of the foregoing or any other entity or organization.</w:t>
      </w:r>
    </w:p>
    <w:p>
      <w:pPr>
        <w:pStyle w:val="TextBody"/>
        <w:bidi w:val="0"/>
        <w:spacing w:before="0" w:after="240"/>
        <w:jc w:val="left"/>
        <w:rPr>
          <w:rFonts w:ascii="Times New Roman" w:hAnsi="Times New Roman"/>
          <w:sz w:val="20"/>
        </w:rPr>
      </w:pPr>
      <w:r>
        <w:rPr>
          <w:rFonts w:ascii="Times New Roman" w:hAnsi="Times New Roman"/>
          <w:color w:val="000000"/>
          <w:sz w:val="20"/>
        </w:rPr>
        <w:t>Section 1.194. “</w:t>
      </w:r>
      <w:r>
        <w:rPr>
          <w:rFonts w:ascii="Times New Roman" w:hAnsi="Times New Roman"/>
          <w:i/>
          <w:color w:val="000000"/>
          <w:sz w:val="20"/>
        </w:rPr>
        <w:t>Personal Information</w:t>
      </w:r>
      <w:r>
        <w:rPr>
          <w:rFonts w:ascii="Times New Roman" w:hAnsi="Times New Roman"/>
          <w:color w:val="000000"/>
          <w:sz w:val="20"/>
        </w:rPr>
        <w:t>” means any information that (i) is subject to Handling obligations under Legal Requirement or Contractual Obligation, (ii) is subject to a requirement, under Legal Requirement or Contractual Obligation, that any Person be notified if such information is lost, misused, wrongly accessed, wrongly acquired or compromised, (iii) alone or in combination with other information can be used to identify an individual Person; or (iv) constitutes any health or other sensitive information of an individual Person.</w:t>
      </w:r>
    </w:p>
    <w:p>
      <w:pPr>
        <w:pStyle w:val="TextBody"/>
        <w:bidi w:val="0"/>
        <w:spacing w:before="0" w:after="240"/>
        <w:jc w:val="left"/>
        <w:rPr>
          <w:rFonts w:ascii="Times New Roman" w:hAnsi="Times New Roman"/>
          <w:sz w:val="20"/>
        </w:rPr>
      </w:pPr>
      <w:r>
        <w:rPr>
          <w:rFonts w:ascii="Times New Roman" w:hAnsi="Times New Roman"/>
          <w:color w:val="000000"/>
          <w:sz w:val="20"/>
        </w:rPr>
        <w:t>Section 1.195. “</w:t>
      </w:r>
      <w:r>
        <w:rPr>
          <w:rFonts w:ascii="Times New Roman" w:hAnsi="Times New Roman"/>
          <w:i/>
          <w:color w:val="000000"/>
          <w:sz w:val="20"/>
        </w:rPr>
        <w:t>Personal Property Leases</w:t>
      </w:r>
      <w:r>
        <w:rPr>
          <w:rFonts w:ascii="Times New Roman" w:hAnsi="Times New Roman"/>
          <w:color w:val="000000"/>
          <w:sz w:val="20"/>
        </w:rPr>
        <w:t xml:space="preserve">” is defined in </w:t>
      </w:r>
      <w:r>
        <w:rPr>
          <w:rFonts w:ascii="Times New Roman" w:hAnsi="Times New Roman"/>
          <w:color w:val="000000"/>
          <w:sz w:val="20"/>
          <w:u w:val="single"/>
        </w:rPr>
        <w:t>Section 5.11(b)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1.196. “</w:t>
      </w:r>
      <w:r>
        <w:rPr>
          <w:rFonts w:ascii="Times New Roman" w:hAnsi="Times New Roman"/>
          <w:i/>
          <w:color w:val="000000"/>
          <w:sz w:val="20"/>
        </w:rPr>
        <w:t>PET46</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1.197. “</w:t>
      </w:r>
      <w:r>
        <w:rPr>
          <w:rFonts w:ascii="Times New Roman" w:hAnsi="Times New Roman"/>
          <w:i/>
          <w:color w:val="000000"/>
          <w:sz w:val="20"/>
        </w:rPr>
        <w:t>PET Technical Study</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1.198. “</w:t>
      </w:r>
      <w:r>
        <w:rPr>
          <w:rFonts w:ascii="Times New Roman" w:hAnsi="Times New Roman"/>
          <w:i/>
          <w:color w:val="000000"/>
          <w:sz w:val="20"/>
        </w:rPr>
        <w:t>Phase 3 Clinical Trial</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1.199. “</w:t>
      </w:r>
      <w:r>
        <w:rPr>
          <w:rFonts w:ascii="Times New Roman" w:hAnsi="Times New Roman"/>
          <w:i/>
          <w:color w:val="000000"/>
          <w:sz w:val="20"/>
        </w:rPr>
        <w:t>Positive Adjustment Amount</w:t>
      </w:r>
      <w:r>
        <w:rPr>
          <w:rFonts w:ascii="Times New Roman" w:hAnsi="Times New Roman"/>
          <w:color w:val="000000"/>
          <w:sz w:val="20"/>
        </w:rPr>
        <w:t xml:space="preserve">” is defined in </w:t>
      </w:r>
      <w:r>
        <w:rPr>
          <w:rFonts w:ascii="Times New Roman" w:hAnsi="Times New Roman"/>
          <w:color w:val="000000"/>
          <w:sz w:val="20"/>
          <w:u w:val="single"/>
        </w:rPr>
        <w:t>Section 2.15(f)</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1.200. “</w:t>
      </w:r>
      <w:r>
        <w:rPr>
          <w:rFonts w:ascii="Times New Roman" w:hAnsi="Times New Roman"/>
          <w:i/>
          <w:color w:val="000000"/>
          <w:sz w:val="20"/>
        </w:rPr>
        <w:t>Post-Closing Payroll Taxes</w:t>
      </w:r>
      <w:r>
        <w:rPr>
          <w:rFonts w:ascii="Times New Roman" w:hAnsi="Times New Roman"/>
          <w:color w:val="000000"/>
          <w:sz w:val="20"/>
        </w:rPr>
        <w:t>” means the employer portion of any payroll, employment or social security Taxes incurred in connection with any Contingent Payments in respect of Fortis Stock Options or Restricted Stock, in each case, that are not Closing Payroll Taxes. For the avoidance of doubt, Post-Closing Payroll Taxes will: (i) not be included within the definitions of Closing Liability Amount, Change of Control Payments, Closing Indebtedness, Pre-Closing Taxes, or Deal Fees; (ii) not reduce the Closing Payment or any Contingent Payment; and (iii) be borne solely by FibroGen or its Affiliates.</w:t>
      </w:r>
    </w:p>
    <w:p>
      <w:pPr>
        <w:pStyle w:val="TextBody"/>
        <w:bidi w:val="0"/>
        <w:spacing w:before="0" w:after="240"/>
        <w:jc w:val="left"/>
        <w:rPr>
          <w:rFonts w:ascii="Times New Roman" w:hAnsi="Times New Roman"/>
          <w:sz w:val="20"/>
        </w:rPr>
      </w:pPr>
      <w:r>
        <w:rPr>
          <w:rFonts w:ascii="Times New Roman" w:hAnsi="Times New Roman"/>
          <w:color w:val="000000"/>
          <w:sz w:val="20"/>
        </w:rPr>
        <w:t>Section 1.201. “</w:t>
      </w:r>
      <w:r>
        <w:rPr>
          <w:rFonts w:ascii="Times New Roman" w:hAnsi="Times New Roman"/>
          <w:i/>
          <w:color w:val="000000"/>
          <w:sz w:val="20"/>
        </w:rPr>
        <w:t>Post-Closing Tax Period</w:t>
      </w:r>
      <w:r>
        <w:rPr>
          <w:rFonts w:ascii="Times New Roman" w:hAnsi="Times New Roman"/>
          <w:color w:val="000000"/>
          <w:sz w:val="20"/>
        </w:rPr>
        <w:t>” means any Tax Period beginning after the Closing Date and that portion of any Straddle Period beginning after the Closing Date.</w:t>
      </w:r>
    </w:p>
    <w:p>
      <w:pPr>
        <w:pStyle w:val="TextBody"/>
        <w:bidi w:val="0"/>
        <w:spacing w:before="0" w:after="240"/>
        <w:jc w:val="left"/>
        <w:rPr>
          <w:rFonts w:ascii="Times New Roman" w:hAnsi="Times New Roman"/>
          <w:sz w:val="20"/>
        </w:rPr>
      </w:pPr>
      <w:r>
        <w:rPr>
          <w:rFonts w:ascii="Times New Roman" w:hAnsi="Times New Roman"/>
          <w:color w:val="000000"/>
          <w:sz w:val="20"/>
        </w:rPr>
        <w:t>Section 1.202. “</w:t>
      </w:r>
      <w:r>
        <w:rPr>
          <w:rFonts w:ascii="Times New Roman" w:hAnsi="Times New Roman"/>
          <w:i/>
          <w:color w:val="000000"/>
          <w:sz w:val="20"/>
        </w:rPr>
        <w:t>Pre-Closing Period</w:t>
      </w:r>
      <w:r>
        <w:rPr>
          <w:rFonts w:ascii="Times New Roman" w:hAnsi="Times New Roman"/>
          <w:color w:val="000000"/>
          <w:sz w:val="20"/>
        </w:rPr>
        <w:t xml:space="preserve">” is defined in </w:t>
      </w:r>
      <w:r>
        <w:rPr>
          <w:rFonts w:ascii="Times New Roman" w:hAnsi="Times New Roman"/>
          <w:color w:val="000000"/>
          <w:sz w:val="20"/>
          <w:u w:val="single"/>
        </w:rPr>
        <w:t>Section 7.1(a)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1.203. “</w:t>
      </w:r>
      <w:r>
        <w:rPr>
          <w:rFonts w:ascii="Times New Roman" w:hAnsi="Times New Roman"/>
          <w:i/>
          <w:color w:val="000000"/>
          <w:sz w:val="20"/>
        </w:rPr>
        <w:t>Pre</w:t>
        <w:noBreakHyphen/>
        <w:t>Closing Tax Period</w:t>
      </w:r>
      <w:r>
        <w:rPr>
          <w:rFonts w:ascii="Times New Roman" w:hAnsi="Times New Roman"/>
          <w:color w:val="000000"/>
          <w:sz w:val="20"/>
        </w:rPr>
        <w:t>” means any Tax Period ending on or before the Closing Date and that portion of any Straddle Period ending on the Closing Date.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1.204. “</w:t>
      </w:r>
      <w:r>
        <w:rPr>
          <w:rFonts w:ascii="Times New Roman" w:hAnsi="Times New Roman"/>
          <w:i/>
          <w:color w:val="000000"/>
          <w:sz w:val="20"/>
        </w:rPr>
        <w:t>Pre-Closing Taxes</w:t>
      </w:r>
      <w:r>
        <w:rPr>
          <w:rFonts w:ascii="Times New Roman" w:hAnsi="Times New Roman"/>
          <w:color w:val="000000"/>
          <w:sz w:val="20"/>
        </w:rPr>
        <w:t xml:space="preserve">” means (i) any Taxes of Fortis and any of its Subsidiaries for all Pre-Closing Tax Periods, (ii) all Taxes of any member of an affiliated, consolidated, combined or unitary group of which Fortis or any of its Subsidiaries is or was a member on or prior to the Closing Date, including pursuant to Treasury Regulations Section 1.1502-6 or any analogous or similar state, local or foreign law, (iii) all Liability for Taxes of any Person arising under principles of transferee or successor Liability, or by contract (excluding, for the avoidance of doubt, any contracts entered into in the Ordinary Course of Business the primary purpose of which is not related to Taxes) or operation of Law imposed on Fortis or any of its Subsidiaries for any period by reason of any event or transaction occurring on or prior to the Closing Date, and (iv) all Closing Payroll Taxes and any accrued and unpaid payroll Taxes of Fortis and any of its Subsidiaries that have been deferred from a Pre-Closing Tax Period to a Post-Closing Tax Period under the CARES Act. Notwithstanding the foregoing, Pre-Closing Taxes shall (A) not include (1) any Transfer Taxes for which FibroGen is responsible pursuant to </w:t>
      </w:r>
      <w:r>
        <w:rPr>
          <w:rFonts w:ascii="Times New Roman" w:hAnsi="Times New Roman"/>
          <w:color w:val="000000"/>
          <w:sz w:val="20"/>
          <w:u w:val="single"/>
        </w:rPr>
        <w:t>Section 7.2(d)</w:t>
      </w:r>
      <w:r>
        <w:rPr>
          <w:rFonts w:ascii="Times New Roman" w:hAnsi="Times New Roman"/>
          <w:color w:val="000000"/>
          <w:sz w:val="20"/>
        </w:rPr>
        <w:t xml:space="preserve">, (2) any Post-Closing Payroll Taxes, (3) any Taxes allocated to FibroGen pursuant to </w:t>
      </w:r>
      <w:r>
        <w:rPr>
          <w:rFonts w:ascii="Times New Roman" w:hAnsi="Times New Roman"/>
          <w:color w:val="000000"/>
          <w:sz w:val="20"/>
          <w:u w:val="single"/>
        </w:rPr>
        <w:t>Section 7.2(i)</w:t>
      </w:r>
      <w:r>
        <w:rPr>
          <w:rFonts w:ascii="Times New Roman" w:hAnsi="Times New Roman"/>
          <w:color w:val="000000"/>
          <w:sz w:val="20"/>
        </w:rPr>
        <w:t xml:space="preserve">, (4) any Taxes attributable to Tax Periods (or portions thereof) beginning after the Closing Date (for the avoidance of doubt, except for such Taxes that are indemnifiable under </w:t>
      </w:r>
      <w:r>
        <w:rPr>
          <w:rFonts w:ascii="Times New Roman" w:hAnsi="Times New Roman"/>
          <w:color w:val="000000"/>
          <w:sz w:val="20"/>
          <w:u w:val="single"/>
        </w:rPr>
        <w:t>Section 9.2(a)</w:t>
      </w:r>
      <w:r>
        <w:rPr>
          <w:rFonts w:ascii="Times New Roman" w:hAnsi="Times New Roman"/>
          <w:color w:val="000000"/>
          <w:sz w:val="20"/>
        </w:rPr>
        <w:t>), (5) any Taxes due to the unavailability in any Tax period (or portion thereof) beginning after the Closing Date of any net operating losses, credits or other Tax attribute from a Tax period (or portion thereof) ending on or prior to the Closing Date, (6) any Taxes arising from an election under Section 338 or Section 336 of the Code or any similar provision of foreign, state or local Law in respect of the consummation of the transactions contemplated by this Option Agreement, or (7) any Taxes incurred by Fortis on the Closing Date after the Closing outside the Ordinary Course of Business (other than as explicitly contemplated by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1.205. “</w:t>
      </w:r>
      <w:r>
        <w:rPr>
          <w:rFonts w:ascii="Times New Roman" w:hAnsi="Times New Roman"/>
          <w:i/>
          <w:color w:val="000000"/>
          <w:sz w:val="20"/>
        </w:rPr>
        <w:t>Predecessor</w:t>
      </w:r>
      <w:r>
        <w:rPr>
          <w:rFonts w:ascii="Times New Roman" w:hAnsi="Times New Roman"/>
          <w:color w:val="000000"/>
          <w:sz w:val="20"/>
        </w:rPr>
        <w:t>” means, with respect to any specified Person, (a) any other Person that has ever merged or consolidated with or into such specified Person or (b) any other Person all or substantially all of whose assets has ever been acquired by such specified Person (whether by purchase, upon liquidation or otherwise).</w:t>
      </w:r>
    </w:p>
    <w:p>
      <w:pPr>
        <w:pStyle w:val="TextBody"/>
        <w:bidi w:val="0"/>
        <w:spacing w:before="0" w:after="240"/>
        <w:jc w:val="left"/>
        <w:rPr>
          <w:rFonts w:ascii="Times New Roman" w:hAnsi="Times New Roman"/>
          <w:sz w:val="20"/>
        </w:rPr>
      </w:pPr>
      <w:r>
        <w:rPr>
          <w:rFonts w:ascii="Times New Roman" w:hAnsi="Times New Roman"/>
          <w:color w:val="000000"/>
          <w:sz w:val="20"/>
        </w:rPr>
        <w:t>Section 1.206. “</w:t>
      </w:r>
      <w:r>
        <w:rPr>
          <w:rFonts w:ascii="Times New Roman" w:hAnsi="Times New Roman"/>
          <w:i/>
          <w:color w:val="000000"/>
          <w:sz w:val="20"/>
        </w:rPr>
        <w:t>Pro Rata Percentage</w:t>
      </w:r>
      <w:r>
        <w:rPr>
          <w:rFonts w:ascii="Times New Roman" w:hAnsi="Times New Roman"/>
          <w:color w:val="000000"/>
          <w:sz w:val="20"/>
        </w:rPr>
        <w:t xml:space="preserve">” means, with respect to each Seller, at the time of calculation, the percentage of any of Merger Consideration that becomes due and payable to the Sellers payable to such Seller, determined in accordance with the Charter. </w:t>
      </w:r>
    </w:p>
    <w:p>
      <w:pPr>
        <w:pStyle w:val="TextBody"/>
        <w:bidi w:val="0"/>
        <w:spacing w:before="0" w:after="240"/>
        <w:jc w:val="left"/>
        <w:rPr>
          <w:rFonts w:ascii="Times New Roman" w:hAnsi="Times New Roman"/>
          <w:sz w:val="20"/>
        </w:rPr>
      </w:pPr>
      <w:r>
        <w:rPr>
          <w:rFonts w:ascii="Times New Roman" w:hAnsi="Times New Roman"/>
          <w:color w:val="000000"/>
          <w:sz w:val="20"/>
        </w:rPr>
        <w:t>Section 1.207. “</w:t>
      </w:r>
      <w:r>
        <w:rPr>
          <w:rFonts w:ascii="Times New Roman" w:hAnsi="Times New Roman"/>
          <w:i/>
          <w:color w:val="000000"/>
          <w:sz w:val="20"/>
        </w:rPr>
        <w:t>Product</w:t>
      </w:r>
      <w:r>
        <w:rPr>
          <w:rFonts w:ascii="Times New Roman" w:hAnsi="Times New Roman"/>
          <w:color w:val="000000"/>
          <w:sz w:val="20"/>
        </w:rPr>
        <w:t>” means any product containing, constituting or incorporating one or more of the following: (i) FOR46, (ii) CD46 Agent(s), or (iii) PET46.</w:t>
      </w:r>
    </w:p>
    <w:p>
      <w:pPr>
        <w:pStyle w:val="TextBody"/>
        <w:bidi w:val="0"/>
        <w:spacing w:before="0" w:after="240"/>
        <w:jc w:val="left"/>
        <w:rPr>
          <w:rFonts w:ascii="Times New Roman" w:hAnsi="Times New Roman"/>
          <w:sz w:val="20"/>
        </w:rPr>
      </w:pPr>
      <w:r>
        <w:rPr>
          <w:rFonts w:ascii="Times New Roman" w:hAnsi="Times New Roman"/>
          <w:color w:val="000000"/>
          <w:sz w:val="20"/>
        </w:rPr>
        <w:t>Section 1.208. “</w:t>
      </w:r>
      <w:r>
        <w:rPr>
          <w:rFonts w:ascii="Times New Roman" w:hAnsi="Times New Roman"/>
          <w:i/>
          <w:color w:val="000000"/>
          <w:sz w:val="20"/>
        </w:rPr>
        <w:t>RCRA</w:t>
      </w:r>
      <w:r>
        <w:rPr>
          <w:rFonts w:ascii="Times New Roman" w:hAnsi="Times New Roman"/>
          <w:color w:val="000000"/>
          <w:sz w:val="20"/>
        </w:rPr>
        <w:t>” means the Resource Conservation and Recovery Act (42 U.S.C. §§ 6901 et seq.), as amended, and any foreign and state law counterparts.</w:t>
      </w:r>
    </w:p>
    <w:p>
      <w:pPr>
        <w:pStyle w:val="TextBody"/>
        <w:bidi w:val="0"/>
        <w:spacing w:before="0" w:after="240"/>
        <w:jc w:val="left"/>
        <w:rPr>
          <w:rFonts w:ascii="Times New Roman" w:hAnsi="Times New Roman"/>
          <w:sz w:val="20"/>
        </w:rPr>
      </w:pPr>
      <w:r>
        <w:rPr>
          <w:rFonts w:ascii="Times New Roman" w:hAnsi="Times New Roman"/>
          <w:color w:val="000000"/>
          <w:sz w:val="20"/>
        </w:rPr>
        <w:t>Section 1.209. “</w:t>
      </w:r>
      <w:r>
        <w:rPr>
          <w:rFonts w:ascii="Times New Roman" w:hAnsi="Times New Roman"/>
          <w:i/>
          <w:color w:val="000000"/>
          <w:sz w:val="20"/>
        </w:rPr>
        <w:t>Regulatory Approval</w:t>
      </w:r>
      <w:r>
        <w:rPr>
          <w:rFonts w:ascii="Times New Roman" w:hAnsi="Times New Roman"/>
          <w:color w:val="000000"/>
          <w:sz w:val="20"/>
        </w:rPr>
        <w:t>” means, with respect to a particular country or other regulatory jurisdiction, all approvals and authorizations necessary for the manufacture, use, storage, import, transport or sale of a pharmaceutical or biologic product for one or more indications in such country or regulatory jurisdiction, which may include satisfaction of all applicable regulatory and notification requirements, including any pricing or reimbursement approvals to the extent required under applicable Law.</w:t>
      </w:r>
    </w:p>
    <w:p>
      <w:pPr>
        <w:pStyle w:val="TextBody"/>
        <w:bidi w:val="0"/>
        <w:spacing w:before="0" w:after="240"/>
        <w:jc w:val="left"/>
        <w:rPr>
          <w:rFonts w:ascii="Times New Roman" w:hAnsi="Times New Roman"/>
          <w:sz w:val="20"/>
        </w:rPr>
      </w:pPr>
      <w:r>
        <w:rPr>
          <w:rFonts w:ascii="Times New Roman" w:hAnsi="Times New Roman"/>
          <w:color w:val="000000"/>
          <w:sz w:val="20"/>
        </w:rPr>
        <w:t>Section 1.210. “</w:t>
      </w:r>
      <w:r>
        <w:rPr>
          <w:rFonts w:ascii="Times New Roman" w:hAnsi="Times New Roman"/>
          <w:i/>
          <w:color w:val="000000"/>
          <w:sz w:val="20"/>
        </w:rPr>
        <w:t>Regulatory Entity</w:t>
      </w:r>
      <w:r>
        <w:rPr>
          <w:rFonts w:ascii="Times New Roman" w:hAnsi="Times New Roman"/>
          <w:color w:val="000000"/>
          <w:sz w:val="20"/>
        </w:rPr>
        <w:t>” means any applicable Governmental Entity involved in granting Regulatory Approval in a country or jurisdiction.</w:t>
      </w:r>
    </w:p>
    <w:p>
      <w:pPr>
        <w:pStyle w:val="TextBody"/>
        <w:bidi w:val="0"/>
        <w:spacing w:before="0" w:after="240"/>
        <w:jc w:val="left"/>
        <w:rPr>
          <w:rFonts w:ascii="Times New Roman" w:hAnsi="Times New Roman"/>
          <w:sz w:val="20"/>
        </w:rPr>
      </w:pPr>
      <w:r>
        <w:rPr>
          <w:rFonts w:ascii="Times New Roman" w:hAnsi="Times New Roman"/>
          <w:color w:val="000000"/>
          <w:sz w:val="20"/>
        </w:rPr>
        <w:t>Section 1.211. “</w:t>
      </w:r>
      <w:r>
        <w:rPr>
          <w:rFonts w:ascii="Times New Roman" w:hAnsi="Times New Roman"/>
          <w:i/>
          <w:color w:val="000000"/>
          <w:sz w:val="20"/>
        </w:rPr>
        <w:t>Regulatory Material</w:t>
      </w:r>
      <w:r>
        <w:rPr>
          <w:rFonts w:ascii="Times New Roman" w:hAnsi="Times New Roman"/>
          <w:color w:val="000000"/>
          <w:sz w:val="20"/>
        </w:rPr>
        <w:t>s” means regulatory applications, submissions, notifications, registrations, Regulatory Approvals or other submissions, including any written correspondence or meeting minutes, made to, made with, or received from a Regulatory Entity relating to any Product in a particular country or jurisdiction. Regulatory Materials include, without limitation, INDs and drug approval applications for any Product, and amendments and supplements for any of the foregoing.</w:t>
      </w:r>
    </w:p>
    <w:p>
      <w:pPr>
        <w:pStyle w:val="TextBody"/>
        <w:bidi w:val="0"/>
        <w:spacing w:before="0" w:after="240"/>
        <w:jc w:val="left"/>
        <w:rPr>
          <w:rFonts w:ascii="Times New Roman" w:hAnsi="Times New Roman"/>
          <w:sz w:val="20"/>
        </w:rPr>
      </w:pPr>
      <w:r>
        <w:rPr>
          <w:rFonts w:ascii="Times New Roman" w:hAnsi="Times New Roman"/>
          <w:color w:val="000000"/>
          <w:sz w:val="20"/>
        </w:rPr>
        <w:t>Section 1.212. “</w:t>
      </w:r>
      <w:r>
        <w:rPr>
          <w:rFonts w:ascii="Times New Roman" w:hAnsi="Times New Roman"/>
          <w:i/>
          <w:color w:val="000000"/>
          <w:sz w:val="20"/>
        </w:rPr>
        <w:t>Rejection Notice</w:t>
      </w:r>
      <w:r>
        <w:rPr>
          <w:rFonts w:ascii="Times New Roman" w:hAnsi="Times New Roman"/>
          <w:color w:val="000000"/>
          <w:sz w:val="20"/>
        </w:rPr>
        <w:t xml:space="preserve">” is defined in </w:t>
      </w:r>
      <w:r>
        <w:rPr>
          <w:rFonts w:ascii="Times New Roman" w:hAnsi="Times New Roman"/>
          <w:color w:val="000000"/>
          <w:sz w:val="20"/>
          <w:u w:val="single"/>
        </w:rPr>
        <w:t>Section 3.2(b)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1.213. “</w:t>
      </w:r>
      <w:r>
        <w:rPr>
          <w:rFonts w:ascii="Times New Roman" w:hAnsi="Times New Roman"/>
          <w:i/>
          <w:color w:val="000000"/>
          <w:sz w:val="20"/>
        </w:rPr>
        <w:t>Rejection Time</w:t>
      </w:r>
      <w:r>
        <w:rPr>
          <w:rFonts w:ascii="Times New Roman" w:hAnsi="Times New Roman"/>
          <w:color w:val="000000"/>
          <w:sz w:val="20"/>
        </w:rPr>
        <w:t xml:space="preserve">” is defined in </w:t>
      </w:r>
      <w:r>
        <w:rPr>
          <w:rFonts w:ascii="Times New Roman" w:hAnsi="Times New Roman"/>
          <w:color w:val="000000"/>
          <w:sz w:val="20"/>
          <w:u w:val="single"/>
        </w:rPr>
        <w:t>Section 7.9(a)</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1.214. “</w:t>
      </w:r>
      <w:r>
        <w:rPr>
          <w:rFonts w:ascii="Times New Roman" w:hAnsi="Times New Roman"/>
          <w:i/>
          <w:color w:val="000000"/>
          <w:sz w:val="20"/>
        </w:rPr>
        <w:t>Releases</w:t>
      </w:r>
      <w:r>
        <w:rPr>
          <w:rFonts w:ascii="Times New Roman" w:hAnsi="Times New Roman"/>
          <w:color w:val="000000"/>
          <w:sz w:val="20"/>
        </w:rPr>
        <w:t>” means any spill, discharge, leak, migration, emission, escape, injection, dumping, leaching, or other release of any Hazardous Material into the indoor or outdoor environment, whether or not intentional, and whether or not notification or reporting to any Governmental Entity was or is required at the time it initially occurred or continued to occur. Without limiting the above, Release includes the meaning of “Release” as defined under CERCLA.</w:t>
      </w:r>
    </w:p>
    <w:p>
      <w:pPr>
        <w:pStyle w:val="TextBody"/>
        <w:bidi w:val="0"/>
        <w:spacing w:before="0" w:after="240"/>
        <w:jc w:val="left"/>
        <w:rPr>
          <w:rFonts w:ascii="Times New Roman" w:hAnsi="Times New Roman"/>
          <w:sz w:val="20"/>
        </w:rPr>
      </w:pPr>
      <w:r>
        <w:rPr>
          <w:rFonts w:ascii="Times New Roman" w:hAnsi="Times New Roman"/>
          <w:color w:val="000000"/>
          <w:sz w:val="20"/>
        </w:rPr>
        <w:t>Section 1.215. “</w:t>
      </w:r>
      <w:r>
        <w:rPr>
          <w:rFonts w:ascii="Times New Roman" w:hAnsi="Times New Roman"/>
          <w:i/>
          <w:color w:val="000000"/>
          <w:sz w:val="20"/>
        </w:rPr>
        <w:t>Representative Losses</w:t>
      </w:r>
      <w:r>
        <w:rPr>
          <w:rFonts w:ascii="Times New Roman" w:hAnsi="Times New Roman"/>
          <w:color w:val="000000"/>
          <w:sz w:val="20"/>
        </w:rPr>
        <w:t xml:space="preserve">” is defined in </w:t>
      </w:r>
      <w:r>
        <w:rPr>
          <w:rFonts w:ascii="Times New Roman" w:hAnsi="Times New Roman"/>
          <w:color w:val="000000"/>
          <w:sz w:val="20"/>
          <w:u w:val="single"/>
        </w:rPr>
        <w:t>Section 2.12(c)</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1.216. “</w:t>
      </w:r>
      <w:r>
        <w:rPr>
          <w:rFonts w:ascii="Times New Roman" w:hAnsi="Times New Roman"/>
          <w:i/>
          <w:color w:val="000000"/>
          <w:sz w:val="20"/>
        </w:rPr>
        <w:t>Representatives</w:t>
      </w:r>
      <w:r>
        <w:rPr>
          <w:rFonts w:ascii="Times New Roman" w:hAnsi="Times New Roman"/>
          <w:color w:val="000000"/>
          <w:sz w:val="20"/>
        </w:rPr>
        <w:t>” means with respect to a Person, such Person’s legal, financial, internal and independent accounting and other advisors and representatives.</w:t>
      </w:r>
    </w:p>
    <w:p>
      <w:pPr>
        <w:pStyle w:val="TextBody"/>
        <w:bidi w:val="0"/>
        <w:spacing w:before="0" w:after="240"/>
        <w:jc w:val="left"/>
        <w:rPr>
          <w:rFonts w:ascii="Times New Roman" w:hAnsi="Times New Roman"/>
          <w:sz w:val="20"/>
        </w:rPr>
      </w:pPr>
      <w:r>
        <w:rPr>
          <w:rFonts w:ascii="Times New Roman" w:hAnsi="Times New Roman"/>
          <w:color w:val="000000"/>
          <w:sz w:val="20"/>
        </w:rPr>
        <w:t>Section 1.217. “</w:t>
      </w:r>
      <w:r>
        <w:rPr>
          <w:rFonts w:ascii="Times New Roman" w:hAnsi="Times New Roman"/>
          <w:i/>
          <w:color w:val="000000"/>
          <w:sz w:val="20"/>
        </w:rPr>
        <w:t>Restricted Stock</w:t>
      </w:r>
      <w:r>
        <w:rPr>
          <w:rFonts w:ascii="Times New Roman" w:hAnsi="Times New Roman"/>
          <w:color w:val="000000"/>
          <w:sz w:val="20"/>
        </w:rPr>
        <w:t xml:space="preserve">” means shares of Fortis Capital Stock that are subject to repurchase or vesting. </w:t>
      </w:r>
    </w:p>
    <w:p>
      <w:pPr>
        <w:pStyle w:val="TextBody"/>
        <w:bidi w:val="0"/>
        <w:spacing w:before="0" w:after="240"/>
        <w:jc w:val="left"/>
        <w:rPr>
          <w:rFonts w:ascii="Times New Roman" w:hAnsi="Times New Roman"/>
          <w:sz w:val="20"/>
        </w:rPr>
      </w:pPr>
      <w:r>
        <w:rPr>
          <w:rFonts w:ascii="Times New Roman" w:hAnsi="Times New Roman"/>
          <w:color w:val="000000"/>
          <w:sz w:val="20"/>
        </w:rPr>
        <w:t>Section 1.218. “</w:t>
      </w:r>
      <w:r>
        <w:rPr>
          <w:rFonts w:ascii="Times New Roman" w:hAnsi="Times New Roman"/>
          <w:i/>
          <w:color w:val="000000"/>
          <w:sz w:val="20"/>
        </w:rPr>
        <w:t>Restrictive Covenants Agreement</w:t>
      </w:r>
      <w:r>
        <w:rPr>
          <w:rFonts w:ascii="Times New Roman" w:hAnsi="Times New Roman"/>
          <w:color w:val="000000"/>
          <w:sz w:val="20"/>
        </w:rPr>
        <w:t xml:space="preserve">” means each Restrictive Covenants Agreement, dated as of the date hereof, by and between certain Fortis Equityholders, Fortis and FibroGen, substantially in the form attached hereto as </w:t>
      </w:r>
      <w:r>
        <w:rPr>
          <w:rFonts w:ascii="Times New Roman" w:hAnsi="Times New Roman"/>
          <w:color w:val="000000"/>
          <w:sz w:val="20"/>
          <w:u w:val="single"/>
        </w:rPr>
        <w:t>Exhibit H</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1.219. “</w:t>
      </w:r>
      <w:r>
        <w:rPr>
          <w:rFonts w:ascii="Times New Roman" w:hAnsi="Times New Roman"/>
          <w:i/>
          <w:color w:val="000000"/>
          <w:sz w:val="20"/>
        </w:rPr>
        <w:t>Right of First Refusal and Co-Sale Agreement</w:t>
      </w:r>
      <w:r>
        <w:rPr>
          <w:rFonts w:ascii="Times New Roman" w:hAnsi="Times New Roman"/>
          <w:color w:val="000000"/>
          <w:sz w:val="20"/>
        </w:rPr>
        <w:t>” means that certain Right of First Refusal and Co-Sale Agreement, dated as of [*], by and among Fortis and the Investors (as defined therein) and Common Holders (as defined therein) party thereto.</w:t>
      </w:r>
    </w:p>
    <w:p>
      <w:pPr>
        <w:pStyle w:val="TextBody"/>
        <w:bidi w:val="0"/>
        <w:spacing w:before="0" w:after="240"/>
        <w:jc w:val="left"/>
        <w:rPr>
          <w:rFonts w:ascii="Times New Roman" w:hAnsi="Times New Roman"/>
          <w:sz w:val="20"/>
        </w:rPr>
      </w:pPr>
      <w:r>
        <w:rPr>
          <w:rFonts w:ascii="Times New Roman" w:hAnsi="Times New Roman"/>
          <w:color w:val="000000"/>
          <w:sz w:val="20"/>
        </w:rPr>
        <w:t>Section 1.220. “</w:t>
      </w:r>
      <w:r>
        <w:rPr>
          <w:rFonts w:ascii="Times New Roman" w:hAnsi="Times New Roman"/>
          <w:i/>
          <w:color w:val="000000"/>
          <w:sz w:val="20"/>
        </w:rPr>
        <w:t>S-X Auditor</w:t>
      </w:r>
      <w:r>
        <w:rPr>
          <w:rFonts w:ascii="Times New Roman" w:hAnsi="Times New Roman"/>
          <w:color w:val="000000"/>
          <w:sz w:val="20"/>
        </w:rPr>
        <w:t xml:space="preserve">” is defined in </w:t>
      </w:r>
      <w:r>
        <w:rPr>
          <w:rFonts w:ascii="Times New Roman" w:hAnsi="Times New Roman"/>
          <w:color w:val="000000"/>
          <w:sz w:val="20"/>
          <w:u w:val="single"/>
        </w:rPr>
        <w:t>Section 3.1(e)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1.221. “</w:t>
      </w:r>
      <w:r>
        <w:rPr>
          <w:rFonts w:ascii="Times New Roman" w:hAnsi="Times New Roman"/>
          <w:i/>
          <w:color w:val="000000"/>
          <w:sz w:val="20"/>
        </w:rPr>
        <w:t>Sale Transaction</w:t>
      </w:r>
      <w:r>
        <w:rPr>
          <w:rFonts w:ascii="Times New Roman" w:hAnsi="Times New Roman"/>
          <w:color w:val="000000"/>
          <w:sz w:val="20"/>
        </w:rPr>
        <w:t xml:space="preserve">” is defined in </w:t>
      </w:r>
      <w:r>
        <w:rPr>
          <w:rFonts w:ascii="Times New Roman" w:hAnsi="Times New Roman"/>
          <w:color w:val="000000"/>
          <w:sz w:val="20"/>
          <w:u w:val="single"/>
        </w:rPr>
        <w:t>Section 2.13(f)</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1.222. “</w:t>
      </w:r>
      <w:r>
        <w:rPr>
          <w:rFonts w:ascii="Times New Roman" w:hAnsi="Times New Roman"/>
          <w:i/>
          <w:color w:val="000000"/>
          <w:sz w:val="20"/>
        </w:rPr>
        <w:t>Schedule I</w:t>
      </w:r>
      <w:r>
        <w:rPr>
          <w:rFonts w:ascii="Times New Roman" w:hAnsi="Times New Roman"/>
          <w:color w:val="000000"/>
          <w:sz w:val="20"/>
        </w:rPr>
        <w:t xml:space="preserve">” means a statement delivered to FibroGen prior to the payment of the Option Premium assuming that the Closing Date is the date of this Option Agreement, as the same may be amended prior to Closing to the extent required under </w:t>
      </w:r>
      <w:r>
        <w:rPr>
          <w:rFonts w:ascii="Times New Roman" w:hAnsi="Times New Roman"/>
          <w:color w:val="000000"/>
          <w:sz w:val="20"/>
          <w:u w:val="single"/>
        </w:rPr>
        <w:t>Section 2.4(a)(i)</w:t>
      </w:r>
      <w:r>
        <w:rPr>
          <w:rFonts w:ascii="Times New Roman" w:hAnsi="Times New Roman"/>
          <w:color w:val="000000"/>
          <w:sz w:val="20"/>
        </w:rPr>
        <w:t xml:space="preserve"> to make </w:t>
      </w:r>
      <w:r>
        <w:rPr>
          <w:rFonts w:ascii="Times New Roman" w:hAnsi="Times New Roman"/>
          <w:color w:val="000000"/>
          <w:sz w:val="20"/>
          <w:u w:val="single"/>
        </w:rPr>
        <w:t>Schedule I</w:t>
      </w:r>
      <w:r>
        <w:rPr>
          <w:rFonts w:ascii="Times New Roman" w:hAnsi="Times New Roman"/>
          <w:color w:val="000000"/>
          <w:sz w:val="20"/>
        </w:rPr>
        <w:t xml:space="preserve"> true, complete and accurate in all respects on the Closing Date, which </w:t>
      </w:r>
      <w:r>
        <w:rPr>
          <w:rFonts w:ascii="Times New Roman" w:hAnsi="Times New Roman"/>
          <w:color w:val="000000"/>
          <w:sz w:val="20"/>
          <w:u w:val="single"/>
        </w:rPr>
        <w:t>Schedule I</w:t>
      </w:r>
      <w:r>
        <w:rPr>
          <w:rFonts w:ascii="Times New Roman" w:hAnsi="Times New Roman"/>
          <w:color w:val="000000"/>
          <w:sz w:val="20"/>
        </w:rPr>
        <w:t xml:space="preserve"> as so amended shall supersede and become </w:t>
      </w:r>
      <w:r>
        <w:rPr>
          <w:rFonts w:ascii="Times New Roman" w:hAnsi="Times New Roman"/>
          <w:color w:val="000000"/>
          <w:sz w:val="20"/>
          <w:u w:val="single"/>
        </w:rPr>
        <w:t>Schedule I</w:t>
      </w:r>
      <w:r>
        <w:rPr>
          <w:rFonts w:ascii="Times New Roman" w:hAnsi="Times New Roman"/>
          <w:color w:val="000000"/>
          <w:sz w:val="20"/>
        </w:rPr>
        <w:t xml:space="preserve"> for all purposes of this Option Agreement, with the following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the name, address and email address (to the extent available) of each Seller,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 the number of shares of each class or series of Fortis Capital Stock held by each Seller and in the case of Fortis Stock Options and Warrants, the number of shares of each class or series of Fortis Capital Stock underlying such Fortis Stock Options and Warrants, the exercise price and expiration date thereof, whether the Fortis Stock Options are In-the-Money Fortis Stock Options or Employee Stock Options, and the number of shares subject to Fortis Stock Options that are vested,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 the respective portion of the Closing Payment payable to each Seller,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the respective portion of each Contingent Payment that becomes due and payable in accordance with </w:t>
      </w:r>
      <w:r>
        <w:rPr>
          <w:rFonts w:ascii="Times New Roman" w:hAnsi="Times New Roman"/>
          <w:color w:val="000000"/>
          <w:sz w:val="20"/>
          <w:u w:val="single"/>
        </w:rPr>
        <w:t>Section 2.13</w:t>
      </w:r>
      <w:r>
        <w:rPr>
          <w:rFonts w:ascii="Times New Roman" w:hAnsi="Times New Roman"/>
          <w:color w:val="000000"/>
          <w:sz w:val="20"/>
        </w:rPr>
        <w:t xml:space="preserve">, that is allocated to each Seller in accordance with the terms of this Option Agreement,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 each Seller’s Pro Rata Percentage and Indemnity Pro Rata Share. </w:t>
      </w:r>
    </w:p>
    <w:p>
      <w:pPr>
        <w:pStyle w:val="TextBody"/>
        <w:bidi w:val="0"/>
        <w:spacing w:before="0" w:after="240"/>
        <w:jc w:val="left"/>
        <w:rPr>
          <w:rFonts w:ascii="Times New Roman" w:hAnsi="Times New Roman"/>
          <w:sz w:val="20"/>
        </w:rPr>
      </w:pPr>
      <w:r>
        <w:rPr>
          <w:rFonts w:ascii="Times New Roman" w:hAnsi="Times New Roman"/>
          <w:color w:val="000000"/>
          <w:sz w:val="20"/>
        </w:rPr>
        <w:t>Section 1.223. “</w:t>
      </w:r>
      <w:r>
        <w:rPr>
          <w:rFonts w:ascii="Times New Roman" w:hAnsi="Times New Roman"/>
          <w:i/>
          <w:color w:val="000000"/>
          <w:sz w:val="20"/>
        </w:rPr>
        <w:t>SEC</w:t>
      </w:r>
      <w:r>
        <w:rPr>
          <w:rFonts w:ascii="Times New Roman" w:hAnsi="Times New Roman"/>
          <w:color w:val="000000"/>
          <w:sz w:val="20"/>
        </w:rPr>
        <w:t xml:space="preserve">” means the Securities and Exchange Commission. </w:t>
      </w:r>
    </w:p>
    <w:p>
      <w:pPr>
        <w:pStyle w:val="TextBody"/>
        <w:bidi w:val="0"/>
        <w:spacing w:before="0" w:after="240"/>
        <w:jc w:val="left"/>
        <w:rPr>
          <w:rFonts w:ascii="Times New Roman" w:hAnsi="Times New Roman"/>
          <w:sz w:val="20"/>
        </w:rPr>
      </w:pPr>
      <w:r>
        <w:rPr>
          <w:rFonts w:ascii="Times New Roman" w:hAnsi="Times New Roman"/>
          <w:color w:val="000000"/>
          <w:sz w:val="20"/>
        </w:rPr>
        <w:t>Section 1.224. “</w:t>
      </w:r>
      <w:r>
        <w:rPr>
          <w:rFonts w:ascii="Times New Roman" w:hAnsi="Times New Roman"/>
          <w:i/>
          <w:color w:val="000000"/>
          <w:sz w:val="20"/>
        </w:rPr>
        <w:t>SEC Audited Financials</w:t>
      </w:r>
      <w:r>
        <w:rPr>
          <w:rFonts w:ascii="Times New Roman" w:hAnsi="Times New Roman"/>
          <w:color w:val="000000"/>
          <w:sz w:val="20"/>
        </w:rPr>
        <w:t xml:space="preserve">” is defined in </w:t>
      </w:r>
      <w:r>
        <w:rPr>
          <w:rFonts w:ascii="Times New Roman" w:hAnsi="Times New Roman"/>
          <w:color w:val="000000"/>
          <w:sz w:val="20"/>
          <w:u w:val="single"/>
        </w:rPr>
        <w:t>Section 3.1(e)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1.225. “</w:t>
      </w:r>
      <w:r>
        <w:rPr>
          <w:rFonts w:ascii="Times New Roman" w:hAnsi="Times New Roman"/>
          <w:i/>
          <w:color w:val="000000"/>
          <w:sz w:val="20"/>
        </w:rPr>
        <w:t>SEC Financials</w:t>
      </w:r>
      <w:r>
        <w:rPr>
          <w:rFonts w:ascii="Times New Roman" w:hAnsi="Times New Roman"/>
          <w:color w:val="000000"/>
          <w:sz w:val="20"/>
        </w:rPr>
        <w:t xml:space="preserve">” is defined in </w:t>
      </w:r>
      <w:r>
        <w:rPr>
          <w:rFonts w:ascii="Times New Roman" w:hAnsi="Times New Roman"/>
          <w:color w:val="000000"/>
          <w:sz w:val="20"/>
          <w:u w:val="single"/>
        </w:rPr>
        <w:t>Section 3.1(e)</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1.226. “</w:t>
      </w:r>
      <w:r>
        <w:rPr>
          <w:rFonts w:ascii="Times New Roman" w:hAnsi="Times New Roman"/>
          <w:i/>
          <w:color w:val="000000"/>
          <w:sz w:val="20"/>
        </w:rPr>
        <w:t>SEC Unaudited Financials</w:t>
      </w:r>
      <w:r>
        <w:rPr>
          <w:rFonts w:ascii="Times New Roman" w:hAnsi="Times New Roman"/>
          <w:color w:val="000000"/>
          <w:sz w:val="20"/>
        </w:rPr>
        <w:t xml:space="preserve">” is defined in </w:t>
      </w:r>
      <w:r>
        <w:rPr>
          <w:rFonts w:ascii="Times New Roman" w:hAnsi="Times New Roman"/>
          <w:color w:val="000000"/>
          <w:sz w:val="20"/>
          <w:u w:val="single"/>
        </w:rPr>
        <w:t>Section 3.1(e)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1.227. “</w:t>
      </w:r>
      <w:r>
        <w:rPr>
          <w:rFonts w:ascii="Times New Roman" w:hAnsi="Times New Roman"/>
          <w:i/>
          <w:color w:val="000000"/>
          <w:sz w:val="20"/>
        </w:rPr>
        <w:t>Second CVR Product Approval</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1.228. “</w:t>
      </w:r>
      <w:r>
        <w:rPr>
          <w:rFonts w:ascii="Times New Roman" w:hAnsi="Times New Roman"/>
          <w:i/>
          <w:color w:val="000000"/>
          <w:sz w:val="20"/>
        </w:rPr>
        <w:t>Second Unique Indication</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1.229. “</w:t>
      </w:r>
      <w:r>
        <w:rPr>
          <w:rFonts w:ascii="Times New Roman" w:hAnsi="Times New Roman"/>
          <w:i/>
          <w:color w:val="000000"/>
          <w:sz w:val="20"/>
        </w:rPr>
        <w:t>Securities Act</w:t>
      </w:r>
      <w:r>
        <w:rPr>
          <w:rFonts w:ascii="Times New Roman" w:hAnsi="Times New Roman"/>
          <w:color w:val="000000"/>
          <w:sz w:val="20"/>
        </w:rPr>
        <w:t>” means the Securities Act of 1933.</w:t>
      </w:r>
    </w:p>
    <w:p>
      <w:pPr>
        <w:pStyle w:val="TextBody"/>
        <w:bidi w:val="0"/>
        <w:spacing w:before="0" w:after="240"/>
        <w:jc w:val="left"/>
        <w:rPr>
          <w:rFonts w:ascii="Times New Roman" w:hAnsi="Times New Roman"/>
          <w:sz w:val="20"/>
        </w:rPr>
      </w:pPr>
      <w:r>
        <w:rPr>
          <w:rFonts w:ascii="Times New Roman" w:hAnsi="Times New Roman"/>
          <w:color w:val="000000"/>
          <w:sz w:val="20"/>
        </w:rPr>
        <w:t>Section 1.230. “</w:t>
      </w:r>
      <w:r>
        <w:rPr>
          <w:rFonts w:ascii="Times New Roman" w:hAnsi="Times New Roman"/>
          <w:i/>
          <w:color w:val="000000"/>
          <w:sz w:val="20"/>
        </w:rPr>
        <w:t>Security Interest</w:t>
      </w:r>
      <w:r>
        <w:rPr>
          <w:rFonts w:ascii="Times New Roman" w:hAnsi="Times New Roman"/>
          <w:color w:val="000000"/>
          <w:sz w:val="20"/>
        </w:rPr>
        <w:t xml:space="preserve">” is defined in </w:t>
      </w:r>
      <w:r>
        <w:rPr>
          <w:rFonts w:ascii="Times New Roman" w:hAnsi="Times New Roman"/>
          <w:color w:val="000000"/>
          <w:sz w:val="20"/>
          <w:u w:val="single"/>
        </w:rPr>
        <w:t>Section 7.9(a)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1.231. “</w:t>
      </w:r>
      <w:r>
        <w:rPr>
          <w:rFonts w:ascii="Times New Roman" w:hAnsi="Times New Roman"/>
          <w:i/>
          <w:color w:val="000000"/>
          <w:sz w:val="20"/>
        </w:rPr>
        <w:t>Seller Indemnified Party</w:t>
      </w:r>
      <w:r>
        <w:rPr>
          <w:rFonts w:ascii="Times New Roman" w:hAnsi="Times New Roman"/>
          <w:color w:val="000000"/>
          <w:sz w:val="20"/>
        </w:rPr>
        <w:t xml:space="preserve">” is defined in </w:t>
      </w:r>
      <w:r>
        <w:rPr>
          <w:rFonts w:ascii="Times New Roman" w:hAnsi="Times New Roman"/>
          <w:color w:val="000000"/>
          <w:sz w:val="20"/>
          <w:u w:val="single"/>
        </w:rPr>
        <w:t>Section 9.3</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1.232. “</w:t>
      </w:r>
      <w:r>
        <w:rPr>
          <w:rFonts w:ascii="Times New Roman" w:hAnsi="Times New Roman"/>
          <w:i/>
          <w:color w:val="000000"/>
          <w:sz w:val="20"/>
        </w:rPr>
        <w:t>Sellers</w:t>
      </w:r>
      <w:r>
        <w:rPr>
          <w:rFonts w:ascii="Times New Roman" w:hAnsi="Times New Roman"/>
          <w:color w:val="000000"/>
          <w:sz w:val="20"/>
        </w:rPr>
        <w:t>” means (i) the holders of Fortis Capital Stock as of immediately prior to the Effective Time (other than holders of Dissenting Shares), (ii) the holders of In-the-Money Warrants as of immediately prior to the Effective Time, and (iii) the holders of In-the-Money Fortis Stock Options as of immediately prior to the Effective Time.</w:t>
      </w:r>
    </w:p>
    <w:p>
      <w:pPr>
        <w:pStyle w:val="TextBody"/>
        <w:bidi w:val="0"/>
        <w:spacing w:before="0" w:after="240"/>
        <w:jc w:val="left"/>
        <w:rPr>
          <w:rFonts w:ascii="Times New Roman" w:hAnsi="Times New Roman"/>
          <w:sz w:val="20"/>
        </w:rPr>
      </w:pPr>
      <w:r>
        <w:rPr>
          <w:rFonts w:ascii="Times New Roman" w:hAnsi="Times New Roman"/>
          <w:color w:val="000000"/>
          <w:sz w:val="20"/>
        </w:rPr>
        <w:t>Section 1.233. “</w:t>
      </w:r>
      <w:r>
        <w:rPr>
          <w:rFonts w:ascii="Times New Roman" w:hAnsi="Times New Roman"/>
          <w:i/>
          <w:color w:val="000000"/>
          <w:sz w:val="20"/>
        </w:rPr>
        <w:t>Shareholder Approval</w:t>
      </w:r>
      <w:r>
        <w:rPr>
          <w:rFonts w:ascii="Times New Roman" w:hAnsi="Times New Roman"/>
          <w:color w:val="000000"/>
          <w:sz w:val="20"/>
        </w:rPr>
        <w:t xml:space="preserve">” is defined in </w:t>
      </w:r>
      <w:r>
        <w:rPr>
          <w:rFonts w:ascii="Times New Roman" w:hAnsi="Times New Roman"/>
          <w:color w:val="000000"/>
          <w:sz w:val="20"/>
          <w:u w:val="single"/>
        </w:rPr>
        <w:t>Section 5.3(b)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1.234. “</w:t>
      </w:r>
      <w:r>
        <w:rPr>
          <w:rFonts w:ascii="Times New Roman" w:hAnsi="Times New Roman"/>
          <w:i/>
          <w:color w:val="000000"/>
          <w:sz w:val="20"/>
        </w:rPr>
        <w:t>Sellers’ Representative</w:t>
      </w:r>
      <w:r>
        <w:rPr>
          <w:rFonts w:ascii="Times New Roman" w:hAnsi="Times New Roman"/>
          <w:color w:val="000000"/>
          <w:sz w:val="20"/>
        </w:rPr>
        <w:t xml:space="preserve">” is defined in </w:t>
      </w:r>
      <w:r>
        <w:rPr>
          <w:rFonts w:ascii="Times New Roman" w:hAnsi="Times New Roman"/>
          <w:color w:val="000000"/>
          <w:sz w:val="20"/>
          <w:u w:val="single"/>
        </w:rPr>
        <w:t>Section 2.12(a)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1.235. “</w:t>
      </w:r>
      <w:r>
        <w:rPr>
          <w:rFonts w:ascii="Times New Roman" w:hAnsi="Times New Roman"/>
          <w:i/>
          <w:color w:val="000000"/>
          <w:sz w:val="20"/>
        </w:rPr>
        <w:t>Sellers’ Representative Reserve</w:t>
      </w:r>
      <w:r>
        <w:rPr>
          <w:rFonts w:ascii="Times New Roman" w:hAnsi="Times New Roman"/>
          <w:color w:val="000000"/>
          <w:sz w:val="20"/>
        </w:rPr>
        <w:t xml:space="preserve">” means [*]. </w:t>
      </w:r>
    </w:p>
    <w:p>
      <w:pPr>
        <w:pStyle w:val="TextBody"/>
        <w:bidi w:val="0"/>
        <w:spacing w:before="0" w:after="240"/>
        <w:jc w:val="left"/>
        <w:rPr>
          <w:rFonts w:ascii="Times New Roman" w:hAnsi="Times New Roman"/>
          <w:sz w:val="20"/>
        </w:rPr>
      </w:pPr>
      <w:r>
        <w:rPr>
          <w:rFonts w:ascii="Times New Roman" w:hAnsi="Times New Roman"/>
          <w:color w:val="000000"/>
          <w:sz w:val="20"/>
        </w:rPr>
        <w:t>Section 1.236. “</w:t>
      </w:r>
      <w:r>
        <w:rPr>
          <w:rFonts w:ascii="Times New Roman" w:hAnsi="Times New Roman"/>
          <w:i/>
          <w:color w:val="000000"/>
          <w:sz w:val="20"/>
        </w:rPr>
        <w:t>Software</w:t>
      </w:r>
      <w:r>
        <w:rPr>
          <w:rFonts w:ascii="Times New Roman" w:hAnsi="Times New Roman"/>
          <w:color w:val="000000"/>
          <w:sz w:val="20"/>
        </w:rPr>
        <w:t>” means computer software and databases, including object code, source code, firmware and embedded versions thereof and documentation related thereto.</w:t>
      </w:r>
    </w:p>
    <w:p>
      <w:pPr>
        <w:pStyle w:val="TextBody"/>
        <w:bidi w:val="0"/>
        <w:spacing w:before="0" w:after="240"/>
        <w:jc w:val="left"/>
        <w:rPr>
          <w:rFonts w:ascii="Times New Roman" w:hAnsi="Times New Roman"/>
          <w:sz w:val="20"/>
        </w:rPr>
      </w:pPr>
      <w:r>
        <w:rPr>
          <w:rFonts w:ascii="Times New Roman" w:hAnsi="Times New Roman"/>
          <w:color w:val="000000"/>
          <w:sz w:val="20"/>
        </w:rPr>
        <w:t>Section 1.237. “</w:t>
      </w:r>
      <w:r>
        <w:rPr>
          <w:rFonts w:ascii="Times New Roman" w:hAnsi="Times New Roman"/>
          <w:i/>
          <w:color w:val="000000"/>
          <w:sz w:val="20"/>
        </w:rPr>
        <w:t>Specified IP Representations</w:t>
      </w:r>
      <w:r>
        <w:rPr>
          <w:rFonts w:ascii="Times New Roman" w:hAnsi="Times New Roman"/>
          <w:color w:val="000000"/>
          <w:sz w:val="20"/>
        </w:rPr>
        <w:t>” means [</w:t>
      </w:r>
      <w:r>
        <w:rPr>
          <w:rFonts w:ascii="Times New Roman" w:hAnsi="Times New Roman"/>
          <w:color w:val="000000"/>
          <w:sz w:val="20"/>
          <w:u w:val="single"/>
        </w:rPr>
        <w:t>*</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1.238. “</w:t>
      </w:r>
      <w:r>
        <w:rPr>
          <w:rFonts w:ascii="Times New Roman" w:hAnsi="Times New Roman"/>
          <w:i/>
          <w:color w:val="000000"/>
          <w:sz w:val="20"/>
        </w:rPr>
        <w:t>Straddle Period</w:t>
      </w:r>
      <w:r>
        <w:rPr>
          <w:rFonts w:ascii="Times New Roman" w:hAnsi="Times New Roman"/>
          <w:color w:val="000000"/>
          <w:sz w:val="20"/>
        </w:rPr>
        <w:t>” means any Tax Period that includes (but does not end on) the Closing Date.</w:t>
      </w:r>
    </w:p>
    <w:p>
      <w:pPr>
        <w:pStyle w:val="TextBody"/>
        <w:bidi w:val="0"/>
        <w:spacing w:before="0" w:after="240"/>
        <w:jc w:val="left"/>
        <w:rPr>
          <w:rFonts w:ascii="Times New Roman" w:hAnsi="Times New Roman"/>
          <w:sz w:val="20"/>
        </w:rPr>
      </w:pPr>
      <w:r>
        <w:rPr>
          <w:rFonts w:ascii="Times New Roman" w:hAnsi="Times New Roman"/>
          <w:color w:val="000000"/>
          <w:sz w:val="20"/>
        </w:rPr>
        <w:t>Section 1.239. “</w:t>
      </w:r>
      <w:r>
        <w:rPr>
          <w:rFonts w:ascii="Times New Roman" w:hAnsi="Times New Roman"/>
          <w:i/>
          <w:color w:val="000000"/>
          <w:sz w:val="20"/>
        </w:rPr>
        <w:t>Stockholder Agreements</w:t>
      </w:r>
      <w:r>
        <w:rPr>
          <w:rFonts w:ascii="Times New Roman" w:hAnsi="Times New Roman"/>
          <w:color w:val="000000"/>
          <w:sz w:val="20"/>
        </w:rPr>
        <w:t>” means, collectively, the Fortis Voting Agreement, the Right of First Refusal and Co-Sale Agreement, and the Investors’ Rights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1.240. “</w:t>
      </w:r>
      <w:r>
        <w:rPr>
          <w:rFonts w:ascii="Times New Roman" w:hAnsi="Times New Roman"/>
          <w:i/>
          <w:color w:val="000000"/>
          <w:sz w:val="20"/>
        </w:rPr>
        <w:t>Study Plan</w:t>
      </w:r>
      <w:r>
        <w:rPr>
          <w:rFonts w:ascii="Times New Roman" w:hAnsi="Times New Roman"/>
          <w:color w:val="000000"/>
          <w:sz w:val="20"/>
        </w:rPr>
        <w:t>” has the meaning set forth in the Evaluation Agreement.</w:t>
      </w:r>
    </w:p>
    <w:p>
      <w:pPr>
        <w:pStyle w:val="TextBody"/>
        <w:bidi w:val="0"/>
        <w:spacing w:before="0" w:after="240"/>
        <w:jc w:val="left"/>
        <w:rPr>
          <w:rFonts w:ascii="Times New Roman" w:hAnsi="Times New Roman"/>
          <w:sz w:val="20"/>
        </w:rPr>
      </w:pPr>
      <w:bookmarkStart w:id="57" w:name="docxtextref75"/>
      <w:bookmarkEnd w:id="57"/>
      <w:r>
        <w:rPr>
          <w:rFonts w:ascii="Times New Roman" w:hAnsi="Times New Roman"/>
          <w:color w:val="000000"/>
          <w:sz w:val="20"/>
        </w:rPr>
        <w:t>Section 1.241. “</w:t>
      </w:r>
      <w:r>
        <w:rPr>
          <w:rFonts w:ascii="Times New Roman" w:hAnsi="Times New Roman"/>
          <w:i/>
          <w:color w:val="000000"/>
          <w:sz w:val="20"/>
        </w:rPr>
        <w:t>Subsidiary</w:t>
      </w:r>
      <w:r>
        <w:rPr>
          <w:rFonts w:ascii="Times New Roman" w:hAnsi="Times New Roman"/>
          <w:color w:val="000000"/>
          <w:sz w:val="20"/>
        </w:rPr>
        <w:t>” means, with respect to any Person, (i) any corporation more than fifty percent (50%) of whose stock of any class or classes is owned by such Person directly or indirectly through one (1) or more Subsidiaries of such Person and (ii) any partnership, association, joint venture or other entity in which such Person directly or indirectly through one (1) or more Subsidiaries of such Person has more than a fifty percent (50%) equity interest.</w:t>
      </w:r>
    </w:p>
    <w:p>
      <w:pPr>
        <w:pStyle w:val="TextBody"/>
        <w:bidi w:val="0"/>
        <w:spacing w:before="0" w:after="240"/>
        <w:jc w:val="left"/>
        <w:rPr>
          <w:rFonts w:ascii="Times New Roman" w:hAnsi="Times New Roman"/>
          <w:sz w:val="20"/>
        </w:rPr>
      </w:pPr>
      <w:r>
        <w:rPr>
          <w:rFonts w:ascii="Times New Roman" w:hAnsi="Times New Roman"/>
          <w:color w:val="000000"/>
          <w:sz w:val="20"/>
        </w:rPr>
        <w:t>Section 1.242. “</w:t>
      </w:r>
      <w:r>
        <w:rPr>
          <w:rFonts w:ascii="Times New Roman" w:hAnsi="Times New Roman"/>
          <w:i/>
          <w:color w:val="000000"/>
          <w:sz w:val="20"/>
        </w:rPr>
        <w:t>Surviving Corporation</w:t>
      </w:r>
      <w:r>
        <w:rPr>
          <w:rFonts w:ascii="Times New Roman" w:hAnsi="Times New Roman"/>
          <w:color w:val="000000"/>
          <w:sz w:val="20"/>
        </w:rPr>
        <w:t xml:space="preserve">” is defined in </w:t>
      </w:r>
      <w:r>
        <w:rPr>
          <w:rFonts w:ascii="Times New Roman" w:hAnsi="Times New Roman"/>
          <w:color w:val="000000"/>
          <w:sz w:val="20"/>
          <w:u w:val="single"/>
        </w:rPr>
        <w:t>Section 2.2</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1.243. “</w:t>
      </w:r>
      <w:r>
        <w:rPr>
          <w:rFonts w:ascii="Times New Roman" w:hAnsi="Times New Roman"/>
          <w:i/>
          <w:color w:val="000000"/>
          <w:sz w:val="20"/>
        </w:rPr>
        <w:t>System</w:t>
      </w:r>
      <w:r>
        <w:rPr>
          <w:rFonts w:ascii="Times New Roman" w:hAnsi="Times New Roman"/>
          <w:color w:val="000000"/>
          <w:sz w:val="20"/>
        </w:rPr>
        <w:t>” or “</w:t>
      </w:r>
      <w:r>
        <w:rPr>
          <w:rFonts w:ascii="Times New Roman" w:hAnsi="Times New Roman"/>
          <w:i/>
          <w:color w:val="000000"/>
          <w:sz w:val="20"/>
        </w:rPr>
        <w:t>Systems</w:t>
      </w:r>
      <w:r>
        <w:rPr>
          <w:rFonts w:ascii="Times New Roman" w:hAnsi="Times New Roman"/>
          <w:color w:val="000000"/>
          <w:sz w:val="20"/>
        </w:rPr>
        <w:t>” means all Software, hardware, networks, databases, electronics, platforms, servers, interfaces, applications, websites and related information technology systems and services used or held for use by Fortis, including any outsourced systems and services, that are owned or used by Fortis.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bookmarkStart w:id="58" w:name="docxtextref79"/>
      <w:bookmarkEnd w:id="58"/>
      <w:r>
        <w:rPr>
          <w:rFonts w:ascii="Times New Roman" w:hAnsi="Times New Roman"/>
          <w:color w:val="000000"/>
          <w:sz w:val="20"/>
        </w:rPr>
        <w:t>Section 1.244. “</w:t>
      </w:r>
      <w:r>
        <w:rPr>
          <w:rFonts w:ascii="Times New Roman" w:hAnsi="Times New Roman"/>
          <w:i/>
          <w:color w:val="000000"/>
          <w:sz w:val="20"/>
        </w:rPr>
        <w:t>Tax</w:t>
      </w:r>
      <w:r>
        <w:rPr>
          <w:rFonts w:ascii="Times New Roman" w:hAnsi="Times New Roman"/>
          <w:color w:val="000000"/>
          <w:sz w:val="20"/>
        </w:rPr>
        <w:t>” (and, with correlative meaning, “</w:t>
      </w:r>
      <w:r>
        <w:rPr>
          <w:rFonts w:ascii="Times New Roman" w:hAnsi="Times New Roman"/>
          <w:i/>
          <w:color w:val="000000"/>
          <w:sz w:val="20"/>
        </w:rPr>
        <w:t>Taxes</w:t>
      </w:r>
      <w:r>
        <w:rPr>
          <w:rFonts w:ascii="Times New Roman" w:hAnsi="Times New Roman"/>
          <w:color w:val="000000"/>
          <w:sz w:val="20"/>
        </w:rPr>
        <w:t>” and “</w:t>
      </w:r>
      <w:r>
        <w:rPr>
          <w:rFonts w:ascii="Times New Roman" w:hAnsi="Times New Roman"/>
          <w:i/>
          <w:color w:val="000000"/>
          <w:sz w:val="20"/>
        </w:rPr>
        <w:t>Taxable</w:t>
      </w:r>
      <w:r>
        <w:rPr>
          <w:rFonts w:ascii="Times New Roman" w:hAnsi="Times New Roman"/>
          <w:color w:val="000000"/>
          <w:sz w:val="20"/>
        </w:rPr>
        <w:t xml:space="preserve">”) means (a) any income, capital gains, alternative or add-on minimum, estimated, gross income, gross receipts, sales, use, value added, ad valorem, franchise, capital stock or other equity securities, profits, license, registration, withholding, employment, unemployment, disability, severance, occupation, social security (or similar including FICA), payroll, transfer, conveyance, documentary, stamp, property (real, tangible, estimated or intangible), premium, escheat obligation, environmental, windfall profits, customs duties, minimum tax, excise or other taxes, duties, fines, assessments or any other governmental charges in the nature of a tax, together with any interest, penalties or addition thereto, whether disputed or not, imposed by a Taxing Authority, and </w:t>
      </w:r>
      <w:bookmarkStart w:id="59" w:name="docxtextref80"/>
      <w:bookmarkEnd w:id="59"/>
      <w:r>
        <w:rPr>
          <w:rFonts w:ascii="Times New Roman" w:hAnsi="Times New Roman"/>
          <w:color w:val="000000"/>
          <w:sz w:val="20"/>
        </w:rPr>
        <w:t>(b) any Liability for the payment of any amount of any type described in clause (a) of this sentence as a result of being or having been a member of an affiliated, consolidated, combined, unitary or aggregate group for any Tax Period, and (c) any Liability for the payment of any amounts of the type described in clause (a) or (b) of this sentence as a result of being a transferee of or successor to any Person or as a result of any express or implied obligation to assume such Taxes or to indemnify any other Person.</w:t>
      </w:r>
    </w:p>
    <w:p>
      <w:pPr>
        <w:pStyle w:val="TextBody"/>
        <w:bidi w:val="0"/>
        <w:spacing w:before="0" w:after="240"/>
        <w:jc w:val="left"/>
        <w:rPr>
          <w:rFonts w:ascii="Times New Roman" w:hAnsi="Times New Roman"/>
          <w:sz w:val="20"/>
        </w:rPr>
      </w:pPr>
      <w:r>
        <w:rPr>
          <w:rFonts w:ascii="Times New Roman" w:hAnsi="Times New Roman"/>
          <w:color w:val="000000"/>
          <w:sz w:val="20"/>
        </w:rPr>
        <w:t>Section 1.245. “</w:t>
      </w:r>
      <w:r>
        <w:rPr>
          <w:rFonts w:ascii="Times New Roman" w:hAnsi="Times New Roman"/>
          <w:i/>
          <w:color w:val="000000"/>
          <w:sz w:val="20"/>
        </w:rPr>
        <w:t>Tax Law</w:t>
      </w:r>
      <w:r>
        <w:rPr>
          <w:rFonts w:ascii="Times New Roman" w:hAnsi="Times New Roman"/>
          <w:color w:val="000000"/>
          <w:sz w:val="20"/>
        </w:rPr>
        <w:t>” means all currently applicable Laws relating to or regulating the assessment, determination, collection or imposition of Taxes.</w:t>
      </w:r>
    </w:p>
    <w:p>
      <w:pPr>
        <w:pStyle w:val="TextBody"/>
        <w:bidi w:val="0"/>
        <w:spacing w:before="0" w:after="240"/>
        <w:jc w:val="left"/>
        <w:rPr>
          <w:rFonts w:ascii="Times New Roman" w:hAnsi="Times New Roman"/>
          <w:sz w:val="20"/>
        </w:rPr>
      </w:pPr>
      <w:r>
        <w:rPr>
          <w:rFonts w:ascii="Times New Roman" w:hAnsi="Times New Roman"/>
          <w:color w:val="000000"/>
          <w:sz w:val="20"/>
        </w:rPr>
        <w:t>Section 1.246. “</w:t>
      </w:r>
      <w:r>
        <w:rPr>
          <w:rFonts w:ascii="Times New Roman" w:hAnsi="Times New Roman"/>
          <w:i/>
          <w:color w:val="000000"/>
          <w:sz w:val="20"/>
        </w:rPr>
        <w:t>Tax Period</w:t>
      </w:r>
      <w:r>
        <w:rPr>
          <w:rFonts w:ascii="Times New Roman" w:hAnsi="Times New Roman"/>
          <w:color w:val="000000"/>
          <w:sz w:val="20"/>
        </w:rPr>
        <w:t>” means any period prescribed by any Taxing Authority for which a Tax Return is required to be filed or a Tax is required to be paid.</w:t>
      </w:r>
    </w:p>
    <w:p>
      <w:pPr>
        <w:pStyle w:val="TextBody"/>
        <w:bidi w:val="0"/>
        <w:spacing w:before="0" w:after="240"/>
        <w:jc w:val="left"/>
        <w:rPr>
          <w:rFonts w:ascii="Times New Roman" w:hAnsi="Times New Roman"/>
          <w:sz w:val="20"/>
        </w:rPr>
      </w:pPr>
      <w:r>
        <w:rPr>
          <w:rFonts w:ascii="Times New Roman" w:hAnsi="Times New Roman"/>
          <w:color w:val="000000"/>
          <w:sz w:val="20"/>
        </w:rPr>
        <w:t>Section 1.247. “</w:t>
      </w:r>
      <w:r>
        <w:rPr>
          <w:rFonts w:ascii="Times New Roman" w:hAnsi="Times New Roman"/>
          <w:i/>
          <w:color w:val="000000"/>
          <w:sz w:val="20"/>
        </w:rPr>
        <w:t>Tax Return</w:t>
      </w:r>
      <w:r>
        <w:rPr>
          <w:rFonts w:ascii="Times New Roman" w:hAnsi="Times New Roman"/>
          <w:color w:val="000000"/>
          <w:sz w:val="20"/>
        </w:rPr>
        <w:t>” means any report, return, declaration, claim for refund, information return, statement, designation, election, notice or certificate filed or required to be filed with any Taxing Authority in connection with the determination, assessment, collection or payment of any Taxes, including any schedule or attachment thereto and including any amendment thereof.</w:t>
      </w:r>
    </w:p>
    <w:p>
      <w:pPr>
        <w:pStyle w:val="TextBody"/>
        <w:bidi w:val="0"/>
        <w:spacing w:before="0" w:after="240"/>
        <w:jc w:val="left"/>
        <w:rPr>
          <w:rFonts w:ascii="Times New Roman" w:hAnsi="Times New Roman"/>
          <w:sz w:val="20"/>
        </w:rPr>
      </w:pPr>
      <w:r>
        <w:rPr>
          <w:rFonts w:ascii="Times New Roman" w:hAnsi="Times New Roman"/>
          <w:color w:val="000000"/>
          <w:sz w:val="20"/>
        </w:rPr>
        <w:t>Section 1.248. “</w:t>
      </w:r>
      <w:r>
        <w:rPr>
          <w:rFonts w:ascii="Times New Roman" w:hAnsi="Times New Roman"/>
          <w:i/>
          <w:color w:val="000000"/>
          <w:sz w:val="20"/>
        </w:rPr>
        <w:t>Taxing Authority</w:t>
      </w:r>
      <w:r>
        <w:rPr>
          <w:rFonts w:ascii="Times New Roman" w:hAnsi="Times New Roman"/>
          <w:color w:val="000000"/>
          <w:sz w:val="20"/>
        </w:rPr>
        <w:t>” means any Governmental Entity having jurisdiction over the assessment, determination, collection, or imposition of any Taxes (domestic or foreign).</w:t>
      </w:r>
    </w:p>
    <w:p>
      <w:pPr>
        <w:pStyle w:val="TextBody"/>
        <w:bidi w:val="0"/>
        <w:spacing w:before="0" w:after="240"/>
        <w:jc w:val="left"/>
        <w:rPr>
          <w:rFonts w:ascii="Times New Roman" w:hAnsi="Times New Roman"/>
          <w:sz w:val="20"/>
        </w:rPr>
      </w:pPr>
      <w:r>
        <w:rPr>
          <w:rFonts w:ascii="Times New Roman" w:hAnsi="Times New Roman"/>
          <w:color w:val="000000"/>
          <w:sz w:val="20"/>
        </w:rPr>
        <w:t>Section 1.249. “</w:t>
      </w:r>
      <w:r>
        <w:rPr>
          <w:rFonts w:ascii="Times New Roman" w:hAnsi="Times New Roman"/>
          <w:i/>
          <w:color w:val="000000"/>
          <w:sz w:val="20"/>
        </w:rPr>
        <w:t>Technology</w:t>
      </w:r>
      <w:r>
        <w:rPr>
          <w:rFonts w:ascii="Times New Roman" w:hAnsi="Times New Roman"/>
          <w:color w:val="000000"/>
          <w:sz w:val="20"/>
        </w:rPr>
        <w:t>” means all inventions, works, discoveries, innovations, know-how,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integrated circuits and integrated circuit masks, equipment, and all other forms of technology and business materials, whether tangible or intangible, embodied in any form, whether or not protectable or protected by patent, copyright, mask work right, trade secret law, or otherwise, and all documents and other materials recording any of the foregoing.</w:t>
      </w:r>
    </w:p>
    <w:p>
      <w:pPr>
        <w:pStyle w:val="TextBody"/>
        <w:bidi w:val="0"/>
        <w:spacing w:before="0" w:after="240"/>
        <w:jc w:val="left"/>
        <w:rPr>
          <w:rFonts w:ascii="Times New Roman" w:hAnsi="Times New Roman"/>
          <w:sz w:val="20"/>
        </w:rPr>
      </w:pPr>
      <w:r>
        <w:rPr>
          <w:rFonts w:ascii="Times New Roman" w:hAnsi="Times New Roman"/>
          <w:color w:val="000000"/>
          <w:sz w:val="20"/>
        </w:rPr>
        <w:t>Section 1.250. “</w:t>
      </w:r>
      <w:r>
        <w:rPr>
          <w:rFonts w:ascii="Times New Roman" w:hAnsi="Times New Roman"/>
          <w:i/>
          <w:color w:val="000000"/>
          <w:sz w:val="20"/>
        </w:rPr>
        <w:t>Third CVR Product Approval</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1.251. “</w:t>
      </w:r>
      <w:r>
        <w:rPr>
          <w:rFonts w:ascii="Times New Roman" w:hAnsi="Times New Roman"/>
          <w:i/>
          <w:color w:val="000000"/>
          <w:sz w:val="20"/>
        </w:rPr>
        <w:t>Third Party</w:t>
      </w:r>
      <w:r>
        <w:rPr>
          <w:rFonts w:ascii="Times New Roman" w:hAnsi="Times New Roman"/>
          <w:color w:val="000000"/>
          <w:sz w:val="20"/>
        </w:rPr>
        <w:t>” means any Person other than Fortis, FibroGen or any of their respective Affiliates.</w:t>
      </w:r>
    </w:p>
    <w:p>
      <w:pPr>
        <w:pStyle w:val="TextBody"/>
        <w:bidi w:val="0"/>
        <w:spacing w:before="0" w:after="240"/>
        <w:jc w:val="left"/>
        <w:rPr>
          <w:rFonts w:ascii="Times New Roman" w:hAnsi="Times New Roman"/>
          <w:sz w:val="20"/>
        </w:rPr>
      </w:pPr>
      <w:r>
        <w:rPr>
          <w:rFonts w:ascii="Times New Roman" w:hAnsi="Times New Roman"/>
          <w:color w:val="000000"/>
          <w:sz w:val="20"/>
        </w:rPr>
        <w:t>Section 1.252. “</w:t>
      </w:r>
      <w:r>
        <w:rPr>
          <w:rFonts w:ascii="Times New Roman" w:hAnsi="Times New Roman"/>
          <w:i/>
          <w:color w:val="000000"/>
          <w:sz w:val="20"/>
        </w:rPr>
        <w:t>Third Party Claim</w:t>
      </w:r>
      <w:r>
        <w:rPr>
          <w:rFonts w:ascii="Times New Roman" w:hAnsi="Times New Roman"/>
          <w:color w:val="000000"/>
          <w:sz w:val="20"/>
        </w:rPr>
        <w:t xml:space="preserve">” is defined in </w:t>
      </w:r>
      <w:r>
        <w:rPr>
          <w:rFonts w:ascii="Times New Roman" w:hAnsi="Times New Roman"/>
          <w:color w:val="000000"/>
          <w:sz w:val="20"/>
          <w:u w:val="single"/>
        </w:rPr>
        <w:t>Section 9.5(e)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1.253. “</w:t>
      </w:r>
      <w:r>
        <w:rPr>
          <w:rFonts w:ascii="Times New Roman" w:hAnsi="Times New Roman"/>
          <w:i/>
          <w:color w:val="000000"/>
          <w:sz w:val="20"/>
        </w:rPr>
        <w:t>Third Unique Indication</w:t>
      </w:r>
      <w:r>
        <w:rPr>
          <w:rFonts w:ascii="Times New Roman" w:hAnsi="Times New Roman"/>
          <w:color w:val="000000"/>
          <w:sz w:val="20"/>
        </w:rPr>
        <w:t xml:space="preserve">” is defined in </w:t>
      </w:r>
      <w:r>
        <w:rPr>
          <w:rFonts w:ascii="Times New Roman" w:hAnsi="Times New Roman"/>
          <w:color w:val="000000"/>
          <w:sz w:val="20"/>
          <w:u w:val="single"/>
        </w:rPr>
        <w:t>Section 2.13(b)</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1.254. “</w:t>
      </w:r>
      <w:r>
        <w:rPr>
          <w:rFonts w:ascii="Times New Roman" w:hAnsi="Times New Roman"/>
          <w:i/>
          <w:color w:val="000000"/>
          <w:sz w:val="20"/>
        </w:rPr>
        <w:t>Transaction Deductions</w:t>
      </w:r>
      <w:r>
        <w:rPr>
          <w:rFonts w:ascii="Times New Roman" w:hAnsi="Times New Roman"/>
          <w:color w:val="000000"/>
          <w:sz w:val="20"/>
        </w:rPr>
        <w:t>” means, without duplication, any deduction allowable for income Tax purposes under applicable Law with respect to the following amounts to the extent borne by Fortis on or before the Closing or taken into account as a reduction of the Merger Consideration: (i) any and all Change of Control Payments made or accrued by Fortis at or before Closing (or included as a liability in the Closing Liability Amount), (ii) all fees, expenses and interest (or amounts treated as such for U.S. federal income Tax purposes), original issue discount, unamortized debt financing costs, breakage fees, tender premiums, consent fees, redemption, retirement or make-whole payments, or defeasance in excess of par incurred in respect of Closing Indebtedness (or included as a liability in the Closing Liability Amount), (iii) all Deal Fees, fees, costs and expenses incurred by Fortis in connection with or incident to this Option Agreement and the transactions contemplated hereby, including any such legal, accounting and investment banking fees, costs and expenses, (iv) all deductions in respect of the exercise, or payment for the cancellation of, options in connection with the Closing, and (v) any Closing Payroll Taxes.</w:t>
      </w:r>
    </w:p>
    <w:p>
      <w:pPr>
        <w:pStyle w:val="TextBody"/>
        <w:bidi w:val="0"/>
        <w:spacing w:before="0" w:after="240"/>
        <w:jc w:val="left"/>
        <w:rPr>
          <w:rFonts w:ascii="Times New Roman" w:hAnsi="Times New Roman"/>
          <w:sz w:val="20"/>
        </w:rPr>
      </w:pPr>
      <w:r>
        <w:rPr>
          <w:rFonts w:ascii="Times New Roman" w:hAnsi="Times New Roman"/>
          <w:color w:val="000000"/>
          <w:sz w:val="20"/>
        </w:rPr>
        <w:t>Section 1.255. “</w:t>
      </w:r>
      <w:r>
        <w:rPr>
          <w:rFonts w:ascii="Times New Roman" w:hAnsi="Times New Roman"/>
          <w:i/>
          <w:color w:val="000000"/>
          <w:sz w:val="20"/>
        </w:rPr>
        <w:t>Transaction Proposal</w:t>
      </w:r>
      <w:r>
        <w:rPr>
          <w:rFonts w:ascii="Times New Roman" w:hAnsi="Times New Roman"/>
          <w:color w:val="000000"/>
          <w:sz w:val="20"/>
        </w:rPr>
        <w:t>” means any proposal or offer from any Person relating to, or that would reasonably be expected to lead to, any (i) direct or indirect acquisition or sale of substantial assets of Fortis, (ii) transaction which would result in a change in the capitalization of Fortis as of the date hereof, including any sale or issuance of any capital stock of Fortis to any Person (but excluding (A) the issuance of Fortis Stock Options and (B) the issuance of Capital Stock upon the exercise of Fortis Stock Options or Warrants or conversion of Fortis Preferred Stock), (iii) license or grant of rights to any third party for any of Fortis Intellectual Property, other than pursuant to any non-exclusive license entered into in the Ordinary Course of Business that are not material to Fortis or the Products, or (iv) direct or indirect acquisition or sale of any of the capital stock of Fortis (whether through a share purchase, merger, consolidation, business combination, recapitalization or similar transaction involving Fortis), in each case of clauses (i) through (iv), other than the Merger and the other transactions contemplated by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Section 1.256. “</w:t>
      </w:r>
      <w:r>
        <w:rPr>
          <w:rFonts w:ascii="Times New Roman" w:hAnsi="Times New Roman"/>
          <w:i/>
          <w:color w:val="000000"/>
          <w:sz w:val="20"/>
        </w:rPr>
        <w:t>Transfer Costs</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1.257. “</w:t>
      </w:r>
      <w:r>
        <w:rPr>
          <w:rFonts w:ascii="Times New Roman" w:hAnsi="Times New Roman"/>
          <w:i/>
          <w:color w:val="000000"/>
          <w:sz w:val="20"/>
        </w:rPr>
        <w:t>Transfer Taxes</w:t>
      </w:r>
      <w:r>
        <w:rPr>
          <w:rFonts w:ascii="Times New Roman" w:hAnsi="Times New Roman"/>
          <w:color w:val="000000"/>
          <w:sz w:val="20"/>
        </w:rPr>
        <w:t>” means all transfer, sale and use, registration, documentary or mortgage recording, value added, stamp and similar Taxes and fees (including any penalties and interest) incurred, imposed, assessed or payable in connection with or as a result of this Option Agreement or any transactions contemplated hereby.</w:t>
      </w:r>
    </w:p>
    <w:p>
      <w:pPr>
        <w:pStyle w:val="TextBody"/>
        <w:bidi w:val="0"/>
        <w:spacing w:before="0" w:after="240"/>
        <w:jc w:val="left"/>
        <w:rPr>
          <w:rFonts w:ascii="Times New Roman" w:hAnsi="Times New Roman"/>
          <w:sz w:val="20"/>
        </w:rPr>
      </w:pPr>
      <w:r>
        <w:rPr>
          <w:rFonts w:ascii="Times New Roman" w:hAnsi="Times New Roman"/>
          <w:color w:val="000000"/>
          <w:sz w:val="20"/>
        </w:rPr>
        <w:t>Section 1.258. “</w:t>
      </w:r>
      <w:r>
        <w:rPr>
          <w:rFonts w:ascii="Times New Roman" w:hAnsi="Times New Roman"/>
          <w:i/>
          <w:color w:val="000000"/>
          <w:sz w:val="20"/>
        </w:rPr>
        <w:t>U.S.</w:t>
      </w:r>
      <w:r>
        <w:rPr>
          <w:rFonts w:ascii="Times New Roman" w:hAnsi="Times New Roman"/>
          <w:color w:val="000000"/>
          <w:sz w:val="20"/>
        </w:rPr>
        <w:t>” means the United States, its territories and possessions, including Puerto Rico.</w:t>
      </w:r>
    </w:p>
    <w:p>
      <w:pPr>
        <w:pStyle w:val="TextBody"/>
        <w:bidi w:val="0"/>
        <w:spacing w:before="0" w:after="240"/>
        <w:jc w:val="left"/>
        <w:rPr>
          <w:rFonts w:ascii="Times New Roman" w:hAnsi="Times New Roman"/>
          <w:sz w:val="20"/>
        </w:rPr>
      </w:pPr>
      <w:r>
        <w:rPr>
          <w:rFonts w:ascii="Times New Roman" w:hAnsi="Times New Roman"/>
          <w:color w:val="000000"/>
          <w:sz w:val="20"/>
        </w:rPr>
        <w:t>Section 1.259. “[</w:t>
      </w:r>
      <w:r>
        <w:rPr>
          <w:rFonts w:ascii="Times New Roman" w:hAnsi="Times New Roman"/>
          <w:i/>
          <w:color w:val="000000"/>
          <w:sz w:val="20"/>
        </w:rPr>
        <w:t>*]</w:t>
      </w:r>
      <w:r>
        <w:rPr>
          <w:rFonts w:ascii="Times New Roman" w:hAnsi="Times New Roman"/>
          <w:color w:val="000000"/>
          <w:sz w:val="20"/>
        </w:rPr>
        <w:t xml:space="preserve">” means [*]. </w:t>
      </w:r>
    </w:p>
    <w:p>
      <w:pPr>
        <w:pStyle w:val="TextBody"/>
        <w:bidi w:val="0"/>
        <w:spacing w:before="0" w:after="240"/>
        <w:jc w:val="left"/>
        <w:rPr>
          <w:rFonts w:ascii="Times New Roman" w:hAnsi="Times New Roman"/>
          <w:sz w:val="20"/>
        </w:rPr>
      </w:pPr>
      <w:r>
        <w:rPr>
          <w:rFonts w:ascii="Times New Roman" w:hAnsi="Times New Roman"/>
          <w:color w:val="000000"/>
          <w:sz w:val="20"/>
        </w:rPr>
        <w:t>Section 1.260. “[</w:t>
      </w:r>
      <w:r>
        <w:rPr>
          <w:rFonts w:ascii="Times New Roman" w:hAnsi="Times New Roman"/>
          <w:i/>
          <w:color w:val="000000"/>
          <w:sz w:val="20"/>
        </w:rPr>
        <w:t>*] Data Use Agreement</w:t>
      </w:r>
      <w:r>
        <w:rPr>
          <w:rFonts w:ascii="Times New Roman" w:hAnsi="Times New Roman"/>
          <w:color w:val="000000"/>
          <w:sz w:val="20"/>
        </w:rPr>
        <w:t xml:space="preserve">” has the meaning set forth in the Evaluation Agreement. </w:t>
      </w:r>
    </w:p>
    <w:p>
      <w:pPr>
        <w:pStyle w:val="TextBody"/>
        <w:bidi w:val="0"/>
        <w:spacing w:before="0" w:after="240"/>
        <w:jc w:val="left"/>
        <w:rPr>
          <w:rFonts w:ascii="Times New Roman" w:hAnsi="Times New Roman"/>
          <w:sz w:val="20"/>
        </w:rPr>
      </w:pPr>
      <w:r>
        <w:rPr>
          <w:rFonts w:ascii="Times New Roman" w:hAnsi="Times New Roman"/>
          <w:color w:val="000000"/>
          <w:sz w:val="20"/>
        </w:rPr>
        <w:t>Section 1.261. “[</w:t>
      </w:r>
      <w:r>
        <w:rPr>
          <w:rFonts w:ascii="Times New Roman" w:hAnsi="Times New Roman"/>
          <w:i/>
          <w:color w:val="000000"/>
          <w:sz w:val="20"/>
        </w:rPr>
        <w:t>UCSF] License</w:t>
      </w:r>
      <w:r>
        <w:rPr>
          <w:rFonts w:ascii="Times New Roman" w:hAnsi="Times New Roman"/>
          <w:color w:val="000000"/>
          <w:sz w:val="20"/>
        </w:rPr>
        <w:t>” means [*].</w:t>
      </w:r>
    </w:p>
    <w:p>
      <w:pPr>
        <w:pStyle w:val="TextBody"/>
        <w:bidi w:val="0"/>
        <w:spacing w:before="0" w:after="240"/>
        <w:jc w:val="left"/>
        <w:rPr>
          <w:rFonts w:ascii="Times New Roman" w:hAnsi="Times New Roman"/>
          <w:sz w:val="20"/>
        </w:rPr>
      </w:pPr>
      <w:r>
        <w:rPr>
          <w:rFonts w:ascii="Times New Roman" w:hAnsi="Times New Roman"/>
          <w:color w:val="000000"/>
          <w:sz w:val="20"/>
        </w:rPr>
        <w:t>Section 1.262. “</w:t>
      </w:r>
      <w:r>
        <w:rPr>
          <w:rFonts w:ascii="Times New Roman" w:hAnsi="Times New Roman"/>
          <w:i/>
          <w:color w:val="000000"/>
          <w:sz w:val="20"/>
        </w:rPr>
        <w:t>Union</w:t>
      </w:r>
      <w:r>
        <w:rPr>
          <w:rFonts w:ascii="Times New Roman" w:hAnsi="Times New Roman"/>
          <w:color w:val="000000"/>
          <w:sz w:val="20"/>
        </w:rPr>
        <w:t>” means any labor union, trade union or other employee representative body.</w:t>
      </w:r>
    </w:p>
    <w:p>
      <w:pPr>
        <w:pStyle w:val="TextBody"/>
        <w:bidi w:val="0"/>
        <w:spacing w:before="0" w:after="240"/>
        <w:jc w:val="left"/>
        <w:rPr>
          <w:rFonts w:ascii="Times New Roman" w:hAnsi="Times New Roman"/>
          <w:sz w:val="20"/>
        </w:rPr>
      </w:pPr>
      <w:r>
        <w:rPr>
          <w:rFonts w:ascii="Times New Roman" w:hAnsi="Times New Roman"/>
          <w:color w:val="000000"/>
          <w:sz w:val="20"/>
        </w:rPr>
        <w:t>Section 1.263. “</w:t>
      </w:r>
      <w:r>
        <w:rPr>
          <w:rFonts w:ascii="Times New Roman" w:hAnsi="Times New Roman"/>
          <w:i/>
          <w:color w:val="000000"/>
          <w:sz w:val="20"/>
        </w:rPr>
        <w:t>Update Report</w:t>
      </w:r>
      <w:r>
        <w:rPr>
          <w:rFonts w:ascii="Times New Roman" w:hAnsi="Times New Roman"/>
          <w:color w:val="000000"/>
          <w:sz w:val="20"/>
        </w:rPr>
        <w:t xml:space="preserve">” is defined in </w:t>
      </w:r>
      <w:r>
        <w:rPr>
          <w:rFonts w:ascii="Times New Roman" w:hAnsi="Times New Roman"/>
          <w:color w:val="000000"/>
          <w:sz w:val="20"/>
          <w:u w:val="single"/>
        </w:rPr>
        <w:t>Section 2.13(g)</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1.264. “</w:t>
      </w:r>
      <w:r>
        <w:rPr>
          <w:rFonts w:ascii="Times New Roman" w:hAnsi="Times New Roman"/>
          <w:i/>
          <w:color w:val="000000"/>
          <w:sz w:val="20"/>
        </w:rPr>
        <w:t>Updated Disclosure Schedule</w:t>
      </w:r>
      <w:r>
        <w:rPr>
          <w:rFonts w:ascii="Times New Roman" w:hAnsi="Times New Roman"/>
          <w:color w:val="000000"/>
          <w:sz w:val="20"/>
        </w:rPr>
        <w:t xml:space="preserve">” is defined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1.265. “</w:t>
      </w:r>
      <w:r>
        <w:rPr>
          <w:rFonts w:ascii="Times New Roman" w:hAnsi="Times New Roman"/>
          <w:i/>
          <w:color w:val="000000"/>
          <w:sz w:val="20"/>
        </w:rPr>
        <w:t>Updated Financial Statements</w:t>
      </w:r>
      <w:r>
        <w:rPr>
          <w:rFonts w:ascii="Times New Roman" w:hAnsi="Times New Roman"/>
          <w:color w:val="000000"/>
          <w:sz w:val="20"/>
        </w:rPr>
        <w:t xml:space="preserve">” is defined in </w:t>
      </w:r>
      <w:r>
        <w:rPr>
          <w:rFonts w:ascii="Times New Roman" w:hAnsi="Times New Roman"/>
          <w:color w:val="000000"/>
          <w:sz w:val="20"/>
          <w:u w:val="single"/>
        </w:rPr>
        <w:t>Section 3.1(c)</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Section 1.266. “</w:t>
      </w:r>
      <w:r>
        <w:rPr>
          <w:rFonts w:ascii="Times New Roman" w:hAnsi="Times New Roman"/>
          <w:i/>
          <w:color w:val="000000"/>
          <w:sz w:val="20"/>
        </w:rPr>
        <w:t>Valid Claim</w:t>
      </w:r>
      <w:r>
        <w:rPr>
          <w:rFonts w:ascii="Times New Roman" w:hAnsi="Times New Roman"/>
          <w:color w:val="000000"/>
          <w:sz w:val="20"/>
        </w:rPr>
        <w:t>” means a claim of (a) an unexpired Issued Patent, which claim has not been revoked or held invalid, unpatentable or unenforceable by a patent office, court or other governmental agency of competent jurisdiction in a final order, from which no further appeal can be taken, and which claim has not been irrevocably abandoned, disclaimed, denied or admitted to be invalid or unenforceable through reissue, re-examination, inter-partes review, post-grant review, opposition procedure, nullity suit, disclaimer, or otherwise; or (b) any Patent Application that has not been (i) cancelled, withdrawn or abandoned without being refiled in another application in the applicable jurisdiction or (ii) finally rejected by an administrative agency or Governmental Entity of competent jurisdiction in a decision that is not appealable or that has not been appealed within the time allowed for appeal; [</w:t>
      </w:r>
      <w:r>
        <w:rPr>
          <w:rFonts w:ascii="Times New Roman" w:hAnsi="Times New Roman"/>
          <w:i/>
          <w:color w:val="000000"/>
          <w:sz w:val="20"/>
        </w:rPr>
        <w:t>*</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1.267. “</w:t>
      </w:r>
      <w:r>
        <w:rPr>
          <w:rFonts w:ascii="Times New Roman" w:hAnsi="Times New Roman"/>
          <w:i/>
          <w:color w:val="000000"/>
          <w:sz w:val="20"/>
        </w:rPr>
        <w:t>Waived Benefits</w:t>
      </w:r>
      <w:r>
        <w:rPr>
          <w:rFonts w:ascii="Times New Roman" w:hAnsi="Times New Roman"/>
          <w:color w:val="000000"/>
          <w:sz w:val="20"/>
        </w:rPr>
        <w:t xml:space="preserve">” is defined in </w:t>
      </w:r>
      <w:r>
        <w:rPr>
          <w:rFonts w:ascii="Times New Roman" w:hAnsi="Times New Roman"/>
          <w:color w:val="000000"/>
          <w:sz w:val="20"/>
          <w:u w:val="single"/>
        </w:rPr>
        <w:t>Section 7.11</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Section 1.268. “</w:t>
      </w:r>
      <w:r>
        <w:rPr>
          <w:rFonts w:ascii="Times New Roman" w:hAnsi="Times New Roman"/>
          <w:i/>
          <w:color w:val="000000"/>
          <w:sz w:val="20"/>
        </w:rPr>
        <w:t>Warrant</w:t>
      </w:r>
      <w:r>
        <w:rPr>
          <w:rFonts w:ascii="Times New Roman" w:hAnsi="Times New Roman"/>
          <w:color w:val="000000"/>
          <w:sz w:val="20"/>
        </w:rPr>
        <w:t>” means a warrant to purchase or acquire Fortis Capital Stock.</w:t>
      </w:r>
    </w:p>
    <w:p>
      <w:pPr>
        <w:pStyle w:val="TextBody"/>
        <w:bidi w:val="0"/>
        <w:spacing w:before="0" w:after="240"/>
        <w:jc w:val="left"/>
        <w:rPr>
          <w:rFonts w:ascii="Times New Roman" w:hAnsi="Times New Roman"/>
          <w:sz w:val="20"/>
        </w:rPr>
      </w:pPr>
      <w:r>
        <w:rPr>
          <w:rFonts w:ascii="Times New Roman" w:hAnsi="Times New Roman"/>
          <w:color w:val="000000"/>
          <w:sz w:val="20"/>
        </w:rPr>
        <w:t>Section 1.269. “</w:t>
      </w:r>
      <w:r>
        <w:rPr>
          <w:rFonts w:ascii="Times New Roman" w:hAnsi="Times New Roman"/>
          <w:i/>
          <w:color w:val="000000"/>
          <w:sz w:val="20"/>
        </w:rPr>
        <w:t>Written Consent</w:t>
      </w:r>
      <w:r>
        <w:rPr>
          <w:rFonts w:ascii="Times New Roman" w:hAnsi="Times New Roman"/>
          <w:color w:val="000000"/>
          <w:sz w:val="20"/>
        </w:rPr>
        <w:t xml:space="preserve">” means the written consent of Fortis Shareholders in the form attached as </w:t>
      </w:r>
      <w:r>
        <w:rPr>
          <w:rFonts w:ascii="Times New Roman" w:hAnsi="Times New Roman"/>
          <w:color w:val="000000"/>
          <w:sz w:val="20"/>
          <w:u w:val="single"/>
        </w:rPr>
        <w:t>Exhibit B</w:t>
      </w:r>
      <w:r>
        <w:rPr>
          <w:rFonts w:ascii="Times New Roman" w:hAnsi="Times New Roman"/>
          <w:color w:val="000000"/>
          <w:sz w:val="20"/>
        </w:rPr>
        <w:t>, adopting this Option Agreement and approving the consummation of the Merger in accordance with this Option Agreement</w:t>
      </w:r>
      <w:r>
        <w:rPr>
          <w:rFonts w:ascii="Times New Roman" w:hAnsi="Times New Roman"/>
          <w:i/>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1.270. </w:t>
      </w:r>
      <w:r>
        <w:rPr>
          <w:rFonts w:ascii="Times New Roman" w:hAnsi="Times New Roman"/>
          <w:color w:val="000000"/>
          <w:sz w:val="20"/>
          <w:u w:val="single"/>
        </w:rPr>
        <w:t>Descriptive Headings; Certain Interpretations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Headings</w:t>
      </w:r>
      <w:r>
        <w:rPr>
          <w:rFonts w:ascii="Times New Roman" w:hAnsi="Times New Roman"/>
          <w:color w:val="000000"/>
          <w:sz w:val="20"/>
        </w:rPr>
        <w:t>. The table of contents and headings contained in this Option Agreement are for reference purposes only and shall not control or affect the meaning or construction of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Interpretations</w:t>
      </w:r>
      <w:r>
        <w:rPr>
          <w:rFonts w:ascii="Times New Roman" w:hAnsi="Times New Roman"/>
          <w:color w:val="000000"/>
          <w:sz w:val="20"/>
        </w:rPr>
        <w:t>. Except where expressly stated otherwise in this Option Agreement, the following rules of interpretation apply to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“or” has the inclusive meaning represented by the phrase “and/or”;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“include”, “includes” and “including” are not limiting;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“hereof”, “hereto”, “hereby”, “herein” and “hereunder” and words of similar import when used in this Option Agreement refer to this Option Agreement as a whole and not to any particular provision of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“date hereof” refers to the Original Effective Date set forth in the preamble;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“date of this Option Agreement” refers to the Original Effective Date set forth in the preamble;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 “extent” in the phrase “to the extent” means the degree to which a subject or other thing extends, and such phrase does not mean simply “if”;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 definitions contained in this Option Agreement are applicable to the singular as well as the plural forms of such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 references to an agreement or instrument mean such agreement or instrument as from time to time amended, modified or supplemented;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(ix) references to a Person are also to its permitted successors and assigns;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 references to an “Article”, “Section”, “Subsection”, “Exhibit” or “Schedule” refer to an Article of, a Section or Subsection of, or an Exhibit or Schedule to, this Option Agreement;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(xi) words importing the masculine gender include the feminine or non-binary and, in each case, </w:t>
      </w:r>
      <w:r>
        <w:rPr>
          <w:rFonts w:ascii="Times New Roman" w:hAnsi="Times New Roman"/>
          <w:i/>
          <w:color w:val="000000"/>
          <w:sz w:val="20"/>
        </w:rPr>
        <w:t>vice versa</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(xii) “day” or “days” refers to calendar days;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(xiii) references to a Law include any amendment or modification to such Law and any rules or regulations issued thereunder, whether such amendment or modification is made, or issuance of such rules or regulations occurs, before or, only with respect to events or developments occurring or actions taken or conditions existing after the date of such amendment, modification or issuance, after the date of this Option Agreement, but only to the extent such amendment or modification, to the extent it occurs after the date hereof, does not have a retroactive effect;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(xiv) when reference is made to information or documentation that has been “made available,” “provided” or “delivered” to FibroGen, that shall mean that such information was either contained in the Data Room at or prior to such time or delivered to FibroGen or its counsel via email or other means at or prior to such time;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(xv) the language of this Option Agreement shall be deemed to be the language mutually chosen by the Parties and no rule of strict construction shall be applied against either Party hereto.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Party represents that it has been represented by legal counsel in connection with this Option Agreement and acknowledges that it has participated in the drafting hereof. In interpreting and applying the terms and provisions of this Option Agreement, the Parties agree that no presumption will apply against the Party which drafted such terms and provision.</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2</w:t>
      </w:r>
      <w:r>
        <w:rPr>
          <w:rFonts w:ascii="Times New Roman" w:hAnsi="Times New Roman"/>
          <w:caps/>
          <w:color w:val="000000"/>
          <w:sz w:val="20"/>
          <w:u w:val="single"/>
        </w:rPr>
        <w:br/>
        <w:t>Option Grant &amp; Option Premium; The Merger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 </w:t>
      </w:r>
      <w:r>
        <w:rPr>
          <w:rFonts w:ascii="Times New Roman" w:hAnsi="Times New Roman"/>
          <w:color w:val="000000"/>
          <w:sz w:val="20"/>
          <w:u w:val="single"/>
        </w:rPr>
        <w:t>Option Grant &amp; Option Premium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Fortis hereby grants FibroGen the exclusive Option to consummate the Merger pursuant to the terms and subject to the conditions of this Option Agreement. The Option shall not in and of itself entitle FibroGen to any voting rights, dividends, liquidation rights or other rights as a stockholder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 Concurrently with the execution and delivery of this Option Agreement by the Parties, FibroGen shall pay to Fortis, [*], the Option Premium.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2.2. </w:t>
      </w:r>
      <w:r>
        <w:rPr>
          <w:rFonts w:ascii="Times New Roman" w:hAnsi="Times New Roman"/>
          <w:color w:val="000000"/>
          <w:sz w:val="20"/>
          <w:u w:val="single"/>
        </w:rPr>
        <w:t>The Merger</w:t>
      </w:r>
      <w:r>
        <w:rPr>
          <w:rFonts w:ascii="Times New Roman" w:hAnsi="Times New Roman"/>
          <w:color w:val="000000"/>
          <w:sz w:val="20"/>
        </w:rPr>
        <w:t xml:space="preserve">. Following the exercise of the Option by FibroGen in its sole discretion in accordance with </w:t>
      </w:r>
      <w:r>
        <w:rPr>
          <w:rFonts w:ascii="Times New Roman" w:hAnsi="Times New Roman"/>
          <w:color w:val="000000"/>
          <w:sz w:val="20"/>
          <w:u w:val="single"/>
        </w:rPr>
        <w:t>Section 3.2</w:t>
      </w:r>
      <w:r>
        <w:rPr>
          <w:rFonts w:ascii="Times New Roman" w:hAnsi="Times New Roman"/>
          <w:color w:val="000000"/>
          <w:sz w:val="20"/>
        </w:rPr>
        <w:t>, upon the terms and subject to the conditions set forth in this Option Agreement, at the Effective Time, Merger Sub shall be merged with and into Fortis in accordance with the DGCL. Following the Merger, the separate corporate existence of Merger Sub shall cease and Fortis shall continue as the surviving corporation (the “</w:t>
      </w:r>
      <w:r>
        <w:rPr>
          <w:rFonts w:ascii="Times New Roman" w:hAnsi="Times New Roman"/>
          <w:i/>
          <w:color w:val="000000"/>
          <w:sz w:val="20"/>
        </w:rPr>
        <w:t>Surviving Corporation</w:t>
      </w:r>
      <w:r>
        <w:rPr>
          <w:rFonts w:ascii="Times New Roman" w:hAnsi="Times New Roman"/>
          <w:color w:val="000000"/>
          <w:sz w:val="20"/>
        </w:rPr>
        <w:t>”) and a wholly-owned Subsidiary of FibroGen.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2.3. </w:t>
      </w:r>
      <w:r>
        <w:rPr>
          <w:rFonts w:ascii="Times New Roman" w:hAnsi="Times New Roman"/>
          <w:color w:val="000000"/>
          <w:sz w:val="20"/>
          <w:u w:val="single"/>
        </w:rPr>
        <w:t>Closing</w:t>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2.4. </w:t>
      </w:r>
      <w:r>
        <w:rPr>
          <w:rFonts w:ascii="Times New Roman" w:hAnsi="Times New Roman"/>
          <w:color w:val="000000"/>
          <w:sz w:val="20"/>
          <w:u w:val="single"/>
        </w:rPr>
        <w:t>Actions at the Closing</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 Fortis shall deliver to FibroGen a statement including the following: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a certificate of Fortis, executed by the Chief Executive Officer of Fortis, certifying that </w:t>
      </w:r>
      <w:r>
        <w:rPr>
          <w:rFonts w:ascii="Times New Roman" w:hAnsi="Times New Roman"/>
          <w:color w:val="000000"/>
          <w:sz w:val="20"/>
          <w:u w:val="single"/>
        </w:rPr>
        <w:t>Schedule I</w:t>
      </w:r>
      <w:r>
        <w:rPr>
          <w:rFonts w:ascii="Times New Roman" w:hAnsi="Times New Roman"/>
          <w:color w:val="000000"/>
          <w:sz w:val="20"/>
        </w:rPr>
        <w:t xml:space="preserve"> is true, complete and correct in all respects on and as of the Closing Date, or if not, setting forth an amended </w:t>
      </w:r>
      <w:r>
        <w:rPr>
          <w:rFonts w:ascii="Times New Roman" w:hAnsi="Times New Roman"/>
          <w:color w:val="000000"/>
          <w:sz w:val="20"/>
          <w:u w:val="single"/>
        </w:rPr>
        <w:t>Schedule I</w:t>
      </w:r>
      <w:r>
        <w:rPr>
          <w:rFonts w:ascii="Times New Roman" w:hAnsi="Times New Roman"/>
          <w:color w:val="000000"/>
          <w:sz w:val="20"/>
        </w:rPr>
        <w:t xml:space="preserve"> containing all corrections necessary to make </w:t>
      </w:r>
      <w:r>
        <w:rPr>
          <w:rFonts w:ascii="Times New Roman" w:hAnsi="Times New Roman"/>
          <w:color w:val="000000"/>
          <w:sz w:val="20"/>
          <w:u w:val="single"/>
        </w:rPr>
        <w:t>Schedule I</w:t>
      </w:r>
      <w:r>
        <w:rPr>
          <w:rFonts w:ascii="Times New Roman" w:hAnsi="Times New Roman"/>
          <w:color w:val="000000"/>
          <w:sz w:val="20"/>
        </w:rPr>
        <w:t xml:space="preserve"> true, complete and correct in all respects on and as of the Closing Date, as so amended;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 a schedule setting forth all Deal Fees, if any, payable in connection with Closing, including the recipient of such Deal Fees, copies of any final invoices that state the invoice is final and include wire transfer instructions or mailing address for payment to be made;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a schedule setting forth all Indebtedness, if any, including the Payoff Recipients and the wire transfer instructions or mailing address for payment to be made;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a schedule setting forth all Change of Control Payments, if any, including the recipient of such Change of Control Payments, the exact amounts to be paid (before applicable withholding Taxes, if any) to such recipient and the wire transfer instructions or mailing address for payment to be made, or indicating that such payments need to be paid through FibroGen’s or the Surviving Corporation’s payroll system.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 [*]. </w:t>
      </w:r>
    </w:p>
    <w:p>
      <w:pPr>
        <w:pStyle w:val="TextBody"/>
        <w:bidi w:val="0"/>
        <w:spacing w:before="0" w:after="240"/>
        <w:jc w:val="left"/>
        <w:rPr>
          <w:rFonts w:ascii="Times New Roman" w:hAnsi="Times New Roman"/>
          <w:sz w:val="20"/>
        </w:rPr>
      </w:pPr>
      <w:r>
        <w:rPr>
          <w:rFonts w:ascii="Times New Roman" w:hAnsi="Times New Roman"/>
          <w:color w:val="000000"/>
          <w:sz w:val="20"/>
        </w:rPr>
        <w:t>(d) At the Closing, the Surviving Corporation shall cause the Merger to be consummated by filing with the Secretary of State of the State of Delaware a certificate of merger (the “</w:t>
      </w:r>
      <w:r>
        <w:rPr>
          <w:rFonts w:ascii="Times New Roman" w:hAnsi="Times New Roman"/>
          <w:i/>
          <w:color w:val="000000"/>
          <w:sz w:val="20"/>
        </w:rPr>
        <w:t>Certificate of Merger</w:t>
      </w:r>
      <w:r>
        <w:rPr>
          <w:rFonts w:ascii="Times New Roman" w:hAnsi="Times New Roman"/>
          <w:color w:val="000000"/>
          <w:sz w:val="20"/>
        </w:rPr>
        <w:t xml:space="preserve">”) in substantially the form of </w:t>
      </w:r>
      <w:r>
        <w:rPr>
          <w:rFonts w:ascii="Times New Roman" w:hAnsi="Times New Roman"/>
          <w:color w:val="000000"/>
          <w:sz w:val="20"/>
          <w:u w:val="single"/>
        </w:rPr>
        <w:t>Exhibit C</w:t>
      </w:r>
      <w:r>
        <w:rPr>
          <w:rFonts w:ascii="Times New Roman" w:hAnsi="Times New Roman"/>
          <w:color w:val="000000"/>
          <w:sz w:val="20"/>
        </w:rPr>
        <w:t xml:space="preserve"> attached hereto and executed in accordance with the relevant provisions of the DGCL.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2.5. </w:t>
      </w:r>
      <w:r>
        <w:rPr>
          <w:rFonts w:ascii="Times New Roman" w:hAnsi="Times New Roman"/>
          <w:color w:val="000000"/>
          <w:sz w:val="20"/>
          <w:u w:val="single"/>
        </w:rPr>
        <w:t>Effects of the Merger</w:t>
      </w:r>
      <w:r>
        <w:rPr>
          <w:rFonts w:ascii="Times New Roman" w:hAnsi="Times New Roman"/>
          <w:color w:val="000000"/>
          <w:sz w:val="20"/>
        </w:rPr>
        <w:t>. The Merger shall have the effects set forth in this Option Agreement and the applicable provisions of the DGCL.</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2.6. </w:t>
      </w:r>
      <w:r>
        <w:rPr>
          <w:rFonts w:ascii="Times New Roman" w:hAnsi="Times New Roman"/>
          <w:color w:val="000000"/>
          <w:sz w:val="20"/>
          <w:u w:val="single"/>
        </w:rPr>
        <w:t>Certificate of Incorporation and By-laws</w:t>
      </w:r>
      <w:r>
        <w:rPr>
          <w:rFonts w:ascii="Times New Roman" w:hAnsi="Times New Roman"/>
          <w:color w:val="000000"/>
          <w:sz w:val="20"/>
        </w:rPr>
        <w:t xml:space="preserve">. At the Effective Time, the certificate of incorporation of the Surviving Corporation shall be amended and restated to be in the form attached hereto as </w:t>
      </w:r>
      <w:r>
        <w:rPr>
          <w:rFonts w:ascii="Times New Roman" w:hAnsi="Times New Roman"/>
          <w:color w:val="000000"/>
          <w:sz w:val="20"/>
          <w:u w:val="single"/>
        </w:rPr>
        <w:t>Exhibit D</w:t>
      </w:r>
      <w:r>
        <w:rPr>
          <w:rFonts w:ascii="Times New Roman" w:hAnsi="Times New Roman"/>
          <w:color w:val="000000"/>
          <w:sz w:val="20"/>
        </w:rPr>
        <w:t xml:space="preserve"> and the By-laws of Merger Sub as in effect immediately prior to the Effective Time shall be the By-laws of the Surviving Corporation until amended, except that the name of the corporation set forth therein shall be changed to the name of Fortis.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2.7. </w:t>
      </w:r>
      <w:r>
        <w:rPr>
          <w:rFonts w:ascii="Times New Roman" w:hAnsi="Times New Roman"/>
          <w:color w:val="000000"/>
          <w:sz w:val="20"/>
          <w:u w:val="single"/>
        </w:rPr>
        <w:t>Directors and Officers of Surviving Corporation</w:t>
      </w:r>
      <w:r>
        <w:rPr>
          <w:rFonts w:ascii="Times New Roman" w:hAnsi="Times New Roman"/>
          <w:color w:val="000000"/>
          <w:sz w:val="20"/>
        </w:rPr>
        <w:t>. The directors of Merger Sub immediately prior to the Effective Time shall be the directors of the Surviving Corporation immediately following the Effective Time, until the earlier of their resignation or removal or until their successors are duly elected and qualified. The officers of Merger Sub immediately prior to the Effective Time shall be the officers of the Surviving Corporation immediately following the Effective Time, until the earlier of their resignation or removal or until their successors are duly elected and qualified.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2.8. </w:t>
      </w:r>
      <w:r>
        <w:rPr>
          <w:rFonts w:ascii="Times New Roman" w:hAnsi="Times New Roman"/>
          <w:color w:val="000000"/>
          <w:sz w:val="20"/>
          <w:u w:val="single"/>
        </w:rPr>
        <w:t>Conversion of Capital Stock</w:t>
      </w:r>
      <w:r>
        <w:rPr>
          <w:rFonts w:ascii="Times New Roman" w:hAnsi="Times New Roman"/>
          <w:color w:val="000000"/>
          <w:sz w:val="20"/>
        </w:rPr>
        <w:t>. On the terms and subject to the conditions set forth in this Option Agreement, at the Effective Time, by virtue of the Merger and without any action on the part of FibroGen, Fortis, Merger Sub or any Fortis Shareholder: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each issued and outstanding share of Merger Sub Common Stock shall be converted into and shall become one (1) share of common stock, par value $0.001 per share, of the Surviving Corporation;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each share of Fortis Capital Stock that is held by Fortis as treasury stock or owned by Fortis or owned by FibroGen or any Subsidiary or Affiliate of FibroGen shall be canceled and retired and shall cease to exist and no consideration shall be delivered in exchange therefor;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except as provided in </w:t>
      </w:r>
      <w:r>
        <w:rPr>
          <w:rFonts w:ascii="Times New Roman" w:hAnsi="Times New Roman"/>
          <w:color w:val="000000"/>
          <w:sz w:val="20"/>
          <w:u w:val="single"/>
        </w:rPr>
        <w:t>Section 2.8(b)</w:t>
      </w:r>
      <w:r>
        <w:rPr>
          <w:rFonts w:ascii="Times New Roman" w:hAnsi="Times New Roman"/>
          <w:color w:val="000000"/>
          <w:sz w:val="20"/>
        </w:rPr>
        <w:t xml:space="preserve">, each share of Fortis Capital Stock then outstanding (including Restricted Stock, but not including the Dissenting Shares) shall be converted into the right to receive, without interest and subject to </w:t>
      </w:r>
      <w:r>
        <w:rPr>
          <w:rFonts w:ascii="Times New Roman" w:hAnsi="Times New Roman"/>
          <w:color w:val="000000"/>
          <w:sz w:val="20"/>
          <w:u w:val="single"/>
        </w:rPr>
        <w:t>Section 2.11</w:t>
      </w:r>
      <w:r>
        <w:rPr>
          <w:rFonts w:ascii="Times New Roman" w:hAnsi="Times New Roman"/>
          <w:color w:val="000000"/>
          <w:sz w:val="20"/>
        </w:rPr>
        <w:t xml:space="preserve"> and </w:t>
      </w:r>
      <w:r>
        <w:rPr>
          <w:rFonts w:ascii="Times New Roman" w:hAnsi="Times New Roman"/>
          <w:color w:val="000000"/>
          <w:sz w:val="20"/>
          <w:u w:val="single"/>
        </w:rPr>
        <w:t>Section 2.12</w:t>
      </w:r>
      <w:r>
        <w:rPr>
          <w:rFonts w:ascii="Times New Roman" w:hAnsi="Times New Roman"/>
          <w:color w:val="000000"/>
          <w:sz w:val="20"/>
        </w:rPr>
        <w:t>, the following cash payments (collectively, the “</w:t>
      </w:r>
      <w:r>
        <w:rPr>
          <w:rFonts w:ascii="Times New Roman" w:hAnsi="Times New Roman"/>
          <w:i/>
          <w:color w:val="000000"/>
          <w:sz w:val="20"/>
        </w:rPr>
        <w:t>Merger Consideration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each Seller’s respective portion of the Estimated Closing Payment as set forth on </w:t>
      </w:r>
      <w:r>
        <w:rPr>
          <w:rFonts w:ascii="Times New Roman" w:hAnsi="Times New Roman"/>
          <w:color w:val="000000"/>
          <w:sz w:val="20"/>
          <w:u w:val="single"/>
        </w:rPr>
        <w:t>Schedule I</w:t>
      </w:r>
      <w:r>
        <w:rPr>
          <w:rFonts w:ascii="Times New Roman" w:hAnsi="Times New Roman"/>
          <w:color w:val="000000"/>
          <w:sz w:val="20"/>
        </w:rPr>
        <w: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The shares of Fortis Capital Stock converted into the right to receive cash in accordance with this </w:t>
      </w:r>
      <w:r>
        <w:rPr>
          <w:rFonts w:ascii="Times New Roman" w:hAnsi="Times New Roman"/>
          <w:color w:val="000000"/>
          <w:sz w:val="20"/>
          <w:u w:val="single"/>
        </w:rPr>
        <w:t>Section 2.8</w:t>
      </w:r>
      <w:r>
        <w:rPr>
          <w:rFonts w:ascii="Times New Roman" w:hAnsi="Times New Roman"/>
          <w:color w:val="000000"/>
          <w:sz w:val="20"/>
        </w:rPr>
        <w:t xml:space="preserve"> shall no longer be outstanding and shall automatically be canceled and retired and shall cease to exist, and each holder of a certificate that immediately prior to the Effective Time represented any such shares (a “</w:t>
      </w:r>
      <w:r>
        <w:rPr>
          <w:rFonts w:ascii="Times New Roman" w:hAnsi="Times New Roman"/>
          <w:i/>
          <w:color w:val="000000"/>
          <w:sz w:val="20"/>
        </w:rPr>
        <w:t>Certificate</w:t>
      </w:r>
      <w:r>
        <w:rPr>
          <w:rFonts w:ascii="Times New Roman" w:hAnsi="Times New Roman"/>
          <w:color w:val="000000"/>
          <w:sz w:val="20"/>
        </w:rPr>
        <w:t xml:space="preserve">”) shall cease to have any rights with respect thereto, except the right to receive the Merger Consideration. The right of any holder of any share of Fortis Capital Stock to receive the Merger Consideration shall be subject to and reduced by the amount of any tax withholding that is required under applicable Law (which amount will be treated for all purposes of this Option Agreement as having been paid to the Person in respect of which such reduction and withholding was made), </w:t>
      </w:r>
      <w:r>
        <w:rPr>
          <w:rFonts w:ascii="Times New Roman" w:hAnsi="Times New Roman"/>
          <w:i/>
          <w:color w:val="000000"/>
          <w:sz w:val="20"/>
        </w:rPr>
        <w:t>provided</w:t>
      </w:r>
      <w:r>
        <w:rPr>
          <w:rFonts w:ascii="Times New Roman" w:hAnsi="Times New Roman"/>
          <w:color w:val="000000"/>
          <w:sz w:val="20"/>
        </w:rPr>
        <w:t xml:space="preserve"> that, other than with respect to compensatory payments, FibroGen shall use [*] to cooperate with a holder of shares of Fortis Capital Stock to minimize or eliminate the amount withheld. If applicable Law requires the withholding of Taxes, FibroGen shall [*] submit to the applicable holder an official tax certificate or other evidence of such withholding that is reasonably available to FibroGen to enable such holder to claim such payment of Taxes from any applicable Governmental Entity. Notwithstanding the foregoing, if FibroGen takes any FibroGen Tax Action after the date of this Option Agreement, and solely as a result of such FibroGen Tax Action, FibroGen is required to withhold Taxes from or in respect of any amount payable under this Option Agreement and such Taxes exceed the amount of Taxes that would have been required to be withheld absent such FibroGen Tax Action, the amount payable under this Option Agreement shall be increased by the amount necessary so that after making all required withholdings (including withholdings on additional amounts payable) the applicable holder receives an amount equal to the sum it would have received had no such FibroGen Tax Action occurred. Notwithstanding the foregoing, FibroGen shall have no obligation to cooperate with any holder of Restricted Stock or submit any tax certificate or other evidence of withholding, and nothing herein shall prevent or limit FibroGen from withholding any compensatory amounts required to be withheld in respect of any Restricted Stock.</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2.9. </w:t>
      </w:r>
      <w:r>
        <w:rPr>
          <w:rFonts w:ascii="Times New Roman" w:hAnsi="Times New Roman"/>
          <w:color w:val="000000"/>
          <w:sz w:val="20"/>
          <w:u w:val="single"/>
        </w:rPr>
        <w:t>Fortis Stock Options; Warrants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board of directors of Fortis (or, if appropriate, any committee administering Fortis Stock Plans) shall take all actions necessary to provide for (i) each Fortis Stock Option to become vested and fully and immediately exercisable as of immediately prior to the Effective Time, and (ii) each share of Restricted Stock to become vested and not subject to repurchase as of immediately prior to the Effective Time.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 (i) such Seller’s respective portion of the Estimated Closing Payment as set forth on </w:t>
      </w:r>
      <w:r>
        <w:rPr>
          <w:rFonts w:ascii="Times New Roman" w:hAnsi="Times New Roman"/>
          <w:color w:val="000000"/>
          <w:sz w:val="20"/>
          <w:u w:val="single"/>
        </w:rPr>
        <w:t>Schedule I</w:t>
      </w:r>
      <w:r>
        <w:rPr>
          <w:rFonts w:ascii="Times New Roman" w:hAnsi="Times New Roman"/>
          <w:color w:val="000000"/>
          <w:sz w:val="20"/>
        </w:rPr>
        <w:t>, [</w:t>
      </w:r>
      <w:r>
        <w:rPr>
          <w:rFonts w:ascii="Times New Roman" w:hAnsi="Times New Roman"/>
          <w:i/>
          <w:color w:val="000000"/>
          <w:sz w:val="20"/>
        </w:rPr>
        <w:t>*</w:t>
      </w:r>
      <w:r>
        <w:rPr>
          <w:rFonts w:ascii="Times New Roman" w:hAnsi="Times New Roman"/>
          <w:color w:val="000000"/>
          <w:sz w:val="20"/>
        </w:rPr>
        <w:t xml:space="preserve">] (x) the holder thereof shall be eligible to receive the amounts contemplated by clause (ii) of the preceding sentence, as applicable; and (y) the Sellers’ Representative shall, based on the information provided in </w:t>
      </w:r>
      <w:r>
        <w:rPr>
          <w:rFonts w:ascii="Times New Roman" w:hAnsi="Times New Roman"/>
          <w:color w:val="000000"/>
          <w:sz w:val="20"/>
          <w:u w:val="single"/>
        </w:rPr>
        <w:t>Schedule I</w:t>
      </w:r>
      <w:r>
        <w:rPr>
          <w:rFonts w:ascii="Times New Roman" w:hAnsi="Times New Roman"/>
          <w:color w:val="000000"/>
          <w:sz w:val="20"/>
        </w:rPr>
        <w:t xml:space="preserve">, [*], and promptly provide or cause to be provided the updated </w:t>
      </w:r>
      <w:r>
        <w:rPr>
          <w:rFonts w:ascii="Times New Roman" w:hAnsi="Times New Roman"/>
          <w:color w:val="000000"/>
          <w:sz w:val="20"/>
          <w:u w:val="single"/>
        </w:rPr>
        <w:t>Schedule I</w:t>
      </w:r>
      <w:r>
        <w:rPr>
          <w:rFonts w:ascii="Times New Roman" w:hAnsi="Times New Roman"/>
          <w:color w:val="000000"/>
          <w:sz w:val="20"/>
        </w:rPr>
        <w:t xml:space="preserve"> to FibroGen and the Paying Agent.</w:t>
      </w:r>
    </w:p>
    <w:p>
      <w:pPr>
        <w:pStyle w:val="TextBody"/>
        <w:bidi w:val="0"/>
        <w:spacing w:before="0" w:after="240"/>
        <w:jc w:val="left"/>
        <w:rPr>
          <w:rFonts w:ascii="Times New Roman" w:hAnsi="Times New Roman"/>
          <w:sz w:val="20"/>
        </w:rPr>
      </w:pPr>
      <w:bookmarkStart w:id="60" w:name="eloh02o"/>
      <w:bookmarkEnd w:id="60"/>
      <w:r>
        <w:rPr>
          <w:rFonts w:ascii="Times New Roman" w:hAnsi="Times New Roman"/>
          <w:color w:val="000000"/>
          <w:sz w:val="20"/>
        </w:rPr>
        <w:t xml:space="preserve">(c) The board of directors of Fortis (or, if appropriate, any committee administering the </w:t>
      </w:r>
      <w:bookmarkStart w:id="61" w:name="el2k02o"/>
      <w:bookmarkEnd w:id="61"/>
      <w:r>
        <w:rPr>
          <w:rFonts w:ascii="Times New Roman" w:hAnsi="Times New Roman"/>
          <w:color w:val="000000"/>
          <w:sz w:val="20"/>
        </w:rPr>
        <w:t>Fortis Stock Plans) shall adopt such resolutions or take such other actions (</w:t>
      </w:r>
      <w:bookmarkStart w:id="62" w:name="el2w02o"/>
      <w:bookmarkEnd w:id="62"/>
      <w:r>
        <w:rPr>
          <w:rFonts w:ascii="Times New Roman" w:hAnsi="Times New Roman"/>
          <w:color w:val="000000"/>
          <w:sz w:val="20"/>
        </w:rPr>
        <w:t xml:space="preserve">including obtaining any required consents but not </w:t>
      </w:r>
      <w:bookmarkStart w:id="63" w:name="el2x02o"/>
      <w:bookmarkEnd w:id="63"/>
      <w:r>
        <w:rPr>
          <w:rFonts w:ascii="Times New Roman" w:hAnsi="Times New Roman"/>
          <w:color w:val="000000"/>
          <w:sz w:val="20"/>
        </w:rPr>
        <w:t xml:space="preserve">including the payment of any cash or non-cash consideration, without FibroGen’s prior written consent) as may be required to </w:t>
      </w:r>
      <w:bookmarkStart w:id="64" w:name="el2y02o"/>
      <w:bookmarkEnd w:id="64"/>
      <w:r>
        <w:rPr>
          <w:rFonts w:ascii="Times New Roman" w:hAnsi="Times New Roman"/>
          <w:color w:val="000000"/>
          <w:sz w:val="20"/>
        </w:rPr>
        <w:t xml:space="preserve">effect the transactions described in this </w:t>
      </w:r>
      <w:bookmarkStart w:id="65" w:name="el2u02o"/>
      <w:bookmarkEnd w:id="65"/>
      <w:r>
        <w:rPr>
          <w:rFonts w:ascii="Times New Roman" w:hAnsi="Times New Roman"/>
          <w:color w:val="000000"/>
          <w:sz w:val="20"/>
          <w:u w:val="single"/>
        </w:rPr>
        <w:t>Section 2.9</w:t>
      </w:r>
      <w:r>
        <w:rPr>
          <w:rFonts w:ascii="Times New Roman" w:hAnsi="Times New Roman"/>
          <w:color w:val="000000"/>
          <w:sz w:val="20"/>
        </w:rPr>
        <w:t xml:space="preserve"> as of the </w:t>
      </w:r>
      <w:bookmarkStart w:id="66" w:name="el2m02o"/>
      <w:bookmarkEnd w:id="66"/>
      <w:r>
        <w:rPr>
          <w:rFonts w:ascii="Times New Roman" w:hAnsi="Times New Roman"/>
          <w:color w:val="000000"/>
          <w:sz w:val="20"/>
        </w:rPr>
        <w:t xml:space="preserve">Effective Time. Fortis shall terminate the </w:t>
      </w:r>
      <w:bookmarkStart w:id="67" w:name="el2s02o"/>
      <w:bookmarkEnd w:id="67"/>
      <w:r>
        <w:rPr>
          <w:rFonts w:ascii="Times New Roman" w:hAnsi="Times New Roman"/>
          <w:color w:val="000000"/>
          <w:sz w:val="20"/>
        </w:rPr>
        <w:t xml:space="preserve">Fortis Stock Plan as of the </w:t>
      </w:r>
      <w:bookmarkStart w:id="68" w:name="el2t02o"/>
      <w:bookmarkEnd w:id="68"/>
      <w:r>
        <w:rPr>
          <w:rFonts w:ascii="Times New Roman" w:hAnsi="Times New Roman"/>
          <w:color w:val="000000"/>
          <w:sz w:val="20"/>
        </w:rPr>
        <w:t xml:space="preserve">Effective Time. At and after the </w:t>
      </w:r>
      <w:bookmarkStart w:id="69" w:name="el2o02o"/>
      <w:bookmarkEnd w:id="69"/>
      <w:r>
        <w:rPr>
          <w:rFonts w:ascii="Times New Roman" w:hAnsi="Times New Roman"/>
          <w:color w:val="000000"/>
          <w:sz w:val="20"/>
        </w:rPr>
        <w:t xml:space="preserve">Effective Time, no </w:t>
      </w:r>
      <w:bookmarkStart w:id="70" w:name="el2v02o"/>
      <w:bookmarkEnd w:id="70"/>
      <w:r>
        <w:rPr>
          <w:rFonts w:ascii="Times New Roman" w:hAnsi="Times New Roman"/>
          <w:color w:val="000000"/>
          <w:sz w:val="20"/>
        </w:rPr>
        <w:t xml:space="preserve">Person shall have any right under </w:t>
      </w:r>
      <w:bookmarkStart w:id="71" w:name="el2p02o"/>
      <w:bookmarkEnd w:id="71"/>
      <w:r>
        <w:rPr>
          <w:rFonts w:ascii="Times New Roman" w:hAnsi="Times New Roman"/>
          <w:color w:val="000000"/>
          <w:sz w:val="20"/>
        </w:rPr>
        <w:t xml:space="preserve">Fortis Stock Plans with respect to any </w:t>
      </w:r>
      <w:bookmarkStart w:id="72" w:name="el2q02o"/>
      <w:bookmarkEnd w:id="72"/>
      <w:r>
        <w:rPr>
          <w:rFonts w:ascii="Times New Roman" w:hAnsi="Times New Roman"/>
          <w:color w:val="000000"/>
          <w:sz w:val="20"/>
        </w:rPr>
        <w:t xml:space="preserve">Fortis Capital Stock, and FibroGen and its Affiliates shall have no liability in respect of the Fortis Stock Plan or any Fortis Stock Options or Restricted Stock, other than the obligation to make the payments set forth in </w:t>
      </w:r>
      <w:bookmarkStart w:id="73" w:name="el2r02o"/>
      <w:bookmarkEnd w:id="73"/>
      <w:r>
        <w:rPr>
          <w:rFonts w:ascii="Times New Roman" w:hAnsi="Times New Roman"/>
          <w:color w:val="000000"/>
          <w:sz w:val="20"/>
          <w:u w:val="single"/>
        </w:rPr>
        <w:t xml:space="preserve">Section </w:t>
      </w:r>
      <w:bookmarkStart w:id="74" w:name="ell_02o"/>
      <w:bookmarkEnd w:id="74"/>
      <w:r>
        <w:rPr>
          <w:rFonts w:ascii="Times New Roman" w:hAnsi="Times New Roman"/>
          <w:color w:val="000000"/>
          <w:sz w:val="20"/>
          <w:u w:val="single"/>
        </w:rPr>
        <w:t>2.9(b)</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 The Warrants shall not be assumed, continued or substituted by FibroGen in connection with the Merger or the other transactions contemplated hereby. [*]. [*].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2.10. </w:t>
      </w:r>
      <w:r>
        <w:rPr>
          <w:rFonts w:ascii="Times New Roman" w:hAnsi="Times New Roman"/>
          <w:color w:val="000000"/>
          <w:sz w:val="20"/>
          <w:u w:val="single"/>
        </w:rPr>
        <w:t>Paying Agent</w:t>
      </w:r>
      <w:r>
        <w:rPr>
          <w:rFonts w:ascii="Times New Roman" w:hAnsi="Times New Roman"/>
          <w:color w:val="000000"/>
          <w:sz w:val="20"/>
        </w:rPr>
        <w:t>. In connection with the Closing, FibroGen, the Sellers’ Representative and a paying agent reasonably acceptable to FibroGen and the Sellers’ Representative (the “</w:t>
      </w:r>
      <w:r>
        <w:rPr>
          <w:rFonts w:ascii="Times New Roman" w:hAnsi="Times New Roman"/>
          <w:i/>
          <w:color w:val="000000"/>
          <w:sz w:val="20"/>
        </w:rPr>
        <w:t>Paying Agent</w:t>
      </w:r>
      <w:r>
        <w:rPr>
          <w:rFonts w:ascii="Times New Roman" w:hAnsi="Times New Roman"/>
          <w:color w:val="000000"/>
          <w:sz w:val="20"/>
        </w:rPr>
        <w:t>”) shall have executed and delivered a paying agent agreement in a form reasonably acceptable to FibroGen and the Sellers’ Representative (the “</w:t>
      </w:r>
      <w:r>
        <w:rPr>
          <w:rFonts w:ascii="Times New Roman" w:hAnsi="Times New Roman"/>
          <w:i/>
          <w:color w:val="000000"/>
          <w:sz w:val="20"/>
        </w:rPr>
        <w:t>Paying Agent Agreement</w:t>
      </w:r>
      <w:r>
        <w:rPr>
          <w:rFonts w:ascii="Times New Roman" w:hAnsi="Times New Roman"/>
          <w:color w:val="000000"/>
          <w:sz w:val="20"/>
        </w:rPr>
        <w:t>”) pursuant to which the Paying Agent shall make the distributions of payments (including the Merger Consideration) for and on behalf of FibroGen and take the other actions contemplated to be made and taken by the Paying Agent pursuant to and in accordance with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2.11. </w:t>
      </w:r>
      <w:r>
        <w:rPr>
          <w:rFonts w:ascii="Times New Roman" w:hAnsi="Times New Roman"/>
          <w:color w:val="000000"/>
          <w:sz w:val="20"/>
          <w:u w:val="single"/>
        </w:rPr>
        <w:t>Exchange Procedures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bookmarkStart w:id="75" w:name="el2b22o"/>
      <w:bookmarkEnd w:id="75"/>
      <w:r>
        <w:rPr>
          <w:rFonts w:ascii="Times New Roman" w:hAnsi="Times New Roman"/>
          <w:color w:val="000000"/>
          <w:sz w:val="20"/>
        </w:rPr>
        <w:t xml:space="preserve">(a) As soon as practicable after the Effective Time, the Paying Agent shall provide to each Seller (other than holders in respect of Employee Stock Options) (i) a letter of transmittal in substantially the form attached as </w:t>
      </w:r>
      <w:r>
        <w:rPr>
          <w:rFonts w:ascii="Times New Roman" w:hAnsi="Times New Roman"/>
          <w:color w:val="000000"/>
          <w:sz w:val="20"/>
          <w:u w:val="single"/>
        </w:rPr>
        <w:t>Exhibit E</w:t>
      </w:r>
      <w:r>
        <w:rPr>
          <w:rFonts w:ascii="Times New Roman" w:hAnsi="Times New Roman"/>
          <w:color w:val="000000"/>
          <w:sz w:val="20"/>
        </w:rPr>
        <w:t xml:space="preserve"> hereto (a “</w:t>
      </w:r>
      <w:r>
        <w:rPr>
          <w:rFonts w:ascii="Times New Roman" w:hAnsi="Times New Roman"/>
          <w:i/>
          <w:color w:val="000000"/>
          <w:sz w:val="20"/>
        </w:rPr>
        <w:t>Letter of Transmittal</w:t>
      </w:r>
      <w:r>
        <w:rPr>
          <w:rFonts w:ascii="Times New Roman" w:hAnsi="Times New Roman"/>
          <w:color w:val="000000"/>
          <w:sz w:val="20"/>
        </w:rPr>
        <w:t xml:space="preserve">”) and (ii) instructions for use of the Letter of Transmittal in effecting the surrender of such Seller’s shares of Fortis Capital Stock, Non-Employee Stock Options or Warrant(s) in exchange for the Merger Consideration to be paid in accordance with (A) </w:t>
      </w:r>
      <w:r>
        <w:rPr>
          <w:rFonts w:ascii="Times New Roman" w:hAnsi="Times New Roman"/>
          <w:color w:val="000000"/>
          <w:sz w:val="20"/>
          <w:u w:val="single"/>
        </w:rPr>
        <w:t>Section 2.8(c)</w:t>
      </w:r>
      <w:r>
        <w:rPr>
          <w:rFonts w:ascii="Times New Roman" w:hAnsi="Times New Roman"/>
          <w:color w:val="000000"/>
          <w:sz w:val="20"/>
        </w:rPr>
        <w:t xml:space="preserve"> with respect to each of the shares of Fortis Capital Stock represented thereby, (B) </w:t>
      </w:r>
      <w:r>
        <w:rPr>
          <w:rFonts w:ascii="Times New Roman" w:hAnsi="Times New Roman"/>
          <w:color w:val="000000"/>
          <w:sz w:val="20"/>
          <w:u w:val="single"/>
        </w:rPr>
        <w:t>Section 2.9(b)</w:t>
      </w:r>
      <w:r>
        <w:rPr>
          <w:rFonts w:ascii="Times New Roman" w:hAnsi="Times New Roman"/>
          <w:color w:val="000000"/>
          <w:sz w:val="20"/>
        </w:rPr>
        <w:t xml:space="preserve"> with respect to Non-Employee Stock Options and (C) </w:t>
      </w:r>
      <w:r>
        <w:rPr>
          <w:rFonts w:ascii="Times New Roman" w:hAnsi="Times New Roman"/>
          <w:color w:val="000000"/>
          <w:sz w:val="20"/>
          <w:u w:val="single"/>
        </w:rPr>
        <w:t>Section 2.9(d)</w:t>
      </w:r>
      <w:r>
        <w:rPr>
          <w:rFonts w:ascii="Times New Roman" w:hAnsi="Times New Roman"/>
          <w:color w:val="000000"/>
          <w:sz w:val="20"/>
        </w:rPr>
        <w:t xml:space="preserve"> with respect to Warrants. Upon delivery of a Letter of Transmittal duly executed and completed in accordance with the instructions thereto and a properly executed Internal Revenue Service Form W-9 or Form W-8BEN, or other applicable Form W-8, if applicable, and, solely with respect to shares of Fortis Capital Stock, if such shares are represented by a physical Certificate, surrender of a Certificate with respect to such shares to the Paying Agent, from such holder, the Paying Agent shall pay, by check or by wire transfer of immediately available funds, to the holder of such shares of Fortis Capital Stock, Non-Employee Stock Options or Warrant(s) the cash payment described in </w:t>
      </w:r>
      <w:r>
        <w:rPr>
          <w:rFonts w:ascii="Times New Roman" w:hAnsi="Times New Roman"/>
          <w:color w:val="000000"/>
          <w:sz w:val="20"/>
          <w:u w:val="single"/>
        </w:rPr>
        <w:t>Section 2.8(c)(i)</w:t>
      </w:r>
      <w:r>
        <w:rPr>
          <w:rFonts w:ascii="Times New Roman" w:hAnsi="Times New Roman"/>
          <w:color w:val="000000"/>
          <w:sz w:val="20"/>
        </w:rPr>
        <w:t xml:space="preserve">, </w:t>
      </w:r>
      <w:r>
        <w:rPr>
          <w:rFonts w:ascii="Times New Roman" w:hAnsi="Times New Roman"/>
          <w:color w:val="000000"/>
          <w:sz w:val="20"/>
          <w:u w:val="single"/>
        </w:rPr>
        <w:t>Section 2.9(b)(i)</w:t>
      </w:r>
      <w:r>
        <w:rPr>
          <w:rFonts w:ascii="Times New Roman" w:hAnsi="Times New Roman"/>
          <w:color w:val="000000"/>
          <w:sz w:val="20"/>
        </w:rPr>
        <w:t xml:space="preserve"> or </w:t>
      </w:r>
      <w:r>
        <w:rPr>
          <w:rFonts w:ascii="Times New Roman" w:hAnsi="Times New Roman"/>
          <w:color w:val="000000"/>
          <w:sz w:val="20"/>
          <w:u w:val="single"/>
        </w:rPr>
        <w:t>Section 2.9(d)(i)</w:t>
      </w:r>
      <w:r>
        <w:rPr>
          <w:rFonts w:ascii="Times New Roman" w:hAnsi="Times New Roman"/>
          <w:color w:val="000000"/>
          <w:sz w:val="20"/>
        </w:rPr>
        <w:t xml:space="preserve"> (with the aggregate amount payable to each Seller rounded up to the nearest [*]) into which the shares of Fortis Capital Stock, Non-Employee Stock Options or Warrant(s) were converted pursuant to </w:t>
      </w:r>
      <w:r>
        <w:rPr>
          <w:rFonts w:ascii="Times New Roman" w:hAnsi="Times New Roman"/>
          <w:color w:val="000000"/>
          <w:sz w:val="20"/>
          <w:u w:val="single"/>
        </w:rPr>
        <w:t>Section 2.8(c)</w:t>
      </w:r>
      <w:r>
        <w:rPr>
          <w:rFonts w:ascii="Times New Roman" w:hAnsi="Times New Roman"/>
          <w:color w:val="000000"/>
          <w:sz w:val="20"/>
        </w:rPr>
        <w:t xml:space="preserve">, </w:t>
      </w:r>
      <w:r>
        <w:rPr>
          <w:rFonts w:ascii="Times New Roman" w:hAnsi="Times New Roman"/>
          <w:color w:val="000000"/>
          <w:sz w:val="20"/>
          <w:u w:val="single"/>
        </w:rPr>
        <w:t>Section 2.9(b)</w:t>
      </w:r>
      <w:r>
        <w:rPr>
          <w:rFonts w:ascii="Times New Roman" w:hAnsi="Times New Roman"/>
          <w:color w:val="000000"/>
          <w:sz w:val="20"/>
        </w:rPr>
        <w:t xml:space="preserve"> or </w:t>
      </w:r>
      <w:r>
        <w:rPr>
          <w:rFonts w:ascii="Times New Roman" w:hAnsi="Times New Roman"/>
          <w:color w:val="000000"/>
          <w:sz w:val="20"/>
          <w:u w:val="single"/>
        </w:rPr>
        <w:t>Section 2.9(d)</w:t>
      </w:r>
      <w:r>
        <w:rPr>
          <w:rFonts w:ascii="Times New Roman" w:hAnsi="Times New Roman"/>
          <w:color w:val="000000"/>
          <w:sz w:val="20"/>
        </w:rPr>
        <w:t xml:space="preserve">, as applicable, without any interest thereon. Any Certificates surrendered shall forthwith be canceled. Until so surrendered, such Certificates shall upon and following the Effective Time represent solely the right to receive the Merger Consideration with respect to the shares of Fortis Capital Stock, without interest. Notwithstanding anything in this Option Agreement to the contrary, no Seller (other than holders in respect of Employee Stock Options) will be entitled to be paid any amounts hereunder unless and until such Seller shall have complied with the requirements set forth in this </w:t>
      </w:r>
      <w:r>
        <w:rPr>
          <w:rFonts w:ascii="Times New Roman" w:hAnsi="Times New Roman"/>
          <w:color w:val="000000"/>
          <w:sz w:val="20"/>
          <w:u w:val="single"/>
        </w:rPr>
        <w:t>Section 2.11(a)</w:t>
      </w:r>
      <w:r>
        <w:rPr>
          <w:rFonts w:ascii="Times New Roman" w:hAnsi="Times New Roman"/>
          <w:color w:val="000000"/>
          <w:sz w:val="20"/>
        </w:rPr>
        <w:t xml:space="preserve">, including due execution and delivery to the Paying Agent by such Seller of the Letter of Transmittal, which constitutes an integral component of and limitation on the payments hereunder. Notwithstanding the foregoing, FibroGen shall use </w:t>
      </w:r>
      <w:bookmarkStart w:id="76" w:name="el2e22o"/>
      <w:bookmarkEnd w:id="76"/>
      <w:r>
        <w:rPr>
          <w:rFonts w:ascii="Times New Roman" w:hAnsi="Times New Roman"/>
          <w:color w:val="000000"/>
          <w:sz w:val="20"/>
        </w:rPr>
        <w:t xml:space="preserve">[*] to cause </w:t>
      </w:r>
      <w:bookmarkStart w:id="77" w:name="elo532o"/>
      <w:bookmarkEnd w:id="77"/>
      <w:r>
        <w:rPr>
          <w:rFonts w:ascii="Times New Roman" w:hAnsi="Times New Roman"/>
          <w:color w:val="000000"/>
          <w:sz w:val="20"/>
        </w:rPr>
        <w:t xml:space="preserve">(x) the </w:t>
      </w:r>
      <w:bookmarkStart w:id="78" w:name="el2632o"/>
      <w:bookmarkEnd w:id="78"/>
      <w:r>
        <w:rPr>
          <w:rFonts w:ascii="Times New Roman" w:hAnsi="Times New Roman"/>
          <w:color w:val="000000"/>
          <w:sz w:val="20"/>
        </w:rPr>
        <w:t xml:space="preserve">Letter of Transmittal to be made available to each </w:t>
      </w:r>
      <w:bookmarkStart w:id="79" w:name="el2732o"/>
      <w:bookmarkEnd w:id="79"/>
      <w:r>
        <w:rPr>
          <w:rFonts w:ascii="Times New Roman" w:hAnsi="Times New Roman"/>
          <w:color w:val="000000"/>
          <w:sz w:val="20"/>
        </w:rPr>
        <w:t xml:space="preserve">Seller (other than holders of </w:t>
      </w:r>
      <w:bookmarkStart w:id="80" w:name="el2832o"/>
      <w:bookmarkEnd w:id="80"/>
      <w:r>
        <w:rPr>
          <w:rFonts w:ascii="Times New Roman" w:hAnsi="Times New Roman"/>
          <w:color w:val="000000"/>
          <w:sz w:val="20"/>
        </w:rPr>
        <w:t xml:space="preserve">Employee Stock Options), and </w:t>
      </w:r>
      <w:bookmarkStart w:id="81" w:name="elob32o"/>
      <w:bookmarkEnd w:id="81"/>
      <w:r>
        <w:rPr>
          <w:rFonts w:ascii="Times New Roman" w:hAnsi="Times New Roman"/>
          <w:color w:val="000000"/>
          <w:sz w:val="20"/>
        </w:rPr>
        <w:t xml:space="preserve">(y) </w:t>
      </w:r>
      <w:bookmarkStart w:id="82" w:name="elnp32o"/>
      <w:bookmarkEnd w:id="82"/>
      <w:r>
        <w:rPr>
          <w:rFonts w:ascii="Times New Roman" w:hAnsi="Times New Roman"/>
          <w:color w:val="000000"/>
          <w:sz w:val="20"/>
        </w:rPr>
        <w:t xml:space="preserve">each such Seller’s </w:t>
      </w:r>
      <w:bookmarkStart w:id="83" w:name="el2c32o"/>
      <w:bookmarkEnd w:id="83"/>
      <w:r>
        <w:rPr>
          <w:rFonts w:ascii="Times New Roman" w:hAnsi="Times New Roman"/>
          <w:color w:val="000000"/>
          <w:sz w:val="20"/>
        </w:rPr>
        <w:t xml:space="preserve">Letter of Transmittal to be reviewed and processed prior to the </w:t>
      </w:r>
      <w:bookmarkStart w:id="84" w:name="el2d32o"/>
      <w:bookmarkEnd w:id="84"/>
      <w:r>
        <w:rPr>
          <w:rFonts w:ascii="Times New Roman" w:hAnsi="Times New Roman"/>
          <w:color w:val="000000"/>
          <w:sz w:val="20"/>
        </w:rPr>
        <w:t xml:space="preserve">Effective Time, such that, so long as such </w:t>
      </w:r>
      <w:bookmarkStart w:id="85" w:name="el2e32o"/>
      <w:bookmarkEnd w:id="85"/>
      <w:r>
        <w:rPr>
          <w:rFonts w:ascii="Times New Roman" w:hAnsi="Times New Roman"/>
          <w:color w:val="000000"/>
          <w:sz w:val="20"/>
        </w:rPr>
        <w:t xml:space="preserve">Seller continues to hold the shares of </w:t>
      </w:r>
      <w:bookmarkStart w:id="86" w:name="el2g32o"/>
      <w:bookmarkEnd w:id="86"/>
      <w:r>
        <w:rPr>
          <w:rFonts w:ascii="Times New Roman" w:hAnsi="Times New Roman"/>
          <w:color w:val="000000"/>
          <w:sz w:val="20"/>
        </w:rPr>
        <w:t xml:space="preserve">Fortis Capital Stock, Non-Employee Stock Options or Warrants surrendered by such </w:t>
      </w:r>
      <w:bookmarkStart w:id="87" w:name="el2h32o"/>
      <w:bookmarkEnd w:id="87"/>
      <w:r>
        <w:rPr>
          <w:rFonts w:ascii="Times New Roman" w:hAnsi="Times New Roman"/>
          <w:color w:val="000000"/>
          <w:sz w:val="20"/>
        </w:rPr>
        <w:t xml:space="preserve">Letter of Transmittal as of immediately prior to the </w:t>
      </w:r>
      <w:bookmarkStart w:id="88" w:name="el2i32o"/>
      <w:bookmarkEnd w:id="88"/>
      <w:r>
        <w:rPr>
          <w:rFonts w:ascii="Times New Roman" w:hAnsi="Times New Roman"/>
          <w:color w:val="000000"/>
          <w:sz w:val="20"/>
        </w:rPr>
        <w:t xml:space="preserve">Effective Time, such </w:t>
      </w:r>
      <w:bookmarkStart w:id="89" w:name="el2j32o"/>
      <w:bookmarkEnd w:id="89"/>
      <w:r>
        <w:rPr>
          <w:rFonts w:ascii="Times New Roman" w:hAnsi="Times New Roman"/>
          <w:color w:val="000000"/>
          <w:sz w:val="20"/>
        </w:rPr>
        <w:t xml:space="preserve">Person will be paid the payment described in </w:t>
      </w:r>
      <w:r>
        <w:rPr>
          <w:rFonts w:ascii="Times New Roman" w:hAnsi="Times New Roman"/>
          <w:color w:val="000000"/>
          <w:sz w:val="20"/>
          <w:u w:val="single"/>
        </w:rPr>
        <w:t>Section 2.8(c)(i)</w:t>
      </w:r>
      <w:r>
        <w:rPr>
          <w:rFonts w:ascii="Times New Roman" w:hAnsi="Times New Roman"/>
          <w:color w:val="000000"/>
          <w:sz w:val="20"/>
        </w:rPr>
        <w:t xml:space="preserve">, </w:t>
      </w:r>
      <w:r>
        <w:rPr>
          <w:rFonts w:ascii="Times New Roman" w:hAnsi="Times New Roman"/>
          <w:color w:val="000000"/>
          <w:sz w:val="20"/>
          <w:u w:val="single"/>
        </w:rPr>
        <w:t>Section 2.9(b)(i)</w:t>
      </w:r>
      <w:r>
        <w:rPr>
          <w:rFonts w:ascii="Times New Roman" w:hAnsi="Times New Roman"/>
          <w:color w:val="000000"/>
          <w:sz w:val="20"/>
        </w:rPr>
        <w:t xml:space="preserve"> or </w:t>
      </w:r>
      <w:r>
        <w:rPr>
          <w:rFonts w:ascii="Times New Roman" w:hAnsi="Times New Roman"/>
          <w:color w:val="000000"/>
          <w:sz w:val="20"/>
          <w:u w:val="single"/>
        </w:rPr>
        <w:t>Section 2.9(d)(i)</w:t>
      </w:r>
      <w:r>
        <w:rPr>
          <w:rFonts w:ascii="Times New Roman" w:hAnsi="Times New Roman"/>
          <w:color w:val="000000"/>
          <w:sz w:val="20"/>
        </w:rPr>
        <w:t xml:space="preserve">, as applicable, with respect to such </w:t>
      </w:r>
      <w:bookmarkStart w:id="90" w:name="el2l32o"/>
      <w:bookmarkEnd w:id="90"/>
      <w:r>
        <w:rPr>
          <w:rFonts w:ascii="Times New Roman" w:hAnsi="Times New Roman"/>
          <w:color w:val="000000"/>
          <w:sz w:val="20"/>
        </w:rPr>
        <w:t xml:space="preserve">Letter of Transmittal on the </w:t>
      </w:r>
      <w:bookmarkStart w:id="91" w:name="el2m32o"/>
      <w:bookmarkEnd w:id="91"/>
      <w:r>
        <w:rPr>
          <w:rFonts w:ascii="Times New Roman" w:hAnsi="Times New Roman"/>
          <w:color w:val="000000"/>
          <w:sz w:val="20"/>
        </w:rPr>
        <w:t>Closing Date, by check or by wire transfer of immediately available funds.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If any Certificate shall have been lost, stolen or destroyed, upon the making of an affidavit of that fact by the Person claiming such Certificate to be lost, stolen or destroyed, FibroGen shall issue in exchange for such lost, stolen or destroyed Certificate the Merger Consideration with respect to the shares of Fortis Capital Stock represented thereby to be paid (by the Paying Agent) in accordance with </w:t>
      </w:r>
      <w:r>
        <w:rPr>
          <w:rFonts w:ascii="Times New Roman" w:hAnsi="Times New Roman"/>
          <w:color w:val="000000"/>
          <w:sz w:val="20"/>
          <w:u w:val="single"/>
        </w:rPr>
        <w:t>Section 2.8(c)</w:t>
      </w:r>
      <w:r>
        <w:rPr>
          <w:rFonts w:ascii="Times New Roman" w:hAnsi="Times New Roman"/>
          <w:color w:val="000000"/>
          <w:sz w:val="20"/>
        </w:rPr>
        <w:t xml:space="preserve"> and as contemplated under this </w:t>
      </w:r>
      <w:r>
        <w:rPr>
          <w:rFonts w:ascii="Times New Roman" w:hAnsi="Times New Roman"/>
          <w:color w:val="000000"/>
          <w:sz w:val="20"/>
          <w:u w:val="single"/>
        </w:rPr>
        <w:t>Article 2</w:t>
      </w:r>
      <w:r>
        <w:rPr>
          <w:rFonts w:ascii="Times New Roman" w:hAnsi="Times New Roman"/>
          <w:color w:val="000000"/>
          <w:sz w:val="20"/>
        </w:rPr>
        <w:t xml:space="preserve">. Notwithstanding anything to the contrary in this </w:t>
      </w:r>
      <w:r>
        <w:rPr>
          <w:rFonts w:ascii="Times New Roman" w:hAnsi="Times New Roman"/>
          <w:color w:val="000000"/>
          <w:sz w:val="20"/>
          <w:u w:val="single"/>
        </w:rPr>
        <w:t>Section 2.11</w:t>
      </w:r>
      <w:r>
        <w:rPr>
          <w:rFonts w:ascii="Times New Roman" w:hAnsi="Times New Roman"/>
          <w:color w:val="000000"/>
          <w:sz w:val="20"/>
        </w:rPr>
        <w:t>, if any shares of Fortis Capital Stock are evidenced by an electronic certificate or book entry and not evidenced by any physical stock certificates, no Certificate shall be required to delivered to FibroGen or Paying Agent in order to receive the Merger Consideration payable in respect of such shares of Fortis Capital Stock.</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2.12. </w:t>
      </w:r>
      <w:r>
        <w:rPr>
          <w:rFonts w:ascii="Times New Roman" w:hAnsi="Times New Roman"/>
          <w:color w:val="000000"/>
          <w:sz w:val="20"/>
          <w:u w:val="single"/>
        </w:rPr>
        <w:t>Sellers’ Representative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By approving the Merger or by delivering a Letter of Transmittal and, if applicable, surrendering or delivering a Certificate or an affidavit in lieu thereof to the Paying Agent, in exchange for the Merger Consideration to be paid in accordance with </w:t>
      </w:r>
      <w:r>
        <w:rPr>
          <w:rFonts w:ascii="Times New Roman" w:hAnsi="Times New Roman"/>
          <w:color w:val="000000"/>
          <w:sz w:val="20"/>
          <w:u w:val="single"/>
        </w:rPr>
        <w:t>Section 2.8</w:t>
      </w:r>
      <w:r>
        <w:rPr>
          <w:rFonts w:ascii="Times New Roman" w:hAnsi="Times New Roman"/>
          <w:color w:val="000000"/>
          <w:sz w:val="20"/>
        </w:rPr>
        <w:t xml:space="preserve"> or </w:t>
      </w:r>
      <w:r>
        <w:rPr>
          <w:rFonts w:ascii="Times New Roman" w:hAnsi="Times New Roman"/>
          <w:color w:val="000000"/>
          <w:sz w:val="20"/>
          <w:u w:val="single"/>
        </w:rPr>
        <w:t>Section 2.9</w:t>
      </w:r>
      <w:r>
        <w:rPr>
          <w:rFonts w:ascii="Times New Roman" w:hAnsi="Times New Roman"/>
          <w:color w:val="000000"/>
          <w:sz w:val="20"/>
        </w:rPr>
        <w:t>, each Seller irrevocably approves the constitution and appointment of, and hereby irrevocably constitutes and appoints Shareholder Representative Services LLC as the sole, exclusive, true and lawful agent, representative and attorney-in-fact of all Sellers and each of them as of Closing (the “</w:t>
      </w:r>
      <w:r>
        <w:rPr>
          <w:rFonts w:ascii="Times New Roman" w:hAnsi="Times New Roman"/>
          <w:i/>
          <w:color w:val="000000"/>
          <w:sz w:val="20"/>
        </w:rPr>
        <w:t>Sellers’ Representative</w:t>
      </w:r>
      <w:r>
        <w:rPr>
          <w:rFonts w:ascii="Times New Roman" w:hAnsi="Times New Roman"/>
          <w:color w:val="000000"/>
          <w:sz w:val="20"/>
        </w:rPr>
        <w:t>”) with respect to any and all matters relating to, arising out of, or in connection with, this Option Agreement and any related agreements, including for purposes of taking any action or omitting to take any action on behalf of Sellers hereunder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act for Sellers with regard to all matters pertaining to indemnification under this Option Agreement, including the power to defend, compromise, or settle any claims and to otherwise prosecute or pursue any litigation claims;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execute and deliver all amendments, waivers, Ancillary Agreements, certificates and documents that the Sellers’ Representative deems necessary or appropriate in connection with the consummation of the transactions contemplated by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(iii) do or refrain from doing any further act or deed on behalf of Sellers that the Sellers’ Representative deems necessary or appropriate in its discretion relating to the subject matter of this Option Agreement as fully and completely as Sellers could do if personally present;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give or receive notices to be given or received by Sellers under this Option Agreement or any Ancillary Agreement (except to the extent that this Option Agreement expressly contemplates that any such notice shall be given or received by each Seller individually);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receive service of process in connection with any claims under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(vi) administer the defense or settlement of any disputes regarding the Closing Payment adjustment pursuant to </w:t>
      </w:r>
      <w:r>
        <w:rPr>
          <w:rFonts w:ascii="Times New Roman" w:hAnsi="Times New Roman"/>
          <w:color w:val="000000"/>
          <w:sz w:val="20"/>
          <w:u w:val="single"/>
        </w:rPr>
        <w:t>Section 2.15</w:t>
      </w:r>
      <w:r>
        <w:rPr>
          <w:rFonts w:ascii="Times New Roman" w:hAnsi="Times New Roman"/>
          <w:color w:val="000000"/>
          <w:sz w:val="20"/>
        </w:rPr>
        <w:t xml:space="preserve"> and agreeing to or negotiating the Final Closing Payment;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(vii) administer the defense or settlement of any disputes regarding the Contingent Payments pursuant to </w:t>
      </w:r>
      <w:r>
        <w:rPr>
          <w:rFonts w:ascii="Times New Roman" w:hAnsi="Times New Roman"/>
          <w:color w:val="000000"/>
          <w:sz w:val="20"/>
          <w:u w:val="single"/>
        </w:rPr>
        <w:t>Section 2.13</w:t>
      </w:r>
      <w:r>
        <w:rPr>
          <w:rFonts w:ascii="Times New Roman" w:hAnsi="Times New Roman"/>
          <w:color w:val="000000"/>
          <w:sz w:val="20"/>
        </w:rPr>
        <w: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 give any written direction to the Paying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actions, notices, communications and determinations by or on behalf of Sellers shall be given or made by the Sellers’ Representative and all such actions, notices, communications and determinations by the Sellers’ Representative shall conclusively be deemed to have been authorized by, and shall be binding upon, any of and all Sellers, and no Seller shall have the right to object, dissent, protest or otherwise contest the same.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 If the Sellers’ Representative resigns, dies or becomes legally incapacitated, then a majority of the Sellers, based on their Pro Rata Percentage, promptly shall designate in writing to FibroGen a single individual to fill the Sellers’ Representative vacancy as the successor Sellers’ Representative hereunder. If at any time there shall not be a Sellers’ Representative or Sellers fail to designate a successor Sellers’ Representative, then FibroGen may have a court of competent jurisdiction appoint a Sellers’ Representative hereunder. A majority of the Sellers, based on their Pro Rata Percentage, may also replace the Person serving as the Sellers’ Representative from time to time and for any reason upon at least [*] prior written notice to FibroGen.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(c) Certain Sellers have entered into an engagement agreement with the Sellers’ Representative to provide direction to the Sellers’ Representative in connection with its services under this Option Agreement, the other Ancillary Agreements to which the Sellers’ Representative is or will be a party. The Sellers’ Representative shall act for Sellers on all of the matters set forth in this Option Agreement in the manner the Sellers’ Representative reasonably believes to be in the best interest of Sellers. The Sellers’ Representative is authorized to act on behalf of Sellers notwithstanding any dispute or disagreement among Sellers. In taking any actions as Sellers’ Representative, the Sellers’ Representative may rely conclusively, without any further inquiry or investigation, upon any certification or confirmation, oral or written, given by any Person the Sellers’ Representative reasonably believes to be authorized thereunto. The Sellers’ Representative will incur no liability in connection with its services pursuant to this Agreement and any related agreements except to the extent resulting from its gross negligence or willful misconduct. The Sellers’ Representative shall not be liable for any action or omission pursuant to the advice of counsel. The Sellers shall indemnify the Sellers’ Representative against any reasonable, documented, and out-of-pocket losses, liabilities and expenses (“</w:t>
      </w:r>
      <w:r>
        <w:rPr>
          <w:rFonts w:ascii="Times New Roman" w:hAnsi="Times New Roman"/>
          <w:i/>
          <w:color w:val="000000"/>
          <w:sz w:val="20"/>
        </w:rPr>
        <w:t>Representative Losses</w:t>
      </w:r>
      <w:r>
        <w:rPr>
          <w:rFonts w:ascii="Times New Roman" w:hAnsi="Times New Roman"/>
          <w:color w:val="000000"/>
          <w:sz w:val="20"/>
        </w:rPr>
        <w:t>”)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the Sellers’ Representative, the Sellers’ Representative will reimburse the Sellers the amount of such indemnified Representative Loss to the extent attributable to such gross negligence or willful misconduct. Representative Losses may be recovered by the Sellers’ Representative from (i) the funds in the Sellers’ Representative Reserve and (ii) any other funds that become payable to the Sellers under this Agreement at such time as such amounts would otherwise be distributable to the Sellers; provided, that while the Sellers’ Representative may be paid from the aforementioned sources of funds, this does not relieve the Sellers from their obligation to promptly pay such Representative Losses as they are suffered or incurred. In no event will the Sellers’ Representative be required to advance its own funds on behalf of the Sellers or otherwise. Notwithstanding anything in this Agreement to the contrary, any restrictions or limitations on liability or indemnification obligations of, or provisions limiting the recourse against non-parties otherwise applicable to, the Sellers set forth elsewhere in this Agreement are not intended to be applicable to the indemnities provided to the Sellers’ Representative hereunder. The foregoing indemnities will survive the Closing, the resignation or removal of the Sellers’ Representative or the termination of this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The Sellers’ Representative shall treat confidentially any nonpublic information disclosed to it pursuant to this Option Agreement and shall not use such nonpublic information other than in the performance of its duties as the Sellers’ Representative. In addition, the Sellers’ Representative shall not disclose any nonpublic information disclosed to it pursuant to this Option Agreement to anyone except as required by Law; </w:t>
      </w:r>
      <w:r>
        <w:rPr>
          <w:rFonts w:ascii="Times New Roman" w:hAnsi="Times New Roman"/>
          <w:i/>
          <w:color w:val="000000"/>
          <w:sz w:val="20"/>
        </w:rPr>
        <w:t>provided</w:t>
      </w:r>
      <w:r>
        <w:rPr>
          <w:rFonts w:ascii="Times New Roman" w:hAnsi="Times New Roman"/>
          <w:color w:val="000000"/>
          <w:sz w:val="20"/>
        </w:rPr>
        <w:t xml:space="preserve"> that (i) the Sellers’ Representative may disclose such nonpublic information to legal counsel and other advisors and representatives under an obligation of confidentiality and non-use in its capacity as such (for the purpose of advising Sellers on any information disclosed to such Sellers’ Representative pursuant to this Option Agreement), (ii) the Sellers’ Representative (or legal counsel or other advisor to whom information is disclosed pursuant to clause (i) above) may disclose such nonpublic information in any Action relating to this Option Agreement or the transactions contemplated hereby (or, in either case, discussion in preparation therefor) any information disclosed to the Sellers’ Representative pursuant to this Option Agreement and (iii) the Sellers’ Representative may disclose to any Seller any such nonpublic information disclosed to the Sellers’ Representative (including any Update Report) subject to such Seller agreeing with FibroGen in writing to restrictions on the disclosure and use of such nonpublic information consistent with the restrictions to which the Sellers’ Representative is subject, which requirement shall be satisfied by a Seller’s execution of a Joinder.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FibroGen shall be entitled to rely on the authority of the Sellers’ Representative as the agent, representative and attorney-in-fact of Sellers for all purposes under this Option Agreement and shall have no Liability for any such reliance. No Seller may revoke the authority of the Sellers’ Representative. Each Seller, by voting in favor of or consenting to the Merger or by surrendering or delivering a Certificate or an affidavit in lieu thereof to the Paying Agent, in exchange for Merger Consideration hereby ratifies and confirms, and hereby agrees to ratify and confirm, any action taken by the Sellers’ Representative in the exercise of the power-of-attorney granted to the Sellers’ Representative pursuant to this </w:t>
      </w:r>
      <w:r>
        <w:rPr>
          <w:rFonts w:ascii="Times New Roman" w:hAnsi="Times New Roman"/>
          <w:color w:val="000000"/>
          <w:sz w:val="20"/>
          <w:u w:val="single"/>
        </w:rPr>
        <w:t>Section 2.12</w:t>
      </w:r>
      <w:r>
        <w:rPr>
          <w:rFonts w:ascii="Times New Roman" w:hAnsi="Times New Roman"/>
          <w:color w:val="000000"/>
          <w:sz w:val="20"/>
        </w:rPr>
        <w:t>, which power-of-attorney, being coupled with an interest, is irrevocable and shall survive the death, incapacity or incompetence of such Seller.</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 [*].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2.13. </w:t>
      </w:r>
      <w:r>
        <w:rPr>
          <w:rFonts w:ascii="Times New Roman" w:hAnsi="Times New Roman"/>
          <w:color w:val="000000"/>
          <w:sz w:val="20"/>
          <w:u w:val="single"/>
        </w:rPr>
        <w:t>Contingent Payments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In addition to the Closing Payment payable pursuant to </w:t>
      </w:r>
      <w:r>
        <w:rPr>
          <w:rFonts w:ascii="Times New Roman" w:hAnsi="Times New Roman"/>
          <w:color w:val="000000"/>
          <w:sz w:val="20"/>
          <w:u w:val="single"/>
        </w:rPr>
        <w:t>Section 2.8(c)(i)</w:t>
      </w:r>
      <w:r>
        <w:rPr>
          <w:rFonts w:ascii="Times New Roman" w:hAnsi="Times New Roman"/>
          <w:color w:val="000000"/>
          <w:sz w:val="20"/>
        </w:rPr>
        <w:t>, Sellers may be entitled to certain additional contingent payments from FibroGen after the Closing (each such additional payment, a “</w:t>
      </w:r>
      <w:r>
        <w:rPr>
          <w:rFonts w:ascii="Times New Roman" w:hAnsi="Times New Roman"/>
          <w:i/>
          <w:color w:val="000000"/>
          <w:sz w:val="20"/>
        </w:rPr>
        <w:t>Contingent Payment</w:t>
      </w:r>
      <w:r>
        <w:rPr>
          <w:rFonts w:ascii="Times New Roman" w:hAnsi="Times New Roman"/>
          <w:color w:val="000000"/>
          <w:sz w:val="20"/>
        </w:rPr>
        <w:t xml:space="preserve">”), subject to all the terms and conditions of this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(b) FibroGen shall make the Contingent Payments in the amounts set forth in Column B of the table below [*] (each, a “</w:t>
      </w:r>
      <w:r>
        <w:rPr>
          <w:rFonts w:ascii="Times New Roman" w:hAnsi="Times New Roman"/>
          <w:i/>
          <w:color w:val="000000"/>
          <w:sz w:val="20"/>
        </w:rPr>
        <w:t>Contingent Payment Development Milestone</w:t>
      </w:r>
      <w:r>
        <w:rPr>
          <w:rFonts w:ascii="Times New Roman" w:hAnsi="Times New Roman"/>
          <w:color w:val="000000"/>
          <w:sz w:val="20"/>
        </w:rPr>
        <w:t>”):</w:t>
      </w:r>
    </w:p>
    <w:tbl>
      <w:tblPr>
        <w:tblW w:w="7637" w:type="dxa"/>
        <w:jc w:val="left"/>
        <w:tblInd w:w="0" w:type="dxa"/>
        <w:tblLayout w:type="fixed"/>
        <w:tblCellMar>
          <w:top w:w="28" w:type="dxa"/>
          <w:left w:w="28" w:type="dxa"/>
          <w:bottom w:w="28" w:type="dxa"/>
          <w:right w:w="28" w:type="dxa"/>
        </w:tblCellMar>
      </w:tblPr>
      <w:tblGrid>
        <w:gridCol w:w="4801"/>
        <w:gridCol w:w="2836"/>
      </w:tblGrid>
      <w:tr>
        <w:trPr/>
        <w:tc>
          <w:tcPr>
            <w:tcW w:w="4801"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shd w:fill="FFFFFF" w:val="clear"/>
            <w:vAlign w:val="center"/>
          </w:tcPr>
          <w:p>
            <w:pPr>
              <w:pStyle w:val="TableContents"/>
              <w:bidi w:val="0"/>
              <w:spacing w:before="0" w:after="283"/>
              <w:jc w:val="left"/>
              <w:rPr>
                <w:sz w:val="4"/>
                <w:szCs w:val="4"/>
              </w:rPr>
            </w:pPr>
            <w:r>
              <w:rPr>
                <w:sz w:val="4"/>
                <w:szCs w:val="4"/>
              </w:rPr>
            </w:r>
          </w:p>
        </w:tc>
      </w:tr>
      <w:tr>
        <w:trPr/>
        <w:tc>
          <w:tcPr>
            <w:tcW w:w="48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i/>
                <w:color w:val="000000"/>
                <w:sz w:val="20"/>
              </w:rPr>
            </w:pPr>
            <w:r>
              <w:rPr>
                <w:rFonts w:ascii="Times New Roman" w:hAnsi="Times New Roman"/>
                <w:b/>
                <w:i/>
                <w:color w:val="000000"/>
                <w:sz w:val="20"/>
              </w:rPr>
              <w:t>Column A - Contingent Payment Development Milestone</w:t>
            </w:r>
          </w:p>
        </w:tc>
        <w:tc>
          <w:tcPr>
            <w:tcW w:w="28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i/>
                <w:color w:val="000000"/>
                <w:sz w:val="20"/>
              </w:rPr>
            </w:pPr>
            <w:r>
              <w:rPr>
                <w:rFonts w:ascii="Times New Roman" w:hAnsi="Times New Roman"/>
                <w:b/>
                <w:i/>
                <w:color w:val="000000"/>
                <w:sz w:val="20"/>
              </w:rPr>
              <w:t>Column B - Contingent Payment</w:t>
            </w:r>
          </w:p>
        </w:tc>
      </w:tr>
      <w:tr>
        <w:trPr/>
        <w:tc>
          <w:tcPr>
            <w:tcW w:w="48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Calibri;sans-serif" w:hAnsi="Calibri;sans-serif"/>
                <w:color w:val="000000"/>
                <w:sz w:val="20"/>
              </w:rPr>
            </w:pPr>
            <w:r>
              <w:rPr>
                <w:rFonts w:ascii="Calibri;sans-serif" w:hAnsi="Calibri;sans-serif"/>
                <w:color w:val="000000"/>
                <w:sz w:val="20"/>
              </w:rPr>
              <w:t>[*]</w:t>
            </w:r>
          </w:p>
        </w:tc>
        <w:tc>
          <w:tcPr>
            <w:tcW w:w="28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Calibri;sans-serif" w:hAnsi="Calibri;sans-serif"/>
                <w:color w:val="000000"/>
                <w:sz w:val="20"/>
              </w:rPr>
            </w:pPr>
            <w:r>
              <w:rPr>
                <w:rFonts w:ascii="Calibri;sans-serif" w:hAnsi="Calibri;sans-serif"/>
                <w:color w:val="000000"/>
                <w:sz w:val="20"/>
              </w:rPr>
              <w:t>[*]</w:t>
            </w:r>
          </w:p>
        </w:tc>
      </w:tr>
      <w:tr>
        <w:trPr/>
        <w:tc>
          <w:tcPr>
            <w:tcW w:w="48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Calibri;sans-serif" w:hAnsi="Calibri;sans-serif"/>
                <w:color w:val="000000"/>
                <w:sz w:val="20"/>
              </w:rPr>
            </w:pPr>
            <w:r>
              <w:rPr>
                <w:rFonts w:ascii="Calibri;sans-serif" w:hAnsi="Calibri;sans-serif"/>
                <w:color w:val="000000"/>
                <w:sz w:val="20"/>
              </w:rPr>
              <w:t>[*]</w:t>
            </w:r>
          </w:p>
        </w:tc>
        <w:tc>
          <w:tcPr>
            <w:tcW w:w="28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Calibri;sans-serif" w:hAnsi="Calibri;sans-serif"/>
                <w:color w:val="000000"/>
                <w:sz w:val="20"/>
              </w:rPr>
            </w:pPr>
            <w:r>
              <w:rPr>
                <w:rFonts w:ascii="Calibri;sans-serif" w:hAnsi="Calibri;sans-serif"/>
                <w:color w:val="000000"/>
                <w:sz w:val="20"/>
              </w:rPr>
              <w:t>[*]</w:t>
            </w:r>
          </w:p>
        </w:tc>
      </w:tr>
      <w:tr>
        <w:trPr/>
        <w:tc>
          <w:tcPr>
            <w:tcW w:w="48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Calibri;sans-serif" w:hAnsi="Calibri;sans-serif"/>
                <w:color w:val="000000"/>
                <w:sz w:val="20"/>
              </w:rPr>
            </w:pPr>
            <w:r>
              <w:rPr>
                <w:rFonts w:ascii="Calibri;sans-serif" w:hAnsi="Calibri;sans-serif"/>
                <w:color w:val="000000"/>
                <w:sz w:val="20"/>
              </w:rPr>
              <w:t>[*]</w:t>
            </w:r>
          </w:p>
        </w:tc>
        <w:tc>
          <w:tcPr>
            <w:tcW w:w="28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Calibri;sans-serif" w:hAnsi="Calibri;sans-serif"/>
                <w:color w:val="000000"/>
                <w:sz w:val="20"/>
              </w:rPr>
            </w:pPr>
            <w:r>
              <w:rPr>
                <w:rFonts w:ascii="Calibri;sans-serif" w:hAnsi="Calibri;sans-serif"/>
                <w:color w:val="000000"/>
                <w:sz w:val="20"/>
              </w:rPr>
              <w:t>[*]</w:t>
            </w:r>
          </w:p>
        </w:tc>
      </w:tr>
    </w:tbl>
    <w:p>
      <w:pPr>
        <w:pStyle w:val="TextBody"/>
        <w:bidi w:val="0"/>
        <w:spacing w:before="0" w:after="240"/>
        <w:jc w:val="left"/>
        <w:rPr/>
      </w:pPr>
      <w:r>
        <w:rPr/>
        <w:t> </w:t>
      </w:r>
    </w:p>
    <w:p>
      <w:pPr>
        <w:pStyle w:val="TextBody"/>
        <w:bidi w:val="0"/>
        <w:spacing w:before="0" w:after="240"/>
        <w:jc w:val="left"/>
        <w:rPr>
          <w:rFonts w:ascii="Times New Roman" w:hAnsi="Times New Roman"/>
          <w:sz w:val="20"/>
        </w:rPr>
      </w:pPr>
      <w:bookmarkStart w:id="92" w:name="el24j2o"/>
      <w:bookmarkEnd w:id="92"/>
      <w:r>
        <w:rPr>
          <w:rFonts w:ascii="Times New Roman" w:hAnsi="Times New Roman"/>
          <w:color w:val="000000"/>
          <w:sz w:val="20"/>
        </w:rPr>
        <w:t xml:space="preserve">Each of the Contingent Payments set forth in this </w:t>
      </w:r>
      <w:r>
        <w:rPr>
          <w:rFonts w:ascii="Times New Roman" w:hAnsi="Times New Roman"/>
          <w:color w:val="000000"/>
          <w:sz w:val="20"/>
          <w:u w:val="single"/>
        </w:rPr>
        <w:t>Section 2.13(b)</w:t>
      </w:r>
      <w:r>
        <w:rPr>
          <w:rFonts w:ascii="Times New Roman" w:hAnsi="Times New Roman"/>
          <w:color w:val="000000"/>
          <w:sz w:val="20"/>
        </w:rPr>
        <w:t xml:space="preserve"> is only payable once such that the maximum amount payable pursuant to this </w:t>
      </w:r>
      <w:r>
        <w:rPr>
          <w:rFonts w:ascii="Times New Roman" w:hAnsi="Times New Roman"/>
          <w:color w:val="000000"/>
          <w:sz w:val="20"/>
          <w:u w:val="single"/>
        </w:rPr>
        <w:t>Section 2.13</w:t>
      </w:r>
      <w:r>
        <w:rPr>
          <w:rFonts w:ascii="Times New Roman" w:hAnsi="Times New Roman"/>
          <w:color w:val="000000"/>
          <w:sz w:val="20"/>
        </w:rPr>
        <w:t xml:space="preserve"> is $200 million. Within [*] of the occurrence of any Contingent Payment Development Milestone set forth in this </w:t>
      </w:r>
      <w:r>
        <w:rPr>
          <w:rFonts w:ascii="Times New Roman" w:hAnsi="Times New Roman"/>
          <w:color w:val="000000"/>
          <w:sz w:val="20"/>
          <w:u w:val="single"/>
        </w:rPr>
        <w:t>Section 2.13(b)</w:t>
      </w:r>
      <w:r>
        <w:rPr>
          <w:rFonts w:ascii="Times New Roman" w:hAnsi="Times New Roman"/>
          <w:color w:val="000000"/>
          <w:sz w:val="20"/>
        </w:rPr>
        <w:t xml:space="preserve">, FibroGen shall provide written notice to the Sellers’ Representative that such Contingent Payment Development Milestone has occurred. As soon as reasonably possible after receiving such notice, the Sellers’ Representative shall send </w:t>
      </w:r>
      <w:bookmarkStart w:id="93" w:name="el25j2o"/>
      <w:bookmarkEnd w:id="93"/>
      <w:r>
        <w:rPr>
          <w:rFonts w:ascii="Times New Roman" w:hAnsi="Times New Roman"/>
          <w:color w:val="000000"/>
          <w:sz w:val="20"/>
        </w:rPr>
        <w:t xml:space="preserve">FibroGen an updated </w:t>
      </w:r>
      <w:r>
        <w:rPr>
          <w:rFonts w:ascii="Times New Roman" w:hAnsi="Times New Roman"/>
          <w:color w:val="000000"/>
          <w:sz w:val="20"/>
          <w:u w:val="single"/>
        </w:rPr>
        <w:t xml:space="preserve">Schedule </w:t>
      </w:r>
      <w:bookmarkStart w:id="94" w:name="elm0k2o"/>
      <w:bookmarkEnd w:id="94"/>
      <w:r>
        <w:rPr>
          <w:rFonts w:ascii="Times New Roman" w:hAnsi="Times New Roman"/>
          <w:color w:val="000000"/>
          <w:sz w:val="20"/>
          <w:u w:val="single"/>
        </w:rPr>
        <w:t>I</w:t>
      </w:r>
      <w:r>
        <w:rPr>
          <w:rFonts w:ascii="Times New Roman" w:hAnsi="Times New Roman"/>
          <w:color w:val="000000"/>
          <w:sz w:val="20"/>
        </w:rPr>
        <w:t xml:space="preserve">. Within [*] of an updated </w:t>
      </w:r>
      <w:bookmarkStart w:id="95" w:name="el26j2o"/>
      <w:bookmarkEnd w:id="95"/>
      <w:r>
        <w:rPr>
          <w:rFonts w:ascii="Times New Roman" w:hAnsi="Times New Roman"/>
          <w:color w:val="000000"/>
          <w:sz w:val="20"/>
          <w:u w:val="single"/>
        </w:rPr>
        <w:t>Schedule I</w:t>
      </w:r>
      <w:r>
        <w:rPr>
          <w:rFonts w:ascii="Times New Roman" w:hAnsi="Times New Roman"/>
          <w:color w:val="000000"/>
          <w:sz w:val="20"/>
        </w:rPr>
        <w:t xml:space="preserve"> from the Sellers’ Representative, </w:t>
      </w:r>
      <w:bookmarkStart w:id="96" w:name="el2tj2o"/>
      <w:bookmarkEnd w:id="96"/>
      <w:r>
        <w:rPr>
          <w:rFonts w:ascii="Times New Roman" w:hAnsi="Times New Roman"/>
          <w:color w:val="000000"/>
          <w:sz w:val="20"/>
        </w:rPr>
        <w:t xml:space="preserve">FibroGen shall pay, or shall cause to be paid through the </w:t>
      </w:r>
      <w:bookmarkStart w:id="97" w:name="el27j2o"/>
      <w:bookmarkEnd w:id="97"/>
      <w:r>
        <w:rPr>
          <w:rFonts w:ascii="Times New Roman" w:hAnsi="Times New Roman"/>
          <w:color w:val="000000"/>
          <w:sz w:val="20"/>
        </w:rPr>
        <w:t xml:space="preserve">Paying Agent (or the </w:t>
      </w:r>
      <w:bookmarkStart w:id="98" w:name="el28j2o"/>
      <w:bookmarkEnd w:id="98"/>
      <w:r>
        <w:rPr>
          <w:rFonts w:ascii="Times New Roman" w:hAnsi="Times New Roman"/>
          <w:color w:val="000000"/>
          <w:sz w:val="20"/>
        </w:rPr>
        <w:t xml:space="preserve">Surviving Corporation in the case of </w:t>
      </w:r>
      <w:bookmarkStart w:id="99" w:name="el29j2o"/>
      <w:bookmarkEnd w:id="99"/>
      <w:r>
        <w:rPr>
          <w:rFonts w:ascii="Times New Roman" w:hAnsi="Times New Roman"/>
          <w:color w:val="000000"/>
          <w:sz w:val="20"/>
        </w:rPr>
        <w:t xml:space="preserve">Employee Stock Options), to </w:t>
      </w:r>
      <w:bookmarkStart w:id="100" w:name="el2aj2o"/>
      <w:bookmarkEnd w:id="100"/>
      <w:r>
        <w:rPr>
          <w:rFonts w:ascii="Times New Roman" w:hAnsi="Times New Roman"/>
          <w:color w:val="000000"/>
          <w:sz w:val="20"/>
        </w:rPr>
        <w:t xml:space="preserve">Sellers that have complied with the procedures set forth in Section 2.11, if applicable (it being understood that the procedures set forth in Section 2.11 are not applicable to holders of </w:t>
      </w:r>
      <w:bookmarkStart w:id="101" w:name="el2dj2o"/>
      <w:bookmarkEnd w:id="101"/>
      <w:r>
        <w:rPr>
          <w:rFonts w:ascii="Times New Roman" w:hAnsi="Times New Roman"/>
          <w:color w:val="000000"/>
          <w:sz w:val="20"/>
        </w:rPr>
        <w:t xml:space="preserve">Employee Stock Options), an aggregate amount in cash equal to the amount of the applicable </w:t>
      </w:r>
      <w:bookmarkStart w:id="102" w:name="el2ej2o"/>
      <w:bookmarkEnd w:id="102"/>
      <w:r>
        <w:rPr>
          <w:rFonts w:ascii="Times New Roman" w:hAnsi="Times New Roman"/>
          <w:color w:val="000000"/>
          <w:sz w:val="20"/>
        </w:rPr>
        <w:t xml:space="preserve">Contingent Payment in accordance with their </w:t>
      </w:r>
      <w:bookmarkStart w:id="103" w:name="el2fj2o"/>
      <w:bookmarkEnd w:id="103"/>
      <w:r>
        <w:rPr>
          <w:rFonts w:ascii="Times New Roman" w:hAnsi="Times New Roman"/>
          <w:color w:val="000000"/>
          <w:sz w:val="20"/>
        </w:rPr>
        <w:t xml:space="preserve">Pro Rata Percentage set forth in </w:t>
      </w:r>
      <w:bookmarkStart w:id="104" w:name="el2gj2o"/>
      <w:bookmarkEnd w:id="104"/>
      <w:r>
        <w:rPr>
          <w:rFonts w:ascii="Times New Roman" w:hAnsi="Times New Roman"/>
          <w:color w:val="000000"/>
          <w:sz w:val="20"/>
          <w:u w:val="single"/>
        </w:rPr>
        <w:t>Schedule I</w:t>
      </w:r>
      <w:r>
        <w:rPr>
          <w:rFonts w:ascii="Times New Roman" w:hAnsi="Times New Roman"/>
          <w:color w:val="000000"/>
          <w:sz w:val="20"/>
        </w:rPr>
        <w:t xml:space="preserve"> (</w:t>
      </w:r>
      <w:r>
        <w:rPr>
          <w:rFonts w:ascii="Times New Roman" w:hAnsi="Times New Roman"/>
          <w:i/>
          <w:color w:val="000000"/>
          <w:sz w:val="20"/>
        </w:rPr>
        <w:t>less</w:t>
      </w:r>
      <w:r>
        <w:rPr>
          <w:rFonts w:ascii="Times New Roman" w:hAnsi="Times New Roman"/>
          <w:color w:val="000000"/>
          <w:sz w:val="20"/>
        </w:rPr>
        <w:t xml:space="preserve"> any applicable </w:t>
      </w:r>
      <w:bookmarkStart w:id="105" w:name="el2hj2o"/>
      <w:bookmarkEnd w:id="105"/>
      <w:r>
        <w:rPr>
          <w:rFonts w:ascii="Times New Roman" w:hAnsi="Times New Roman"/>
          <w:color w:val="000000"/>
          <w:sz w:val="20"/>
        </w:rPr>
        <w:t xml:space="preserve">Contingent Payment Deal Fees) which, subject to the following sentence. </w:t>
      </w:r>
      <w:bookmarkStart w:id="106" w:name="el9xj2o"/>
      <w:bookmarkEnd w:id="106"/>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(c) Each Seller shall be entitled to receive only such Seller’s Pro Rata Percentage of any Contingent Payment (</w:t>
      </w:r>
      <w:r>
        <w:rPr>
          <w:rFonts w:ascii="Times New Roman" w:hAnsi="Times New Roman"/>
          <w:i/>
          <w:color w:val="000000"/>
          <w:sz w:val="20"/>
        </w:rPr>
        <w:t>less</w:t>
      </w:r>
      <w:r>
        <w:rPr>
          <w:rFonts w:ascii="Times New Roman" w:hAnsi="Times New Roman"/>
          <w:color w:val="000000"/>
          <w:sz w:val="20"/>
        </w:rPr>
        <w:t xml:space="preserve"> any applicable Contingent Payment Deal Fees) that becomes due and payable in accordance with this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No interest shall accrue or be paid on any portion of any Contingent Payment.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 Except as set forth in the first sentence of this </w:t>
      </w:r>
      <w:r>
        <w:rPr>
          <w:rFonts w:ascii="Times New Roman" w:hAnsi="Times New Roman"/>
          <w:color w:val="000000"/>
          <w:sz w:val="20"/>
          <w:u w:val="single"/>
        </w:rPr>
        <w:t>Section 2.13(e)</w:t>
      </w:r>
      <w:r>
        <w:rPr>
          <w:rFonts w:ascii="Times New Roman" w:hAnsi="Times New Roman"/>
          <w:color w:val="000000"/>
          <w:sz w:val="20"/>
        </w:rPr>
        <w:t xml:space="preserve">, by voting in favor of or consenting to the Merger or by surrendering or delivering a Letter of Transmittal to the Paying Agent, in exchange for Merger Consideration, each Seller acknowledges that, following the Closing, (a) there shall be no other diligence or other efforts, express or implied, required or imposed on the part of FibroGen, the Surviving Corporation or their respective Affiliates, licensees, or sublicensees in, and (b) it is the intention of the Parties that the development, manufacturing, marketing, commercial exploitation and sale of any Products shall be exercised by FibroGen, the Surviving Corporation or their Affiliates, licensees, sublicensees and transferees in accordance with its or their own business judgment and in their sole and absolute discretion, subject only to the first sentence of this </w:t>
      </w:r>
      <w:r>
        <w:rPr>
          <w:rFonts w:ascii="Times New Roman" w:hAnsi="Times New Roman"/>
          <w:color w:val="000000"/>
          <w:sz w:val="20"/>
          <w:u w:val="single"/>
        </w:rPr>
        <w:t>Section 2.13(e)</w:t>
      </w:r>
      <w:r>
        <w:rPr>
          <w:rFonts w:ascii="Times New Roman" w:hAnsi="Times New Roman"/>
          <w:color w:val="000000"/>
          <w:sz w:val="20"/>
        </w:rPr>
        <w:t>. By voting in favor of or consenting to the Merger or by surrendering or delivering a Letter of Transmittal to the Paying Agent, in exchange for Merger Consideration, each Seller acknowledges, understands and agrees as follows: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Except as set forth in the first sentence of this </w:t>
      </w:r>
      <w:r>
        <w:rPr>
          <w:rFonts w:ascii="Times New Roman" w:hAnsi="Times New Roman"/>
          <w:color w:val="000000"/>
          <w:sz w:val="20"/>
          <w:u w:val="single"/>
        </w:rPr>
        <w:t>Section 2.13(e)</w:t>
      </w:r>
      <w:r>
        <w:rPr>
          <w:rFonts w:ascii="Times New Roman" w:hAnsi="Times New Roman"/>
          <w:color w:val="000000"/>
          <w:sz w:val="20"/>
        </w:rPr>
        <w:t xml:space="preserve">, FibroGen, the Surviving Corporation and their Affiliates, licensees, sublicensees and transferees shall have complete control and sole discretion with respect to the development, commercial exploitation, marketing and sale of Products, and that this may have a material effect upon the achievability of the Contingent Payment Development Milestones and the payment of the Contingent Payments that may be payable hereunder and such control and discretion by FibroGen, the Surviving Corporation and their Affiliates, licensees, sublicensees and transferees could result in some or all of the Contingent Payments not being made despite meeting the obligation set forth in the first sentence of this </w:t>
      </w:r>
      <w:r>
        <w:rPr>
          <w:rFonts w:ascii="Times New Roman" w:hAnsi="Times New Roman"/>
          <w:color w:val="000000"/>
          <w:sz w:val="20"/>
          <w:u w:val="single"/>
        </w:rPr>
        <w:t>Section 2.13(e)</w:t>
      </w:r>
      <w:r>
        <w:rPr>
          <w:rFonts w:ascii="Times New Roman" w:hAnsi="Times New Roman"/>
          <w:color w:val="000000"/>
          <w:sz w:val="20"/>
        </w:rPr>
        <w:t>. The Parties and the Sellers acknowledge that the achievement of the Contingent Payment Development Milestones is uncertain and that FibroGen, the Surviving Corporation and their Affiliates may not achieve results requiring the payment of any Contingent Payment at all, and it is therefore not assured that FibroGen will be required to pay any Contingent Payments;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That whether or not FibroGen, the Surviving Corporation or any of their Affiliates, licensees, sublicensees or transferees develop, market, commercially exploit or make any sales of any Product, FibroGen, the Surviving Corporation and their Affiliates, licensees, sublicensees or transferees are not prohibited from developing, manufacturing, marketing, selling or acquiring assets or businesses related to other products that may compete with a Product;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Neither FibroGen nor any of its Affiliates or Representatives has furnished or provided, whether written or oral, any assurance or commitments regarding the achievability of the condition to the payment of any of the Contingent Payments set forth in this </w:t>
      </w:r>
      <w:r>
        <w:rPr>
          <w:rFonts w:ascii="Times New Roman" w:hAnsi="Times New Roman"/>
          <w:color w:val="000000"/>
          <w:sz w:val="20"/>
          <w:u w:val="single"/>
        </w:rPr>
        <w:t>Section 2.13</w:t>
      </w:r>
      <w:r>
        <w:rPr>
          <w:rFonts w:ascii="Times New Roman" w:hAnsi="Times New Roman"/>
          <w:color w:val="000000"/>
          <w:sz w:val="20"/>
        </w:rPr>
        <w:t xml:space="preserve"> or the likelihood thereof, and each Seller expressly disclaims any rights with respect to any such assurances or commitments;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(iv) Neither FibroGen, the Surviving Corporation nor any of their Affiliates shall be liable to any Seller for any consequential or punitive damages arising out of the failure to satisfy the conditions to the payment of any Contingent Payment set forth in </w:t>
      </w:r>
      <w:r>
        <w:rPr>
          <w:rFonts w:ascii="Times New Roman" w:hAnsi="Times New Roman"/>
          <w:color w:val="000000"/>
          <w:sz w:val="20"/>
          <w:u w:val="single"/>
        </w:rPr>
        <w:t>Section 2.13</w:t>
      </w:r>
      <w:r>
        <w:rPr>
          <w:rFonts w:ascii="Times New Roman" w:hAnsi="Times New Roman"/>
          <w:color w:val="000000"/>
          <w:sz w:val="20"/>
        </w:rPr>
        <w:t>, whether Liability is asserted in tort or contract, or otherwise.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w:t>
      </w:r>
    </w:p>
    <w:p>
      <w:pPr>
        <w:pStyle w:val="TextBody"/>
        <w:bidi w:val="0"/>
        <w:spacing w:before="0" w:after="240"/>
        <w:jc w:val="left"/>
        <w:rPr>
          <w:rFonts w:ascii="Times New Roman" w:hAnsi="Times New Roman"/>
          <w:sz w:val="20"/>
        </w:rPr>
      </w:pPr>
      <w:r>
        <w:rPr>
          <w:rFonts w:ascii="Times New Roman" w:hAnsi="Times New Roman"/>
          <w:color w:val="000000"/>
          <w:sz w:val="20"/>
        </w:rPr>
        <w:t>(g) [*] (each such report, an “</w:t>
      </w:r>
      <w:r>
        <w:rPr>
          <w:rFonts w:ascii="Times New Roman" w:hAnsi="Times New Roman"/>
          <w:i/>
          <w:color w:val="000000"/>
          <w:sz w:val="20"/>
        </w:rPr>
        <w:t>Update Report</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development of all Products has been discontinued, then no further Update Report shall be required other than the Update Report detailing such discontinuation. Within [*], if the Sellers’ Representative has reasonable inquiries regarding the status of the activities described in such Update Report, the Sellers’ Representative may request a meeting with FibroGen to discuss such Update Report, and FibroGen shall make available an executive employee with appropriate expertise and knowledge of the activities undertaken to achieve the Contingent Payment Development Milestones, as FibroGen may reasonably deem appropriate, to respond to questions posed by the Seller’s Representative.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FibroGen shall be permitted to make any withholding or deduction required by Law from payments made under this Option Agreement; [*]. To the extent that any such amounts are so deducted or withheld and remitted to the appropriate Governmental Entity in accordance with applicable Law, such amounts will be treated for all purposes of this Option Agreement as having been paid to the Person in respect of which such deduction and withholding was made. If applicable Law requires the withholding of Taxes, FibroGen shall [*] submit to the applicable payee an official tax certificate or other evidence of such withholding that is reasonably available to FibroGen to enable such holder to claim such payment of Taxes from any applicable Governmental Entity. Notwithstanding the foregoing, if FibroGen takes any FibroGen Tax Action after the date of this Option Agreement, and solely as a result of such FibroGen Tax Action, FibroGen is required to withhold Taxes from or in respect of any amount payable under this Option Agreement and such Taxes exceed the amount of Taxes that would have been required to be withheld absent such FibroGen Tax Action, the amount payable under this Option Agreement shall be increased by the amount necessary so that after making all required withholdings (including withholdings on additional amounts payable) the applicable holder receives an amount equal to the sum it would have received had no such FibroGen Tax Action occurred.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After the Closing, no Seller may sell, exchange, transfer or otherwise dispose of his, her or its right to receive any portion of any Contingent Payments that becomes due and payable in accordance with this </w:t>
      </w:r>
      <w:r>
        <w:rPr>
          <w:rFonts w:ascii="Times New Roman" w:hAnsi="Times New Roman"/>
          <w:color w:val="000000"/>
          <w:sz w:val="20"/>
          <w:u w:val="single"/>
        </w:rPr>
        <w:t>Section 2.13</w:t>
      </w:r>
      <w:r>
        <w:rPr>
          <w:rFonts w:ascii="Times New Roman" w:hAnsi="Times New Roman"/>
          <w:color w:val="000000"/>
          <w:sz w:val="20"/>
        </w:rPr>
        <w:t xml:space="preserve">, other than (i) upon death by will or intestacy; (ii) by instrument to an inter vivos or testamentary trust in which the right to receive any Contingent Payments or portion thereof is to be passed to beneficiaries upon the death of the trustee; (iii) made pursuant to a court order; (iv) made by operation of law (including a consolidation or merger) or without consideration in connection with the dissolution, liquidation or termination of any corporation, limited liability company, partnership or other entity; (v) in the case of Contingent Payments payable to a nominee, from a nominee to a beneficial owner (and, if applicable, through an intermediary) or from such nominee to another nominee for the same beneficial owner, in each as allowable by the Depositary Trust Company; (vi) in the case of an entity, to any Affiliate of such entity; or (vii) to any Person, with FibroGen’s consent (which shall not be unreasonably withheld, conditioned or delayed). Any transfer in violation of this </w:t>
      </w:r>
      <w:r>
        <w:rPr>
          <w:rFonts w:ascii="Times New Roman" w:hAnsi="Times New Roman"/>
          <w:color w:val="000000"/>
          <w:sz w:val="20"/>
          <w:u w:val="single"/>
        </w:rPr>
        <w:t>Section 2.13(i)</w:t>
      </w:r>
      <w:r>
        <w:rPr>
          <w:rFonts w:ascii="Times New Roman" w:hAnsi="Times New Roman"/>
          <w:color w:val="000000"/>
          <w:sz w:val="20"/>
        </w:rPr>
        <w:t xml:space="preserve"> shall be null and void and shall not be recognized by FibroGen or the Surviving Corporation.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(j) Subject to Section 483 of the Code or as otherwise required by law, any payments made pursuant to this </w:t>
      </w:r>
      <w:r>
        <w:rPr>
          <w:rFonts w:ascii="Times New Roman" w:hAnsi="Times New Roman"/>
          <w:color w:val="000000"/>
          <w:sz w:val="20"/>
          <w:u w:val="single"/>
        </w:rPr>
        <w:t>Section 2.13</w:t>
      </w:r>
      <w:r>
        <w:rPr>
          <w:rFonts w:ascii="Times New Roman" w:hAnsi="Times New Roman"/>
          <w:color w:val="000000"/>
          <w:sz w:val="20"/>
        </w:rPr>
        <w:t xml:space="preserve"> shall be treated by the Parties as an adjustment to the purchase price for Tax purposes.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2.14. </w:t>
      </w:r>
      <w:r>
        <w:rPr>
          <w:rFonts w:ascii="Times New Roman" w:hAnsi="Times New Roman"/>
          <w:color w:val="000000"/>
          <w:sz w:val="20"/>
          <w:u w:val="single"/>
        </w:rPr>
        <w:t>Close of Stock Transfer Books</w:t>
      </w:r>
      <w:r>
        <w:rPr>
          <w:rFonts w:ascii="Times New Roman" w:hAnsi="Times New Roman"/>
          <w:color w:val="000000"/>
          <w:sz w:val="20"/>
        </w:rPr>
        <w:t xml:space="preserve">. [*], the stock transfer books of Fortis shall be closed and thereafter there shall be no further registration of transfers of shares of Fortis Capital Stock on the records of Fortis. [*], no shares of Fortis Capital Stock shall be deemed to be outstanding, and the holders of shares of Fortis Capital Stock immediately prior to the Effective Time shall cease to have any rights with respect to such shares, except as otherwise provided herein or by applicable Law.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2.15. </w:t>
      </w:r>
      <w:r>
        <w:rPr>
          <w:rFonts w:ascii="Times New Roman" w:hAnsi="Times New Roman"/>
          <w:color w:val="000000"/>
          <w:sz w:val="20"/>
          <w:u w:val="single"/>
        </w:rPr>
        <w:t>Post-Closing Adjustment.</w:t>
      </w:r>
    </w:p>
    <w:p>
      <w:pPr>
        <w:pStyle w:val="TextBody"/>
        <w:bidi w:val="0"/>
        <w:spacing w:before="0" w:after="240"/>
        <w:jc w:val="left"/>
        <w:rPr>
          <w:rFonts w:ascii="Times New Roman" w:hAnsi="Times New Roman"/>
          <w:sz w:val="20"/>
        </w:rPr>
      </w:pPr>
      <w:bookmarkStart w:id="107" w:name="el34r2o"/>
      <w:bookmarkEnd w:id="107"/>
      <w:r>
        <w:rPr>
          <w:rFonts w:ascii="Times New Roman" w:hAnsi="Times New Roman"/>
          <w:color w:val="000000"/>
          <w:sz w:val="20"/>
        </w:rPr>
        <w:t>(a) [*] Fortis shall provide to FibroGen an estimated Closing Balance Sheet (the “</w:t>
      </w:r>
      <w:r>
        <w:rPr>
          <w:rFonts w:ascii="Times New Roman" w:hAnsi="Times New Roman"/>
          <w:i/>
          <w:color w:val="000000"/>
          <w:sz w:val="20"/>
        </w:rPr>
        <w:t>Estimated Closing Balance Sheet</w:t>
      </w:r>
      <w:r>
        <w:rPr>
          <w:rFonts w:ascii="Times New Roman" w:hAnsi="Times New Roman"/>
          <w:color w:val="000000"/>
          <w:sz w:val="20"/>
        </w:rPr>
        <w:t>”) and a statement that sets forth its good faith calculations of the Closing Liability Amount (the “</w:t>
      </w:r>
      <w:r>
        <w:rPr>
          <w:rFonts w:ascii="Times New Roman" w:hAnsi="Times New Roman"/>
          <w:i/>
          <w:color w:val="000000"/>
          <w:sz w:val="20"/>
        </w:rPr>
        <w:t>Estimated Closing Liability Amount</w:t>
      </w:r>
      <w:r>
        <w:rPr>
          <w:rFonts w:ascii="Times New Roman" w:hAnsi="Times New Roman"/>
          <w:color w:val="000000"/>
          <w:sz w:val="20"/>
        </w:rPr>
        <w:t>”), including each component thereof, the Cash Amount (the “</w:t>
      </w:r>
      <w:r>
        <w:rPr>
          <w:rFonts w:ascii="Times New Roman" w:hAnsi="Times New Roman"/>
          <w:i/>
          <w:color w:val="000000"/>
          <w:sz w:val="20"/>
        </w:rPr>
        <w:t>Estimated Closing Cash Amount</w:t>
      </w:r>
      <w:r>
        <w:rPr>
          <w:rFonts w:ascii="Times New Roman" w:hAnsi="Times New Roman"/>
          <w:color w:val="000000"/>
          <w:sz w:val="20"/>
        </w:rPr>
        <w:t>”), and Closing Working Capital Adjustment (the “</w:t>
      </w:r>
      <w:r>
        <w:rPr>
          <w:rFonts w:ascii="Times New Roman" w:hAnsi="Times New Roman"/>
          <w:i/>
          <w:color w:val="000000"/>
          <w:sz w:val="20"/>
        </w:rPr>
        <w:t>Estimated Closing Working Capital</w:t>
      </w:r>
      <w:r>
        <w:rPr>
          <w:rFonts w:ascii="Times New Roman" w:hAnsi="Times New Roman"/>
          <w:color w:val="000000"/>
          <w:sz w:val="20"/>
        </w:rPr>
        <w:t xml:space="preserve"> </w:t>
      </w:r>
      <w:r>
        <w:rPr>
          <w:rFonts w:ascii="Times New Roman" w:hAnsi="Times New Roman"/>
          <w:i/>
          <w:color w:val="000000"/>
          <w:sz w:val="20"/>
        </w:rPr>
        <w:t>Adjustment</w:t>
      </w:r>
      <w:r>
        <w:rPr>
          <w:rFonts w:ascii="Times New Roman" w:hAnsi="Times New Roman"/>
          <w:color w:val="000000"/>
          <w:sz w:val="20"/>
        </w:rPr>
        <w:t>”), and the resulting calculation of the Closing Payment (“</w:t>
      </w:r>
      <w:r>
        <w:rPr>
          <w:rFonts w:ascii="Times New Roman" w:hAnsi="Times New Roman"/>
          <w:i/>
          <w:color w:val="000000"/>
          <w:sz w:val="20"/>
        </w:rPr>
        <w:t>Estimated Closing Payment</w:t>
      </w:r>
      <w:r>
        <w:rPr>
          <w:rFonts w:ascii="Times New Roman" w:hAnsi="Times New Roman"/>
          <w:color w:val="000000"/>
          <w:sz w:val="20"/>
        </w:rPr>
        <w:t>”), each of which shall be determined in accordance with GAAP, and, to the extent in conformance with GAAP, applied in a manner consistent with the principles, practices, procedures, policies and methods used by Fortis in the preparation of the Latest Balance Sheet (the “</w:t>
      </w:r>
      <w:r>
        <w:rPr>
          <w:rFonts w:ascii="Times New Roman" w:hAnsi="Times New Roman"/>
          <w:i/>
          <w:color w:val="000000"/>
          <w:sz w:val="20"/>
        </w:rPr>
        <w:t>Estimated Closing Statement</w:t>
      </w:r>
      <w:r>
        <w:rPr>
          <w:rFonts w:ascii="Times New Roman" w:hAnsi="Times New Roman"/>
          <w:color w:val="000000"/>
          <w:sz w:val="20"/>
        </w:rPr>
        <w:t>”). [*] of the Estimated Closing Statement, Fortis shall provide to FibroGen, and its authorized representatives, reasonable access to all records used in preparing such Estimated Closing Statement (and employees of Fortis who can adequately answer questions on the Estimated Closing Statement) and, if applicable, Fortis’ outside accountants and their work papers and other documents used in preparing such Estimated Closing Statement, subject to FibroGen’s execution of customary access and non-reliance letters.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(b) [*] FibroGen shall prepare or cause to be prepared and delivered to the Sellers’ Representative a Closing Balance Sheet and a statement (the “</w:t>
      </w:r>
      <w:r>
        <w:rPr>
          <w:rFonts w:ascii="Times New Roman" w:hAnsi="Times New Roman"/>
          <w:i/>
          <w:color w:val="000000"/>
          <w:sz w:val="20"/>
        </w:rPr>
        <w:t>Adjusted Closing Statement</w:t>
      </w:r>
      <w:r>
        <w:rPr>
          <w:rFonts w:ascii="Times New Roman" w:hAnsi="Times New Roman"/>
          <w:color w:val="000000"/>
          <w:sz w:val="20"/>
        </w:rPr>
        <w:t xml:space="preserve">”) setting forth FibroGen’s good faith calculation of the Closing Liability Amount, including each component thereof, the Cash Amount, and the Closing Working Capital Adjustment, and the resulting calculation of the Closing Payment, which shall be determined in accordance with GAAP, applied in a manner consistent with the preparation, assumptions and estimates made or used in the preparation of the Latest Balance Sheet. </w:t>
      </w:r>
    </w:p>
    <w:p>
      <w:pPr>
        <w:pStyle w:val="TextBody"/>
        <w:bidi w:val="0"/>
        <w:spacing w:before="0" w:after="240"/>
        <w:jc w:val="left"/>
        <w:rPr>
          <w:rFonts w:ascii="Times New Roman" w:hAnsi="Times New Roman"/>
          <w:sz w:val="20"/>
        </w:rPr>
      </w:pPr>
      <w:r>
        <w:rPr>
          <w:rFonts w:ascii="Times New Roman" w:hAnsi="Times New Roman"/>
          <w:color w:val="000000"/>
          <w:sz w:val="20"/>
        </w:rPr>
        <w:t>(c) The Sellers’ Representative will have a period [*] (the “</w:t>
      </w:r>
      <w:r>
        <w:rPr>
          <w:rFonts w:ascii="Times New Roman" w:hAnsi="Times New Roman"/>
          <w:i/>
          <w:color w:val="000000"/>
          <w:sz w:val="20"/>
        </w:rPr>
        <w:t>Objection Period</w:t>
      </w:r>
      <w:r>
        <w:rPr>
          <w:rFonts w:ascii="Times New Roman" w:hAnsi="Times New Roman"/>
          <w:color w:val="000000"/>
          <w:sz w:val="20"/>
        </w:rPr>
        <w:t>”) to notify FibroGen of any disagreements with FibroGen’s Adjusted Closing Statement. Any such notice shall be accompanied by supporting documentation containing reasonable detail. Failure to notify FibroGen within the Objection Period shall be deemed acceptance of FibroGen’s Adjusted Closing Statement, and upon the expiration of the Objection Period the Adjusted Closing Statement shall be final, conclusive and binding on the Parties.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w:t>
      </w:r>
    </w:p>
    <w:p>
      <w:pPr>
        <w:pStyle w:val="TextBody"/>
        <w:bidi w:val="0"/>
        <w:spacing w:before="0" w:after="240"/>
        <w:jc w:val="left"/>
        <w:rPr>
          <w:rFonts w:ascii="Times New Roman" w:hAnsi="Times New Roman"/>
          <w:sz w:val="20"/>
        </w:rPr>
      </w:pPr>
      <w:r>
        <w:rPr>
          <w:rFonts w:ascii="Times New Roman" w:hAnsi="Times New Roman"/>
          <w:color w:val="000000"/>
          <w:sz w:val="20"/>
        </w:rPr>
        <w:t>(e) [*] (the “</w:t>
      </w:r>
      <w:r>
        <w:rPr>
          <w:rFonts w:ascii="Times New Roman" w:hAnsi="Times New Roman"/>
          <w:i/>
          <w:color w:val="000000"/>
          <w:sz w:val="20"/>
        </w:rPr>
        <w:t>Negative Adjustment Amount</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If the Aggregate Closing Merger Consideration Adjustment Amount is positive, then the Sellers shall be entitled (after complying with the requirements described in </w:t>
      </w:r>
      <w:r>
        <w:rPr>
          <w:rFonts w:ascii="Times New Roman" w:hAnsi="Times New Roman"/>
          <w:color w:val="000000"/>
          <w:sz w:val="20"/>
          <w:u w:val="single"/>
        </w:rPr>
        <w:t>Section 2.11(a)</w:t>
      </w:r>
      <w:r>
        <w:rPr>
          <w:rFonts w:ascii="Times New Roman" w:hAnsi="Times New Roman"/>
          <w:color w:val="000000"/>
          <w:sz w:val="20"/>
        </w:rPr>
        <w:t xml:space="preserve">) to receive, pursuant to </w:t>
      </w:r>
      <w:r>
        <w:rPr>
          <w:rFonts w:ascii="Times New Roman" w:hAnsi="Times New Roman"/>
          <w:color w:val="000000"/>
          <w:sz w:val="20"/>
          <w:u w:val="single"/>
        </w:rPr>
        <w:t>Section 2.15(g)</w:t>
      </w:r>
      <w:r>
        <w:rPr>
          <w:rFonts w:ascii="Times New Roman" w:hAnsi="Times New Roman"/>
          <w:color w:val="000000"/>
          <w:sz w:val="20"/>
        </w:rPr>
        <w:t>, their Pro Rata Percentages of an aggregate amount equal to the Aggregate Closing Merger Consideration Adjustment Amount (the “</w:t>
      </w:r>
      <w:r>
        <w:rPr>
          <w:rFonts w:ascii="Times New Roman" w:hAnsi="Times New Roman"/>
          <w:i/>
          <w:color w:val="000000"/>
          <w:sz w:val="20"/>
        </w:rPr>
        <w:t>Positive Adjustment Amount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2.16. </w:t>
      </w:r>
      <w:r>
        <w:rPr>
          <w:rFonts w:ascii="Times New Roman" w:hAnsi="Times New Roman"/>
          <w:color w:val="000000"/>
          <w:sz w:val="20"/>
          <w:u w:val="single"/>
        </w:rPr>
        <w:t>Dissenting Shares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bookmarkStart w:id="108" w:name="dgcl"/>
      <w:bookmarkEnd w:id="108"/>
      <w:r>
        <w:rPr>
          <w:rFonts w:ascii="Times New Roman" w:hAnsi="Times New Roman"/>
          <w:color w:val="000000"/>
          <w:sz w:val="20"/>
        </w:rPr>
        <w:t>(a) Notwithstanding anything in this Option Agreement to the contrary, any shares of Fortis Capital Stock outstanding immediately prior to the Effective Time and held by a holder who has not voted in favor of the Merger, consented thereto in writing or otherwise contractually waived its rights to appraisal and who has exercised and perfected appraisal or dissenters rights for such shares in accordance with Section 262 of the DGCL or Section 2115 and Chapter 13 of the CGCL and has not effectively withdrawn or lost such appraisal or dissenters rights (collectively, the “</w:t>
      </w:r>
      <w:bookmarkStart w:id="109" w:name="dissentingshares"/>
      <w:bookmarkEnd w:id="109"/>
      <w:r>
        <w:rPr>
          <w:rFonts w:ascii="Times New Roman" w:hAnsi="Times New Roman"/>
          <w:i/>
          <w:color w:val="000000"/>
          <w:sz w:val="20"/>
        </w:rPr>
        <w:t>Dissenting Shares</w:t>
      </w:r>
      <w:r>
        <w:rPr>
          <w:rFonts w:ascii="Times New Roman" w:hAnsi="Times New Roman"/>
          <w:color w:val="000000"/>
          <w:sz w:val="20"/>
        </w:rPr>
        <w:t xml:space="preserve">”) shall not be converted into or represent the right to consideration for Fortis Capital Stock set forth in </w:t>
      </w:r>
      <w:r>
        <w:rPr>
          <w:rFonts w:ascii="Times New Roman" w:hAnsi="Times New Roman"/>
          <w:color w:val="000000"/>
          <w:sz w:val="20"/>
          <w:u w:val="single"/>
        </w:rPr>
        <w:t>Section 2.8</w:t>
      </w:r>
      <w:r>
        <w:rPr>
          <w:rFonts w:ascii="Times New Roman" w:hAnsi="Times New Roman"/>
          <w:color w:val="000000"/>
          <w:sz w:val="20"/>
        </w:rPr>
        <w:t xml:space="preserve"> and the holder or holders of such shares shall be entitled only to such rights as may be granted to such holder or holders in Section 262 of the DGCL or the CGCL.</w:t>
      </w:r>
    </w:p>
    <w:p>
      <w:pPr>
        <w:pStyle w:val="TextBody"/>
        <w:bidi w:val="0"/>
        <w:spacing w:before="0" w:after="240"/>
        <w:jc w:val="left"/>
        <w:rPr>
          <w:rFonts w:ascii="Times New Roman" w:hAnsi="Times New Roman"/>
          <w:sz w:val="20"/>
        </w:rPr>
      </w:pPr>
      <w:r>
        <w:rPr>
          <w:rFonts w:ascii="Times New Roman" w:hAnsi="Times New Roman"/>
          <w:color w:val="000000"/>
          <w:sz w:val="20"/>
        </w:rPr>
        <w:t>(b) At the Effective Time, the Dissenting Shares shall no longer be outstanding and shall automatically be cancelled and shall cease to exist, and each holder of Dissenting Shares shall cease to have any rights with respect thereto, except the right to receive the appraised value of such shares in accordance with the provisions of Section 262 of the DGCL or the CGCL</w:t>
      </w:r>
      <w:r>
        <w:rPr>
          <w:rFonts w:ascii="Times New Roman" w:hAnsi="Times New Roman"/>
          <w:b/>
          <w:color w:val="000000"/>
          <w:sz w:val="20"/>
        </w:rPr>
        <w:t xml:space="preserve">. </w:t>
      </w:r>
      <w:r>
        <w:rPr>
          <w:rFonts w:ascii="Times New Roman" w:hAnsi="Times New Roman"/>
          <w:color w:val="000000"/>
          <w:sz w:val="20"/>
        </w:rPr>
        <w:t xml:space="preserve">Notwithstanding the provisions of </w:t>
      </w:r>
      <w:r>
        <w:rPr>
          <w:rFonts w:ascii="Times New Roman" w:hAnsi="Times New Roman"/>
          <w:color w:val="000000"/>
          <w:sz w:val="20"/>
          <w:u w:val="single"/>
        </w:rPr>
        <w:t>Section 2.16(a)</w:t>
      </w:r>
      <w:r>
        <w:rPr>
          <w:rFonts w:ascii="Times New Roman" w:hAnsi="Times New Roman"/>
          <w:color w:val="000000"/>
          <w:sz w:val="20"/>
        </w:rPr>
        <w:t xml:space="preserve">, if any holder of Dissenting Shares shall effectively withdraw or lose (through failure to perfect or otherwise) such holder’s appraisal rights and dissenters rights under Section 262 of the DGCL or the CGCL, or a court of competent jurisdiction shall determine that such holder is not entitled to relief provided under Section 262 of the DGCL or the CGCL, then, as of the later of the Effective Time and the occurrence of such event, such holder’s shares of Fortis Capital Stock shall automatically be converted into and represent only the right to receive the consideration for Fortis Capital Stock set forth in </w:t>
      </w:r>
      <w:r>
        <w:rPr>
          <w:rFonts w:ascii="Times New Roman" w:hAnsi="Times New Roman"/>
          <w:color w:val="000000"/>
          <w:sz w:val="20"/>
          <w:u w:val="single"/>
        </w:rPr>
        <w:t>Section 2.8</w:t>
      </w:r>
      <w:r>
        <w:rPr>
          <w:rFonts w:ascii="Times New Roman" w:hAnsi="Times New Roman"/>
          <w:color w:val="000000"/>
          <w:sz w:val="20"/>
        </w:rPr>
        <w:t xml:space="preserve">, without interest, following surrender of the Certificate representing such shares (if any) in the manner provided in </w:t>
      </w:r>
      <w:r>
        <w:rPr>
          <w:rFonts w:ascii="Times New Roman" w:hAnsi="Times New Roman"/>
          <w:color w:val="000000"/>
          <w:sz w:val="20"/>
          <w:u w:val="single"/>
        </w:rPr>
        <w:t>Section 2.11</w:t>
      </w:r>
      <w:r>
        <w:rPr>
          <w:rFonts w:ascii="Times New Roman" w:hAnsi="Times New Roman"/>
          <w:color w:val="000000"/>
          <w:sz w:val="20"/>
        </w:rPr>
        <w:t xml:space="preserve"> or, in the case of a lost, stolen, mutilated, defaced or destroyed Certificate, upon delivery of the documents, if required, described in </w:t>
      </w:r>
      <w:r>
        <w:rPr>
          <w:rFonts w:ascii="Times New Roman" w:hAnsi="Times New Roman"/>
          <w:color w:val="000000"/>
          <w:sz w:val="20"/>
          <w:u w:val="single"/>
        </w:rPr>
        <w:t>Section 2.11(b)</w:t>
      </w:r>
      <w:r>
        <w:rPr>
          <w:rFonts w:ascii="Times New Roman" w:hAnsi="Times New Roman"/>
          <w:color w:val="000000"/>
          <w:sz w:val="20"/>
        </w:rPr>
        <w:t>. Fortis shall give FibroGen prompt notice of any written demands for appraisal, withdrawals of demands for appraisal and any other related instruments served pursuant to the DGCL or the CGCL and received by Fortis, and FibroGen shall have the right to participate in proceedings with respect to such demands. Fortis shall not, except with the prior written consent of FibroGen which shall be not unreasonably withheld, delayed or conditioned, voluntarily make any payment with respect to any demand for appraisal or settle or offer to settle any such demand.</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r>
        <w:rPr>
          <w:rFonts w:ascii="Times New Roman" w:hAnsi="Times New Roman"/>
          <w:caps/>
          <w:color w:val="000000"/>
          <w:sz w:val="20"/>
        </w:rPr>
        <w:t>Article 3</w:t>
      </w:r>
      <w:r>
        <w:rPr>
          <w:rFonts w:ascii="Times New Roman" w:hAnsi="Times New Roman"/>
          <w:caps/>
          <w:color w:val="000000"/>
          <w:sz w:val="20"/>
          <w:u w:val="single"/>
        </w:rPr>
        <w:br/>
        <w:t>Option Exercise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3.1. </w:t>
      </w:r>
      <w:r>
        <w:rPr>
          <w:rFonts w:ascii="Times New Roman" w:hAnsi="Times New Roman"/>
          <w:color w:val="000000"/>
          <w:sz w:val="20"/>
          <w:u w:val="single"/>
        </w:rPr>
        <w:t>Notices; Updated Financial Statements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 Fortis shall notify FibroGen in writing (with email being sufficient) of the occurrence of any event or condition or the existence of any fact [*] that may reasonably be expected to cause any of the conditions to the obligations of FibroGen to consummate the Merger set forth in </w:t>
      </w:r>
      <w:r>
        <w:rPr>
          <w:rFonts w:ascii="Times New Roman" w:hAnsi="Times New Roman"/>
          <w:color w:val="000000"/>
          <w:sz w:val="20"/>
          <w:u w:val="single"/>
        </w:rPr>
        <w:t>Section 4.2</w:t>
      </w:r>
      <w:r>
        <w:rPr>
          <w:rFonts w:ascii="Times New Roman" w:hAnsi="Times New Roman"/>
          <w:color w:val="000000"/>
          <w:sz w:val="20"/>
        </w:rPr>
        <w:t xml:space="preserve"> not to be satisfied (“</w:t>
      </w:r>
      <w:r>
        <w:rPr>
          <w:rFonts w:ascii="Times New Roman" w:hAnsi="Times New Roman"/>
          <w:i/>
          <w:color w:val="000000"/>
          <w:sz w:val="20"/>
        </w:rPr>
        <w:t>Periodic Updates</w:t>
      </w:r>
      <w:r>
        <w:rPr>
          <w:rFonts w:ascii="Times New Roman" w:hAnsi="Times New Roman"/>
          <w:color w:val="000000"/>
          <w:sz w:val="20"/>
        </w:rPr>
        <w:t>”). If FibroGen delivers the Exercise Notice to Fortis during the Option Period, Fortis shall, within [*] of the Exercise Notice, deliver to FibroGen a revised Disclosure Schedule (the “</w:t>
      </w:r>
      <w:r>
        <w:rPr>
          <w:rFonts w:ascii="Times New Roman" w:hAnsi="Times New Roman"/>
          <w:i/>
          <w:color w:val="000000"/>
          <w:sz w:val="20"/>
        </w:rPr>
        <w:t>Updated Disclosure Schedule</w:t>
      </w:r>
      <w:r>
        <w:rPr>
          <w:rFonts w:ascii="Times New Roman" w:hAnsi="Times New Roman"/>
          <w:color w:val="000000"/>
          <w:sz w:val="20"/>
        </w:rPr>
        <w:t xml:space="preserve">”) reflecting the Periodic Updates and any other changes to the Disclosure Schedule delivered on the date of this Option Agreement arising from the occurrence of any event or condition or the existence of any fact during the Option Period required to make such Disclosure Schedule and Fortis’s representations and warranties contained in </w:t>
      </w:r>
      <w:r>
        <w:rPr>
          <w:rFonts w:ascii="Times New Roman" w:hAnsi="Times New Roman"/>
          <w:color w:val="000000"/>
          <w:sz w:val="20"/>
          <w:u w:val="single"/>
        </w:rPr>
        <w:t>Article 5</w:t>
      </w:r>
      <w:r>
        <w:rPr>
          <w:rFonts w:ascii="Times New Roman" w:hAnsi="Times New Roman"/>
          <w:color w:val="000000"/>
          <w:sz w:val="20"/>
        </w:rPr>
        <w:t xml:space="preserve"> true, complete and correct in all respects on and as of the Final Exercise Date as though made as of the Final Exercise Date; </w:t>
      </w:r>
      <w:r>
        <w:rPr>
          <w:rFonts w:ascii="Times New Roman" w:hAnsi="Times New Roman"/>
          <w:i/>
          <w:color w:val="000000"/>
          <w:sz w:val="20"/>
        </w:rPr>
        <w:t>provided</w:t>
      </w:r>
      <w:r>
        <w:rPr>
          <w:rFonts w:ascii="Times New Roman" w:hAnsi="Times New Roman"/>
          <w:color w:val="000000"/>
          <w:sz w:val="20"/>
        </w:rPr>
        <w:t xml:space="preserve">, that, Fortis may further update the Updated Disclosure Schedule prior to the delivery of the Final Exercise Notice in the same manner;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if the events, conditions or facts described in a Periodic Update or an Updated Disclosure Schedule (or update thereto) (i) are not the result of a breach by Fortis of </w:t>
      </w:r>
      <w:r>
        <w:rPr>
          <w:rFonts w:ascii="Times New Roman" w:hAnsi="Times New Roman"/>
          <w:color w:val="000000"/>
          <w:sz w:val="20"/>
          <w:u w:val="single"/>
        </w:rPr>
        <w:t>Section 7.1(b)</w:t>
      </w:r>
      <w:r>
        <w:rPr>
          <w:rFonts w:ascii="Times New Roman" w:hAnsi="Times New Roman"/>
          <w:color w:val="000000"/>
          <w:sz w:val="20"/>
        </w:rPr>
        <w:t xml:space="preserve"> and (ii) do not result in the breach or inaccuracy of a Fundamental Representation, subject to </w:t>
      </w:r>
      <w:r>
        <w:rPr>
          <w:rFonts w:ascii="Times New Roman" w:hAnsi="Times New Roman"/>
          <w:color w:val="000000"/>
          <w:sz w:val="20"/>
          <w:u w:val="single"/>
        </w:rPr>
        <w:t>Section 5.4(j)</w:t>
      </w:r>
      <w:r>
        <w:rPr>
          <w:rFonts w:ascii="Times New Roman" w:hAnsi="Times New Roman"/>
          <w:color w:val="000000"/>
          <w:sz w:val="20"/>
        </w:rPr>
        <w:t xml:space="preserve"> (Capitalization) (collectively, “</w:t>
      </w:r>
      <w:r>
        <w:rPr>
          <w:rFonts w:ascii="Times New Roman" w:hAnsi="Times New Roman"/>
          <w:i/>
          <w:color w:val="000000"/>
          <w:sz w:val="20"/>
        </w:rPr>
        <w:t>Disclosed Events</w:t>
      </w:r>
      <w:r>
        <w:rPr>
          <w:rFonts w:ascii="Times New Roman" w:hAnsi="Times New Roman"/>
          <w:color w:val="000000"/>
          <w:sz w:val="20"/>
        </w:rPr>
        <w:t xml:space="preserve">”), then the contents of such Periodic Update or Updated Disclosure Schedule (or update thereto) shall be deemed to amend and supplement the Disclosure Schedule and will not give FibroGen any right to indemnification pursuant to </w:t>
      </w:r>
      <w:r>
        <w:rPr>
          <w:rFonts w:ascii="Times New Roman" w:hAnsi="Times New Roman"/>
          <w:color w:val="000000"/>
          <w:sz w:val="20"/>
          <w:u w:val="single"/>
        </w:rPr>
        <w:t>Article 9</w:t>
      </w:r>
      <w:r>
        <w:rPr>
          <w:rFonts w:ascii="Times New Roman" w:hAnsi="Times New Roman"/>
          <w:color w:val="000000"/>
          <w:sz w:val="20"/>
        </w:rPr>
        <w:t xml:space="preserve"> arising therefrom.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In connection with the delivery of the Updated Disclosure Schedule, Fortis shall make available to FibroGen copies of all Contracts or other documents referenced in such Updated Disclosure Schedule, and shall provide to FibroGen any information reasonably requested by FibroGen in order to evaluate the information disclosed in the Updated Disclosure Schedule.</w:t>
      </w:r>
    </w:p>
    <w:p>
      <w:pPr>
        <w:pStyle w:val="TextBody"/>
        <w:bidi w:val="0"/>
        <w:spacing w:before="0" w:after="240"/>
        <w:jc w:val="left"/>
        <w:rPr>
          <w:rFonts w:ascii="Times New Roman" w:hAnsi="Times New Roman"/>
          <w:sz w:val="20"/>
        </w:rPr>
      </w:pPr>
      <w:r>
        <w:rPr>
          <w:rFonts w:ascii="Times New Roman" w:hAnsi="Times New Roman"/>
          <w:color w:val="000000"/>
          <w:sz w:val="20"/>
        </w:rPr>
        <w:t>(c) No later than [*] of Fortis, Fortis shall deliver to FibroGen a statement setting forth the unaudited balance sheet of Fortis as of the such fiscal year-end, together with the unaudited statements of income, cash flows and changes in stockholders’ equity as of each of such fiscal year-ends, together with the footnotes thereto. Not later than [*] of Fortis, Fortis shall deliver to FibroGen a statement setting forth the balance sheet and statements of income, changes in stockholders’ equity and cash flows of Fortis as of and for the [*] (such statements, together with the financial statements described in the immediately preceding sentence, being referred to collectively as the “</w:t>
      </w:r>
      <w:r>
        <w:rPr>
          <w:rFonts w:ascii="Times New Roman" w:hAnsi="Times New Roman"/>
          <w:i/>
          <w:color w:val="000000"/>
          <w:sz w:val="20"/>
        </w:rPr>
        <w:t>Updated Financial Statements</w:t>
      </w:r>
      <w:r>
        <w:rPr>
          <w:rFonts w:ascii="Times New Roman" w:hAnsi="Times New Roman"/>
          <w:color w:val="000000"/>
          <w:sz w:val="20"/>
        </w:rPr>
        <w:t>”). The Updated Financial Statements (i) shall be prepared from the books and records of Fortis and shall be consistent with the books and records of Fortis, (ii) shall be prepared in accordance with GAAP, consistently followed throughout the periods indicated, (iii) shall be unaudited and (iv) shall present fairly, in all material respects, the financial condition, results of operations, stockholders’ equity and cash flows of Fortis, as of the respective dates thereof and for the periods referred to therein.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(d) If FibroGen has delivered the Exercise Notice to Fortis, FibroGen shall have [*] following Fortis’ delivery of the Updated Disclosure Schedule to review the Updated Disclosure Schedule (the “</w:t>
      </w:r>
      <w:r>
        <w:rPr>
          <w:rFonts w:ascii="Times New Roman" w:hAnsi="Times New Roman"/>
          <w:i/>
          <w:color w:val="000000"/>
          <w:sz w:val="20"/>
        </w:rPr>
        <w:t>Due Diligence Review Period</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if any update to the Updated Disclosure Schedule is delivered by Fortis during the last [*] of the Due Diligence Review Period pursuant to </w:t>
      </w:r>
      <w:r>
        <w:rPr>
          <w:rFonts w:ascii="Times New Roman" w:hAnsi="Times New Roman"/>
          <w:color w:val="000000"/>
          <w:sz w:val="20"/>
          <w:u w:val="single"/>
        </w:rPr>
        <w:t>Section 3.1(a)</w:t>
      </w:r>
      <w:r>
        <w:rPr>
          <w:rFonts w:ascii="Times New Roman" w:hAnsi="Times New Roman"/>
          <w:color w:val="000000"/>
          <w:sz w:val="20"/>
        </w:rPr>
        <w:t xml:space="preserve">, the Due Diligence Review Period shall be extended until the date that is [*] of such update to the Updated Disclosure Schedule), (i) Fortis, and Fortis’ employees, consultants and advisers, shall promptly respond to any reasonable due diligence requests from FibroGen, and (ii) Fortis shall during normal business hours and upon reasonable advanced written notice (A) make available for reasonable inspection by FibroGen and its Representatives all of Fortis’ properties, assets, books of accounts, records (including the work papers of Fortis’ independent accountants, subject to the execution of customary access letters), any and all data and Intellectual Property related to the Products, and Contracts and any other materials requested by any of them relating to Fortis and its existing businesses and assets and Liabilities at such times as FibroGen may reasonably request and (B) make available to FibroGen and its Representatives the officers, other senior management and Representatives of Fortis, at such times as FibroGen and its Representatives may reasonably request, to verify and discuss the information furnished to FibroGen and its Representatives;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in no event shall Fortis be required to (1) contravene or violate any applicable Law, (2) breach its confidentiality obligations to Third Parties or (3) waive any attorney-client privilege;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with respect to subclause (2) above, Fortis will use [*] to obtain any necessary consents from Third Parties to disclose such information. Any and all such inspections and access shall be conducted in a manner that does not unreasonably interfere with the conduct of the business of Fortis.</w:t>
      </w:r>
    </w:p>
    <w:p>
      <w:pPr>
        <w:pStyle w:val="TextBody"/>
        <w:bidi w:val="0"/>
        <w:spacing w:before="0" w:after="240"/>
        <w:jc w:val="left"/>
        <w:rPr>
          <w:rFonts w:ascii="Times New Roman" w:hAnsi="Times New Roman"/>
          <w:sz w:val="20"/>
        </w:rPr>
      </w:pPr>
      <w:r>
        <w:rPr>
          <w:rFonts w:ascii="Times New Roman" w:hAnsi="Times New Roman"/>
          <w:color w:val="000000"/>
          <w:sz w:val="20"/>
        </w:rPr>
        <w:t>(e) If FibroGen determines in good faith that, if FibroGen were to decide to consummate the transactions contemplated hereby, it would be reasonably likely to be required to file with the SEC pursuant to Rule 3-05 of Regulation S-X audited annual financial statements of Fortis (the “</w:t>
      </w:r>
      <w:r>
        <w:rPr>
          <w:rFonts w:ascii="Times New Roman" w:hAnsi="Times New Roman"/>
          <w:i/>
          <w:color w:val="000000"/>
          <w:sz w:val="20"/>
        </w:rPr>
        <w:t>SEC Audited Financials</w:t>
      </w:r>
      <w:r>
        <w:rPr>
          <w:rFonts w:ascii="Times New Roman" w:hAnsi="Times New Roman"/>
          <w:color w:val="000000"/>
          <w:sz w:val="20"/>
        </w:rPr>
        <w:t>”) and unaudited quarterly financial statements of Fortis (the “</w:t>
      </w:r>
      <w:r>
        <w:rPr>
          <w:rFonts w:ascii="Times New Roman" w:hAnsi="Times New Roman"/>
          <w:i/>
          <w:color w:val="000000"/>
          <w:sz w:val="20"/>
        </w:rPr>
        <w:t>SEC Unaudited Financials</w:t>
      </w:r>
      <w:r>
        <w:rPr>
          <w:rFonts w:ascii="Times New Roman" w:hAnsi="Times New Roman"/>
          <w:color w:val="000000"/>
          <w:sz w:val="20"/>
        </w:rPr>
        <w:t>”) for periods specified by Rule 3-05 of Regulation S-X (any SEC Audited Financials together with any SEC Unaudited Financials, the “</w:t>
      </w:r>
      <w:r>
        <w:rPr>
          <w:rFonts w:ascii="Times New Roman" w:hAnsi="Times New Roman"/>
          <w:i/>
          <w:color w:val="000000"/>
          <w:sz w:val="20"/>
        </w:rPr>
        <w:t>SEC Financials</w:t>
      </w:r>
      <w:r>
        <w:rPr>
          <w:rFonts w:ascii="Times New Roman" w:hAnsi="Times New Roman"/>
          <w:color w:val="000000"/>
          <w:sz w:val="20"/>
        </w:rPr>
        <w:t>”), FibroGen will provide written notice of such requirement at [*] to be filed with the SEC, and Fortis will use [*] to deliver to FibroGen as soon as reasonably practicable, the SEC Financials. The SEC Financials will be (a) prepared in accordance with the books and records of Fortis, (b) prepared in accordance with Regulation S-X and GAAP and (c) in the case of the SEC Audited Financials, accompanied by an opinion of an independent public accounting firm (the “</w:t>
      </w:r>
      <w:r>
        <w:rPr>
          <w:rFonts w:ascii="Times New Roman" w:hAnsi="Times New Roman"/>
          <w:i/>
          <w:color w:val="000000"/>
          <w:sz w:val="20"/>
        </w:rPr>
        <w:t>S-X Auditor</w:t>
      </w:r>
      <w:r>
        <w:rPr>
          <w:rFonts w:ascii="Times New Roman" w:hAnsi="Times New Roman"/>
          <w:color w:val="000000"/>
          <w:sz w:val="20"/>
        </w:rPr>
        <w:t>”), which opinion complies with Regulation S-X (the “</w:t>
      </w:r>
      <w:r>
        <w:rPr>
          <w:rFonts w:ascii="Times New Roman" w:hAnsi="Times New Roman"/>
          <w:i/>
          <w:color w:val="000000"/>
          <w:sz w:val="20"/>
        </w:rPr>
        <w:t>Audit Opinion</w:t>
      </w:r>
      <w:r>
        <w:rPr>
          <w:rFonts w:ascii="Times New Roman" w:hAnsi="Times New Roman"/>
          <w:color w:val="000000"/>
          <w:sz w:val="20"/>
        </w:rPr>
        <w:t>”). FibroGen shall pay for all costs and expenses incurred by Fortis in connection with the preparation of the SEC Financials, including the fees and expenses of the S-X Auditor and any independent contractor or consultant of Fortis or any of its Affiliates. Notwithstanding anything in this Option Agreement to the contrary, the delivery of the SEC Financials by Fortis to FibroGen shall not be a condition to FibroGen’s obligation to effect the Merger.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3.2. </w:t>
      </w:r>
      <w:r>
        <w:rPr>
          <w:rFonts w:ascii="Times New Roman" w:hAnsi="Times New Roman"/>
          <w:color w:val="000000"/>
          <w:sz w:val="20"/>
          <w:u w:val="single"/>
        </w:rPr>
        <w:t>Option Exercise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bookmarkStart w:id="110" w:name="elnri3o"/>
      <w:bookmarkEnd w:id="110"/>
      <w:r>
        <w:rPr>
          <w:rFonts w:ascii="Times New Roman" w:hAnsi="Times New Roman"/>
          <w:color w:val="000000"/>
          <w:sz w:val="20"/>
        </w:rPr>
        <w:t xml:space="preserve">(a) Fortis and Sellers acknowledge and agree that this Option Agreement is intended to afford FibroGen a fully-paid option to proceed with the Merger or to not proceed with the Merger in the Option Period, in the sole discretion of FibroGen. FibroGen may make an election to exercise the Option [*]. Such exercise shall be made by FibroGen delivering to Fortis written notice of such exercise in the form of </w:t>
      </w:r>
      <w:r>
        <w:rPr>
          <w:rFonts w:ascii="Times New Roman" w:hAnsi="Times New Roman"/>
          <w:color w:val="000000"/>
          <w:sz w:val="20"/>
          <w:u w:val="single"/>
        </w:rPr>
        <w:t>Exhibit F</w:t>
      </w:r>
      <w:r>
        <w:rPr>
          <w:rFonts w:ascii="Times New Roman" w:hAnsi="Times New Roman"/>
          <w:color w:val="000000"/>
          <w:sz w:val="20"/>
        </w:rPr>
        <w:t xml:space="preserve"> before the </w:t>
      </w:r>
      <w:bookmarkStart w:id="111" w:name="el2ji3o"/>
      <w:bookmarkEnd w:id="111"/>
      <w:r>
        <w:rPr>
          <w:rFonts w:ascii="Times New Roman" w:hAnsi="Times New Roman"/>
          <w:color w:val="000000"/>
          <w:sz w:val="20"/>
        </w:rPr>
        <w:t>Option Exercise Deadline (such notice, the “</w:t>
      </w:r>
      <w:r>
        <w:rPr>
          <w:rFonts w:ascii="Times New Roman" w:hAnsi="Times New Roman"/>
          <w:i/>
          <w:color w:val="000000"/>
          <w:sz w:val="20"/>
        </w:rPr>
        <w:t>Exercise Notice</w:t>
      </w:r>
      <w:r>
        <w:rPr>
          <w:rFonts w:ascii="Times New Roman" w:hAnsi="Times New Roman"/>
          <w:color w:val="000000"/>
          <w:sz w:val="20"/>
        </w:rPr>
        <w:t xml:space="preserve">”) and a subsequent Final Exercise Notice pursuant to </w:t>
      </w:r>
      <w:r>
        <w:rPr>
          <w:rFonts w:ascii="Times New Roman" w:hAnsi="Times New Roman"/>
          <w:color w:val="000000"/>
          <w:sz w:val="20"/>
          <w:u w:val="single"/>
        </w:rPr>
        <w:t xml:space="preserve">Section </w:t>
      </w:r>
      <w:bookmarkStart w:id="112" w:name="ellwi3o"/>
      <w:bookmarkEnd w:id="112"/>
      <w:r>
        <w:rPr>
          <w:rFonts w:ascii="Times New Roman" w:hAnsi="Times New Roman"/>
          <w:color w:val="000000"/>
          <w:sz w:val="20"/>
          <w:u w:val="single"/>
        </w:rPr>
        <w:t>3.2(b)</w:t>
      </w:r>
      <w:r>
        <w:rPr>
          <w:rFonts w:ascii="Times New Roman" w:hAnsi="Times New Roman"/>
          <w:color w:val="000000"/>
          <w:sz w:val="20"/>
        </w:rPr>
        <w:t>. Fortis acknowledges and agrees that the delivery of the Exercise Notice does not in any way commit FibroGen to proceed with the Merger and is only a then-present statement to proceed with the Merger and to initiate pre-Closing actions by the Parties.</w:t>
      </w:r>
    </w:p>
    <w:p>
      <w:pPr>
        <w:pStyle w:val="TextBody"/>
        <w:bidi w:val="0"/>
        <w:spacing w:before="0" w:after="240"/>
        <w:jc w:val="left"/>
        <w:rPr>
          <w:rFonts w:ascii="Times New Roman" w:hAnsi="Times New Roman"/>
          <w:sz w:val="20"/>
        </w:rPr>
      </w:pPr>
      <w:bookmarkStart w:id="113" w:name="el23j3o"/>
      <w:bookmarkEnd w:id="113"/>
      <w:r>
        <w:rPr>
          <w:rFonts w:ascii="Times New Roman" w:hAnsi="Times New Roman"/>
          <w:color w:val="000000"/>
          <w:sz w:val="20"/>
        </w:rPr>
        <w:t xml:space="preserve">(b) FibroGen may withdraw an Exercise Notice at any time prior to the Closing, </w:t>
      </w:r>
      <w:r>
        <w:rPr>
          <w:rFonts w:ascii="Times New Roman" w:hAnsi="Times New Roman"/>
          <w:i/>
          <w:color w:val="000000"/>
          <w:sz w:val="20"/>
        </w:rPr>
        <w:t>provided</w:t>
      </w:r>
      <w:r>
        <w:rPr>
          <w:rFonts w:ascii="Times New Roman" w:hAnsi="Times New Roman"/>
          <w:color w:val="000000"/>
          <w:sz w:val="20"/>
        </w:rPr>
        <w:t xml:space="preserve"> that FibroGen shall be permitted to exercise such withdrawal right only once. After review of the Updated Disclosure Schedule, FibroGen shall deliver written notice to Fortis [*] of its intention to either (i) withdraw the Exercise Notice and not proceed with the Merger (“</w:t>
      </w:r>
      <w:r>
        <w:rPr>
          <w:rFonts w:ascii="Times New Roman" w:hAnsi="Times New Roman"/>
          <w:i/>
          <w:color w:val="000000"/>
          <w:sz w:val="20"/>
        </w:rPr>
        <w:t>Rejection Notice</w:t>
      </w:r>
      <w:r>
        <w:rPr>
          <w:rFonts w:ascii="Times New Roman" w:hAnsi="Times New Roman"/>
          <w:color w:val="000000"/>
          <w:sz w:val="20"/>
        </w:rPr>
        <w:t>”) or (ii) proceed with the Merger (the “</w:t>
      </w:r>
      <w:r>
        <w:rPr>
          <w:rFonts w:ascii="Times New Roman" w:hAnsi="Times New Roman"/>
          <w:i/>
          <w:color w:val="000000"/>
          <w:sz w:val="20"/>
        </w:rPr>
        <w:t>Final Exercise Notice</w:t>
      </w:r>
      <w:r>
        <w:rPr>
          <w:rFonts w:ascii="Times New Roman" w:hAnsi="Times New Roman"/>
          <w:color w:val="000000"/>
          <w:sz w:val="20"/>
        </w:rPr>
        <w:t>”; and the date on which such notice is delivered, the “</w:t>
      </w:r>
      <w:r>
        <w:rPr>
          <w:rFonts w:ascii="Times New Roman" w:hAnsi="Times New Roman"/>
          <w:i/>
          <w:color w:val="000000"/>
          <w:sz w:val="20"/>
        </w:rPr>
        <w:t>Final Exercise Date</w:t>
      </w:r>
      <w:r>
        <w:rPr>
          <w:rFonts w:ascii="Times New Roman" w:hAnsi="Times New Roman"/>
          <w:color w:val="000000"/>
          <w:sz w:val="20"/>
        </w:rPr>
        <w:t xml:space="preserve">”). If FibroGen does not deliver a </w:t>
      </w:r>
      <w:bookmarkStart w:id="114" w:name="el24j3o"/>
      <w:bookmarkEnd w:id="114"/>
      <w:r>
        <w:rPr>
          <w:rFonts w:ascii="Times New Roman" w:hAnsi="Times New Roman"/>
          <w:color w:val="000000"/>
          <w:sz w:val="20"/>
        </w:rPr>
        <w:t xml:space="preserve">Final Exercise Notice or a </w:t>
      </w:r>
      <w:bookmarkStart w:id="115" w:name="el25j3o"/>
      <w:bookmarkEnd w:id="115"/>
      <w:r>
        <w:rPr>
          <w:rFonts w:ascii="Times New Roman" w:hAnsi="Times New Roman"/>
          <w:color w:val="000000"/>
          <w:sz w:val="20"/>
        </w:rPr>
        <w:t xml:space="preserve">Rejection Notice prior to the expiration of the </w:t>
      </w:r>
      <w:bookmarkStart w:id="116" w:name="el26j3o"/>
      <w:bookmarkEnd w:id="116"/>
      <w:r>
        <w:rPr>
          <w:rFonts w:ascii="Times New Roman" w:hAnsi="Times New Roman"/>
          <w:color w:val="000000"/>
          <w:sz w:val="20"/>
        </w:rPr>
        <w:t xml:space="preserve">Due Diligence Review Period, then </w:t>
      </w:r>
      <w:bookmarkStart w:id="117" w:name="el27j3o"/>
      <w:bookmarkEnd w:id="117"/>
      <w:r>
        <w:rPr>
          <w:rFonts w:ascii="Times New Roman" w:hAnsi="Times New Roman"/>
          <w:color w:val="000000"/>
          <w:sz w:val="20"/>
        </w:rPr>
        <w:t xml:space="preserve">FibroGen shall be deemed to have sent a </w:t>
      </w:r>
      <w:bookmarkStart w:id="118" w:name="el28j3o"/>
      <w:bookmarkEnd w:id="118"/>
      <w:r>
        <w:rPr>
          <w:rFonts w:ascii="Times New Roman" w:hAnsi="Times New Roman"/>
          <w:color w:val="000000"/>
          <w:sz w:val="20"/>
        </w:rPr>
        <w:t xml:space="preserve">Rejection Notice.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bookmarkStart w:id="119" w:name="el2oj3o"/>
      <w:bookmarkEnd w:id="119"/>
      <w:r>
        <w:rPr>
          <w:rFonts w:ascii="Times New Roman" w:hAnsi="Times New Roman"/>
          <w:color w:val="000000"/>
          <w:sz w:val="20"/>
        </w:rPr>
        <w:t xml:space="preserve">(c) FibroGen shall be permitted to deliver the </w:t>
      </w:r>
      <w:bookmarkStart w:id="120" w:name="el2pj3o"/>
      <w:bookmarkEnd w:id="120"/>
      <w:r>
        <w:rPr>
          <w:rFonts w:ascii="Times New Roman" w:hAnsi="Times New Roman"/>
          <w:color w:val="000000"/>
          <w:sz w:val="20"/>
        </w:rPr>
        <w:t xml:space="preserve">Exercise Notice [*]. If </w:t>
      </w:r>
      <w:bookmarkStart w:id="121" w:name="el2qj3o"/>
      <w:bookmarkEnd w:id="121"/>
      <w:r>
        <w:rPr>
          <w:rFonts w:ascii="Times New Roman" w:hAnsi="Times New Roman"/>
          <w:color w:val="000000"/>
          <w:sz w:val="20"/>
        </w:rPr>
        <w:t xml:space="preserve">FibroGen withdraws the </w:t>
      </w:r>
      <w:bookmarkStart w:id="122" w:name="el2rj3o"/>
      <w:bookmarkEnd w:id="122"/>
      <w:r>
        <w:rPr>
          <w:rFonts w:ascii="Times New Roman" w:hAnsi="Times New Roman"/>
          <w:color w:val="000000"/>
          <w:sz w:val="20"/>
        </w:rPr>
        <w:t xml:space="preserve">Exercise Notice [*] or sends (or is deemed to have sent) a </w:t>
      </w:r>
      <w:bookmarkStart w:id="123" w:name="el2sj3o"/>
      <w:bookmarkEnd w:id="123"/>
      <w:r>
        <w:rPr>
          <w:rFonts w:ascii="Times New Roman" w:hAnsi="Times New Roman"/>
          <w:color w:val="000000"/>
          <w:sz w:val="20"/>
        </w:rPr>
        <w:t xml:space="preserve">Rejection Notice pursuant to </w:t>
      </w:r>
      <w:r>
        <w:rPr>
          <w:rFonts w:ascii="Times New Roman" w:hAnsi="Times New Roman"/>
          <w:color w:val="000000"/>
          <w:sz w:val="20"/>
          <w:u w:val="single"/>
        </w:rPr>
        <w:t>Section 3.2(b)</w:t>
      </w:r>
      <w:r>
        <w:rPr>
          <w:rFonts w:ascii="Times New Roman" w:hAnsi="Times New Roman"/>
          <w:color w:val="000000"/>
          <w:sz w:val="20"/>
        </w:rPr>
        <w:t xml:space="preserve">, this </w:t>
      </w:r>
      <w:bookmarkStart w:id="124" w:name="el2uj3o"/>
      <w:bookmarkEnd w:id="124"/>
      <w:r>
        <w:rPr>
          <w:rFonts w:ascii="Times New Roman" w:hAnsi="Times New Roman"/>
          <w:color w:val="000000"/>
          <w:sz w:val="20"/>
        </w:rPr>
        <w:t>Agreement shall automatically terminate.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Subject to the remedies set forth in </w:t>
      </w:r>
      <w:r>
        <w:rPr>
          <w:rFonts w:ascii="Times New Roman" w:hAnsi="Times New Roman"/>
          <w:color w:val="000000"/>
          <w:sz w:val="20"/>
          <w:u w:val="single"/>
        </w:rPr>
        <w:t>Section 10.2</w:t>
      </w:r>
      <w:r>
        <w:rPr>
          <w:rFonts w:ascii="Times New Roman" w:hAnsi="Times New Roman"/>
          <w:color w:val="000000"/>
          <w:sz w:val="20"/>
        </w:rPr>
        <w:t xml:space="preserve">, FibroGen’s withdrawal of the Exercise Notice, delivery of a Rejection Notice, or failure to deliver the Exercise Notice, shall not result in any Liability by FibroGen to Fortis or to the holders of Fortis Stock Options, Warrants or Fortis Capital Stock for any reason.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For the avoidance of doubt, [*] then the Closing may occur after the Option Exercise Deadline in accordance with the terms of this Option Agreement, subject to FibroGen’s right to withdraw such Exercise Notice (if it has not previously withdrawn an Exercise Notice) before the Closing.</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4</w:t>
      </w:r>
      <w:r>
        <w:rPr>
          <w:rFonts w:ascii="Times New Roman" w:hAnsi="Times New Roman"/>
          <w:caps/>
          <w:color w:val="000000"/>
          <w:sz w:val="20"/>
          <w:u w:val="single"/>
        </w:rPr>
        <w:br/>
        <w:t>Closing Conditions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4.1. </w:t>
      </w:r>
      <w:r>
        <w:rPr>
          <w:rFonts w:ascii="Times New Roman" w:hAnsi="Times New Roman"/>
          <w:color w:val="000000"/>
          <w:sz w:val="20"/>
          <w:u w:val="single"/>
        </w:rPr>
        <w:t>Conditions to Fortis’ Obligation</w:t>
      </w:r>
      <w:r>
        <w:rPr>
          <w:rFonts w:ascii="Times New Roman" w:hAnsi="Times New Roman"/>
          <w:color w:val="000000"/>
          <w:sz w:val="20"/>
        </w:rPr>
        <w:t>. The obligation of Fortis to effect the Merger following delivery of the Final Exercise Notice is subject to the satisfaction or waiver on or prior to the Closing Date of the following conditions: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Antitrust</w:t>
      </w:r>
      <w:r>
        <w:rPr>
          <w:rFonts w:ascii="Times New Roman" w:hAnsi="Times New Roman"/>
          <w:color w:val="000000"/>
          <w:sz w:val="20"/>
        </w:rPr>
        <w:t>. Any waiting period (or extension thereof) applicable to the Merger under the HSR Act shall have been terminated or shall have expired.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No Injunction or Legal Restraint</w:t>
      </w:r>
      <w:r>
        <w:rPr>
          <w:rFonts w:ascii="Times New Roman" w:hAnsi="Times New Roman"/>
          <w:color w:val="000000"/>
          <w:sz w:val="20"/>
        </w:rPr>
        <w:t>. No temporary restraining order, preliminary or permanent injunction or other order or decree issued by any court of competent jurisdiction (other than any such orders, injunctions or decrees issued due to any Action commenced by or on behalf of Fortis, any Fortis Equityholder or the Sellers’ Representative) which has the effect of preventing the consummation of the Merger shall be in effect.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4.2. </w:t>
      </w:r>
      <w:r>
        <w:rPr>
          <w:rFonts w:ascii="Times New Roman" w:hAnsi="Times New Roman"/>
          <w:color w:val="000000"/>
          <w:sz w:val="20"/>
          <w:u w:val="single"/>
        </w:rPr>
        <w:t>Conditions to FibroGen’s Obligation</w:t>
      </w:r>
      <w:r>
        <w:rPr>
          <w:rFonts w:ascii="Times New Roman" w:hAnsi="Times New Roman"/>
          <w:color w:val="000000"/>
          <w:sz w:val="20"/>
        </w:rPr>
        <w:t xml:space="preserve">. FibroGen has no obligation to consummate the transactions contemplated by this Option Agreement at any time prior to FibroGen’s delivery of the Final Exercise Notice to Fortis. The obligation of FibroGen to effect the Merger following delivery of the Final Exercise Notice is subject to the satisfaction or waiver on or prior to the Closing Date of the following conditions: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Injunction or Legal Restraint</w:t>
      </w:r>
      <w:r>
        <w:rPr>
          <w:rFonts w:ascii="Times New Roman" w:hAnsi="Times New Roman"/>
          <w:color w:val="000000"/>
          <w:sz w:val="20"/>
        </w:rPr>
        <w:t xml:space="preserve">. The conditions described in </w:t>
      </w:r>
      <w:r>
        <w:rPr>
          <w:rFonts w:ascii="Times New Roman" w:hAnsi="Times New Roman"/>
          <w:color w:val="000000"/>
          <w:sz w:val="20"/>
          <w:u w:val="single"/>
        </w:rPr>
        <w:t>Section 4.1(b)</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Compliance Certificate</w:t>
      </w:r>
      <w:r>
        <w:rPr>
          <w:rFonts w:ascii="Times New Roman" w:hAnsi="Times New Roman"/>
          <w:color w:val="000000"/>
          <w:sz w:val="20"/>
        </w:rPr>
        <w:t xml:space="preserve">. Fortis shall deliver to FibroGen a certificate in the form attached as </w:t>
      </w:r>
      <w:r>
        <w:rPr>
          <w:rFonts w:ascii="Times New Roman" w:hAnsi="Times New Roman"/>
          <w:color w:val="000000"/>
          <w:sz w:val="20"/>
          <w:u w:val="single"/>
        </w:rPr>
        <w:t>Exhibit G</w:t>
      </w:r>
      <w:r>
        <w:rPr>
          <w:rFonts w:ascii="Times New Roman" w:hAnsi="Times New Roman"/>
          <w:color w:val="000000"/>
          <w:sz w:val="20"/>
        </w:rPr>
        <w:t xml:space="preserve"> (the “</w:t>
      </w:r>
      <w:r>
        <w:rPr>
          <w:rFonts w:ascii="Times New Roman" w:hAnsi="Times New Roman"/>
          <w:i/>
          <w:color w:val="000000"/>
          <w:sz w:val="20"/>
        </w:rPr>
        <w:t>Fortis Compliance Certificate</w:t>
      </w:r>
      <w:r>
        <w:rPr>
          <w:rFonts w:ascii="Times New Roman" w:hAnsi="Times New Roman"/>
          <w:color w:val="000000"/>
          <w:sz w:val="20"/>
        </w:rPr>
        <w:t xml:space="preserve">”), dated as of the Closing Date, executed by an authorized officer of Fortis, certifying (i) (A) that the representations and warranties of Fortis set forth in this Option Agreement that are qualified as to materiality (including the definition of Material Adverse Change) or that are Fundamental Representations (except for the Fundamental Representations set forth in </w:t>
      </w:r>
      <w:r>
        <w:rPr>
          <w:rFonts w:ascii="Times New Roman" w:hAnsi="Times New Roman"/>
          <w:color w:val="000000"/>
          <w:sz w:val="20"/>
          <w:u w:val="single"/>
        </w:rPr>
        <w:t>Section 5.4(a)</w:t>
      </w:r>
      <w:r>
        <w:rPr>
          <w:rFonts w:ascii="Times New Roman" w:hAnsi="Times New Roman"/>
          <w:color w:val="000000"/>
          <w:sz w:val="20"/>
        </w:rPr>
        <w:t xml:space="preserve">, </w:t>
      </w:r>
      <w:r>
        <w:rPr>
          <w:rFonts w:ascii="Times New Roman" w:hAnsi="Times New Roman"/>
          <w:color w:val="000000"/>
          <w:sz w:val="20"/>
          <w:u w:val="single"/>
        </w:rPr>
        <w:t>Section 5.4(b)</w:t>
      </w:r>
      <w:r>
        <w:rPr>
          <w:rFonts w:ascii="Times New Roman" w:hAnsi="Times New Roman"/>
          <w:color w:val="000000"/>
          <w:sz w:val="20"/>
        </w:rPr>
        <w:t xml:space="preserve">, </w:t>
      </w:r>
      <w:r>
        <w:rPr>
          <w:rFonts w:ascii="Times New Roman" w:hAnsi="Times New Roman"/>
          <w:color w:val="000000"/>
          <w:sz w:val="20"/>
          <w:u w:val="single"/>
        </w:rPr>
        <w:t>Section 5.4(c)</w:t>
      </w:r>
      <w:r>
        <w:rPr>
          <w:rFonts w:ascii="Times New Roman" w:hAnsi="Times New Roman"/>
          <w:color w:val="000000"/>
          <w:sz w:val="20"/>
        </w:rPr>
        <w:t xml:space="preserve">, and </w:t>
      </w:r>
      <w:r>
        <w:rPr>
          <w:rFonts w:ascii="Times New Roman" w:hAnsi="Times New Roman"/>
          <w:color w:val="000000"/>
          <w:sz w:val="20"/>
          <w:u w:val="single"/>
        </w:rPr>
        <w:t>Section 5.4(e)</w:t>
      </w:r>
      <w:r>
        <w:rPr>
          <w:rFonts w:ascii="Times New Roman" w:hAnsi="Times New Roman"/>
          <w:color w:val="000000"/>
          <w:sz w:val="20"/>
        </w:rPr>
        <w:t xml:space="preserve"> and </w:t>
      </w:r>
      <w:r>
        <w:rPr>
          <w:rFonts w:ascii="Times New Roman" w:hAnsi="Times New Roman"/>
          <w:color w:val="000000"/>
          <w:sz w:val="20"/>
          <w:u w:val="single"/>
        </w:rPr>
        <w:t>Section 5.4(f)</w:t>
      </w:r>
      <w:r>
        <w:rPr>
          <w:rFonts w:ascii="Times New Roman" w:hAnsi="Times New Roman"/>
          <w:color w:val="000000"/>
          <w:sz w:val="20"/>
        </w:rPr>
        <w:t xml:space="preserve"> (Capitalization) and </w:t>
      </w:r>
      <w:r>
        <w:rPr>
          <w:rFonts w:ascii="Times New Roman" w:hAnsi="Times New Roman"/>
          <w:color w:val="000000"/>
          <w:sz w:val="20"/>
          <w:u w:val="single"/>
        </w:rPr>
        <w:t>Section 5.16</w:t>
      </w:r>
      <w:r>
        <w:rPr>
          <w:rFonts w:ascii="Times New Roman" w:hAnsi="Times New Roman"/>
          <w:color w:val="000000"/>
          <w:sz w:val="20"/>
        </w:rPr>
        <w:t xml:space="preserve"> (Taxes)) shall be true and accurate in all respects, (B) the Fundamental Representations set forth in </w:t>
      </w:r>
      <w:r>
        <w:rPr>
          <w:rFonts w:ascii="Times New Roman" w:hAnsi="Times New Roman"/>
          <w:color w:val="000000"/>
          <w:sz w:val="20"/>
          <w:u w:val="single"/>
        </w:rPr>
        <w:t>Section 5.4(a)</w:t>
      </w:r>
      <w:r>
        <w:rPr>
          <w:rFonts w:ascii="Times New Roman" w:hAnsi="Times New Roman"/>
          <w:color w:val="000000"/>
          <w:sz w:val="20"/>
        </w:rPr>
        <w:t xml:space="preserve">, </w:t>
      </w:r>
      <w:r>
        <w:rPr>
          <w:rFonts w:ascii="Times New Roman" w:hAnsi="Times New Roman"/>
          <w:color w:val="000000"/>
          <w:sz w:val="20"/>
          <w:u w:val="single"/>
        </w:rPr>
        <w:t>Section 5.4(b)</w:t>
      </w:r>
      <w:r>
        <w:rPr>
          <w:rFonts w:ascii="Times New Roman" w:hAnsi="Times New Roman"/>
          <w:color w:val="000000"/>
          <w:sz w:val="20"/>
        </w:rPr>
        <w:t xml:space="preserve">, </w:t>
      </w:r>
      <w:r>
        <w:rPr>
          <w:rFonts w:ascii="Times New Roman" w:hAnsi="Times New Roman"/>
          <w:color w:val="000000"/>
          <w:sz w:val="20"/>
          <w:u w:val="single"/>
        </w:rPr>
        <w:t>Section 5.4(c)</w:t>
      </w:r>
      <w:r>
        <w:rPr>
          <w:rFonts w:ascii="Times New Roman" w:hAnsi="Times New Roman"/>
          <w:color w:val="000000"/>
          <w:sz w:val="20"/>
        </w:rPr>
        <w:t xml:space="preserve">, and </w:t>
      </w:r>
      <w:r>
        <w:rPr>
          <w:rFonts w:ascii="Times New Roman" w:hAnsi="Times New Roman"/>
          <w:color w:val="000000"/>
          <w:sz w:val="20"/>
          <w:u w:val="single"/>
        </w:rPr>
        <w:t>Section 5.4(e)</w:t>
      </w:r>
      <w:r>
        <w:rPr>
          <w:rFonts w:ascii="Times New Roman" w:hAnsi="Times New Roman"/>
          <w:color w:val="000000"/>
          <w:sz w:val="20"/>
        </w:rPr>
        <w:t xml:space="preserve"> and </w:t>
      </w:r>
      <w:r>
        <w:rPr>
          <w:rFonts w:ascii="Times New Roman" w:hAnsi="Times New Roman"/>
          <w:color w:val="000000"/>
          <w:sz w:val="20"/>
          <w:u w:val="single"/>
        </w:rPr>
        <w:t>Section 5.4(f)</w:t>
      </w:r>
      <w:r>
        <w:rPr>
          <w:rFonts w:ascii="Times New Roman" w:hAnsi="Times New Roman"/>
          <w:color w:val="000000"/>
          <w:sz w:val="20"/>
        </w:rPr>
        <w:t xml:space="preserve"> (Capitalization), in each case subject to </w:t>
      </w:r>
      <w:r>
        <w:rPr>
          <w:rFonts w:ascii="Times New Roman" w:hAnsi="Times New Roman"/>
          <w:color w:val="000000"/>
          <w:sz w:val="20"/>
          <w:u w:val="single"/>
        </w:rPr>
        <w:t>Section 5.4(j)</w:t>
      </w:r>
      <w:r>
        <w:rPr>
          <w:rFonts w:ascii="Times New Roman" w:hAnsi="Times New Roman"/>
          <w:color w:val="000000"/>
          <w:sz w:val="20"/>
        </w:rPr>
        <w:t xml:space="preserve">, shall be true and accurate in all respects, except for </w:t>
      </w:r>
      <w:r>
        <w:rPr>
          <w:rFonts w:ascii="Times New Roman" w:hAnsi="Times New Roman"/>
          <w:i/>
          <w:color w:val="000000"/>
          <w:sz w:val="20"/>
        </w:rPr>
        <w:t xml:space="preserve">de minimis </w:t>
      </w:r>
      <w:r>
        <w:rPr>
          <w:rFonts w:ascii="Times New Roman" w:hAnsi="Times New Roman"/>
          <w:color w:val="000000"/>
          <w:sz w:val="20"/>
        </w:rPr>
        <w:t xml:space="preserve">inaccuracies, and (C) all other representations and warranties of Fortis set forth in </w:t>
      </w:r>
      <w:r>
        <w:rPr>
          <w:rFonts w:ascii="Times New Roman" w:hAnsi="Times New Roman"/>
          <w:color w:val="000000"/>
          <w:sz w:val="20"/>
          <w:u w:val="single"/>
        </w:rPr>
        <w:t>Article 5</w:t>
      </w:r>
      <w:r>
        <w:rPr>
          <w:rFonts w:ascii="Times New Roman" w:hAnsi="Times New Roman"/>
          <w:color w:val="000000"/>
          <w:sz w:val="20"/>
        </w:rPr>
        <w:t xml:space="preserve"> of this Option Agreement (including </w:t>
      </w:r>
      <w:r>
        <w:rPr>
          <w:rFonts w:ascii="Times New Roman" w:hAnsi="Times New Roman"/>
          <w:color w:val="000000"/>
          <w:sz w:val="20"/>
          <w:u w:val="single"/>
        </w:rPr>
        <w:t>Section 5.16</w:t>
      </w:r>
      <w:r>
        <w:rPr>
          <w:rFonts w:ascii="Times New Roman" w:hAnsi="Times New Roman"/>
          <w:color w:val="000000"/>
          <w:sz w:val="20"/>
        </w:rPr>
        <w:t xml:space="preserve"> (Taxes)) shall be true and accurate in all material respects, in each case as of the date of this Option Agreement and as of the Closing Date with the same effect as though made as of the Closing Date, except that the accuracy of representations and warranties that by their terms speak as of a specified date will be determined as of such date, (ii) to Fortis’ compliance in all material respects with all covenants, obligations and agreements of Fortis required to be performed or complied with by Fortis on or before the Closing Date, and (iii) that no Material Adverse Change of a nature described in </w:t>
      </w:r>
      <w:r>
        <w:rPr>
          <w:rFonts w:ascii="Times New Roman" w:hAnsi="Times New Roman"/>
          <w:color w:val="000000"/>
          <w:sz w:val="20"/>
          <w:u w:val="single"/>
        </w:rPr>
        <w:t>Section 4.2(h)</w:t>
      </w:r>
      <w:r>
        <w:rPr>
          <w:rFonts w:ascii="Times New Roman" w:hAnsi="Times New Roman"/>
          <w:color w:val="000000"/>
          <w:sz w:val="20"/>
        </w:rPr>
        <w:t xml:space="preserve"> has occurred; in the case of clause (i) and (ii) above, except to the extent disclosed in any written notice delivered to FibroGen prior to the Closing Date or in the Updated Disclosure Schedule.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Governmental Consents and Approvals</w:t>
      </w:r>
      <w:r>
        <w:rPr>
          <w:rFonts w:ascii="Times New Roman" w:hAnsi="Times New Roman"/>
          <w:color w:val="000000"/>
          <w:sz w:val="20"/>
        </w:rPr>
        <w:t xml:space="preserve">. Fortis shall deliver evidence that all consents of Governmental Entities set forth on </w:t>
      </w:r>
      <w:r>
        <w:rPr>
          <w:rFonts w:ascii="Times New Roman" w:hAnsi="Times New Roman"/>
          <w:color w:val="000000"/>
          <w:sz w:val="20"/>
          <w:u w:val="single"/>
        </w:rPr>
        <w:t>Schedule 4.2(c)</w:t>
      </w:r>
      <w:r>
        <w:rPr>
          <w:rFonts w:ascii="Times New Roman" w:hAnsi="Times New Roman"/>
          <w:color w:val="000000"/>
          <w:sz w:val="20"/>
        </w:rPr>
        <w:t xml:space="preserve"> have been obtained or made, and are in full force and effect.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Contractual Consents and Approvals</w:t>
      </w:r>
      <w:r>
        <w:rPr>
          <w:rFonts w:ascii="Times New Roman" w:hAnsi="Times New Roman"/>
          <w:color w:val="000000"/>
          <w:sz w:val="20"/>
        </w:rPr>
        <w:t xml:space="preserve">. Fortis shall deliver evidence that Fortis has obtained all consents and approvals of third parties set forth in </w:t>
      </w:r>
      <w:r>
        <w:rPr>
          <w:rFonts w:ascii="Times New Roman" w:hAnsi="Times New Roman"/>
          <w:color w:val="000000"/>
          <w:sz w:val="20"/>
          <w:u w:val="single"/>
        </w:rPr>
        <w:t>Section 4.2(d)</w:t>
      </w:r>
      <w:r>
        <w:rPr>
          <w:rFonts w:ascii="Times New Roman" w:hAnsi="Times New Roman"/>
          <w:color w:val="000000"/>
          <w:sz w:val="20"/>
        </w:rPr>
        <w:t xml:space="preserve"> of the Disclosure Schedule (other than any such consent or approval under a Contract that has terminated prior to the Closing).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FIRPTA Certificate</w:t>
      </w:r>
      <w:r>
        <w:rPr>
          <w:rFonts w:ascii="Times New Roman" w:hAnsi="Times New Roman"/>
          <w:color w:val="000000"/>
          <w:sz w:val="20"/>
        </w:rPr>
        <w:t xml:space="preserve">. Fortis shall deliver a certificate dated the Closing Date pursuant to Treasury Regulations 1.897-2(h) (as described in Treasury Regulations 1.1445-2(c)(3)) stating that Fortis is not, and [*] was not, a U.S. real property holding corporation as defined in Section 897 of the Code.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Termination of Stockholder Agreements</w:t>
      </w:r>
      <w:r>
        <w:rPr>
          <w:rFonts w:ascii="Times New Roman" w:hAnsi="Times New Roman"/>
          <w:color w:val="000000"/>
          <w:sz w:val="20"/>
        </w:rPr>
        <w:t>. Fortis shall deliver to FibroGen evidence reasonably satisfactory to FibroGen of the termination of the Stockholder Agreements.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Assignment of [*]</w:t>
      </w:r>
      <w:r>
        <w:rPr>
          <w:rFonts w:ascii="Times New Roman" w:hAnsi="Times New Roman"/>
          <w:color w:val="000000"/>
          <w:sz w:val="20"/>
        </w:rPr>
        <w:t>. Fortis shall deliver to FibroGen evidence reasonably satisfactory to FibroGen of the assignment by [*] to Fortis of that certain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 Material Adverse Change</w:t>
      </w:r>
      <w:r>
        <w:rPr>
          <w:rFonts w:ascii="Times New Roman" w:hAnsi="Times New Roman"/>
          <w:color w:val="000000"/>
          <w:sz w:val="20"/>
        </w:rPr>
        <w:t xml:space="preserve">. No Material Adverse Change shall have occurred after the delivery of the Updated Disclosure Schedule by Fortis to FibroGen that is continuing. </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5</w:t>
      </w:r>
      <w:r>
        <w:rPr>
          <w:rFonts w:ascii="Times New Roman" w:hAnsi="Times New Roman"/>
          <w:caps/>
          <w:color w:val="000000"/>
          <w:sz w:val="20"/>
          <w:u w:val="single"/>
        </w:rPr>
        <w:br/>
        <w:t>Representations and Warranties of Fortis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Fortis represents and warrants to FibroGen that except as disclosed by Fortis in the Disclosure Schedule delivered on the date hereof and as may be updated by the Updated Disclosure Schedule pursuant to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 </w:t>
      </w:r>
      <w:r>
        <w:rPr>
          <w:rFonts w:ascii="Times New Roman" w:hAnsi="Times New Roman"/>
          <w:color w:val="000000"/>
          <w:sz w:val="20"/>
          <w:u w:val="single"/>
        </w:rPr>
        <w:t>Organization and Standing; No Subsidiaries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Fortis (i) is a corporation duly incorporated, validly existing and in good standing under the Laws of the State of Delaware; (ii) has all requisite corporate power and authority necessary to enable it to use its corporate or other name and to own or lease or otherwise hold and operate its assets and properties and to carry on its business as now being conducted; and (iii) is duly qualified, licensed or registered to do business and is in good standing in each jurisdiction in which the nature of its business or the ownership, leasing or operation of its properties makes such qualification, licensing or registration necessary (except where such failure to be so qualified, licensed or registered would not reasonably be expected to result in a Material Adverse Change). Fortis has made available to FibroGen true, complete and correct copies of its Constitutive Documents, as amended, as in effect as of the date of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 Fortis has no, and has never had, any Subsidiaries. Fortis does not directly or indirectly own any equity or similar interest in, or any interest convertible into or exchangeable or exercisable for any equity or similar interest in, any corporation, partnership, limited liability company, joint venture or other business association or entity.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 </w:t>
      </w:r>
      <w:r>
        <w:rPr>
          <w:rFonts w:ascii="Times New Roman" w:hAnsi="Times New Roman"/>
          <w:color w:val="000000"/>
          <w:sz w:val="20"/>
          <w:u w:val="single"/>
        </w:rPr>
        <w:t>Power and Authority; Binding Agreement</w:t>
      </w:r>
      <w:r>
        <w:rPr>
          <w:rFonts w:ascii="Times New Roman" w:hAnsi="Times New Roman"/>
          <w:color w:val="000000"/>
          <w:sz w:val="20"/>
        </w:rPr>
        <w:t>. Subject to obtaining Shareholder Approval, Fortis has all requisite corporate power and authority to execute and deliver this Option Agreement and to consummate the Merger and the other transactions contemplated hereby and to perform its obligations hereunder. The execution and delivery by Fortis of this Option Agreement and the consummation by Fortis of the Merger and the other transactions contemplated hereby have been duly authorized by all necessary corporate action on the part of Fortis, and no other proceedings on the part of Fortis are necessary to authorize this Option Agreement or to consummate the Merger and the other transactions contemplated hereby other than (a) the Shareholder Approval, (b) the filing of the Certificate of Merger with the office of the Secretary of State of the State of Delaware, (c) the filing of a premerger notification and report form under the HSR Act, if necessary, and (d) such other material consents, approvals, orders, authorizations, registrations, declarations, filings and notices set forth on Section 5.5 of the Disclosure Schedule, if any. This Option Agreement has been duly executed and delivered by Fortis and, assuming the due authorization, execution and delivery by the other Parties, constitutes a valid, legal and binding obligation of Fortis, Enforceable against Fortis.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5.3. </w:t>
      </w:r>
      <w:r>
        <w:rPr>
          <w:rFonts w:ascii="Times New Roman" w:hAnsi="Times New Roman"/>
          <w:color w:val="000000"/>
          <w:sz w:val="20"/>
          <w:u w:val="single"/>
        </w:rPr>
        <w:t>Authorization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The board of directors of Fortis, at a meeting duly called and held at which all directors of Fortis were present or pursuant to an action by written consent, duly and unanimously adopted resolutions (i) approving and declaring advisable the Merger, this Option Agreement and the other transactions contemplated hereby; (ii) determining that the Merger Consideration is fair to Fortis Shareholders and declaring that the Merger, this Option Agreement and the other transactions contemplated hereby are in the best interests of Fortis Shareholders; (iii) adopting this Option Agreement; (iv) authorizing Fortis to enter into this Option Agreement and to consummate the Merger and the other transactions contemplated hereby, on the terms and subject to the conditions set forth in this Option Agreement; (v) directing that the Merger and this Option Agreement be submitted to Fortis Shareholders at a meeting or by written consent in lieu of a meeting for a vote for adopting this Option Agreement and approving the Merger; and (vi) recommending that Fortis Shareholders vote to approve and adopt this Option Agreement and approve the Merger. </w:t>
      </w:r>
    </w:p>
    <w:p>
      <w:pPr>
        <w:pStyle w:val="TextBody"/>
        <w:bidi w:val="0"/>
        <w:spacing w:before="0" w:after="240"/>
        <w:jc w:val="left"/>
        <w:rPr>
          <w:rFonts w:ascii="Times New Roman" w:hAnsi="Times New Roman"/>
          <w:sz w:val="20"/>
        </w:rPr>
      </w:pPr>
      <w:r>
        <w:rPr>
          <w:rFonts w:ascii="Times New Roman" w:hAnsi="Times New Roman"/>
          <w:color w:val="000000"/>
          <w:sz w:val="20"/>
        </w:rPr>
        <w:t>(b) The only votes or consent of holders of any class or series of Fortis Capital Stock necessary to approve and adopt the Merger, this Option Agreement and the other transactions contemplated hereby are the affirmative votes or consent of (i) the holders of at least [*] of the outstanding shares of Fortis Preferred Stock and (ii) the holders of at least a [*] of the outstanding shares of Fortis Common Stock on an as-converted to Fortis Common Stock basis (collectively, the “</w:t>
      </w:r>
      <w:r>
        <w:rPr>
          <w:rFonts w:ascii="Times New Roman" w:hAnsi="Times New Roman"/>
          <w:i/>
          <w:color w:val="000000"/>
          <w:sz w:val="20"/>
        </w:rPr>
        <w:t>Shareholder Approval</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5.4. </w:t>
      </w:r>
      <w:r>
        <w:rPr>
          <w:rFonts w:ascii="Times New Roman" w:hAnsi="Times New Roman"/>
          <w:color w:val="000000"/>
          <w:sz w:val="20"/>
          <w:u w:val="single"/>
        </w:rPr>
        <w:t>Capitalization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5.4(a)</w:t>
      </w:r>
      <w:r>
        <w:rPr>
          <w:rFonts w:ascii="Times New Roman" w:hAnsi="Times New Roman"/>
          <w:color w:val="000000"/>
          <w:sz w:val="20"/>
        </w:rPr>
        <w:t xml:space="preserve"> of the Disclosure Schedule sets forth the authorized Capital Stock of Fortis, including the number of (i) authorized and (ii) issued and outstanding shares of the following: (A) common stock, $0.0001 par value per share, including Restricted Stock (the “</w:t>
      </w:r>
      <w:r>
        <w:rPr>
          <w:rFonts w:ascii="Times New Roman" w:hAnsi="Times New Roman"/>
          <w:i/>
          <w:color w:val="000000"/>
          <w:sz w:val="20"/>
        </w:rPr>
        <w:t>Fortis Common Stock</w:t>
      </w:r>
      <w:r>
        <w:rPr>
          <w:rFonts w:ascii="Times New Roman" w:hAnsi="Times New Roman"/>
          <w:color w:val="000000"/>
          <w:sz w:val="20"/>
        </w:rPr>
        <w:t>”), and (B) Series A preferred stock, $0.0001 par value per share (the “</w:t>
      </w:r>
      <w:r>
        <w:rPr>
          <w:rFonts w:ascii="Times New Roman" w:hAnsi="Times New Roman"/>
          <w:i/>
          <w:color w:val="000000"/>
          <w:sz w:val="20"/>
        </w:rPr>
        <w:t>Fortis Preferred Stock</w:t>
      </w:r>
      <w:r>
        <w:rPr>
          <w:rFonts w:ascii="Times New Roman" w:hAnsi="Times New Roman"/>
          <w:color w:val="000000"/>
          <w:sz w:val="20"/>
        </w:rPr>
        <w:t xml:space="preserve">”). The rights, preferences, privileges and restrictions of Fortis Preferred Stock are as stated in the Constitutive Documents of Fortis. </w:t>
      </w:r>
      <w:r>
        <w:rPr>
          <w:rFonts w:ascii="Times New Roman" w:hAnsi="Times New Roman"/>
          <w:color w:val="000000"/>
          <w:sz w:val="20"/>
          <w:u w:val="single"/>
        </w:rPr>
        <w:t>Section 5.4(a)</w:t>
      </w:r>
      <w:r>
        <w:rPr>
          <w:rFonts w:ascii="Times New Roman" w:hAnsi="Times New Roman"/>
          <w:color w:val="000000"/>
          <w:sz w:val="20"/>
        </w:rPr>
        <w:t xml:space="preserve"> of the Disclosure Schedule sets forth the number of shares of Fortis Common Stock: (x) reserved for issuance under the Fortis Stock Plan, (y) subject to Fortis Stock Options currently outstanding under the Fortis Stock Plan and (z) that remain available for future issuance under the Fortis Stock Plan. The information in subclauses (c) and (d) of the defined term “</w:t>
      </w:r>
      <w:r>
        <w:rPr>
          <w:rFonts w:ascii="Times New Roman" w:hAnsi="Times New Roman"/>
          <w:i/>
          <w:color w:val="000000"/>
          <w:sz w:val="20"/>
        </w:rPr>
        <w:t>Schedule I</w:t>
      </w:r>
      <w:r>
        <w:rPr>
          <w:rFonts w:ascii="Times New Roman" w:hAnsi="Times New Roman"/>
          <w:color w:val="000000"/>
          <w:sz w:val="20"/>
        </w:rPr>
        <w:t xml:space="preserve">” (as may be updated pursuant to this Agreement prior to any applicable payment hereunder) is true, complete and correct as of the date of any payment required hereunder except for </w:t>
      </w:r>
      <w:r>
        <w:rPr>
          <w:rFonts w:ascii="Times New Roman" w:hAnsi="Times New Roman"/>
          <w:i/>
          <w:color w:val="000000"/>
          <w:sz w:val="20"/>
        </w:rPr>
        <w:t>de minimis</w:t>
      </w:r>
      <w:r>
        <w:rPr>
          <w:rFonts w:ascii="Times New Roman" w:hAnsi="Times New Roman"/>
          <w:color w:val="000000"/>
          <w:sz w:val="20"/>
        </w:rPr>
        <w:t xml:space="preserve"> inaccuracies.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Section 5.4(b)</w:t>
      </w:r>
      <w:r>
        <w:rPr>
          <w:rFonts w:ascii="Times New Roman" w:hAnsi="Times New Roman"/>
          <w:color w:val="000000"/>
          <w:sz w:val="20"/>
        </w:rPr>
        <w:t xml:space="preserve"> of the Disclosure Schedule sets forth a true, complete and accurate list of the holders of Fortis Capital Stock, showing the number of shares of such Capital Stock, and the class or series of such shares, held by each such shareholder, whether such shares are Restricted Stock (and, if so, whether such shares are subject to a valid election under Section 83(b) of the Code) and, with respect to shares other than Fortis Common Stock, the number of shares of Fortis Common Stock (if any) into which such shares are convertible. All Restricted Stock was issued in connection with the early exercise of Fortis Stock Options granted under the Fortis Stock Plan, and all obligations with respect to Taxes owed by Fortis relating to the Restricted Stock have been satisfied in full. Fortis holds no shares of Fortis Capital Stock in its treasury. All of the issued and outstanding shares of Fortis Capital Stock have been offered, issued and sold by Fortis in all material respects in compliance with all applicable federal and state securities Laws.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Other than the Fortis Capital Stock, Fortis Stock Options and Warrants set forth on the Capitalization Table, there are no outstanding options, warrants, rights (including conversion rights, preemptive rights, co-sale rights, rights of first refusal or other similar rights) or agreements for the purchase or acquisition from Fortis of any shares of Fortis Capital Stock.</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All of the outstanding shares of Fortis Capital Stock have been duly authorized and validly issued, and are fully paid and nonassessable. [*], the shares of Fortis Capital Stock owned as of the date hereof by each record holder listed on </w:t>
      </w:r>
      <w:r>
        <w:rPr>
          <w:rFonts w:ascii="Times New Roman" w:hAnsi="Times New Roman"/>
          <w:color w:val="000000"/>
          <w:sz w:val="20"/>
          <w:u w:val="single"/>
        </w:rPr>
        <w:t>Section 5.4(b)</w:t>
      </w:r>
      <w:r>
        <w:rPr>
          <w:rFonts w:ascii="Times New Roman" w:hAnsi="Times New Roman"/>
          <w:color w:val="000000"/>
          <w:sz w:val="20"/>
        </w:rPr>
        <w:t xml:space="preserve"> of the Disclosure Schedule are owned free and clear of all Liens.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Section 5.4(e)</w:t>
      </w:r>
      <w:r>
        <w:rPr>
          <w:rFonts w:ascii="Times New Roman" w:hAnsi="Times New Roman"/>
          <w:color w:val="000000"/>
          <w:sz w:val="20"/>
        </w:rPr>
        <w:t xml:space="preserve"> of the Disclosure Schedule (together with </w:t>
      </w:r>
      <w:r>
        <w:rPr>
          <w:rFonts w:ascii="Times New Roman" w:hAnsi="Times New Roman"/>
          <w:color w:val="000000"/>
          <w:sz w:val="20"/>
          <w:u w:val="single"/>
        </w:rPr>
        <w:t>Section 5.4(a)</w:t>
      </w:r>
      <w:r>
        <w:rPr>
          <w:rFonts w:ascii="Times New Roman" w:hAnsi="Times New Roman"/>
          <w:color w:val="000000"/>
          <w:sz w:val="20"/>
        </w:rPr>
        <w:t xml:space="preserve"> and </w:t>
      </w:r>
      <w:r>
        <w:rPr>
          <w:rFonts w:ascii="Times New Roman" w:hAnsi="Times New Roman"/>
          <w:color w:val="000000"/>
          <w:sz w:val="20"/>
          <w:u w:val="single"/>
        </w:rPr>
        <w:t>Section 5.4(b)</w:t>
      </w:r>
      <w:r>
        <w:rPr>
          <w:rFonts w:ascii="Times New Roman" w:hAnsi="Times New Roman"/>
          <w:color w:val="000000"/>
          <w:sz w:val="20"/>
        </w:rPr>
        <w:t xml:space="preserve"> of the Disclosure Schedule, the “</w:t>
      </w:r>
      <w:r>
        <w:rPr>
          <w:rFonts w:ascii="Times New Roman" w:hAnsi="Times New Roman"/>
          <w:i/>
          <w:color w:val="000000"/>
          <w:sz w:val="20"/>
        </w:rPr>
        <w:t>Capitalization Table</w:t>
      </w:r>
      <w:r>
        <w:rPr>
          <w:rFonts w:ascii="Times New Roman" w:hAnsi="Times New Roman"/>
          <w:color w:val="000000"/>
          <w:sz w:val="20"/>
        </w:rPr>
        <w:t xml:space="preserve">”) sets forth a true, complete and accurate list of (i) all holders of outstanding Fortis Stock Options, indicating, with respect to each Fortis Stock Option, the name of the holder thereof, the number of shares of Fortis Common Stock subject to such Fortis Stock Option, the exercise price, date of grant, and vesting schedule, including any accelerated vesting conditions, and whether such Fortis Stock Option is intended to qualify as an “incentive stock option” within the meaning of Section 422 of the Code; and (ii) all holders of outstanding Warrants, indicating, with respect to each Warrant, the number of shares of Fortis Capital Stock, and the class or series of such shares subject to such Warrant, the exercise price, the date of issuance and the expiration date thereof.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There is no outstanding Fortis Stock Option that has not been granted under the Fortis Stock Plan. Fortis has made available to FibroGen true, complete and correct copies of the Fortis Stock Plan and all Contracts evidencing Fortis Stock Options and Warrants. All of the shares of Fortis Capital Stock subject to Fortis Stock Options and Warrants will be, upon issuance pursuant to the exercise of such Contracts and the Fortis Stock Plan, duly authorized, validly issued, fully paid and nonassessable. No Fortis Stock Option is exercisable for any class or series of Fortis Capital Stock other than Fortis Common Stock. Each Fortis Stock Option (A) was granted in compliance in all material respects with all applicable Law and all terms and conditions of the Fortis Stock Plan, (B) has an exercise price per share of Fortis Common Stock equal to or greater than the fair market value of a share of Fortis Common Stock on the date of such grant, (C) is otherwise exempt from the requirements of Section 409A of the Code, and (D) has a grant date identical to the date on which the board of directors of Fortis (or the appropriate committee thereof) actually approved the Fortis Stock Option.</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None of the shares of Fortis Capital Stock have been issued in violation of any subscription, Warrant, option, call, commitment, right of first refusal, preemptive right, conversion right, Fortis Stock Option, convertible security or other similar right, or any Contract to which Fortis is subject, bound or a party or otherwise. Except for the Fortis Stock Options, Restricted Stock and Warrants set forth on the Capitalization Table, none of the shares of Fortis Capital Stock are subject to any subscription, warrant, option, call, commitment, right of first refusal, preemptive right, conversion right or other similar right under any Law, or any Contract to which Fortis is subject, bound or a party or otherwise. Fortis has no obligation (contingent or otherwise) to grant, issue or otherwise sell any subscription, warrant, option, call, commitment, right of first refusal, preemptive right, Fortis Stock Option, convertible security, “phantom” stock right or other similar right, or to grant, issue, distribute or otherwise sell to holders of any shares of its Capital Stock any evidences of Indebtedness or assets of Fortis. Fortis has no obligation (contingent or otherwise) to purchase, redeem or otherwise acquire any shares of Capital Stock, or other equity or voting interest in, Fortis or any other Person or to pay any dividend or to make any other distribution in respect of its Capital Stock. Fortis has no obligation (contingent or otherwise) to vote or dispose of any shares of its Capital Stock or other equity or voting interest. There are no outstanding or authorized stock appreciation rights, phantom stock awards or other rights that are linked in any way to the price of Fortis Common Stock or the value of Fortis or any part thereof. Except as set forth in the Capitalization Table, there are no equity securities of Fortis reserved for issuance for any purpose.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 Except as set forth in </w:t>
      </w:r>
      <w:r>
        <w:rPr>
          <w:rFonts w:ascii="Times New Roman" w:hAnsi="Times New Roman"/>
          <w:color w:val="000000"/>
          <w:sz w:val="20"/>
          <w:u w:val="single"/>
        </w:rPr>
        <w:t>Section 5.4(h)</w:t>
      </w:r>
      <w:r>
        <w:rPr>
          <w:rFonts w:ascii="Times New Roman" w:hAnsi="Times New Roman"/>
          <w:color w:val="000000"/>
          <w:sz w:val="20"/>
        </w:rPr>
        <w:t xml:space="preserve"> of the Disclosure Schedule, there is no Contract between Fortis and any holder of its securities, or, [*], among any holders of its securities, relating to the sale or transfer (including agreements relating to rights of first refusal, co</w:t>
        <w:noBreakHyphen/>
        <w:t>sale rights or “drag</w:t>
        <w:noBreakHyphen/>
        <w:t>along” rights), registration under the Securities Act, or voting, of any Fortis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There is no Indebtedness that provides its holder with the right to vote on any matters on which shareholders of Fortis may vote.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(j) Notwithstanding anything to the contrary in this </w:t>
      </w:r>
      <w:r>
        <w:rPr>
          <w:rFonts w:ascii="Times New Roman" w:hAnsi="Times New Roman"/>
          <w:color w:val="000000"/>
          <w:sz w:val="20"/>
          <w:u w:val="single"/>
        </w:rPr>
        <w:t>Section 5.4</w:t>
      </w:r>
      <w:r>
        <w:rPr>
          <w:rFonts w:ascii="Times New Roman" w:hAnsi="Times New Roman"/>
          <w:color w:val="000000"/>
          <w:sz w:val="20"/>
        </w:rPr>
        <w:t xml:space="preserve"> or otherwise in this Option Agreement, the Capitalization Table provided as </w:t>
      </w:r>
      <w:r>
        <w:rPr>
          <w:rFonts w:ascii="Times New Roman" w:hAnsi="Times New Roman"/>
          <w:color w:val="000000"/>
          <w:sz w:val="20"/>
          <w:u w:val="single"/>
        </w:rPr>
        <w:t>Section 5.4(a)</w:t>
      </w:r>
      <w:r>
        <w:rPr>
          <w:rFonts w:ascii="Times New Roman" w:hAnsi="Times New Roman"/>
          <w:color w:val="000000"/>
          <w:sz w:val="20"/>
        </w:rPr>
        <w:t xml:space="preserve">, </w:t>
      </w:r>
      <w:r>
        <w:rPr>
          <w:rFonts w:ascii="Times New Roman" w:hAnsi="Times New Roman"/>
          <w:color w:val="000000"/>
          <w:sz w:val="20"/>
          <w:u w:val="single"/>
        </w:rPr>
        <w:t>Section 5.4(b)</w:t>
      </w:r>
      <w:r>
        <w:rPr>
          <w:rFonts w:ascii="Times New Roman" w:hAnsi="Times New Roman"/>
          <w:color w:val="000000"/>
          <w:sz w:val="20"/>
        </w:rPr>
        <w:t xml:space="preserve"> and </w:t>
      </w:r>
      <w:r>
        <w:rPr>
          <w:rFonts w:ascii="Times New Roman" w:hAnsi="Times New Roman"/>
          <w:color w:val="000000"/>
          <w:sz w:val="20"/>
          <w:u w:val="single"/>
        </w:rPr>
        <w:t>Section 5.4(e)</w:t>
      </w:r>
      <w:r>
        <w:rPr>
          <w:rFonts w:ascii="Times New Roman" w:hAnsi="Times New Roman"/>
          <w:color w:val="000000"/>
          <w:sz w:val="20"/>
        </w:rPr>
        <w:t xml:space="preserve"> of the Disclosure Schedule and any representations and warranties that reference the Capitalization Table or </w:t>
      </w:r>
      <w:r>
        <w:rPr>
          <w:rFonts w:ascii="Times New Roman" w:hAnsi="Times New Roman"/>
          <w:color w:val="000000"/>
          <w:sz w:val="20"/>
          <w:u w:val="single"/>
        </w:rPr>
        <w:t>Section 5.4(a)</w:t>
      </w:r>
      <w:r>
        <w:rPr>
          <w:rFonts w:ascii="Times New Roman" w:hAnsi="Times New Roman"/>
          <w:color w:val="000000"/>
          <w:sz w:val="20"/>
        </w:rPr>
        <w:t xml:space="preserve">, </w:t>
      </w:r>
      <w:r>
        <w:rPr>
          <w:rFonts w:ascii="Times New Roman" w:hAnsi="Times New Roman"/>
          <w:color w:val="000000"/>
          <w:sz w:val="20"/>
          <w:u w:val="single"/>
        </w:rPr>
        <w:t>Section 5.4(b)</w:t>
      </w:r>
      <w:r>
        <w:rPr>
          <w:rFonts w:ascii="Times New Roman" w:hAnsi="Times New Roman"/>
          <w:color w:val="000000"/>
          <w:sz w:val="20"/>
        </w:rPr>
        <w:t xml:space="preserve"> and </w:t>
      </w:r>
      <w:r>
        <w:rPr>
          <w:rFonts w:ascii="Times New Roman" w:hAnsi="Times New Roman"/>
          <w:color w:val="000000"/>
          <w:sz w:val="20"/>
          <w:u w:val="single"/>
        </w:rPr>
        <w:t>Section 5.4(e)</w:t>
      </w:r>
      <w:r>
        <w:rPr>
          <w:rFonts w:ascii="Times New Roman" w:hAnsi="Times New Roman"/>
          <w:color w:val="000000"/>
          <w:sz w:val="20"/>
        </w:rPr>
        <w:t xml:space="preserve"> of the Disclosure Schedule shall be true, complete and accurate as of the date hereof (and the representations and warranties with respect to the Capitalization Table provided in the Disclosure Schedule are made solely as of the date hereof), and the Capitalization Table provided as </w:t>
      </w:r>
      <w:r>
        <w:rPr>
          <w:rFonts w:ascii="Times New Roman" w:hAnsi="Times New Roman"/>
          <w:color w:val="000000"/>
          <w:sz w:val="20"/>
          <w:u w:val="single"/>
        </w:rPr>
        <w:t>Section 5.4(b)</w:t>
      </w:r>
      <w:r>
        <w:rPr>
          <w:rFonts w:ascii="Times New Roman" w:hAnsi="Times New Roman"/>
          <w:color w:val="000000"/>
          <w:sz w:val="20"/>
        </w:rPr>
        <w:t xml:space="preserve"> and </w:t>
      </w:r>
      <w:r>
        <w:rPr>
          <w:rFonts w:ascii="Times New Roman" w:hAnsi="Times New Roman"/>
          <w:color w:val="000000"/>
          <w:sz w:val="20"/>
          <w:u w:val="single"/>
        </w:rPr>
        <w:t>Section 5.4(e)</w:t>
      </w:r>
      <w:r>
        <w:rPr>
          <w:rFonts w:ascii="Times New Roman" w:hAnsi="Times New Roman"/>
          <w:color w:val="000000"/>
          <w:sz w:val="20"/>
        </w:rPr>
        <w:t xml:space="preserve"> of the Updated Disclosure Schedule shall be true, complete and accurate as of the Closing Date (and the representations and warranties with respect to the Capitalization Table provided in the Updated Disclosure Schedule are made solely as of the Closing Date).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5.5. </w:t>
      </w:r>
      <w:r>
        <w:rPr>
          <w:rFonts w:ascii="Times New Roman" w:hAnsi="Times New Roman"/>
          <w:color w:val="000000"/>
          <w:sz w:val="20"/>
          <w:u w:val="single"/>
        </w:rPr>
        <w:t>Noncontravention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execution and delivery by Fortis of this Option Agreement, the consummation of the Merger and the other transactions contemplated hereunder and the compliance by Fortis with the provisions of this Option Agreement, do not and will not conflict with, or result in any violation or breach of, or default (with or without notice or lapse of time or both) under, or give rise to a right of, or result in, termination, cancellation or acceleration of any obligation or to a loss of a material benefit under, or result in the creation of any Lien in or upon any of the properties or assets of Fortis under, or give rise to any increased, additional, accelerated or guaranteed rights or entitlements under, any provision of (i) the Constitutive Documents of Fortis, (ii) any Material Contract, or (iii) any Law or Judgment applicable to Fortis or its assets or properties, except in the case of clauses (ii) and (iii), where such violation, breach, conflict, default, termination, cancellation, acceleration, loss of material benefit, creation of a Lien, or increased, additional accelerated or guaranteed right or entitlement does not constitute a Material Adverse Change and that individually or in the aggregate are not likely to impair in any material respect the ability of Fortis to perform its obligations under this Option Agreement or any agreement contemplated by this Option Agreement, or prevent or materially impede or delay the consummation of the Merger or any of the other transactions contemplated hereunder.</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No consent, approval, qualification, order or authorization of, registration, declaration or filing with, or notice to, any Governmental Entity is necessary or required by Fortis in connection with the execution and delivery by Fortis of this Option Agreement, the consummation by Fortis of the Merger and the other transactions contemplated by this Option Agreement or the compliance by Fortis with the provisions of this Option Agreement, except for (i) if applicable, the filing of a premerger notification and report form under the HSR Act, and the receipt, termination or expiration, as applicable, of approvals or waiting periods required under the HSR Act or any other applicable competition, merger control, antitrust or similar Law; (ii) the filing of the Certificate of Merger with the office of the Secretary of State of the State of Delaware and appropriate documents with the relevant authorities of other states in which Fortis is qualified to do business and (iii) such other consents, approvals, orders, authorizations, registrations, declarations, filings and notices, the failure of which to be obtained or made individually or in the aggregate would not impair in any material respect the ability of Fortis to perform its obligations under this Option Agreement or any agreement contemplated by this Option Agreement or prevent or materially impede or delay the consummation of the Merger or any of the other transactions contemplated hereunder.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5.6. </w:t>
      </w:r>
      <w:r>
        <w:rPr>
          <w:rFonts w:ascii="Times New Roman" w:hAnsi="Times New Roman"/>
          <w:color w:val="000000"/>
          <w:sz w:val="20"/>
          <w:u w:val="single"/>
        </w:rPr>
        <w:t>Compliance with Laws; Regulatory Matters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Fortis is, and in the [*] has been, in material compliance with all applicable Laws and Judgments of any Governmental Entity applicable to it or to the conduct by Fortis of its business, or the ownership or use of any of its assets and properties. Fortis has not received, since its incorporation, a written or, to its knowledge, oral notice or communication alleging a possible material violation by Fortis of any applicable Law or Judgment of any Governmental Entity applicable to its businesses or operations.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Products at all times have been developed, tested, labeled, manufactured, and stored, as applicable, by or on behalf of Fortis in compliance in all material respects with all applicable Laws in the U.S., including the FFDCA or any regulations adopted thereunder by any Regulatory Entity (including, as applicable, those requirements relating to the FDA’s current GMP, GLP, and GCP), and, with respect to any activities conducted in the EU, the EMA. Fortis has generated, prepared, maintained and retained all material information, data and biological materials that are required to be generated, prepared, maintained or retained by Fortis with respect to Products pursuant to, and in accordance in all material respects with, GCP, GLP, GMP and other applicable Laws. Fortis has not received written or, [*], oral notice of any pending or threatened Action from the FDA or any other Regulatory Entity alleging that any operation or activity of Fortis is in violation of the FFDCA or any analogous applicable Laws promulgated by applicable Governmental Entities outside the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Fortis has made available to FibroGen a true, complete and correct copy of all material Regulatory Materials submitted to any Regulatory Entity by Fortis or in Fortis’ possession. All Regulatory Materials submitted to any Regulatory Entity by Fortis were true and accurate in all material respects as of the date of submission to such Regulatory Entity.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To the extent required by applicable Laws, all preclinical studies and tests and Clinical Trials conducted by Fortis with respect to Products have been, and if still pending are being, conducted in material compliance with research protocols, GLP, GCP, and all applicable Laws in the U.S., including the FFDCA (or any regulations adopted thereunder), and, with respect to any activities conducted in the EU, the EMA. [*], all preclinical studies and tests and Clinical Trials conducted on behalf of Fortis with respect to Products have been, or if pending, are being conducted in material compliance with research protocols, GLP, GCP, and all applicable Laws in the U.S., including the FFDCA (or any regulations adopted thereunder), and, with respect to any activities conducted in the EU, the EMA. No preclinical study or test or Clinical Trial conducted by or on behalf of Fortis with respect to Products has been terminated or suspended prior to completion, and no Regulatory Entity or clinical investigator that has participated or is participating in, or institutional review board that has or has had jurisdiction over, a preclinical study or test or Clinical Trial conducted by or on behalf of Fortis with respect to Products has commenced, or, [*], threatened to initiate, any action to place a clinical hold order on, or otherwise terminate or suspend or refuse to commence, any proposed or ongoing investigation or study or Clinical Trial conducted or proposed to be conducted by or on behalf of Fortis with respect to Products.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Fortis has not received any written notice that any Regulatory Entity, or any relevant institutional review board, independent ethics committee or any other similar body has initiated, or threatened to initiate, any action to (i) suspend any Clinical Trial conducted by or on behalf of Fortis, or suspend or terminate any IND sponsored by Fortis or otherwise restrict or delay the preclinical or nonclinical research on or clinical study, in each case, of any Product, or (ii) recall, suspend or otherwise restrict the manufacture of any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Fortis has not received any written notice that any relevant institutional review board or independent ethics committee has refused to approve (i) any Clinical Trial conducted or proposed to be conducted by or on behalf of Fortis or (ii) any substantial amendment to a protocol for any Clinical Trial conducted or proposed to be conducted by or on behalf of Fortis, in each case with respect to any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Fortis is not subject to any investigation that is pending and of which Fortis has been notified in writing or, [*], which has been threatened, in each case by (i) the FDA or (ii) the Department of Health and Human Services Office of Inspector General or Department of Justice pursuant to the Federal Healthcare Program Anti-Kickback Statute (42 U.S.C. §1320a-7b(b)) or the Federal False Claims Act (31 U.S.C. §3729).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Fortis has complied in all material respects with all applicable security and privacy standards regarding protected health information relating to the Products under (i) the Health Insurance Portability and Accountability Act of 1996, as amended by the Health Information Technology for Economic and Clinical Health Act of 2009, including the regulations promulgated thereunder and (ii) any applicable state privacy 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All manufacturing operations conducted by or for the benefit of Fortis with respect to the Products have been and are being conducted in material compliance with applicable Laws, including, to the extent applicable, GMP.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Neither Fortis nor, [*], any Fortis Personnel or Affiliate has committed any act, made any statement or failed to make any statement that would reasonably be expected to provide a basis for the FDA or any other Regulatory Entity to invoke its policy with respect to “Fraud, Untrue Statements of Material Facts, Bribery, and Illegal Gratuities” or any such similar policies set forth in any applicable Laws. Neither Fortis nor, [*], any Fortis Personnel has been convicted of any crime or engaged in any conduct that has resulted, or would reasonably be expected to result, in debarment or exclusion under applicable Laws, including 21 U.S.C. §335a and 42 U.S.C. §1320a-7. No Actions that would reasonably be expected to result in such a debarment or exclusion of Fortis are pending or, [*], threatened, against Fortis or, [*], any Fortis Personnel.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 There are no Actions pending with respect to which Fortis has been served and, [*], there are no other Actions pending, in each case, with respect to an alleged violation by Fortis of the FFDCA (or any regulations adopted thereunder), the Controlled Substances Act of 1970, as amended, or any other applicable Laws promulgated by any Regulatory Entity that applies to the regulatory status of any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(l) Fortis has not received any warning letter or untitled letter, report of inspectional observations, including FDA Form 483s, establishment inspection reports, notices of violation, clinical holds, enforcement notices or other documents from any Regulatory Entity, or any institutional review board, independent ethics committee or similar body, alleging a lack of compliance by Fortis with any applicable Laws.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 Fortis has not marketed, advertised, distributed, sold, or commercialized any Product.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 Fortis has made available to FibroGen all material written preclinical, clinical and other experimental data in Fortis’ possession relating to Products or the exploitation thereof relating to activities performed by or on behalf of Fortis, and has not concealed or withheld from FibroGen any such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 [*], there are no safety, efficacy, or regulatory issues, other than the information that has previously been made available to FibroGen, that would preclude FibroGen or the Surviving Corporation from exploiting the Products in compliance with applicable Laws.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5.7. </w:t>
      </w:r>
      <w:r>
        <w:rPr>
          <w:rFonts w:ascii="Times New Roman" w:hAnsi="Times New Roman"/>
          <w:color w:val="000000"/>
          <w:sz w:val="20"/>
          <w:u w:val="single"/>
        </w:rPr>
        <w:t>Permits</w:t>
      </w:r>
      <w:r>
        <w:rPr>
          <w:rFonts w:ascii="Times New Roman" w:hAnsi="Times New Roman"/>
          <w:color w:val="000000"/>
          <w:sz w:val="20"/>
        </w:rPr>
        <w:t xml:space="preserve">. Fortis validly holds and has in full force and effect all material Permits necessary for it to own, lease or operate its assets and properties and to carry on its businesses as now conducted, and there has occurred no violation of, or default (with or without notice or lapse of time or both) under, or event giving to any Governmental Entity any right of termination, amendment or cancellation of, any such Permit, except where such violation, default or event would not, individually or in the aggregate, reasonably expected to be material to Fortis. Fortis has complied in all material respects with the terms and conditions of all material Permits issued to or held by Fortis. No Action is pending or, [*], threatened seeking the revocation or limitation of any material Permit issued to or held by Fortis. </w:t>
      </w:r>
      <w:r>
        <w:rPr>
          <w:rFonts w:ascii="Times New Roman" w:hAnsi="Times New Roman"/>
          <w:color w:val="000000"/>
          <w:sz w:val="20"/>
          <w:u w:val="single"/>
        </w:rPr>
        <w:t>Section 5.7</w:t>
      </w:r>
      <w:r>
        <w:rPr>
          <w:rFonts w:ascii="Times New Roman" w:hAnsi="Times New Roman"/>
          <w:color w:val="000000"/>
          <w:sz w:val="20"/>
        </w:rPr>
        <w:t xml:space="preserve"> of the Disclosure Schedule lists each material Permit issued or granted to or held by Fortis, true, complete and correct copies of which have been made available to FibroGen. All of the Permits listed on </w:t>
      </w:r>
      <w:r>
        <w:rPr>
          <w:rFonts w:ascii="Times New Roman" w:hAnsi="Times New Roman"/>
          <w:color w:val="000000"/>
          <w:sz w:val="20"/>
          <w:u w:val="single"/>
        </w:rPr>
        <w:t>Section 5.7</w:t>
      </w:r>
      <w:r>
        <w:rPr>
          <w:rFonts w:ascii="Times New Roman" w:hAnsi="Times New Roman"/>
          <w:color w:val="000000"/>
          <w:sz w:val="20"/>
        </w:rPr>
        <w:t xml:space="preserve"> of the Disclosure Schedule are held in the name of Fortis, and none are held in the name of any Fortis Personnel or agent or otherwise on behalf of Fortis.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5.8. </w:t>
      </w:r>
      <w:r>
        <w:rPr>
          <w:rFonts w:ascii="Times New Roman" w:hAnsi="Times New Roman"/>
          <w:color w:val="000000"/>
          <w:sz w:val="20"/>
          <w:u w:val="single"/>
        </w:rPr>
        <w:t>Financial Statements</w:t>
      </w:r>
      <w:r>
        <w:rPr>
          <w:rFonts w:ascii="Times New Roman" w:hAnsi="Times New Roman"/>
          <w:color w:val="000000"/>
          <w:sz w:val="20"/>
        </w:rPr>
        <w:t xml:space="preserve">. </w:t>
      </w:r>
      <w:r>
        <w:rPr>
          <w:rFonts w:ascii="Times New Roman" w:hAnsi="Times New Roman"/>
          <w:color w:val="000000"/>
          <w:sz w:val="20"/>
          <w:u w:val="single"/>
        </w:rPr>
        <w:t>Section 5.8</w:t>
      </w:r>
      <w:r>
        <w:rPr>
          <w:rFonts w:ascii="Times New Roman" w:hAnsi="Times New Roman"/>
          <w:color w:val="000000"/>
          <w:sz w:val="20"/>
        </w:rPr>
        <w:t xml:space="preserve"> of the Disclosure Schedule sets forth (i) the unaudited balance sheet as of the most recent fiscal year end of Fortis, together with the statement of operations and cash flows of Fortis for such fiscal year, and (ii) the unaudited balance sheet as of [*] (such date, the “</w:t>
      </w:r>
      <w:r>
        <w:rPr>
          <w:rFonts w:ascii="Times New Roman" w:hAnsi="Times New Roman"/>
          <w:i/>
          <w:color w:val="000000"/>
          <w:sz w:val="20"/>
        </w:rPr>
        <w:t>Most Recent Balance Sheet Date</w:t>
      </w:r>
      <w:r>
        <w:rPr>
          <w:rFonts w:ascii="Times New Roman" w:hAnsi="Times New Roman"/>
          <w:color w:val="000000"/>
          <w:sz w:val="20"/>
        </w:rPr>
        <w:t>”), together with the statement of operations and cash flows of Fortis for the [*] (the statements referred to in clauses (i) and (ii), together with the SEC Financials, if any, being referred to collectively as the “</w:t>
      </w:r>
      <w:r>
        <w:rPr>
          <w:rFonts w:ascii="Times New Roman" w:hAnsi="Times New Roman"/>
          <w:i/>
          <w:color w:val="000000"/>
          <w:sz w:val="20"/>
        </w:rPr>
        <w:t>Financial Statements</w:t>
      </w:r>
      <w:r>
        <w:rPr>
          <w:rFonts w:ascii="Times New Roman" w:hAnsi="Times New Roman"/>
          <w:color w:val="000000"/>
          <w:sz w:val="20"/>
        </w:rPr>
        <w:t xml:space="preserve">”). The Financial Statements (and the Updated Financial Statements delivered to FibroGen following the date of this Option Agreement pursuant to </w:t>
      </w:r>
      <w:r>
        <w:rPr>
          <w:rFonts w:ascii="Times New Roman" w:hAnsi="Times New Roman"/>
          <w:color w:val="000000"/>
          <w:sz w:val="20"/>
          <w:u w:val="single"/>
        </w:rPr>
        <w:t>Section 3.1(c)</w:t>
      </w:r>
      <w:r>
        <w:rPr>
          <w:rFonts w:ascii="Times New Roman" w:hAnsi="Times New Roman"/>
          <w:color w:val="000000"/>
          <w:sz w:val="20"/>
        </w:rPr>
        <w:t xml:space="preserve"> will) (x) have been prepared from the books and records of Fortis and are consistent with the books and records of Fortis, (y) have been prepared in accordance with GAAP, consistently followed throughout the periods indicated, and with respect to the SEC Financials, if any, in accordance with Regulation S-X, and (z) present fairly, in all material respects, the financial condition, results of operation, stockholders’ equity and cash flows of Fortis as of the respective dates thereof and for the periods referred to therein, except for the absence of footnotes and immaterial year-end adjustments.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5.9. </w:t>
      </w:r>
      <w:r>
        <w:rPr>
          <w:rFonts w:ascii="Times New Roman" w:hAnsi="Times New Roman"/>
          <w:color w:val="000000"/>
          <w:sz w:val="20"/>
          <w:u w:val="single"/>
        </w:rPr>
        <w:t>Absence of Changes or Events</w:t>
      </w:r>
      <w:r>
        <w:rPr>
          <w:rFonts w:ascii="Times New Roman" w:hAnsi="Times New Roman"/>
          <w:color w:val="000000"/>
          <w:sz w:val="20"/>
        </w:rPr>
        <w:t xml:space="preserve">. Except as expressly contemplated by this Option Agreement, since the Most Recent Balance Sheet Date and through the date hereof, (a) there has occurred no Material Adverse Change and (b) Fortis has not taken any actions that, if taken after the date of this Option Agreement, would constitute a material breach of any of the covenants set forth in </w:t>
      </w:r>
      <w:r>
        <w:rPr>
          <w:rFonts w:ascii="Times New Roman" w:hAnsi="Times New Roman"/>
          <w:color w:val="000000"/>
          <w:sz w:val="20"/>
          <w:u w:val="single"/>
        </w:rPr>
        <w:t>Section 7.1</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5.10. </w:t>
      </w:r>
      <w:r>
        <w:rPr>
          <w:rFonts w:ascii="Times New Roman" w:hAnsi="Times New Roman"/>
          <w:color w:val="000000"/>
          <w:sz w:val="20"/>
          <w:u w:val="single"/>
        </w:rPr>
        <w:t>Undisclosed Liabilities</w:t>
      </w:r>
      <w:r>
        <w:rPr>
          <w:rFonts w:ascii="Times New Roman" w:hAnsi="Times New Roman"/>
          <w:color w:val="000000"/>
          <w:sz w:val="20"/>
        </w:rPr>
        <w:t>. Fortis has no Liabilities, except for such Liabilities (a) set forth or adequately provided for in the balance sheet in the Financial Statements or, as of the Closing Date, the Updated Financial Statements, (b) that have been incurred in the Ordinary Course of Business since the Most Recent Balance Sheet Date or, as of the Closing Date, the most recent Updated Financial Statements delivered to FibroGen, and which are not material in amount, (c) set forth in Contracts and are to be performed following the date hereof, other than obligations due to any breaches or non-performance thereunder or for indemnification for pre-Closing acts or omissions, (d) liabilities that are not individually or in the aggregate material to Fortis as a whole, or (e) that have been incurred pursuant to or in connection with the execution, delivery or performance of this Option Agreement and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5.11. </w:t>
      </w:r>
      <w:r>
        <w:rPr>
          <w:rFonts w:ascii="Times New Roman" w:hAnsi="Times New Roman"/>
          <w:color w:val="000000"/>
          <w:sz w:val="20"/>
          <w:u w:val="single"/>
        </w:rPr>
        <w:t>Assets; Personal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Fortis is the true and lawful owner and has good and valid title to all tangible assets reflected on the Most Recent Balance Sheet or thereafter acquired except those sold or otherwise disposed of or consumed in the Ordinary Course of Business since the Most Recent Balance Sheet Date and not in violation of this Option Agreement, in each case, free and clear of all Liens, other than Permitted Liens. Fortis’ representations and warranties under this </w:t>
      </w:r>
      <w:r>
        <w:rPr>
          <w:rFonts w:ascii="Times New Roman" w:hAnsi="Times New Roman"/>
          <w:color w:val="000000"/>
          <w:sz w:val="20"/>
          <w:u w:val="single"/>
        </w:rPr>
        <w:t>Section 5.11</w:t>
      </w:r>
      <w:r>
        <w:rPr>
          <w:rFonts w:ascii="Times New Roman" w:hAnsi="Times New Roman"/>
          <w:color w:val="000000"/>
          <w:sz w:val="20"/>
        </w:rPr>
        <w:t xml:space="preserve"> are not made with respect to matters relating to Intellectual Property, which are covered by </w:t>
      </w:r>
      <w:r>
        <w:rPr>
          <w:rFonts w:ascii="Times New Roman" w:hAnsi="Times New Roman"/>
          <w:color w:val="000000"/>
          <w:sz w:val="20"/>
          <w:u w:val="single"/>
        </w:rPr>
        <w:t>Section 5.14</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Section 5.11(b)</w:t>
      </w:r>
      <w:r>
        <w:rPr>
          <w:rFonts w:ascii="Times New Roman" w:hAnsi="Times New Roman"/>
          <w:color w:val="000000"/>
          <w:sz w:val="20"/>
        </w:rPr>
        <w:t xml:space="preserve"> of the Disclosure Schedule sets forth any Contract pursuant to which Fortis leases personal property as lessee or lessor (the “</w:t>
      </w:r>
      <w:r>
        <w:rPr>
          <w:rFonts w:ascii="Times New Roman" w:hAnsi="Times New Roman"/>
          <w:i/>
          <w:color w:val="000000"/>
          <w:sz w:val="20"/>
        </w:rPr>
        <w:t>Personal Property Leases</w:t>
      </w:r>
      <w:r>
        <w:rPr>
          <w:rFonts w:ascii="Times New Roman" w:hAnsi="Times New Roman"/>
          <w:color w:val="000000"/>
          <w:sz w:val="20"/>
        </w:rPr>
        <w:t>”). Fortis has (i) good, valid and marketable title to all of the personal property purported to be owned by Fortis, and (ii) valid leasehold interests in all personal property purported to be leased by it, in each case of clauses (i) and (ii), free and clear of all Liens, other than Permitted Liens. Fortis enjoys peaceful and undisturbed possession under all Personal Property Leases. All personal property owned or leased by Fortis is maintained in good operating condition, reasonable wear and tear excepted, for the purposes for which it is currently being used. Fortis has provided to FibroGen true and accurate copies of all Personal Property Leases.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5.12. </w:t>
      </w:r>
      <w:r>
        <w:rPr>
          <w:rFonts w:ascii="Times New Roman" w:hAnsi="Times New Roman"/>
          <w:color w:val="000000"/>
          <w:sz w:val="20"/>
          <w:u w:val="single"/>
        </w:rPr>
        <w:t>Real Property</w:t>
      </w:r>
      <w:r>
        <w:rPr>
          <w:rFonts w:ascii="Times New Roman" w:hAnsi="Times New Roman"/>
          <w:color w:val="000000"/>
          <w:sz w:val="20"/>
        </w:rPr>
        <w:t>. Fortis owns no fee title to real property. Fortis does not currently lease any real property.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5.13. </w:t>
      </w:r>
      <w:r>
        <w:rPr>
          <w:rFonts w:ascii="Times New Roman" w:hAnsi="Times New Roman"/>
          <w:color w:val="000000"/>
          <w:sz w:val="20"/>
          <w:u w:val="single"/>
        </w:rPr>
        <w:t>Contracts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5.13(a)</w:t>
      </w:r>
      <w:r>
        <w:rPr>
          <w:rFonts w:ascii="Times New Roman" w:hAnsi="Times New Roman"/>
          <w:color w:val="000000"/>
          <w:sz w:val="20"/>
        </w:rPr>
        <w:t xml:space="preserve"> of the Disclosure Schedule lists the following Contracts that are in effect and to which Fortis is a party or to which it, or any of its assets and properties, is bound (each such Contract, a “</w:t>
      </w:r>
      <w:r>
        <w:rPr>
          <w:rFonts w:ascii="Times New Roman" w:hAnsi="Times New Roman"/>
          <w:i/>
          <w:color w:val="000000"/>
          <w:sz w:val="20"/>
        </w:rPr>
        <w:t>Material Contract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(A) employment, individual independent contractor or consulting Contracts with any current employee, independent contractor or consultant (other than any such Contracts with any Fortis Personnel whose annual compensation in connection with services provided to Fortis by such Fortis Personnel does not exceed [*] and that may be terminated by Fortis at-will without notice or the payment of any severance or termination payments or other material Liability to Fortis) and (B) collective bargaining agreements or other Contracts with any Union;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Contracts that limit the freedom of Fortis to compete in any line of business or geographic or therapeutic area or otherwise restricting the research, development, manufacture, marketing, distribution, sale, supply, license or marketing of the products and services that Fortis currently plans to develop, or to make use of any of the Intellectual Property rights of Fortis after the Closing Date, other than non-disclosure Contracts entered into in the Ordinary Course of Business or in connection with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Contracts containing any “non-solicitation” or “no-hire” provision that restricts Fortis, other than vendor Contracts entered into in the Ordinary Course of Business with standard service provider non-solicitation provisions;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Contracts with or involving any current or former holder of Fortis Capital Stock (other than Contracts with respect to the issuance of Fortis Capital Stock, including any stock option or equity award agreements with Fortis Personnel);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Personal Property Leases providing for lease payments in excess of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 Contracts for the purchase or sale of products or the furnishing or receipt of services (A) calling for performance over a period of more than [*], (B) requiring or otherwise involving payment by or to Fortis of more than [*], to the extent the Contract is not terminable without penalty on [*] or shorter notice, (C) in which Fortis has granted manufacturing rights, “most favored nation” pricing provisions or marketing or distribution rights relating to any products or territory or (D) in which Fortis has agreed to purchase a minimum quantity of goods or services or has agreed to purchase goods or services exclusively from a certain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 Contracts (or letters of intent) involving the disposition or acquisition of any product line, business or significant portion of the assets, properties or business of Fortis, or any merger, consolidation or similar business combination transaction, whether or not enforceable;</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 Contracts relating to capital expenditures in excess of [*] or other purchases of material, supplies, equipment or other assets or properties (other than purchase orders for inventory or supplies in the Ordinary Course of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(ix) Contracts for any joint venture, partnership, joint product development, strategic alliance or co-marketing arrangement;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 Contracts granting a third party any license or sublicense to any Fortis Intellectual Property, or pursuant to which Fortis has been granted by a third party any license or sublicense to any Intellectual Property, or any other license, sublicense, option or other Contract relating in whole or in part to Fortis Intellectual Property or the Intellectual Property of any other Person, except, in each case, for standard end-user, internal use software licenses for the use of commercial “shrink-wrapped” software or Off-the-Shelf Software, non-disclosure agreements, Invention Assignment Agreements or Contracts that include non-exclusive rights or licenses granted to Fortis that are ancillary to Fortis’s purchase or use of commercially available equipment, reagents, or materials, in each case entered into in the Ordinary Course of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 Contracts to which Fortis is a party as of the date hereof relating to Clinical Trials in respect of products (including Products) of Fortis or any Subsidiary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(xii) Contracts setting forth any right of first refusal, right of first negotiation or right of first offer in favor of a party other than Fortis;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(xiii) any agency, dealer, sales representative, distribution, marketing or other similar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(xiv) Contracts under which Fortis has borrowed (or may borrow) any money from, or issued (or may issue) any note, bond, debenture or other evidence of indebtedness for borrowed money, to any Person (other than trade debt incurred in the Ordinary Course of Business, payments or benefits owed to employees, independent contractors or consultants);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(xv) Contracts (including so-called take-or-pay or keepwell agreements) under which (A) any Person has directly or indirectly guaranteed or assumed Indebtedness or Liabilities of Fortis or (B) Fortis has directly or indirectly guaranteed or assumed Indebtedness or Liabilities of any Person (in each case, other than endorsements for the purposes of collection in the Ordinary Course of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(xvi) Contracts under which Fortis has made or will make, directly or indirectly, any advance, loan, extension of credit or capital contribution to, or other investment in, any Person (other than Fortis) or any Contracts relating to the making of any such advance, loan, extension of credit, capital contribution or other investment;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(xvii) Contracts involving any resolution or settlement of any material 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(xviii) any Contracts containing any covenant not to sue, concurrent use agreement, settlement agreement, pre-rights declarations, co-existence agreement or other consent with respect to Fortis Intellectual Property;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(xix) Contracts providing that Fortis or any Fortis Personnel maintain the confidentiality of any information, or providing for any Person to maintain the confidentiality of any information material to Fortis, in each case, other than entered into in the Ordinary Course of Business;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 any other Contracts involving future payments by Fortis in the [*] in excess of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Each Material Contract is in full force and effect, and is valid and binding and Enforceable in accordance with its terms against Fortis and, [*], the other parties thereto. A true, correct and complete copy of each written Material Contract has been made available to FibroGen. There is no material violation, breach (including, [*], anticipatory breach) or default under any Material Contract by Fortis or, [*], by any other party thereto, and Fortis has not received or given written notice of any material default on the part of any party in the performance or payment of any Material Contract.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5.14.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Scheduled Intellectual Property</w:t>
      </w:r>
      <w:r>
        <w:rPr>
          <w:rFonts w:ascii="Times New Roman" w:hAnsi="Times New Roman"/>
          <w:color w:val="000000"/>
          <w:sz w:val="20"/>
        </w:rPr>
        <w:t xml:space="preserve">. </w:t>
      </w:r>
      <w:r>
        <w:rPr>
          <w:rFonts w:ascii="Times New Roman" w:hAnsi="Times New Roman"/>
          <w:color w:val="000000"/>
          <w:sz w:val="20"/>
          <w:u w:val="single"/>
        </w:rPr>
        <w:t>Section 5.14(a)</w:t>
      </w:r>
      <w:r>
        <w:rPr>
          <w:rFonts w:ascii="Times New Roman" w:hAnsi="Times New Roman"/>
          <w:color w:val="000000"/>
          <w:sz w:val="20"/>
        </w:rPr>
        <w:t xml:space="preserve"> of the Disclosure Schedule identifies all patents, patent applications, registered trademarks and copyrights, applications for trademark and copyright registrations, domain names, registered design rights, and other forms of registered Intellectual Property and applications therefor, owned by or exclusively licensed to Fortis (collectively, the “</w:t>
      </w:r>
      <w:r>
        <w:rPr>
          <w:rFonts w:ascii="Times New Roman" w:hAnsi="Times New Roman"/>
          <w:i/>
          <w:color w:val="000000"/>
          <w:sz w:val="20"/>
        </w:rPr>
        <w:t>Fortis Registrations</w:t>
      </w:r>
      <w:r>
        <w:rPr>
          <w:rFonts w:ascii="Times New Roman" w:hAnsi="Times New Roman"/>
          <w:color w:val="000000"/>
          <w:sz w:val="20"/>
        </w:rPr>
        <w:t xml:space="preserve">”). </w:t>
      </w:r>
      <w:r>
        <w:rPr>
          <w:rFonts w:ascii="Times New Roman" w:hAnsi="Times New Roman"/>
          <w:color w:val="000000"/>
          <w:sz w:val="20"/>
          <w:u w:val="single"/>
        </w:rPr>
        <w:t>Section 5.14(a)</w:t>
      </w:r>
      <w:r>
        <w:rPr>
          <w:rFonts w:ascii="Times New Roman" w:hAnsi="Times New Roman"/>
          <w:color w:val="000000"/>
          <w:sz w:val="20"/>
        </w:rPr>
        <w:t xml:space="preserve"> of the Disclosure Schedule also identifies each proprietary software program, each social media account and handles, each trade name, each unregistered trademark, service mark, or trade dress, and each unregistered copyright owned by or exclusively licensed to Fortis that, in each case, is material to the Business. For purposes of this Option Agreement, all items listed on </w:t>
      </w:r>
      <w:r>
        <w:rPr>
          <w:rFonts w:ascii="Times New Roman" w:hAnsi="Times New Roman"/>
          <w:color w:val="000000"/>
          <w:sz w:val="20"/>
          <w:u w:val="single"/>
        </w:rPr>
        <w:t>Section 5.14(a)</w:t>
      </w:r>
      <w:r>
        <w:rPr>
          <w:rFonts w:ascii="Times New Roman" w:hAnsi="Times New Roman"/>
          <w:color w:val="000000"/>
          <w:sz w:val="20"/>
        </w:rPr>
        <w:t xml:space="preserve"> of the Disclosure Schedule shall be called “</w:t>
      </w:r>
      <w:r>
        <w:rPr>
          <w:rFonts w:ascii="Times New Roman" w:hAnsi="Times New Roman"/>
          <w:i/>
          <w:color w:val="000000"/>
          <w:sz w:val="20"/>
        </w:rPr>
        <w:t>Scheduled Intellectual Property</w:t>
      </w:r>
      <w:r>
        <w:rPr>
          <w:rFonts w:ascii="Times New Roman" w:hAnsi="Times New Roman"/>
          <w:color w:val="000000"/>
          <w:sz w:val="20"/>
        </w:rPr>
        <w:t xml:space="preserve">”. </w:t>
      </w:r>
      <w:r>
        <w:rPr>
          <w:rFonts w:ascii="Times New Roman" w:hAnsi="Times New Roman"/>
          <w:color w:val="000000"/>
          <w:sz w:val="20"/>
          <w:u w:val="single"/>
        </w:rPr>
        <w:t>Section 5.14(a)</w:t>
      </w:r>
      <w:r>
        <w:rPr>
          <w:rFonts w:ascii="Times New Roman" w:hAnsi="Times New Roman"/>
          <w:color w:val="000000"/>
          <w:sz w:val="20"/>
        </w:rPr>
        <w:t xml:space="preserve"> of the Disclosure Schedule specifically identifies those items of Scheduled Intellectual Property that are exclusively licensed to Fortis, including the identification of the Contractual Obligation pursuant to which each such item of Intellectual Property is licensed. For each of Fortis Registrations, </w:t>
      </w:r>
      <w:r>
        <w:rPr>
          <w:rFonts w:ascii="Times New Roman" w:hAnsi="Times New Roman"/>
          <w:color w:val="000000"/>
          <w:sz w:val="20"/>
          <w:u w:val="single"/>
        </w:rPr>
        <w:t>Section 5.14(a)</w:t>
      </w:r>
      <w:r>
        <w:rPr>
          <w:rFonts w:ascii="Times New Roman" w:hAnsi="Times New Roman"/>
          <w:color w:val="000000"/>
          <w:sz w:val="20"/>
        </w:rPr>
        <w:t xml:space="preserve"> of the Disclosure Schedule includes the following information: the relevant registration or application number, the owner of record, the country or jurisdiction, and the filing or registration date. Each of Fortis Registrations is subsisting, and [*], valid and enforceable.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Title to Fortis Registrations</w:t>
      </w:r>
      <w:r>
        <w:rPr>
          <w:rFonts w:ascii="Times New Roman" w:hAnsi="Times New Roman"/>
          <w:color w:val="000000"/>
          <w:sz w:val="20"/>
        </w:rPr>
        <w:t xml:space="preserve">. Except as disclosed on </w:t>
      </w:r>
      <w:r>
        <w:rPr>
          <w:rFonts w:ascii="Times New Roman" w:hAnsi="Times New Roman"/>
          <w:color w:val="000000"/>
          <w:sz w:val="20"/>
          <w:u w:val="single"/>
        </w:rPr>
        <w:t>Section 5.14(b)</w:t>
      </w:r>
      <w:r>
        <w:rPr>
          <w:rFonts w:ascii="Times New Roman" w:hAnsi="Times New Roman"/>
          <w:color w:val="000000"/>
          <w:sz w:val="20"/>
        </w:rPr>
        <w:t xml:space="preserve"> of the Disclosure Schedule,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 Fortis owns all rights, titles, and interests in and to each item of Fortis Registrations, free and clear of any Lien other than Permitted Liens and licenses granted in the Outbound IP Contracts identified in </w:t>
      </w:r>
      <w:r>
        <w:rPr>
          <w:rFonts w:ascii="Times New Roman" w:hAnsi="Times New Roman"/>
          <w:color w:val="000000"/>
          <w:sz w:val="20"/>
          <w:u w:val="single"/>
        </w:rPr>
        <w:t>Section 5.14(f)</w:t>
      </w:r>
      <w:r>
        <w:rPr>
          <w:rFonts w:ascii="Times New Roman" w:hAnsi="Times New Roman"/>
          <w:color w:val="000000"/>
          <w:sz w:val="20"/>
        </w:rPr>
        <w:t xml:space="preserve"> of the Disclosure Schedule or any Contract not required to be identified in </w:t>
      </w:r>
      <w:r>
        <w:rPr>
          <w:rFonts w:ascii="Times New Roman" w:hAnsi="Times New Roman"/>
          <w:color w:val="000000"/>
          <w:sz w:val="20"/>
          <w:u w:val="single"/>
        </w:rPr>
        <w:t>Section 5.14(f)</w:t>
      </w:r>
      <w:r>
        <w:rPr>
          <w:rFonts w:ascii="Times New Roman" w:hAnsi="Times New Roman"/>
          <w:color w:val="000000"/>
          <w:sz w:val="20"/>
        </w:rPr>
        <w:t xml:space="preserve"> of the Disclosure Schedule, and Fortis is the owner of record of all Fortis Registrations;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 no Fortis Registration is subject to any outstanding Government Order, and no written Action (including any opposition, cancellation, interference, inter partes review, or re-examination) is pending or, [*], threatened in writing, that challenges the legality, validity, enforceability, use, scope or ownership of any Fortis Registration.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Sufficiency</w:t>
      </w:r>
      <w:r>
        <w:rPr>
          <w:rFonts w:ascii="Times New Roman" w:hAnsi="Times New Roman"/>
          <w:color w:val="000000"/>
          <w:sz w:val="20"/>
        </w:rPr>
        <w:t xml:space="preserve">. Except as disclosed on </w:t>
      </w:r>
      <w:r>
        <w:rPr>
          <w:rFonts w:ascii="Times New Roman" w:hAnsi="Times New Roman"/>
          <w:color w:val="000000"/>
          <w:sz w:val="20"/>
          <w:u w:val="single"/>
        </w:rPr>
        <w:t>Section 5.14(c)</w:t>
      </w:r>
      <w:r>
        <w:rPr>
          <w:rFonts w:ascii="Times New Roman" w:hAnsi="Times New Roman"/>
          <w:color w:val="000000"/>
          <w:sz w:val="20"/>
        </w:rPr>
        <w:t xml:space="preserve"> of the Disclosure Schedule, [*], Fortis owns or has adequate rights to use all Technology and Intellectual Property used or proposed to be used in connection with the Business as currently conducted and with the Exploitation of the Products as existing as of the date of this Option Agreement (including as contemplated under the Evaluation Agreement), without, [*], any infringement, misappropriation or violation of the Intellectual Property of others. The Surviving Corporation will continue to own or have after the Closing, valid rights or licenses as are sufficient to use all of the Intellectual Property and Technology used by Fortis to the same extent as prior to the Closing. The consummation of the transactions contemplated by this Option Agreement will not result in the loss or impairment of Fortis’ rights in any Fortis Intellectual Property or Technology and will not result in the breach of, or create on behalf of any third party, the right to terminate or modify any agreement as to which Fortis is a party and pursuant to which Fortis is authorized or licensed to use any third party Intellectual Property.</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Infringement of Third Party IP</w:t>
      </w:r>
      <w:r>
        <w:rPr>
          <w:rFonts w:ascii="Times New Roman" w:hAnsi="Times New Roman"/>
          <w:color w:val="000000"/>
          <w:sz w:val="20"/>
        </w:rPr>
        <w:t xml:space="preserve">. Except as disclosed on </w:t>
      </w:r>
      <w:r>
        <w:rPr>
          <w:rFonts w:ascii="Times New Roman" w:hAnsi="Times New Roman"/>
          <w:color w:val="000000"/>
          <w:sz w:val="20"/>
          <w:u w:val="single"/>
        </w:rPr>
        <w:t>Section 5.14(d)</w:t>
      </w:r>
      <w:r>
        <w:rPr>
          <w:rFonts w:ascii="Times New Roman" w:hAnsi="Times New Roman"/>
          <w:color w:val="000000"/>
          <w:sz w:val="20"/>
        </w:rPr>
        <w:t xml:space="preserve"> of the Disclosure Schedule, (i) [*], neither the conduct by Fortis of its Business as currently conducted nor the Exploitation of any Products as existing as of the date of this Option Agreement has infringed upon, misappropriated, or violated any Intellectual Property of any Third Party, and (ii) neither Fortis nor any Predecessor has received any written charge, complaint, claim, demand, or notice from any Third Party alleging infringement, misappropriation, or violation of the Intellectual Property of such Third party (including any request or demand to refrain from using any Intellectual Property of any Third Party in connection with the conduct of the Business as currently conducted or the Exploitation of any Products as existing as of the date of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Infringement of Fortis IP</w:t>
      </w:r>
      <w:r>
        <w:rPr>
          <w:rFonts w:ascii="Times New Roman" w:hAnsi="Times New Roman"/>
          <w:color w:val="000000"/>
          <w:sz w:val="20"/>
        </w:rPr>
        <w:t xml:space="preserve">. Except as disclosed on </w:t>
      </w:r>
      <w:r>
        <w:rPr>
          <w:rFonts w:ascii="Times New Roman" w:hAnsi="Times New Roman"/>
          <w:color w:val="000000"/>
          <w:sz w:val="20"/>
          <w:u w:val="single"/>
        </w:rPr>
        <w:t>Section 5.14(e)</w:t>
      </w:r>
      <w:r>
        <w:rPr>
          <w:rFonts w:ascii="Times New Roman" w:hAnsi="Times New Roman"/>
          <w:color w:val="000000"/>
          <w:sz w:val="20"/>
        </w:rPr>
        <w:t xml:space="preserve"> of the Disclosure Schedule, (i) [*], no Person has infringed upon, misappropriated, or violated any Fortis Intellectual Property owned by or exclusively licensed to Fortis, and (ii) neither Fortis nor any Predecessor has made any written charge, complaint, claim, demand, or notice against or to any Third Party alleging infringement, misappropriation, or violation of any such Fortis Intellectual Property (including any request or demand to refrain from using any such Fortis Intellectual Property).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IP Contracts</w:t>
      </w:r>
      <w:r>
        <w:rPr>
          <w:rFonts w:ascii="Times New Roman" w:hAnsi="Times New Roman"/>
          <w:color w:val="000000"/>
          <w:sz w:val="20"/>
        </w:rPr>
        <w:t xml:space="preserve">. </w:t>
      </w:r>
      <w:r>
        <w:rPr>
          <w:rFonts w:ascii="Times New Roman" w:hAnsi="Times New Roman"/>
          <w:color w:val="000000"/>
          <w:sz w:val="20"/>
          <w:u w:val="single"/>
        </w:rPr>
        <w:t>Section 5.14(f)</w:t>
      </w:r>
      <w:r>
        <w:rPr>
          <w:rFonts w:ascii="Times New Roman" w:hAnsi="Times New Roman"/>
          <w:color w:val="000000"/>
          <w:sz w:val="20"/>
        </w:rPr>
        <w:t xml:space="preserve"> of the Disclosure Schedule identifies under separate headings each Contractual Obligation, whether written or oral, (i) under which Fortis licenses or acquires any right in an item of Technology or any Intellectual Property that any Person besides Fortis owns that is used by Fortis in the Business as currently conducted or proposed to be conducted or that is necessary or useful for the Exploitation of any Products, or owes any royalties or other payments to any Person for the use of any Intellectual Property or Technology; but excluding Contractual Obligations that are (A) related to Off-the-Shelf Software, (B) non-disclosure agreements, or agreements that include non-exclusive licenses granted to Fortis that are ancillary to Fortis’s purchase or use of commercially available equipment, reagents, or materials, in each case entered into in the Ordinary Course of Business (the “</w:t>
      </w:r>
      <w:r>
        <w:rPr>
          <w:rFonts w:ascii="Times New Roman" w:hAnsi="Times New Roman"/>
          <w:i/>
          <w:color w:val="000000"/>
          <w:sz w:val="20"/>
        </w:rPr>
        <w:t>Inbound IP Contracts</w:t>
      </w:r>
      <w:r>
        <w:rPr>
          <w:rFonts w:ascii="Times New Roman" w:hAnsi="Times New Roman"/>
          <w:color w:val="000000"/>
          <w:sz w:val="20"/>
        </w:rPr>
        <w:t>”) and (ii) under which Fortis has granted any Person any right or interest in any Fortis Intellectual Property; but excluding Contractual Obligations that are material transfer agreements, clinical trial agreements, non-disclosure agreements or non-exclusive licenses granted to service providers or contractors solely for the purposes of the provision of services to Fortis and that do not grant any commercial rights to any products or services of Fortis, in each case entered into in the Ordinary Course of Business (the “</w:t>
      </w:r>
      <w:r>
        <w:rPr>
          <w:rFonts w:ascii="Times New Roman" w:hAnsi="Times New Roman"/>
          <w:i/>
          <w:color w:val="000000"/>
          <w:sz w:val="20"/>
        </w:rPr>
        <w:t>Outbound IP Contracts</w:t>
      </w:r>
      <w:r>
        <w:rPr>
          <w:rFonts w:ascii="Times New Roman" w:hAnsi="Times New Roman"/>
          <w:color w:val="000000"/>
          <w:sz w:val="20"/>
        </w:rPr>
        <w:t>”) (collectively, clauses (i) and (ii), the “</w:t>
      </w:r>
      <w:r>
        <w:rPr>
          <w:rFonts w:ascii="Times New Roman" w:hAnsi="Times New Roman"/>
          <w:i/>
          <w:color w:val="000000"/>
          <w:sz w:val="20"/>
        </w:rPr>
        <w:t>IP Contracts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Confidentiality and Invention Assignments</w:t>
      </w:r>
      <w:r>
        <w:rPr>
          <w:rFonts w:ascii="Times New Roman" w:hAnsi="Times New Roman"/>
          <w:color w:val="000000"/>
          <w:sz w:val="20"/>
        </w:rPr>
        <w:t xml:space="preserve">. Fortis has maintained [*] to protect the confidentiality of Fortis’ confidential information and trade secrets pertaining to Fortis’s Business or any Product, and, except as disclosed on </w:t>
      </w:r>
      <w:r>
        <w:rPr>
          <w:rFonts w:ascii="Times New Roman" w:hAnsi="Times New Roman"/>
          <w:color w:val="000000"/>
          <w:sz w:val="20"/>
          <w:u w:val="single"/>
        </w:rPr>
        <w:t>Section 5.14(g)</w:t>
      </w:r>
      <w:r>
        <w:rPr>
          <w:rFonts w:ascii="Times New Roman" w:hAnsi="Times New Roman"/>
          <w:color w:val="000000"/>
          <w:sz w:val="20"/>
        </w:rPr>
        <w:t xml:space="preserve"> of the Disclosure Schedule, have required all employees and other Persons with access to Fortis’ confidential information to execute Enforceable Contractual Obligations requiring them to maintain the confidentiality of such information and use such information only for the benefit of Fortis. All current and former employees and contractors of Fortis who contributed to the creation or development of Fortis Intellectual Property owned or purported to be owned by Fortis have executed Enforceable Contractual Obligations that assign to Fortis all of such Person’s respective rights, including Intellectual Property, relating to such Fortis Intellectual Property (each, an “</w:t>
      </w:r>
      <w:r>
        <w:rPr>
          <w:rFonts w:ascii="Times New Roman" w:hAnsi="Times New Roman"/>
          <w:i/>
          <w:color w:val="000000"/>
          <w:sz w:val="20"/>
        </w:rPr>
        <w:t>Invention Assignment Agreement</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Privacy and Data Security</w:t>
      </w:r>
      <w:r>
        <w:rPr>
          <w:rFonts w:ascii="Times New Roman" w:hAnsi="Times New Roman"/>
          <w:color w:val="000000"/>
          <w:sz w:val="20"/>
        </w:rPr>
        <w:t>. Fortis’ Handling of any Personal Information is in compliance in all material respects with Legal Requirements and Contractual Obligations (including privacy policies and terms of use) applicable to Fortis or to which Fortis is bound. Fortis maintains and complies in all material respects with written policies and procedures regarding data security and privacy and maintains [*] safeguards that are designed to protect Personal Information in compliance in all material respects with all Legal Requirements and Contractual Obligations applicable to Fortis or to which Fortis is bound. [*], there has been no (i) material unauthorized acquisition of, access to, loss of, misuse (by any means) of any Personal Information, confidential information or trade secret, or (ii) material unauthorized or unlawful Handling of any Personal Information, confidential information or trade secret, in each case, used or held for use by or on behalf of Fortis.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5.15. </w:t>
      </w:r>
      <w:r>
        <w:rPr>
          <w:rFonts w:ascii="Times New Roman" w:hAnsi="Times New Roman"/>
          <w:color w:val="000000"/>
          <w:sz w:val="20"/>
          <w:u w:val="single"/>
        </w:rPr>
        <w:t>Litigation</w:t>
      </w:r>
      <w:r>
        <w:rPr>
          <w:rFonts w:ascii="Times New Roman" w:hAnsi="Times New Roman"/>
          <w:color w:val="000000"/>
          <w:sz w:val="20"/>
        </w:rPr>
        <w:t xml:space="preserve">. There is no Action that is pending or, [*], threatened against Fortis (or directors, officers or employees of Fortis, to the extent such Action relates to Fortis) or any assets or properties of Fortis. There are no Judgments outstanding against Fortis (or directors, officers or employees of Fortis, to the extent such Judgments relate to Fortis) or any assets or properties of Fortis. In the [*], there has not been any Action in respect of Fortis that (a) resulted in a Judgment against or settlement by Fortis (whether or not such Judgment or settlement was paid, in whole or in part, by an insurer of Fortis or other third party), (b) resulted in any equitable relief or (c) relates to the Merger and the other transactions contemplated by this Option Agreement or the Ancillary Agreements. There is no Action pending by Fortis, or which Fortis intends to initiate, against any other Person.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5.16. </w:t>
      </w:r>
      <w:r>
        <w:rPr>
          <w:rFonts w:ascii="Times New Roman" w:hAnsi="Times New Roman"/>
          <w:color w:val="000000"/>
          <w:sz w:val="20"/>
          <w:u w:val="single"/>
        </w:rPr>
        <w:t>Taxes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All income and other material Tax Returns with respect to Fortis that are required to have been filed have been duly and timely filed with the appropriate Taxing Authority and such income and other material Tax Returns were true, correct and complete in all material respects. All Taxes owed by Fortis (whether or not shown as due and payable on any Tax Returns) have been timely paid.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All Taxes that Fortis has been required to deduct, collect or withhold in connection with amounts paid or owing to any employee, independent contractor, creditor, stockholder or other third party, have been duly deducted, collected or withheld and have been duly and timely paid to the appropriate Taxing Authority, and Fortis has complied in all material respects with all associated or unrelated reporting and record keeping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No dispute, audit, investigation, proceeding or claim concerning any Liability for Taxes of Fortis has been raised by a Taxing Authority and, [*], no such dispute, audit, investigation, proceeding or claim is threatened, pending, being conducted or claimed. Fortis has provided or made available to FibroGen true, correct and complete copies of all U.S. federal and California income Tax Returns that have been filed by Fortis during the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There are no Liens for Taxes (other than those described in clause (i) of Permitted Liens) on the assets and properties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No written claim has ever been received by Fortis from a Taxing Authority, in a jurisdiction where Fortis does not file Tax Returns or does not pay Taxes, that Fortis is (or may be) required to file Tax Returns in or be subject to Tax by that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No waivers of statutes of limitation with respect to the Taxes or Tax Returns of Fortis have been given by or requested from Fortis other than pursuant to automatic extensions of the due date for filing a Tax Return obtained in the Ordinary Course of Business. No agreement or arrangement extending, or having the effect of extending, the period of assessment or collection of any Taxes payable by Fortis is in effect and Fortis is not the beneficiary of any extension of time within which to file any Tax Return, in each case, other than pursuant to automatic extensions of the due date for filing a Tax Return obtained in the Ordinary Course of Business. There is no power of attorney given by or binding upon Fortis with respect to Taxes that will remain in effect following the Closing Date. No closing agreements, private letter rulings, technical advice memorandum or similar agreements or rulings relating to Taxes have been entered into or issued by any Taxing Authority with or in respect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 The unpaid Taxes of Fortis did not (i) as of the Most Recent Balance Sheet Date materially exceed the reserve for Taxes (excluding any reserve for deferred Taxes established to reflect timing differences between book and Tax income) set forth thereon, and (ii) will not, as of the Closing Date, exceed either (A) that reserve as adjusted for the passage of time through the Closing Date in accordance with the past custom and practice of Fortis in filing its Tax Returns or (B) the reserve for Taxes set forth in the Estimated Closing Balance Sheet.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 Fortis will not be required to include any material item of income in, or exclude any material item of deduction from, Taxable income for any Post-Closing Tax Period as a result of any (i) change of prior to the Closing, or improper use of, a method of accounting for a Pre-Closing Tax Period, (ii) installment sale or open transaction disposition made in a Pre-Closing Tax Period or (iii) prepaid amount received or paid, or deferred revenue existing, prior to the Closing Date outside of the Ordinary Course of Business, (iv) any deferred intercompany gain or excess loss account described in Treasury Regulations under Section 1502 of the Code (or any corresponding or similar provision or administrative rule of state, local, or foreign Tax law) as a result of any transaction or event occurring, or action taken, before the Closing or (v) any “closing agreement” as described in Code Section 7121 (or any corresponding or similar provision of state, local or foreign law) executed on or prior to the Closing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Fortis is not, and has not been during the applicable period set forth in Section 897(c)(1)(A)(ii) of the Code, a “United States real property holding corporation” within the meaning of Section 897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Fortis is not, and has never been, a member of an affiliated group of corporations filing a consolidated federal income Tax Return (other than an affiliated group for which the common parent is Fortis). Fortis has no Liability for the Taxes of any Person under Treasury Regulations Section 1.1502-6 (or comparable provision of domestic or foreign Tax Law), as a transferee or successor, by contract (other than any such customary commercial agreement entered into in the Ordinary Course of Business and not primarily related to Taxes) or otherwise by operation of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 In the [*], Fortis has not constituted a “distributing corporation” or a “controlled corporation” in a distribution qualifying or purported to qualify for Tax-free treatment (in whole or in part) under Section 355(a) of the Code or under analogous provisions of domestic or foreign Tax Law.</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(l) Fortis is not, and has never been, a “passive foreign investment company” as defined in Section 1297(a) of the Code or incurred any “personal holding company” Tax under Section 541 of the Code. Fortis is in material compliance with and maintains all appropriate documentation for transfer pricing requirements. Neither the Surviving Corporation nor any of its Affiliates would be required to include any amount in gross income pursuant to Section 951 or 951A of the Code with respect to any Subsidiary if the Taxable year of such Subsidiary were deemed to [*] (but not taking into account any activities or income of any such Subsidiary on such day). Fortis has no fixed place of business, or “permanent establishment” (within the meaning of an applicable income Tax treaty) in any country other than as set forth on </w:t>
      </w:r>
      <w:r>
        <w:rPr>
          <w:rFonts w:ascii="Times New Roman" w:hAnsi="Times New Roman"/>
          <w:color w:val="000000"/>
          <w:sz w:val="20"/>
          <w:u w:val="single"/>
        </w:rPr>
        <w:t>Section 5.16(l)</w:t>
      </w:r>
      <w:r>
        <w:rPr>
          <w:rFonts w:ascii="Times New Roman" w:hAnsi="Times New Roman"/>
          <w:color w:val="000000"/>
          <w:sz w:val="20"/>
        </w:rPr>
        <w:t xml:space="preserve"> of the Disclosure Schedule.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 Fortis is not a party to, or otherwise bound by or subject to, any Tax sharing, allocation or indemnification or similar agreement, provision or arrangement (other than agreements or arrangements entered into in the Ordinary Course of Business the primary purpose of which is not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 Fortis is not a party to any joint venture, partnership or other arrangement or Contract which is properly treated as a partnership for U.S. federal income Tax purposes.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 Fortis has not been a party to a transaction that is or is substantially similar to a “listed transaction” as such term is defined in Treasury Regulations Section 1.6011-4(b)(2).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 Since the Most Recent Balance Sheet Date, Fortis has not made any changes in Tax accounting methods, principles, practices or policies, made, changed or revoked any material Tax election, settled any Tax claim, assessment or other proceeding in respect of material Taxes, surrendered any right to claim a refund of material Taxes, amended any income or other material Tax Return, or consented to any extension or waiver of the limitation period applicable to any Tax claim or assessment other than pursuant to automatic extensions of the due date for filing a Tax Return obtained in the Ordinary Course of Business.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 No Fortis Personnel is entitled to any gross-up, make-whole or other additional payment from Fortis with respect to any Tax or interest or penalty related thereto. Each Benefit Plan subject to Section 409A of the Code is in operational and documentary compliance in all material respects therewith.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 Neither the execution of this Agreement nor the consummation of the transactions contemplated hereby will, either alone or in conjunction with any other event, result in any payment or provision of any other benefit or right (including accelerated vesting) that, individually or collectively, would not be deductible by reason of Section 280G of the Code or would be subject to an excise Tax under Section 4999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 Fortis has not taken out any loan, received any loan assistance or received any other financial assistance, or requested any of the foregoing, in each case under the CARES Act, including pursuant to the Paycheck Protection Program or the Economic Injury Disaster Loan Program.</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 This </w:t>
      </w:r>
      <w:r>
        <w:rPr>
          <w:rFonts w:ascii="Times New Roman" w:hAnsi="Times New Roman"/>
          <w:color w:val="000000"/>
          <w:sz w:val="20"/>
          <w:u w:val="single"/>
        </w:rPr>
        <w:t>Section 5.16</w:t>
      </w:r>
      <w:r>
        <w:rPr>
          <w:rFonts w:ascii="Times New Roman" w:hAnsi="Times New Roman"/>
          <w:color w:val="000000"/>
          <w:sz w:val="20"/>
        </w:rPr>
        <w:t xml:space="preserve"> and </w:t>
      </w:r>
      <w:r>
        <w:rPr>
          <w:rFonts w:ascii="Times New Roman" w:hAnsi="Times New Roman"/>
          <w:color w:val="000000"/>
          <w:sz w:val="20"/>
          <w:u w:val="single"/>
        </w:rPr>
        <w:t>Section 5.18</w:t>
      </w:r>
      <w:r>
        <w:rPr>
          <w:rFonts w:ascii="Times New Roman" w:hAnsi="Times New Roman"/>
          <w:color w:val="000000"/>
          <w:sz w:val="20"/>
        </w:rPr>
        <w:t xml:space="preserve"> (to the extent related to Taxes) constitute the exclusive representations and warranties of Fortis with respect to Taxes and any claim for breach of representation with respect to Taxes shall be based solely on the representations made in this Section 5.16 and Section 5.18 (to the extent related to Taxes) and shall not be based on the representations set forth in any other provision of this Option Agreement. The representations in this Section 5.16 refer only to the past activities of Fortis and are not intended to serve as representations to, or as a guarantee of, nor can they be relied upon for, or with respect to, Taxes attributable to any Tax periods (or portions thereof) beginning, or Tax positions taken, after the Closing Date; provided, that, the foregoing shall not apply to the last sentence of </w:t>
      </w:r>
      <w:r>
        <w:rPr>
          <w:rFonts w:ascii="Times New Roman" w:hAnsi="Times New Roman"/>
          <w:color w:val="000000"/>
          <w:sz w:val="20"/>
          <w:u w:val="single"/>
        </w:rPr>
        <w:t>Section 5.16(f)</w:t>
      </w:r>
      <w:r>
        <w:rPr>
          <w:rFonts w:ascii="Times New Roman" w:hAnsi="Times New Roman"/>
          <w:color w:val="000000"/>
          <w:sz w:val="20"/>
        </w:rPr>
        <w:t xml:space="preserve">, </w:t>
      </w:r>
      <w:r>
        <w:rPr>
          <w:rFonts w:ascii="Times New Roman" w:hAnsi="Times New Roman"/>
          <w:color w:val="000000"/>
          <w:sz w:val="20"/>
          <w:u w:val="single"/>
        </w:rPr>
        <w:t>Section 5.16(h)</w:t>
      </w:r>
      <w:r>
        <w:rPr>
          <w:rFonts w:ascii="Times New Roman" w:hAnsi="Times New Roman"/>
          <w:color w:val="000000"/>
          <w:sz w:val="20"/>
        </w:rPr>
        <w:t xml:space="preserve">, </w:t>
      </w:r>
      <w:r>
        <w:rPr>
          <w:rFonts w:ascii="Times New Roman" w:hAnsi="Times New Roman"/>
          <w:color w:val="000000"/>
          <w:sz w:val="20"/>
          <w:u w:val="single"/>
        </w:rPr>
        <w:t>Section 5.16(m)</w:t>
      </w:r>
      <w:r>
        <w:rPr>
          <w:rFonts w:ascii="Times New Roman" w:hAnsi="Times New Roman"/>
          <w:color w:val="000000"/>
          <w:sz w:val="20"/>
        </w:rPr>
        <w:t xml:space="preserve">, and </w:t>
      </w:r>
      <w:r>
        <w:rPr>
          <w:rFonts w:ascii="Times New Roman" w:hAnsi="Times New Roman"/>
          <w:color w:val="000000"/>
          <w:sz w:val="20"/>
          <w:u w:val="single"/>
        </w:rPr>
        <w:t>Section 5.16(n)</w:t>
      </w:r>
      <w:r>
        <w:rPr>
          <w:rFonts w:ascii="Times New Roman" w:hAnsi="Times New Roman"/>
          <w:color w:val="000000"/>
          <w:sz w:val="20"/>
        </w:rPr>
        <w:t>. Notwithstanding anything to the contrary in this Option Agreement, Fortis makes no representations as to the amount of, or limitations on the use after the Closing Date of, any net operating losses, capital losses, deductions, Tax credits and other similar items of Fortis.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5.17. </w:t>
      </w:r>
      <w:r>
        <w:rPr>
          <w:rFonts w:ascii="Times New Roman" w:hAnsi="Times New Roman"/>
          <w:color w:val="000000"/>
          <w:sz w:val="20"/>
          <w:u w:val="single"/>
        </w:rPr>
        <w:t>Insurance</w:t>
      </w:r>
      <w:r>
        <w:rPr>
          <w:rFonts w:ascii="Times New Roman" w:hAnsi="Times New Roman"/>
          <w:color w:val="000000"/>
          <w:sz w:val="20"/>
        </w:rPr>
        <w:t xml:space="preserve">. </w:t>
      </w:r>
      <w:r>
        <w:rPr>
          <w:rFonts w:ascii="Times New Roman" w:hAnsi="Times New Roman"/>
          <w:color w:val="000000"/>
          <w:sz w:val="20"/>
          <w:u w:val="single"/>
        </w:rPr>
        <w:t>Section 5.17</w:t>
      </w:r>
      <w:r>
        <w:rPr>
          <w:rFonts w:ascii="Times New Roman" w:hAnsi="Times New Roman"/>
          <w:color w:val="000000"/>
          <w:sz w:val="20"/>
        </w:rPr>
        <w:t xml:space="preserve"> of the Disclosure Schedule contains a true, complete and correct list of all policies of fire, liability, workers’ compensation, title and other forms of insurance owned or held by Fortis, and Fortis has heretofore made available to FibroGen a true, complete and correct copy of all such policies. All such policies are valid and subsisting and in full force and effect in accordance with their terms, all premiums with respect thereto covering all periods up to and including the Closing Date have been paid, and no notice of cancellation or termination (or any other threatened termination) has been received with respect to any such policy. Fortis has complied in all material respects with the provisions of such policy under which it is an insured party. Fortis is not in default under any of such insurance policies in any material respect. There are no pending or, [*], threatened claims under any insurance policy.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5.18. </w:t>
      </w:r>
      <w:r>
        <w:rPr>
          <w:rFonts w:ascii="Times New Roman" w:hAnsi="Times New Roman"/>
          <w:color w:val="000000"/>
          <w:sz w:val="20"/>
          <w:u w:val="single"/>
        </w:rPr>
        <w:t>Benefit Plans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5.18(a)</w:t>
      </w:r>
      <w:r>
        <w:rPr>
          <w:rFonts w:ascii="Times New Roman" w:hAnsi="Times New Roman"/>
          <w:color w:val="000000"/>
          <w:sz w:val="20"/>
        </w:rPr>
        <w:t xml:space="preserve"> of the Disclosure Schedule sets forth a complete list of each (i) “employee benefit plan” (as defined in section 3(3) of ERISA, whether or not subject to ERISA) and each (ii) retirement, deferred compensation, pension, savings, bonus, commission, equity or equity-based or other incentive, retention, employment, independent contractor, consulting, unemployment compensation, vacation or other paid time off, change of control, severance, health or welfare benefit, fringe benefit and other compensation or benefit agreement, Contract, plan, policy, program or arrangement, in each case, whether or not reduced to writing, that is or was sponsored, maintained, contributed to, or required to be contributed to by Fortis or any of its ERISA Affiliates or under or with respect to which Fortis or any of its ERISA Affiliates has any Liability (each, a “</w:t>
      </w:r>
      <w:r>
        <w:rPr>
          <w:rFonts w:ascii="Times New Roman" w:hAnsi="Times New Roman"/>
          <w:i/>
          <w:color w:val="000000"/>
          <w:sz w:val="20"/>
        </w:rPr>
        <w:t>Benefit Plan</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With respect to each material Benefit Plan, complete and correct copies of the following materials have been made available to FibroGen, as applicable: (i) the plan document and any amendments thereto (or if the Benefit Plan is unwritten, a written description of all material terms thereof); (ii) any related trust agreement, insurance contract or other funding vehicle; (iii) the current summary plan description and each summary of material modifications thereto, (iv) the annual report most recently filed with any Governmental Entity (e.g., Form 5500 and all schedules thereto); (v) the nondiscrimination testing reports (or safe harbor notices) for each of the [*]; (vi) the most recent determination, advisory or opinion letter received from the IRS; and (vii) all material, non-routine notices, letters, filings, and correspondence between Fortis and any Governmental Entity related to such Benefit Plan that relate to legal compliance of a Benefit Plan or that may impact benefits or Liabilities of such Benefit Plan in the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Each Benefit Plan has been established, maintained, operated, and administered in all material respects in accordance with Law and the requirements of such Benefit Plan’s governing documents. Neither Fortis nor, [*] any other Person, is in material breach of, or material default under, any Benefit Plan. There are no Actions or other claims (other than routine benefit claims) pending or, [*], threatened with respect to any Benefit Plan and there have been no non-exempt “prohibited transaction” (within the meaning of Section 406 of ERISA or Section 4975 of the Code) with respect to any Benefit Plan that has not been fully corrected and there exists no circumstances [*] which could reasonably be expected to give rise to any such Actions or claims. Neither Fortis nor any of its ERISA Affiliates has breached in any material respect any fiduciary obligation with respect to the administration or investment of any Benefit Plan. Each Benefit Plan intended to be “qualified” within the meaning of Section 401(a) of the Code is so qualified and is the subject of a favorable unrevoked determination, opinion or notification letter issued by the IRS as to its qualified status under the Code, and no circumstances have occurred that would reasonably be expected to adversely affect the tax qualified status of any such Benefit Plan or otherwise result in material Liability to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No Benefit Plan is, or within the [*] has been, the subject of an examination or audit by a Governmental Entity, or is the subject of an application or filing under, or a participant in, a government-sponsored amnesty, voluntary compliance, self-correction or similar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None of the Benefit Plans are, and none of Fortis or any of its ERISA Affiliates has ever sponsored, maintained, contributed to, been required to contribute to, or had any Liability with respect to: (i) any plan subject to Title IV of ERISA, Section 302 of ERISA or Section 412 of the Code or any similar Law; (ii) any “multiemployer plan” as defined in Section 3(37) of ERISA or Section 414(f) of the Code; (iii) a “multiple employer welfare arrangement” within the meaning of Section 3(40) of ERISA; or (iv) a “multiple employer plan” within the meaning of Section 210(a) of ERISA or Section 413(c) of the Code. No Benefit Plan provides post-termination medical, welfare, or life insurance benefits to any Fortis Personnel or other Person, other than as required by Section 4980B of the Code or other applicable Law and at such individual’s sole expense.</w:t>
      </w:r>
    </w:p>
    <w:p>
      <w:pPr>
        <w:pStyle w:val="TextBody"/>
        <w:bidi w:val="0"/>
        <w:spacing w:before="0" w:after="240"/>
        <w:jc w:val="left"/>
        <w:rPr>
          <w:rFonts w:ascii="Times New Roman" w:hAnsi="Times New Roman"/>
          <w:sz w:val="20"/>
        </w:rPr>
      </w:pPr>
      <w:r>
        <w:rPr>
          <w:rFonts w:ascii="Times New Roman" w:hAnsi="Times New Roman"/>
          <w:color w:val="000000"/>
          <w:sz w:val="20"/>
        </w:rPr>
        <w:t>(f) Each Benefit Plan that is a “group health plan” for purposes of the Patient Protection and Affordable Care Act and the Health Care and Education Reconciliation Act (the “</w:t>
      </w:r>
      <w:r>
        <w:rPr>
          <w:rFonts w:ascii="Times New Roman" w:hAnsi="Times New Roman"/>
          <w:i/>
          <w:color w:val="000000"/>
          <w:sz w:val="20"/>
        </w:rPr>
        <w:t>Affordable Care Act</w:t>
      </w:r>
      <w:r>
        <w:rPr>
          <w:rFonts w:ascii="Times New Roman" w:hAnsi="Times New Roman"/>
          <w:color w:val="000000"/>
          <w:sz w:val="20"/>
        </w:rPr>
        <w:t>”) has been maintained and administered in compliance in all material respects with the Affordable Care Act, to the extent applicable thereto, including, to the extent required by the Affordable Care Act, offering health care coverage that does not subject Fortis to any assessment under Section 4980H(a) or 4980H(b) of the Code, and Fortis does not have, and would not reasonably be expected to have, any material liabilities for Taxes under Sections 4975 through 4980 of the Code or Sections 4980A through 4980I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 Neither the execution of this Agreement nor consummation of the transactions contemplated hereby will, either alone or in conjunction with any other event, (i) increase the amount of or result in the acceleration of time of payment, funding or vesting of compensation or benefits under any Benefit Plan, (ii) entitle any Fortis Personnel to any compensation or benefit under any Benefit Plan, or (iii) result in the forgiveness of indebtedness of any Fortis Personnel.</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5.19. </w:t>
      </w:r>
      <w:r>
        <w:rPr>
          <w:rFonts w:ascii="Times New Roman" w:hAnsi="Times New Roman"/>
          <w:color w:val="000000"/>
          <w:sz w:val="20"/>
          <w:u w:val="single"/>
        </w:rPr>
        <w:t>Employee and Labor Matters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There is no (i) labor disruption or organizing activity, including any strike, work slowdown, lockout, work stoppage or picketing with respect to any current Fortis Personnel pending or, [*], threatened against or affecting Fortis, and there have been no such troubles, (ii) grievance or arbitration proceeding arising out of collective bargaining agreements to which Fortis is a party, including any claim for the management and administration of a collective bargaining agreement or (iii) any other labor dispute or unfair labor practice complaint pending or, [*], threatened against Fortis. Fortis is not bound by or otherwise subject to any collective bargaining agreement, collective bargaining convention, or other Contract with a Union, and no such Contract is being negotiated by Fortis. No current Fortis Personnel is represented by a Union, no demand for recognition of employees of Fortis has been made by, or on behalf of, any Union, and, [*], there has been no activity or proceeding of any Union to organize any employee of Fortis.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Fortis is and has been in compliance in all material respects with all applicable Laws regarding employment and employment practices, terms and conditions of employment, including wages and hours, the classification of employees and independent contractors and, [*], [*] has been in compliance in all material respects with all such Laws with respect to any Fortis Personnel employed or engaged by [*] to provide services to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There are and have been no Actions pending nor, [*], threatened by or before any Governmental Entity against or affecting Fortis concerning employment-related matters, or brought by or on behalf of any current or former job applicant of Fortis or Fortis Personnel against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 Fortis and, [*], [*], have not, during the [*], taken any action with respect to Fortis Personnel that would constitute a “mass layoff” or “plant closing” within the meaning of the Worker Adjustment Retraining and Notification Act or would otherwise trigger similar notice requirements or liability under any state, local or foreign plant closing notice Law. No arbitration order, court decision, Judgment or Material Contract to which Fortis is a party or is subject in any way limits or restricts Fortis from relocating or closing any of the operations of Fortis.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Section 5.19(e)</w:t>
      </w:r>
      <w:r>
        <w:rPr>
          <w:rFonts w:ascii="Times New Roman" w:hAnsi="Times New Roman"/>
          <w:color w:val="000000"/>
          <w:sz w:val="20"/>
        </w:rPr>
        <w:t xml:space="preserve"> of the Disclosure Schedule contains a true, complete and correct list, as of the date hereof, of each current Fortis Personnel, his or her current rate of annual base salary or current wage rate, bonus or other incentive target for the current fiscal year of Fortis, job title, employment or independent contractor status (including whether engaged directly by Fortis or through [*]), work location, credited service date and date of hire or engagement. No current Fortis Personnel (i) or group of current Fortis Personnel, [*], has given notice of termination of employment or engagement or otherwise disclosed plans to terminate employment or engagement with Fortis within the [*], (ii) is employed under a non-immigrant work visa or other work authorization that is limited in duration, or (iii) has been the subject of any sexual harassment, sexual assault, sexual discrimination or other misconduct allegations during his or her tenure at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No current Fortis Personnel is a party to or bound by any Contract, license or covenant of any nature, or subject to any Judgment of any Governmental Entity, that (i) may interfere with the use of such Person’s efforts to promote the interests of Fortis, (ii) may conflict with the business of Fortis or the Merger and the other transactions contemplated by this Option Agreement or (iii) would reasonably be expected to result in a Material Adverse Change. [*], no activity of any Fortis Personnel as or while an employee, independent contractor or other service provider of Fortis has caused a violation of any employment Contract, confidentiality agreement or Patents disclosure agreement.</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5.20. </w:t>
      </w:r>
      <w:r>
        <w:rPr>
          <w:rFonts w:ascii="Times New Roman" w:hAnsi="Times New Roman"/>
          <w:color w:val="000000"/>
          <w:sz w:val="20"/>
          <w:u w:val="single"/>
        </w:rPr>
        <w:t>Environmental Matters</w:t>
      </w:r>
      <w:r>
        <w:rPr>
          <w:rFonts w:ascii="Times New Roman" w:hAnsi="Times New Roman"/>
          <w:color w:val="000000"/>
          <w:sz w:val="20"/>
        </w:rPr>
        <w:t>. No real property (including soils, groundwater, surface water, buildings or other structures) currently operated by Fortis has been contaminated with any Hazardous Material, and no real property (including soils, groundwater, surface water, buildings or other structures) formerly operated by Fortis was contaminated with any Hazardous Material on or prior to such period of operation. [*], Fortis is not subject to any material liability for Hazardous Material disposal or contamination on any third party property. None of the real properties operated by Fortis contains any underground storage tanks, asbestos-containing material, lead products or polychlorinated biphenyls. Fortis has not released any Hazardous Material into the environment except (i) in compliance with Law or (ii) in an amount or concentration that would not reasonably be expected to give rise to any material liability or obligation under any Environmental Law. Fortis has not received any written notice, demand, letter, claim or request for information from any Governmental Entity or other Person indicating that it may be in violation of, or subject to liability under, any Environmental Law or regarding any actual, alleged, possible or potential liability arising from or relating to the presence, generation, manufacture, production, transportation, importation, use, treatment, refinement, processing, handling, storage, discharge, release, emission or disposal of any Hazardous Material used by Fortis.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5.21. </w:t>
      </w:r>
      <w:r>
        <w:rPr>
          <w:rFonts w:ascii="Times New Roman" w:hAnsi="Times New Roman"/>
          <w:color w:val="000000"/>
          <w:sz w:val="20"/>
          <w:u w:val="single"/>
        </w:rPr>
        <w:t>Books and Records</w:t>
      </w:r>
      <w:r>
        <w:rPr>
          <w:rFonts w:ascii="Times New Roman" w:hAnsi="Times New Roman"/>
          <w:color w:val="000000"/>
          <w:sz w:val="20"/>
        </w:rPr>
        <w:t xml:space="preserve">. The minute books of Fortis made available to FibroGen prior to the date hereof accurately and adequately reflect in all material respects all material action previously taken by the stockholders, board of directors and committees of the board of directors of Fortis during the [*] (other than any minutes of meetings related to any potential sale of Fortis or any of its material assets or otherwise related to deliberations by the board of directors of Fortis with respect to the consideration of the Merger, the other transactions contemplated hereunder or Transaction Proposals). The copies of the stock book records of Fortis made available to FibroGen in the Data Room prior to the date hereof are true, correct and complete, and accurately reflect all transactions effected in Fortis Capital Stock through and including the date hereof.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5.22. </w:t>
      </w:r>
      <w:r>
        <w:rPr>
          <w:rFonts w:ascii="Times New Roman" w:hAnsi="Times New Roman"/>
          <w:color w:val="000000"/>
          <w:sz w:val="20"/>
          <w:u w:val="single"/>
        </w:rPr>
        <w:t>Bank Accounts</w:t>
      </w:r>
      <w:r>
        <w:rPr>
          <w:rFonts w:ascii="Times New Roman" w:hAnsi="Times New Roman"/>
          <w:color w:val="000000"/>
          <w:sz w:val="20"/>
        </w:rPr>
        <w:t xml:space="preserve">. </w:t>
      </w:r>
      <w:r>
        <w:rPr>
          <w:rFonts w:ascii="Times New Roman" w:hAnsi="Times New Roman"/>
          <w:color w:val="000000"/>
          <w:sz w:val="20"/>
          <w:u w:val="single"/>
        </w:rPr>
        <w:t>Section 5.22</w:t>
      </w:r>
      <w:r>
        <w:rPr>
          <w:rFonts w:ascii="Times New Roman" w:hAnsi="Times New Roman"/>
          <w:color w:val="000000"/>
          <w:sz w:val="20"/>
        </w:rPr>
        <w:t xml:space="preserve"> of the Disclosure Schedule contains a true, correct and complete list of all bank accounts maintained by Fortis including each account number and the name and address of each bank and the name of each Person who has signature power with respect to each such account.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5.23. </w:t>
      </w:r>
      <w:r>
        <w:rPr>
          <w:rFonts w:ascii="Times New Roman" w:hAnsi="Times New Roman"/>
          <w:color w:val="000000"/>
          <w:sz w:val="20"/>
          <w:u w:val="single"/>
        </w:rPr>
        <w:t>Transactions with Affiliates</w:t>
      </w:r>
      <w:r>
        <w:rPr>
          <w:rFonts w:ascii="Times New Roman" w:hAnsi="Times New Roman"/>
          <w:color w:val="000000"/>
          <w:sz w:val="20"/>
        </w:rPr>
        <w:t xml:space="preserve">. No Affiliate of Fortis (a) owns or has any direct interest in any (i) Fortis Intellectual Property owned by or exclusively licensed to Fortis, (ii) other property (real or personal, tangible or intangible) of Fortis or (iii) Material Contract (other than employment, individual independent contractor or consulting Contracts or Contracts with respect to the issuance or repurchase of any Fortis Capital Stock, Fortis Stock Options or Warrants), (b) [*], has any claim or cause of action against Fortis or (c) owes any money to, or is owed any money by (other than, with respect to any Affiliate who is an employee, independent contractor, director, officer or consultant of Fortis, earned wages, benefits or other compensation payable in the Ordinary Course of Business, reimbursement for expenses or similar advances made in the Ordinary Course of Business), Fortis. Neither Fortis nor, [*], any officer, director or employee of Fortis, possesses, directly or indirectly, any financial interest in, or is a director, officer or employee of, any Person that is a client, supplier, customer, lessor, lessee or competitor of Fortis that adversely affects Fortis in any material respect. Ownership of securities of a Person whose securities are registered under the Securities Exchange Act of 1934, as amended, of [*] of any class of such securities shall not be deemed to be a financial interest for purposes of this </w:t>
      </w:r>
      <w:r>
        <w:rPr>
          <w:rFonts w:ascii="Times New Roman" w:hAnsi="Times New Roman"/>
          <w:color w:val="000000"/>
          <w:sz w:val="20"/>
          <w:u w:val="single"/>
        </w:rPr>
        <w:t>Section 5.23</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5.24. </w:t>
      </w:r>
      <w:r>
        <w:rPr>
          <w:rFonts w:ascii="Times New Roman" w:hAnsi="Times New Roman"/>
          <w:color w:val="000000"/>
          <w:sz w:val="20"/>
          <w:u w:val="single"/>
        </w:rPr>
        <w:t>Brokers</w:t>
      </w:r>
      <w:r>
        <w:rPr>
          <w:rFonts w:ascii="Times New Roman" w:hAnsi="Times New Roman"/>
          <w:color w:val="000000"/>
          <w:sz w:val="20"/>
        </w:rPr>
        <w:t>. Fortis has no Liability to any investment banker, broker, finder, or similar intermediary in connection with the Merger or the other transactions contemplated hereunder.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5.25. </w:t>
      </w:r>
      <w:r>
        <w:rPr>
          <w:rFonts w:ascii="Times New Roman" w:hAnsi="Times New Roman"/>
          <w:color w:val="000000"/>
          <w:sz w:val="20"/>
          <w:u w:val="single"/>
        </w:rPr>
        <w:t>Anticorruption Matters</w:t>
      </w:r>
      <w:r>
        <w:rPr>
          <w:rFonts w:ascii="Times New Roman" w:hAnsi="Times New Roman"/>
          <w:color w:val="000000"/>
          <w:sz w:val="20"/>
        </w:rPr>
        <w:t>. Neither Fortis, nor, [*], any of the Representatives of Fortis has, directly or indirectly, taken any action in the [*] in violation in any material respect of any applicable anticorruption Law, including the U.S. Foreign Corrupt Practices Act (“</w:t>
      </w:r>
      <w:r>
        <w:rPr>
          <w:rFonts w:ascii="Times New Roman" w:hAnsi="Times New Roman"/>
          <w:i/>
          <w:color w:val="000000"/>
          <w:sz w:val="20"/>
        </w:rPr>
        <w:t>FCPA</w:t>
      </w:r>
      <w:r>
        <w:rPr>
          <w:rFonts w:ascii="Times New Roman" w:hAnsi="Times New Roman"/>
          <w:color w:val="000000"/>
          <w:sz w:val="20"/>
        </w:rPr>
        <w:t>”) (15 U.S.C. § 78 dd-1 et seq.).</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5.26. </w:t>
      </w:r>
      <w:r>
        <w:rPr>
          <w:rFonts w:ascii="Times New Roman" w:hAnsi="Times New Roman"/>
          <w:color w:val="000000"/>
          <w:sz w:val="20"/>
          <w:u w:val="single"/>
        </w:rPr>
        <w:t>Relationships with Suppliers</w:t>
      </w:r>
      <w:r>
        <w:rPr>
          <w:rFonts w:ascii="Times New Roman" w:hAnsi="Times New Roman"/>
          <w:color w:val="000000"/>
          <w:sz w:val="20"/>
        </w:rPr>
        <w:t>. Since January 1, 2022, no supplier of Fortis that is material to Fortis has canceled or otherwise terminated, or provided written notice to Fortis of its intent, or, [*], threatened, to terminate its relationship with Fortis, or, since January 1, 2022, materially decreased or limited, or provided written notice to Fortis of its intent, or, [*], threatened, to materially decrease or limit, its sales to Fortis.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r>
        <w:rPr>
          <w:rFonts w:ascii="Times New Roman" w:hAnsi="Times New Roman"/>
          <w:caps/>
          <w:color w:val="000000"/>
          <w:sz w:val="20"/>
        </w:rPr>
        <w:t>Article 6</w:t>
      </w:r>
      <w:r>
        <w:rPr>
          <w:rFonts w:ascii="Times New Roman" w:hAnsi="Times New Roman"/>
          <w:caps/>
          <w:color w:val="000000"/>
          <w:sz w:val="20"/>
          <w:u w:val="single"/>
        </w:rPr>
        <w:br/>
        <w:t>Representations and Warranties of FibroGen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FibroGen represents and warrants to Fortis, as of the date hereof and as of the Closing Date, as follows: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6.1. </w:t>
      </w:r>
      <w:r>
        <w:rPr>
          <w:rFonts w:ascii="Times New Roman" w:hAnsi="Times New Roman"/>
          <w:color w:val="000000"/>
          <w:sz w:val="20"/>
          <w:u w:val="single"/>
        </w:rPr>
        <w:t>Organization and Standing</w:t>
      </w:r>
      <w:r>
        <w:rPr>
          <w:rFonts w:ascii="Times New Roman" w:hAnsi="Times New Roman"/>
          <w:color w:val="000000"/>
          <w:sz w:val="20"/>
        </w:rPr>
        <w:t xml:space="preserve">. FibroGen is a corporation duly incorporated, validly existing and in good standing under the Laws of the State of Delaware. As of the Closing, Merger Sub will be a corporation duly incorporated, validly existing and in good standing under the Laws of the State of Delaware.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6.2. </w:t>
      </w:r>
      <w:r>
        <w:rPr>
          <w:rFonts w:ascii="Times New Roman" w:hAnsi="Times New Roman"/>
          <w:color w:val="000000"/>
          <w:sz w:val="20"/>
          <w:u w:val="single"/>
        </w:rPr>
        <w:t>Power and Authority; Binding Agreement</w:t>
      </w:r>
      <w:r>
        <w:rPr>
          <w:rFonts w:ascii="Times New Roman" w:hAnsi="Times New Roman"/>
          <w:color w:val="000000"/>
          <w:sz w:val="20"/>
        </w:rPr>
        <w:t>. FibroGen has all requisite corporate power and authority to execute and deliver this Option Agreement and to consummate the Merger and the other transactions contemplated hereby, and to perform its obligations hereunder. The execution and delivery by FibroGen of this Option Agreement, and the consummation by FibroGen and Merger Sub of the Merger and the other transactions contemplated hereby, have been duly authorized by all necessary corporate action on the part of FibroGen, and at the Closing, will have been duly authorized by all necessary corporate action on the part of Merger Sub, and no other proceedings on the part of FibroGen are necessary to authorize this Option Agreement or to consummate the Merger and the other transactions contemplated hereby other than (a) the filing of the Certificate of Merger with the office of the Secretary of State of the State of Delaware and (b) the filing of a premerger notification and report form under the HSR Act, if necessary. This Option Agreement has been duly executed and delivered by FibroGen and, assuming the due execution of this Option Agreement by the other Parties, constitutes a valid, legal and binding obligation of FibroGen, Enforceable against FibroGen.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6.3. </w:t>
      </w:r>
      <w:r>
        <w:rPr>
          <w:rFonts w:ascii="Times New Roman" w:hAnsi="Times New Roman"/>
          <w:color w:val="000000"/>
          <w:sz w:val="20"/>
          <w:u w:val="single"/>
        </w:rPr>
        <w:t>Noncontravention</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execution and delivery by FibroGen of this Option Agreement, the consummation of the Merger and the other transactions contemplated hereunder and the compliance by FibroGen with the provisions of this Option Agreement do not and will not (i) result in the breach of any of the terms or conditions of, or constitute a default under or violate, as the case may be, the Constitutive Documents of FibroGen, or any material Contract to which FibroGen is bound, or by which any of its assets or properties may be affected or (ii) violate any Law or Judgment applicable to FibroGen, other than any such breaches, defaults or violations that individually or in the aggregate are not likely to impair in any material respect the ability of FibroGen to perform its obligations under this Option Agreement or any agreement contemplated by this Option Agreement, or prevent or materially impede or delay the consummation of the Merger or any of the other transactions contemplated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No consent, approval, qualification, order or authorization of, registration, declaration or filing with, or notice to, any Governmental Entity is required by FibroGen in connection with the execution and delivery by FibroGen of this Option Agreement, the consummation by FibroGen of the Merger and the other transactions contemplated by this Option Agreement or the compliance by FibroGen with the provisions of this Option Agreement, except for (i) the filing of a premerger notification and report form under the HSR Act, (ii) the filing of the Certificate of Merger with the office of the Secretary of State of the State of Delaware and appropriate documents with the relevant authorities of other states in which Fortis is qualified to do business and (iii) such other consents, approvals, orders, authorizations, registrations, declarations, filings and notices, the failure of which to be obtained or made individually or in the aggregate would not impair in any material respect the ability of FibroGen to perform its obligations under this Option Agreement or any agreement contemplated by this Option Agreement, or prevent or materially impede or delay the consummation of the Merger or any of the other transactions contemplated hereunder.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6.4. </w:t>
      </w:r>
      <w:r>
        <w:rPr>
          <w:rFonts w:ascii="Times New Roman" w:hAnsi="Times New Roman"/>
          <w:color w:val="000000"/>
          <w:sz w:val="20"/>
          <w:u w:val="single"/>
        </w:rPr>
        <w:t>Litigation</w:t>
      </w:r>
      <w:r>
        <w:rPr>
          <w:rFonts w:ascii="Times New Roman" w:hAnsi="Times New Roman"/>
          <w:color w:val="000000"/>
          <w:sz w:val="20"/>
        </w:rPr>
        <w:t>. There is no Action pending or, [*], threatened against FibroGen challenging the Merger or that would otherwise impair in any material respect the ability of FibroGen to perform its obligations under this Option Agreement or any agreement contemplated by this Option Agreement, or prevent or materially impede or delay the consummation of the Merger or any of the other transactions contemplated hereunder.</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6.5. </w:t>
      </w:r>
      <w:r>
        <w:rPr>
          <w:rFonts w:ascii="Times New Roman" w:hAnsi="Times New Roman"/>
          <w:color w:val="000000"/>
          <w:sz w:val="20"/>
          <w:u w:val="single"/>
        </w:rPr>
        <w:t>Brokers</w:t>
      </w:r>
      <w:r>
        <w:rPr>
          <w:rFonts w:ascii="Times New Roman" w:hAnsi="Times New Roman"/>
          <w:color w:val="000000"/>
          <w:sz w:val="20"/>
        </w:rPr>
        <w:t>. FibroGen has not employed or entered into any Contract with any investment banker, broker, finder, or similar intermediary in connection with the transactions contemplated by this Option Agreement, pursuant to which the Sellers could be liable for the fee or commission of such investment banker, broker, finder or similar intermediary, or for any similar fee or commission in connection with the Merger, this Option Agreement or the other transactions contemplated hereunder.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6.6. </w:t>
      </w:r>
      <w:r>
        <w:rPr>
          <w:rFonts w:ascii="Times New Roman" w:hAnsi="Times New Roman"/>
          <w:color w:val="000000"/>
          <w:sz w:val="20"/>
          <w:u w:val="single"/>
        </w:rPr>
        <w:t>Capital Resources</w:t>
      </w:r>
      <w:r>
        <w:rPr>
          <w:rFonts w:ascii="Times New Roman" w:hAnsi="Times New Roman"/>
          <w:color w:val="000000"/>
          <w:sz w:val="20"/>
        </w:rPr>
        <w:t xml:space="preserve">. At the Closing, FibroGen will have available all of the funds necessary to make the payments required to be made pursuant to </w:t>
      </w:r>
      <w:r>
        <w:rPr>
          <w:rFonts w:ascii="Times New Roman" w:hAnsi="Times New Roman"/>
          <w:color w:val="000000"/>
          <w:sz w:val="20"/>
          <w:u w:val="single"/>
        </w:rPr>
        <w:t>Section 2.4</w:t>
      </w:r>
      <w:r>
        <w:rPr>
          <w:rFonts w:ascii="Times New Roman" w:hAnsi="Times New Roman"/>
          <w:color w:val="000000"/>
          <w:sz w:val="20"/>
        </w:rPr>
        <w:t xml:space="preserve"> and to consummate the transactions contemplated by this Option Agreement, and at the time any Contingent Payment becomes due and payable to the Sellers, FibroGen will have available all of the funds necessary to pay the full amount of such Contingent Payment.</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7</w:t>
      </w:r>
      <w:r>
        <w:rPr>
          <w:rFonts w:ascii="Times New Roman" w:hAnsi="Times New Roman"/>
          <w:caps/>
          <w:color w:val="000000"/>
          <w:sz w:val="20"/>
          <w:u w:val="single"/>
        </w:rPr>
        <w:br/>
        <w:t>Certain Covenants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7.1. </w:t>
      </w:r>
      <w:r>
        <w:rPr>
          <w:rFonts w:ascii="Times New Roman" w:hAnsi="Times New Roman"/>
          <w:color w:val="000000"/>
          <w:sz w:val="20"/>
          <w:u w:val="single"/>
        </w:rPr>
        <w:t>Conduct of Business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(a) From the date hereof until the earlier of the Closing Date and the termination of this Agreement (the “</w:t>
      </w:r>
      <w:r>
        <w:rPr>
          <w:rFonts w:ascii="Times New Roman" w:hAnsi="Times New Roman"/>
          <w:i/>
          <w:color w:val="000000"/>
          <w:sz w:val="20"/>
        </w:rPr>
        <w:t>Pre-Closing Period</w:t>
      </w:r>
      <w:r>
        <w:rPr>
          <w:rFonts w:ascii="Times New Roman" w:hAnsi="Times New Roman"/>
          <w:color w:val="000000"/>
          <w:sz w:val="20"/>
        </w:rPr>
        <w:t xml:space="preserve">”), Fortis shall, except as (i) expressly permitted or required by the terms of this Option Agreement or the Evaluation Agreement, (ii) as required by applicable Law, or (iii) with the prior written consent of FibroGen (which shall not be unreasonably conditioned, withheld or delayed), use [*] to (A) conduct its business in the Ordinary Course of Business; and (B) (i) keep its physical assets in good working condition and (ii) keep in full force and effect all material Fortis Intellectual Property; provided that, neither Fortis nor the Sellers shall be liable or required to indemnify FibroGen or any of the FibroGen Indemnified Parties under </w:t>
      </w:r>
      <w:r>
        <w:rPr>
          <w:rFonts w:ascii="Times New Roman" w:hAnsi="Times New Roman"/>
          <w:color w:val="000000"/>
          <w:sz w:val="20"/>
          <w:u w:val="single"/>
        </w:rPr>
        <w:t>Article 9</w:t>
      </w:r>
      <w:r>
        <w:rPr>
          <w:rFonts w:ascii="Times New Roman" w:hAnsi="Times New Roman"/>
          <w:color w:val="000000"/>
          <w:sz w:val="20"/>
        </w:rPr>
        <w:t xml:space="preserve"> for any loss of rights resulting from FibroGen’s activities under or non-compliance with the Evaluation Agreement. In the event Fortis fails to make any payment on any invoice or other Liability that is or becomes due and payable during the period between the date hereof and Closing, and such failure is not in respect of any such invoices or Liabilities pursuant to the Study Plan, and such failure to pay would reasonably be expected to result in a Material Adverse Change, Fortis shall notify FibroGen of such failure to pay as promptly as practicable after becoming aware of such failure. FibroGen shall have the right, but not the obligation, to make such payment, for and on behalf of Fortis, and if FibroGen elects to make such payment then FibroGen shall notify Fortis in writing and [*] actually made by FibroGen shall be deemed to constitute a Deal Fee if the Closing occurs; provided that, if this Option Agreement is terminated pursuant to </w:t>
      </w:r>
      <w:r>
        <w:rPr>
          <w:rFonts w:ascii="Times New Roman" w:hAnsi="Times New Roman"/>
          <w:color w:val="000000"/>
          <w:sz w:val="20"/>
          <w:u w:val="single"/>
        </w:rPr>
        <w:t>Article 10</w:t>
      </w:r>
      <w:r>
        <w:rPr>
          <w:rFonts w:ascii="Times New Roman" w:hAnsi="Times New Roman"/>
          <w:color w:val="000000"/>
          <w:sz w:val="20"/>
        </w:rPr>
        <w:t xml:space="preserve">, Fortis shall have no obligation to reimburse FibroGen for any such payments.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In addition to and without limiting the generality of </w:t>
      </w:r>
      <w:r>
        <w:rPr>
          <w:rFonts w:ascii="Times New Roman" w:hAnsi="Times New Roman"/>
          <w:color w:val="000000"/>
          <w:sz w:val="20"/>
          <w:u w:val="single"/>
        </w:rPr>
        <w:t>Section 7.1(a)</w:t>
      </w:r>
      <w:r>
        <w:rPr>
          <w:rFonts w:ascii="Times New Roman" w:hAnsi="Times New Roman"/>
          <w:color w:val="000000"/>
          <w:sz w:val="20"/>
        </w:rPr>
        <w:t xml:space="preserve">, except (A) as expressly permitted or required by the terms of this Option Agreement or the Evaluation Agreement, (B) as required by applicable Law, or (C) as otherwise set forth on </w:t>
      </w:r>
      <w:r>
        <w:rPr>
          <w:rFonts w:ascii="Times New Roman" w:hAnsi="Times New Roman"/>
          <w:color w:val="000000"/>
          <w:sz w:val="20"/>
          <w:u w:val="single"/>
        </w:rPr>
        <w:t>Section 7.1(b)</w:t>
      </w:r>
      <w:r>
        <w:rPr>
          <w:rFonts w:ascii="Times New Roman" w:hAnsi="Times New Roman"/>
          <w:color w:val="000000"/>
          <w:sz w:val="20"/>
        </w:rPr>
        <w:t xml:space="preserve"> of the Disclosure Schedule, during the Pre-Closing Period, Fortis shall not, without the prior written consent of FibroGen (which consent shall not be unreasonably withheld, delayed or conditioned):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amend its Constitutive Documents in a manner that is adverse to FibroGen or would reasonably be expected to impair in any material respect the ability of Fortis to perform its obligations under this Option Agreement or any agreement contemplated by this Option Agreement, or prevent or materially impede or delay the consummation of the Merger or any of the other transactions contemplated hereunder;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 declare, set aside or pay any dividend on, or make any other distribution (whether in cash, stock or property) in respect of, any Fortis Capital Stock to holders of Fortis Capital Stock from time to time outstanding;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(iii) split, combine or reclassify any Fortis Capital Stock, or issue or authorize the issuance of any other securities in respect of, in lieu of or in substitution for shares of Fortis Capital Stock;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purchase, redeem or otherwise acquire any shares of Fortis Capital Stock, or any option, warrant, call or right relating to such shares, interests or other securities (including any Fortis Stock Options), other than any repurchase of Fortis Common Stock upon the termination of employment or service of any Fortis Personnel, pursuant to a right of repurchase in favor of Fortis in any Benefit Plan or Contract to which such Fortis Personnel is subject that has been made available to FibroGen and for a per share purchase price not in excess of the per share price set forth in such Benefit Plan or Contract;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(v) issue, grant, deliver, sell, pledge, subject to any Lien or otherwise dispose of, any shares of Fortis Capital Stock, any Fortis Stock Options, or any securities convertible into, or exchangeable for, Fortis Capital Stock or any Fortis Stock Options, Warrants or other options, warrants, calls or rights to acquire or receive, any such shares, interests or other securities or any stock appreciation rights, phantom stock awards or other rights that are linked in any way to the price of Fortis Common Stock or the value of Fortis or any part thereof, other than (A) the conversion of shares of Fortis Preferred Stock to Fortis Common Stock in accordance with the Constitutive Documents of Fortis and (B) the exercise, settlement or vesting of any Fortis Stock Options, Restricted Stock or other awards granted under the Fortis Stock Plan prior to the date hereof or in accordance with the written consent of FibroGen in accordance with their terms as in effect on the date hereof or the date of issuance, as applicable;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 (A) create, incur or assume any Indebtedness (excluding clauses (x) and (xi) of the definition of Indebtedness), or issue or sell, or amend, modify or change any term of, any debt securities or options, warrants, calls or other rights to acquire any debt securities of Fortis, (B) guarantee or endorse any Indebtedness of another Person, (C) make any loans, advances or capital contributions to, or investments in, any Person other than Fortis, other than loans and advances to employees, independent contractors or consultants in the Ordinary Course of Business, (D) enter into any “keep well” or other Contract to maintain any financial statement condition of another Person or (E) enter into any Contract having the economic effect of any of the foregoing clauses (A) through (D);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(vii) sell, license, mortgage, transfer, dispose of or otherwise encumber or subject to any Lien other than a Permitted Lien (A) any properties or assets, which are material, individually or in the aggregate, to Fortis (excluding any sale of furniture, fixtures or equipment that does not materially impact the conduct of Fortis’ business) or (B) in any case, any Fortis Intellectual Property (or otherwise allow to lapse any rights under any such Fortis Intellectual Property) other than any non-exclusive license pursuant to any fee for service agreements entered into in the Ordinary Course of Business that do not convey any rights in any Intellectual Property generated to a Third Party as a result of the service conducted (it being expressly understood that Fortis shall not enter into any material transfer agreements with any Third Party without the prior written consent of FibroGen);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 acquire or agree to acquire (A) by merging or consolidating with, or by purchasing all or a substantial portion of the assets of, or by purchasing all or a substantial portion of the Capital Stock of, or by any other manner, any business or any other Person or any division thereof, or (B) any assets, including any interest in real property, other than in the Ordinary Course of Business, that are material, individually or in the aggregate, to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(ix) make any new capital expenditure or expenditures, other than any which, individually, is less than or equal to [*], are less than or equal to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 (A) pay, discharge, settle or satisfy any Liabilities (absolute, accrued, asserted or unasserted, contingent or otherwise), other than the payment, discharge, settlement or satisfaction in the Ordinary Course of Business or in accordance with their terms, of Liabilities reserved in the balance sheet prepared by Fortis in the Ordinary Course of Business at the end of the then most recent quarter (for amounts not in excess of such reserves and to the extent such reserves are not since released) or incurred since the date of such balance sheet in the Ordinary Course of Business, (B) cancel any Indebtedness, (C) waive or assign any claims or rights of substantial value, or (D) waive, release or assign any material benefit under, or agree to amend in any respect materially adverse to Fortis, any Material Contract to which Fortis is a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 accelerate or delay the payment of any account payable, other than in the Ordinary Course of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(xii) initiate, launch or commence any sale, marketing, distribution, co-promotion or any similar activity with respect to any new product (including products under development) in or outside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(xiii) except as required to comply with any Contract or Benefit Plan in effect as of the date hereof and disclosed on a Schedule to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increase the amount of any compensation payable or paid, whether conditionally or otherwise, to any Fortis Personnel (other than any increase adopted in the Ordinary Course of Business in respect of the compensation of any non-officer employee or independent contractor or consultant, in each case, whose annual base compensation does not exceed [*] after giving effect to such increase) or grant or promise to grant any new compensation or benefit entitlements to any Fortis Personnel;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accelerate the timing, vesting or payment of any compensation or benefit payable to any Fortis Personnel of Fortis or any Affiliate;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terminate, establish, adopt, enter into or amend any material Benefit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hire, engage or terminate (other than a termination for cause) the employment or engagement of any employee or individual independent contractor who earns or will earn annual base compensation in excess of [*];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implement any layoffs affecting ten (10) or more employees, place ten (10) or more employees on unpaid leave or furlough, or reduce the hours or weekly pay of ten (10) or more employees.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(xiv) enter into any lease or sublease of real property (whether as a lessor, sublessor, lessee or sublessee) or modify, amend, terminate or fail to exercise any right to renew any lease or sublease of real property;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(xv) except to the extent otherwise expressly required by this Option Agreement or the Evaluation Agreement, and notwithstanding any other provision of this </w:t>
      </w:r>
      <w:r>
        <w:rPr>
          <w:rFonts w:ascii="Times New Roman" w:hAnsi="Times New Roman"/>
          <w:color w:val="000000"/>
          <w:sz w:val="20"/>
          <w:u w:val="single"/>
        </w:rPr>
        <w:t>Section 7.2</w:t>
      </w:r>
      <w:r>
        <w:rPr>
          <w:rFonts w:ascii="Times New Roman" w:hAnsi="Times New Roman"/>
          <w:color w:val="000000"/>
          <w:sz w:val="20"/>
        </w:rPr>
        <w:t xml:space="preserve">, engage in any new business or business activity relating to the Products;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(xvi) enter into any Contract (or any substantially related Contracts, taken together):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that would be of a type that would constitute a Material Contract had such Contract been in effect on the date hereof, other than Contracts terminable by Fortis for any reason upon less than [*] notice without material penalty;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 providing for a research, license, sublicense, partnership or other collaboration with any biotechnology, pharmaceutical or similar company;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providing for (i) the out-license of any Fortis Intellectual Property or Technology to any third party, other than any other than any non-exclusive license pursuant to fee for service agreements entered into in the Ordinary Course of Business that do not convey any rights in any Intellectual Property generated to a third party as a result of the service conducted (it being expressly understood that Fortis shall not enter into any material transfer agreements with any third party without the prior written consent of FibroGen), or (ii) the in-license of any Intellectual Property or Technology to Fortis other than pursuant to any fee for service agreements entered into in the Ordinary Course of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if consummation of the Merger or any of the other transactions contemplated by this Option Agreement will conflict with, or result in any violation or breach of, or default (with or without notice or lapse of time or both) under, or give rise to a right of, or result in, termination, cancellation or acceleration of any material obligation or to a loss of a material benefit under, or result in the creation of any Lien (other than a Permitted Lien) in or upon any of the properties or assets of Fortis or any of Fortis’ Affiliates under, any provision of such Contract; or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with any Affiliate of Fortis, other than (i) on arms-length or better than arms-length terms for Fortis terms or (ii) than employment, individual independent contractor or consulting Contracts, subject to the other provisions of this </w:t>
      </w:r>
      <w:r>
        <w:rPr>
          <w:rFonts w:ascii="Times New Roman" w:hAnsi="Times New Roman"/>
          <w:color w:val="000000"/>
          <w:sz w:val="20"/>
          <w:u w:val="single"/>
        </w:rPr>
        <w:t>Section 7.1(b)</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(xvii) pay, discharge, settle or satisfy any Action unless (i) the claimant provides an unqualified release of any such claim, (ii) such settlement does not involve any injunctive relief binding upon Fortis, (iii) such settlement does not encumber any of the assets of Fortis or impose any restriction or condition that would apply or materially affect the conduct of Fortis and (iv) such settlement does not involve any admission of liability or wrongdoing;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(xviii) negotiate, adopt, enter into, amend or extend any collective bargaining agreement or other Contract with a Union;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(xix) commence, participate or agree to commence or participate in any plan or arrangement for the complete or partial dissolution, liquidation, merger, consolidation, restructuring, recapitalization, or other reorganization of Fortis (other than the Merger), including any bankruptcy, winding up, examinership, insolvency or similar proceeding in respect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 create or have any Subsidiary of Fortis;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(xxi) fail to maintain Fortis’ corporate existence, due organization and good standing under the Laws of the State of Delaware;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(xxii) employ or enter into any Contract with any investment banker, broker, finder or advisor in connection with the Merger or the other transactions contemplated by this Option Agreement other than any whose fees and expenses are deducted from the Closing Payment pursuant to the definition of the Closing Payment;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(xxiii) make or engage in any public offering of any securities of Fortis;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(xxiv) enter into any Contract not to compete in any line of business or geographic or therapeutic area or otherwise restricting the development, manufacture, marketing, distribution or sale of products that would be binding on FibroGen as a result of the Merger; or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(xxv) authorize any of, or commit, resolve or agree, whether in writing or otherwise, to take any of, the actions prohibited in </w:t>
      </w:r>
      <w:r>
        <w:rPr>
          <w:rFonts w:ascii="Times New Roman" w:hAnsi="Times New Roman"/>
          <w:color w:val="000000"/>
          <w:sz w:val="20"/>
          <w:u w:val="single"/>
        </w:rPr>
        <w:t>Section 7.1(b)(i)</w:t>
      </w:r>
      <w:r>
        <w:rPr>
          <w:rFonts w:ascii="Times New Roman" w:hAnsi="Times New Roman"/>
          <w:color w:val="000000"/>
          <w:sz w:val="20"/>
        </w:rPr>
        <w:t xml:space="preserve"> through </w:t>
      </w:r>
      <w:r>
        <w:rPr>
          <w:rFonts w:ascii="Times New Roman" w:hAnsi="Times New Roman"/>
          <w:color w:val="000000"/>
          <w:sz w:val="20"/>
          <w:u w:val="single"/>
        </w:rPr>
        <w:t>(xxiv)</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7.2. </w:t>
      </w:r>
      <w:r>
        <w:rPr>
          <w:rFonts w:ascii="Times New Roman" w:hAnsi="Times New Roman"/>
          <w:color w:val="000000"/>
          <w:sz w:val="20"/>
          <w:u w:val="single"/>
        </w:rPr>
        <w:t>Tax Matters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(a) During the period from the date of this Option Agreement to the Closing, Fortis shall (A) timely file all tax returns (“</w:t>
      </w:r>
      <w:r>
        <w:rPr>
          <w:rFonts w:ascii="Times New Roman" w:hAnsi="Times New Roman"/>
          <w:i/>
          <w:color w:val="000000"/>
          <w:sz w:val="20"/>
        </w:rPr>
        <w:t>Post-Signing Returns</w:t>
      </w:r>
      <w:r>
        <w:rPr>
          <w:rFonts w:ascii="Times New Roman" w:hAnsi="Times New Roman"/>
          <w:color w:val="000000"/>
          <w:sz w:val="20"/>
        </w:rPr>
        <w:t xml:space="preserve"> XE "Post-Signing Returns" ”) required to be filed by or on behalf of Fortis and timely pay all Taxes due and payable in respect of such Post-Signing Returns that are so filed; (B) submit any Post-Signing Returns that are to be filed after the date of this Option Agreement to FibroGen for review and comment prior to filing; (C) not take any position on such Post-Signing Returns that is inconsistent with past custom and practice unless required by applicable law; (D) promptly notify FibroGen of any Tax-related suit, claim, action, investigation, proceeding or audit (collectively, “</w:t>
      </w:r>
      <w:r>
        <w:rPr>
          <w:rFonts w:ascii="Times New Roman" w:hAnsi="Times New Roman"/>
          <w:i/>
          <w:color w:val="000000"/>
          <w:sz w:val="20"/>
        </w:rPr>
        <w:t>Tax Actions</w:t>
      </w:r>
      <w:r>
        <w:rPr>
          <w:rFonts w:ascii="Times New Roman" w:hAnsi="Times New Roman"/>
          <w:color w:val="000000"/>
          <w:sz w:val="20"/>
        </w:rPr>
        <w:t xml:space="preserve"> XE "Actions" ”) that is or becomes pending against or with respect to Fortis; (E) not make, change or rescind any material Tax election or settle or compromise any material Tax liability, other than with FibroGen’s consent (which consent shall not be unreasonably withheld or delayed); (F) not, with respect to Fortis, without the prior written consent of FibroGen, change any Tax accounting period or method, or file any amended income or other material Tax Return; (G) not surrender any right to claim a refund of material Taxes, nor consent to any extension or waiver of the limitations period for the assessment of Taxes other than pursuant to automatic extensions of the due date for filing a Tax Return obtained in the Ordinary Course of Business; (H) except as required by GAAP, not revalue any material assets of Fortis; (I) not eliminate any reserves established on Fortis’ books or change the method of accrual unless there is any change of significant facts or circumstances pertaining to any reserves which would justify their elimination; (J) not enter into any closing agreement with a Governmental Entity, voluntarily approach any taxing authority in respect of prior year Taxes (including through any voluntary disclosure process); (K) not change the Tax residency of Fortis; and (L) cause all existing Tax sharing agreements, Tax indemnity obligations and similar agreements, arrangements or practices with respect to Taxes to which Fortis is or may be a party or by which Fortis is or may otherwise be bound (other than agreements, arrangements or Contracts entered into in the Ordinary Course of Business the primary purpose of which is not Taxes) to be terminated as of the Closing Date so that after such date Fortis shall have no further rights or liabilities thereunder.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FibroGen shall prepare and file, or cause to be prepared and filed, all Tax Returns of Fortis required to be filed after the Closing Date. To the extent such Tax Returns relate to a period (or portion thereof) ending on or prior to the Closing Date, such Tax Returns shall (i) be prepared consistent with past practice, unless otherwise required by applicable Law; (ii) be prepared in accordance with </w:t>
      </w:r>
      <w:r>
        <w:rPr>
          <w:rFonts w:ascii="Times New Roman" w:hAnsi="Times New Roman"/>
          <w:color w:val="000000"/>
          <w:sz w:val="20"/>
          <w:u w:val="single"/>
        </w:rPr>
        <w:t>Sections 7.2(j)(iv)-(v)</w:t>
      </w:r>
      <w:r>
        <w:rPr>
          <w:rFonts w:ascii="Times New Roman" w:hAnsi="Times New Roman"/>
          <w:color w:val="000000"/>
          <w:sz w:val="20"/>
        </w:rPr>
        <w:t>; and (iii) include all Transaction Deductions on the income Tax Return of Fortis for the taxable period that includes the Closing Date to the extent deductible in a Pre-Closing Tax period at a “more likely than not” or higher level of comfort (as determined by a nationally recognized accounting firm) and include an election under Revenue Procedure 2011-29, 2011-18 I.R.B. 746, to apply the [*] to any Deal Fees that are “success based fees” as defined in Treasury Regulation Section 1.263(a)-5(f). FibroGen shall deliver a draft copy of each such Tax Return to the Sellers’ Representative for its review and comment at least [*] before the due date thereof (taking into account any applicable extensions) in the case of income Tax Returns and as soon as practicable in the case of all other Tax Returns, and FibroGen shall consider in good faith any reasonable comments of the Sellers’ Representative on such Tax Returns.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Each of the parties hereto shall reasonably cooperate, and shall cause their respective Affiliates, officers, employees, agents, auditors and representatives reasonably to cooperate, in preparing and filing all Tax Returns of Fortis relating to any Pre-Closing Tax Period or Straddle Period, including retaining, maintaining and making available (with the right to make copies) all records in such party’s possession which are reasonably relevant in connection with Taxes of Fortis relating to any Pre-Closing Tax Period or Straddle Period, and in resolving all disputes and audits with respect to all such Pre-Closing Tax Periods and Straddle Periods.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Notwithstanding anything to the contrary in this Option Agreement, [*] of any Transfer Taxes shall be paid by the Sellers and [*] shall be paid by FibroGen, and the Sellers and FibroGen shall cooperate in timely making all Tax Returns as may be required to comply with the provisions of such Tax Laws. FibroGen and the Sellers will reasonably cooperate with each other to lawfully minimize any such Transfer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 From the date hereof through the Closing Date, Fortis shall not effect any extraordinary transactions (other than any such transactions expressly required by applicable Law or by this Option Agreement) that would reasonably be expected to result in Tax liability to Fortis in a Post-Closing Tax Period in excess of Tax liability associated with the Ordinary Course of Business.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Except to the extent required by Law, FibroGen shall not, and shall not permit the Surviving Corporation to: (i) except for Tax Returns that are filed in accordance with </w:t>
      </w:r>
      <w:r>
        <w:rPr>
          <w:rFonts w:ascii="Times New Roman" w:hAnsi="Times New Roman"/>
          <w:color w:val="000000"/>
          <w:sz w:val="20"/>
          <w:u w:val="single"/>
        </w:rPr>
        <w:t>Section 7.2(b)</w:t>
      </w:r>
      <w:r>
        <w:rPr>
          <w:rFonts w:ascii="Times New Roman" w:hAnsi="Times New Roman"/>
          <w:color w:val="000000"/>
          <w:sz w:val="20"/>
        </w:rPr>
        <w:t xml:space="preserve">, file or amend any Tax Return relating to a Pre-Closing Tax Period, or (ii) with respect to Tax Returns filed pursuant to </w:t>
      </w:r>
      <w:r>
        <w:rPr>
          <w:rFonts w:ascii="Times New Roman" w:hAnsi="Times New Roman"/>
          <w:color w:val="000000"/>
          <w:sz w:val="20"/>
          <w:u w:val="single"/>
        </w:rPr>
        <w:t>Section 7.2(b)</w:t>
      </w:r>
      <w:r>
        <w:rPr>
          <w:rFonts w:ascii="Times New Roman" w:hAnsi="Times New Roman"/>
          <w:color w:val="000000"/>
          <w:sz w:val="20"/>
        </w:rPr>
        <w:t xml:space="preserve">, after the date such Tax Returns are filed pursuant to </w:t>
      </w:r>
      <w:r>
        <w:rPr>
          <w:rFonts w:ascii="Times New Roman" w:hAnsi="Times New Roman"/>
          <w:color w:val="000000"/>
          <w:sz w:val="20"/>
          <w:u w:val="single"/>
        </w:rPr>
        <w:t>Section 7.2(b)</w:t>
      </w:r>
      <w:r>
        <w:rPr>
          <w:rFonts w:ascii="Times New Roman" w:hAnsi="Times New Roman"/>
          <w:color w:val="000000"/>
          <w:sz w:val="20"/>
        </w:rPr>
        <w:t xml:space="preserve">, amend any such Tax Return except in accordance with the procedures set forth in </w:t>
      </w:r>
      <w:r>
        <w:rPr>
          <w:rFonts w:ascii="Times New Roman" w:hAnsi="Times New Roman"/>
          <w:color w:val="000000"/>
          <w:sz w:val="20"/>
          <w:u w:val="single"/>
        </w:rPr>
        <w:t>Section 7.2(b)</w:t>
      </w:r>
      <w:r>
        <w:rPr>
          <w:rFonts w:ascii="Times New Roman" w:hAnsi="Times New Roman"/>
          <w:color w:val="000000"/>
          <w:sz w:val="20"/>
        </w:rPr>
        <w:t>, (iii) initiate discussions or examinations with, or make any voluntary disclosures to, any Governmental Entity regarding Taxes with respect to a Pre-Closing Tax Period, (iv) make or change any election with respect to Taxes for a Pre-Closing Tax Period of Fortis, or (v) change any accounting method that shifts taxable income from a Tax period beginning (or deemed to begin) after the Closing Date to a Pre-Closing Tax Period or shifts deductions or losses from a Pre-Closing Tax Period to a Tax period beginning (or deemed to begin) after the Closing Date, in each case, without the prior written consent of the Sellers’ Representative (which shall not be unreasonably withheld, conditioned or delayed) to the extent any such action, would reasonably be expected to increase the amount of any Taxes taken into account in determining the amount of Pre-Closing Taxes or as a liability in calculating the Closing Liability Amount, or that could reasonably be expected to give rise to an increased claim for indemnification under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Fortis shall cause the provisions of any Tax allocation, indemnity or sharing Contract to which Fortis is a party to be terminated on or before the Closing Date; </w:t>
      </w:r>
      <w:r>
        <w:rPr>
          <w:rFonts w:ascii="Times New Roman" w:hAnsi="Times New Roman"/>
          <w:i/>
          <w:color w:val="000000"/>
          <w:sz w:val="20"/>
        </w:rPr>
        <w:t>provided</w:t>
      </w:r>
      <w:r>
        <w:rPr>
          <w:rFonts w:ascii="Times New Roman" w:hAnsi="Times New Roman"/>
          <w:color w:val="000000"/>
          <w:sz w:val="20"/>
        </w:rPr>
        <w:t xml:space="preserve"> that this provision shall not apply to agreements, arrangements or Contracts entered into in the Ordinary Course of Business the primary purpose of which is not Taxes.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 If Fortis fails to deliver the certificate set forth in </w:t>
      </w:r>
      <w:r>
        <w:rPr>
          <w:rFonts w:ascii="Times New Roman" w:hAnsi="Times New Roman"/>
          <w:color w:val="000000"/>
          <w:sz w:val="20"/>
          <w:u w:val="single"/>
        </w:rPr>
        <w:t>Section 4.2(e)</w:t>
      </w:r>
      <w:r>
        <w:rPr>
          <w:rFonts w:ascii="Times New Roman" w:hAnsi="Times New Roman"/>
          <w:color w:val="000000"/>
          <w:sz w:val="20"/>
        </w:rPr>
        <w:t xml:space="preserve"> and the Merger is consummated, then FibroGen and the Surviving Corporation shall be permitted to treat Fortis as a U.S. real property holding corporation as defined in Section 897 of the Code and deduct from any payments made in accordance with this Option Agreement the amount of any tax withholding that is required under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To the extent permitted or required, the taxable year of Fortis that includes the Closing Date shall close as of the end of the Closing Date. For purposes of this Option Agreement, in the case of any Straddle Period, the amount of Taxes based upon or measured by income, gain, activities, events or the level of any item for the Pre-Closing Tax Period, and any transaction-based Tax, will be determined based on an interim closing of the books as of the close of business on the Closing Date (and for such purpose, the Tax period of any pass-through entity will be deemed to terminate at such time), provided that any item determined on an annual periodic basis (such as exemptions, allowances or deductions, including depreciation and amortization deductions, other than with respect to property placed in service after the Closing) shall be apportioned on a daily basis. The amount of any other Taxes for a Straddle Period will be deemed to be the amount of such Tax for the entire Tax period multiplied by a fraction, the numerator of which is the number of days in the Tax period ending on the Closing Date and the denominator of which is the number of days in the Straddle Period.</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 The determination of “Closing Payment,” “Aggregate Closing Merger Consideration Adjustment Amount,” “Closing Indebtedness,” and “Closing Liability Amount” shall, in each case, be calculated in accordance with the following assumptions: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For income Tax purposes, the taxable year of Fortis ends as of the end of the day on the Closing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No Taxes are incurred by Fortis on the Closing Date after the Closing outside the Ordinary Course of Business (other than as explicitly contemplated by this Option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All Transaction Deductions are included as deductions against taxable income in the Pre-Closing Tax Period to the extent deductible in a Pre-Closing Tax period at a “more likely than not” or higher level of comfort (as determined by a nationally recognized accounting firm) and a timely election is made under Revenue Procedure 2011-29, 2011-18 I.R.B. 746, to apply the seventy percent (70%) safe-harbor to any Deal Fees that are “success based fees” as defined in Treasury Regulation Section 1.263(a)-5(f);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To the extent permitted by applicable Law, any net operating losses of Fortis arising in taxable periods ending (or deemed to end) on or prior to the Closing Date are applied against income arising in Pre-Closing Tax Periods (including, if permitted by applicable Law, pursuant to a carryback);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Any estimated Tax payments for any Pre-Closing Tax Period shall reduce the liability for Taxes for such period;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 Solely for purposes of determining Taxes included in the Closing Liability Amount, all such Taxes shall be determined based upon the past practices (including reporting positions, elections and accounting methods) of Fortis or its Subsidiaries in preparing its Tax Returns and solely for jurisdictions in which Fortis or its Subsidiaries have historically filed Tax Returns or in which Fortis or a Subsidiary first commenced activities in the current or immediately preceding Tax period.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(k) The Sellers’ Representative shall have the right to control any Tax Action, to the extent such Tax Action relates solely to taxable periods ending on or prior to the Closing Date and could reasonably be expected to form the basis for a claim for indemnification pursuant to this Option Agreement, and provided that (i) the Sellers’ Representative shall keep FibroGen fully informed concerning the process of such Tax Action, (ii) the Sellers’ Representative shall provide FibroGen copies of all correspondence and other documents relating to such Tax Action, (iii) FibroGen shall have the right to participate, at its own expense, in the conduct of such Tax Action, and (iv) the Sellers’ Representative shall not settle such Tax Action without the prior written consent of FibroGen (which consent shall not be unreasonably withheld, conditioned or delayed). FibroGen shall control all other Tax Actions; </w:t>
      </w:r>
      <w:r>
        <w:rPr>
          <w:rFonts w:ascii="Times New Roman" w:hAnsi="Times New Roman"/>
          <w:i/>
          <w:color w:val="000000"/>
          <w:sz w:val="20"/>
        </w:rPr>
        <w:t>provided</w:t>
      </w:r>
      <w:r>
        <w:rPr>
          <w:rFonts w:ascii="Times New Roman" w:hAnsi="Times New Roman"/>
          <w:color w:val="000000"/>
          <w:sz w:val="20"/>
        </w:rPr>
        <w:t>, that to the extent the Sellers could reasonably be expected to have an indemnification obligation under this Agreement with respect to such Tax Action, (A) FibroGen shall keep the Sellers’ Representative fully informed concerning the process of such Tax Action, (B) FibroGen shall provide the Sellers’ Representative copies of all correspondence and other documents relating to such Tax Action, (C) the Sellers’ Representative shall have the right to participate, at its own expense, in the conduct of such Tax Action, and (D) FibroGen shall not settle or compromise any such Tax Action without the prior written consent of the Sellers’ Representative (which consent shall not be unreasonably withheld, conditioned or delayed). Notwithstanding anything to the contrary in this Option Agreement, all Tax Actions shall be governed by this Section 7.2(k) and not Section 9.5(e).</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7.3. </w:t>
      </w:r>
      <w:r>
        <w:rPr>
          <w:rFonts w:ascii="Times New Roman" w:hAnsi="Times New Roman"/>
          <w:color w:val="000000"/>
          <w:sz w:val="20"/>
          <w:u w:val="single"/>
        </w:rPr>
        <w:t>Insurance</w:t>
      </w:r>
      <w:r>
        <w:rPr>
          <w:rFonts w:ascii="Times New Roman" w:hAnsi="Times New Roman"/>
          <w:color w:val="000000"/>
          <w:sz w:val="20"/>
        </w:rPr>
        <w:t xml:space="preserve">. Unless otherwise consented to by FibroGen in writing (which consent shall not be unreasonably withheld, conditioned or delayed), Fortis shall keep all material insurance policies set forth on </w:t>
      </w:r>
      <w:r>
        <w:rPr>
          <w:rFonts w:ascii="Times New Roman" w:hAnsi="Times New Roman"/>
          <w:color w:val="000000"/>
          <w:sz w:val="20"/>
          <w:u w:val="single"/>
        </w:rPr>
        <w:t>Section 5.17</w:t>
      </w:r>
      <w:r>
        <w:rPr>
          <w:rFonts w:ascii="Times New Roman" w:hAnsi="Times New Roman"/>
          <w:color w:val="000000"/>
          <w:sz w:val="20"/>
        </w:rPr>
        <w:t xml:space="preserve"> of the Disclosure Schedule, or comparable replacements therefor, in full force and effect through the Effective Time;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any such insurance policy may be amended or modified or substituted with another insurance policy (including a change in insurance carriers), so long as the coverage and limitations provided by such amended, modified or substituted insurance policy are not materially less favorable to Fortis as in the respective policies set forth in </w:t>
      </w:r>
      <w:r>
        <w:rPr>
          <w:rFonts w:ascii="Times New Roman" w:hAnsi="Times New Roman"/>
          <w:color w:val="000000"/>
          <w:sz w:val="20"/>
          <w:u w:val="single"/>
        </w:rPr>
        <w:t>Section 5.17</w:t>
      </w:r>
      <w:r>
        <w:rPr>
          <w:rFonts w:ascii="Times New Roman" w:hAnsi="Times New Roman"/>
          <w:color w:val="000000"/>
          <w:sz w:val="20"/>
        </w:rPr>
        <w:t xml:space="preserve"> of the Disclosure Schedule.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7.4. </w:t>
      </w:r>
      <w:r>
        <w:rPr>
          <w:rFonts w:ascii="Times New Roman" w:hAnsi="Times New Roman"/>
          <w:color w:val="000000"/>
          <w:sz w:val="20"/>
          <w:u w:val="single"/>
        </w:rPr>
        <w:t>Exclusivity</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Fortis shall not, nor shall it authorize or permit any of its officers, directors, stockholders or Representatives or any of its Affiliates to, directly or indirectly through another Person, (i) solicit, initiate or knowingly encourage, or take any other action designed to, or which would reasonably be expected to, facilitate, any Transaction Proposal or (ii) enter into, continue or otherwise participate in any discussions or negotiations regarding, or furnish to any Person any confidential information, or otherwise knowingly cooperate in any way with, any Transaction Proposal. Without limiting the foregoing, it is agreed that any violation of the restrictions set forth in the preceding sentence by any Representative of Fortis shall be a breach of this </w:t>
      </w:r>
      <w:r>
        <w:rPr>
          <w:rFonts w:ascii="Times New Roman" w:hAnsi="Times New Roman"/>
          <w:color w:val="000000"/>
          <w:sz w:val="20"/>
          <w:u w:val="single"/>
        </w:rPr>
        <w:t>Section 7.4</w:t>
      </w:r>
      <w:r>
        <w:rPr>
          <w:rFonts w:ascii="Times New Roman" w:hAnsi="Times New Roman"/>
          <w:color w:val="000000"/>
          <w:sz w:val="20"/>
        </w:rPr>
        <w:t xml:space="preserve"> by Fortis. Fortis shall, and shall direct its Representatives to, (i) immediately cease and cause to be terminated all existing discussions or negotiations with any Person conducted heretofore with respect to any Transaction Proposal and (ii) promptly after the date hereof request the prompt return or destruction of all confidential information previously furnished to such Person(s) within the [*] for the purpose of evaluating a possible Transaction Proposal.</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If Fortis or any of its officers, directors, stockholders or Representatives or any of its Affiliates, receives any Transaction Proposal, Fortis shall promptly advise FibroGen orally and in writing of such Transaction Proposal, the material terms and conditions of any such Transaction Proposal or inquiry (including any material changes thereto), a copy of any written materials received from such Person making the Transaction Proposal, but Fortis need not disclose the identity of the Person making any such Transaction Proposal or inquiry. Notwithstanding anything to the contrary, Fortis’ covenant under </w:t>
      </w:r>
      <w:r>
        <w:rPr>
          <w:rFonts w:ascii="Times New Roman" w:hAnsi="Times New Roman"/>
          <w:color w:val="000000"/>
          <w:sz w:val="20"/>
          <w:u w:val="single"/>
        </w:rPr>
        <w:t>Section 7.4(a)</w:t>
      </w:r>
      <w:r>
        <w:rPr>
          <w:rFonts w:ascii="Times New Roman" w:hAnsi="Times New Roman"/>
          <w:color w:val="000000"/>
          <w:sz w:val="20"/>
        </w:rPr>
        <w:t xml:space="preserve"> shall not be relieved or diminished upon the receipt of a Transaction Proposal.</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7.5. </w:t>
      </w:r>
      <w:r>
        <w:rPr>
          <w:rFonts w:ascii="Times New Roman" w:hAnsi="Times New Roman"/>
          <w:color w:val="000000"/>
          <w:sz w:val="20"/>
          <w:u w:val="single"/>
        </w:rPr>
        <w:t>Indemnification of Officers and Directors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(a) [*] FibroGen shall cause the Surviving Corporation to fulfill and honor in all respects the obligations of Fortis pursuant to any indemnification provisions under the certificate of incorporation and bylaws of Fortis as in effect on the date of this Option Agreement and pursuant to any indemnity agreements between Fortis and such Person [*] (the Persons entitled to be indemnified pursuant to such provisions, and all other current and former directors and officers of Fortis, being referred to collectively as the “</w:t>
      </w:r>
      <w:r>
        <w:rPr>
          <w:rFonts w:ascii="Times New Roman" w:hAnsi="Times New Roman"/>
          <w:i/>
          <w:color w:val="000000"/>
          <w:sz w:val="20"/>
        </w:rPr>
        <w:t>D&amp;O Indemnified Parties</w:t>
      </w:r>
      <w:r>
        <w:rPr>
          <w:rFonts w:ascii="Times New Roman" w:hAnsi="Times New Roman"/>
          <w:color w:val="000000"/>
          <w:sz w:val="20"/>
        </w:rPr>
        <w:t>”). FibroGen shall cause the certificate of incorporation and bylaws of Merger Sub and the Surviving Corporation to contain the provisions with respect to indemnification and exculpation from liability set forth in Fortis’ certificate of incorporation and bylaws on the date of this Option Agreement, which provisions shall not be amended, repealed or otherwise modified after the Effective Time in any manner that could adversely affect the rights thereunder of any D&amp;O Indemnified Party.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This </w:t>
      </w:r>
      <w:r>
        <w:rPr>
          <w:rFonts w:ascii="Times New Roman" w:hAnsi="Times New Roman"/>
          <w:color w:val="000000"/>
          <w:sz w:val="20"/>
          <w:u w:val="single"/>
        </w:rPr>
        <w:t>Section 7.5</w:t>
      </w:r>
      <w:r>
        <w:rPr>
          <w:rFonts w:ascii="Times New Roman" w:hAnsi="Times New Roman"/>
          <w:color w:val="000000"/>
          <w:sz w:val="20"/>
        </w:rPr>
        <w:t xml:space="preserve"> shall survive the consummation of the Merger and the Effective Time, is intended to benefit and may be enforced by the D&amp;O Indemnified Parties, who shall be third-party beneficiaries of this </w:t>
      </w:r>
      <w:r>
        <w:rPr>
          <w:rFonts w:ascii="Times New Roman" w:hAnsi="Times New Roman"/>
          <w:color w:val="000000"/>
          <w:sz w:val="20"/>
          <w:u w:val="single"/>
        </w:rPr>
        <w:t>Section 7.5</w:t>
      </w:r>
      <w:r>
        <w:rPr>
          <w:rFonts w:ascii="Times New Roman" w:hAnsi="Times New Roman"/>
          <w:color w:val="000000"/>
          <w:sz w:val="20"/>
        </w:rPr>
        <w:t>, and shall be binding on all successors and assigns of FibroGen and the Surviving Corporation.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bookmarkStart w:id="125" w:name="el2o06o"/>
      <w:bookmarkEnd w:id="125"/>
      <w:r>
        <w:rPr>
          <w:rFonts w:ascii="Times New Roman" w:hAnsi="Times New Roman"/>
          <w:color w:val="000000"/>
          <w:sz w:val="20"/>
        </w:rPr>
        <w:t xml:space="preserve">(d) In the event that FibroGen or the Surviving Corporation or any of their respective successors or assigns (i) consolidates with or merges into any other Person and shall not be the continuing or surviving corporation or </w:t>
      </w:r>
      <w:bookmarkStart w:id="126" w:name="el2p06o"/>
      <w:bookmarkEnd w:id="126"/>
      <w:r>
        <w:rPr>
          <w:rFonts w:ascii="Times New Roman" w:hAnsi="Times New Roman"/>
          <w:color w:val="000000"/>
          <w:sz w:val="20"/>
        </w:rPr>
        <w:t xml:space="preserve">entity of such consolidation or </w:t>
      </w:r>
      <w:bookmarkStart w:id="127" w:name="el2q06o"/>
      <w:bookmarkEnd w:id="127"/>
      <w:r>
        <w:rPr>
          <w:rFonts w:ascii="Times New Roman" w:hAnsi="Times New Roman"/>
          <w:color w:val="000000"/>
          <w:sz w:val="20"/>
        </w:rPr>
        <w:t xml:space="preserve">merger or (ii) transfers all or substantially all of its properties and assets to any </w:t>
      </w:r>
      <w:bookmarkStart w:id="128" w:name="el2s06o"/>
      <w:bookmarkEnd w:id="128"/>
      <w:r>
        <w:rPr>
          <w:rFonts w:ascii="Times New Roman" w:hAnsi="Times New Roman"/>
          <w:color w:val="000000"/>
          <w:sz w:val="20"/>
        </w:rPr>
        <w:t xml:space="preserve">Person, then, and in each such case, </w:t>
      </w:r>
      <w:bookmarkStart w:id="129" w:name="el2t06o"/>
      <w:bookmarkEnd w:id="129"/>
      <w:r>
        <w:rPr>
          <w:rFonts w:ascii="Times New Roman" w:hAnsi="Times New Roman"/>
          <w:color w:val="000000"/>
          <w:sz w:val="20"/>
        </w:rPr>
        <w:t xml:space="preserve">FibroGen shall ensure that the successors and assigns of FibroGen or the Surviving Corporation, as the case may be, shall assume the obligations set forth in this </w:t>
      </w:r>
      <w:r>
        <w:rPr>
          <w:rFonts w:ascii="Times New Roman" w:hAnsi="Times New Roman"/>
          <w:color w:val="000000"/>
          <w:sz w:val="20"/>
          <w:u w:val="single"/>
        </w:rPr>
        <w:t>Section 7.5</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7.6. </w:t>
      </w:r>
      <w:r>
        <w:rPr>
          <w:rFonts w:ascii="Times New Roman" w:hAnsi="Times New Roman"/>
          <w:color w:val="000000"/>
          <w:sz w:val="20"/>
          <w:u w:val="single"/>
        </w:rPr>
        <w:t>No Right to Control Fortis Pre-Closing</w:t>
      </w:r>
      <w:r>
        <w:rPr>
          <w:rFonts w:ascii="Times New Roman" w:hAnsi="Times New Roman"/>
          <w:color w:val="000000"/>
          <w:sz w:val="20"/>
        </w:rPr>
        <w:t>. Nothing contained in this Option Agreement is intended to give FibroGen, directly or indirectly, the right to control or direct Fortis’ operations prior to the Effective Time. Prior to the Effective Time, Fortis shall exercise, consistent with the terms and conditions of this Option Agreement, complete control and supervision over its respective businesses, assets and properties.</w:t>
      </w:r>
    </w:p>
    <w:p>
      <w:pPr>
        <w:pStyle w:val="TextBody"/>
        <w:bidi w:val="0"/>
        <w:spacing w:before="0" w:after="240"/>
        <w:jc w:val="left"/>
        <w:rPr>
          <w:rFonts w:ascii="Times New Roman" w:hAnsi="Times New Roman"/>
          <w:sz w:val="20"/>
        </w:rPr>
      </w:pPr>
      <w:bookmarkStart w:id="130" w:name="x35ea0d17c4890c9__dv_m226"/>
      <w:bookmarkEnd w:id="130"/>
      <w:r>
        <w:rPr>
          <w:rFonts w:ascii="Times New Roman" w:hAnsi="Times New Roman"/>
          <w:color w:val="000000"/>
          <w:sz w:val="20"/>
        </w:rPr>
        <w:t xml:space="preserve">Section 7.7. </w:t>
      </w:r>
      <w:r>
        <w:rPr>
          <w:rFonts w:ascii="Times New Roman" w:hAnsi="Times New Roman"/>
          <w:color w:val="000000"/>
          <w:sz w:val="20"/>
          <w:u w:val="single"/>
        </w:rPr>
        <w:t>Confidentiality</w:t>
      </w:r>
      <w:r>
        <w:rPr>
          <w:rFonts w:ascii="Times New Roman" w:hAnsi="Times New Roman"/>
          <w:color w:val="000000"/>
          <w:sz w:val="20"/>
        </w:rPr>
        <w:t>. Any information provided to either Party during the course of the negotiation of this Option Agreement and the Ancillary Agreements (whether obtained before or after the date of this Option Agreement) and during the period following the date of this Option Agreement and prior to the Closing, and the existence and terms of this Option Agreement (collectively, “</w:t>
      </w:r>
      <w:r>
        <w:rPr>
          <w:rFonts w:ascii="Times New Roman" w:hAnsi="Times New Roman"/>
          <w:i/>
          <w:color w:val="000000"/>
          <w:sz w:val="20"/>
        </w:rPr>
        <w:t>Confidential Information</w:t>
      </w:r>
      <w:r>
        <w:rPr>
          <w:rFonts w:ascii="Times New Roman" w:hAnsi="Times New Roman"/>
          <w:color w:val="000000"/>
          <w:sz w:val="20"/>
        </w:rPr>
        <w:t xml:space="preserve">”), shall be maintained in confidence by the receiving Party and shall not be disclosed to a third party or used for any purpose, except as expressly permitted under this Option Agreement or the Evaluation Agreement, without the prior written consent of the disclosing Party, except to the extent that such information: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is publicly disclosed by the disclosing Party, either before or after it is disclosed to the receiving Party hereunder; </w:t>
      </w:r>
    </w:p>
    <w:p>
      <w:pPr>
        <w:pStyle w:val="TextBody"/>
        <w:bidi w:val="0"/>
        <w:spacing w:before="0" w:after="240"/>
        <w:jc w:val="left"/>
        <w:rPr>
          <w:rFonts w:ascii="Times New Roman" w:hAnsi="Times New Roman"/>
          <w:color w:val="000000"/>
          <w:sz w:val="20"/>
        </w:rPr>
      </w:pPr>
      <w:bookmarkStart w:id="131" w:name="x35ea0d17c4890c9__dv_m227"/>
      <w:bookmarkEnd w:id="131"/>
      <w:r>
        <w:rPr>
          <w:rFonts w:ascii="Times New Roman" w:hAnsi="Times New Roman"/>
          <w:color w:val="000000"/>
          <w:sz w:val="20"/>
        </w:rPr>
        <w:t>(b) is known by the receiving Party at the time of its receipt, and not through a prior disclosure by the disclosing Party, as documented by the receiving Party’s contemporaneous business records;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is subsequently disclosed to the receiving Party or any of its Affiliates on a non-confidential basis by a third party that, to the receiving Party’s knowledge, after reasonable inquiry, is not bound by a similar duty of confidentiality or restriction on its use;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is now, or hereafter becomes, through no act or failure to act on the part of the receiving Party or any of its Affiliates, generally known or available to the public, either before or after it is disclosed to the receiving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is reasonably necessary to be disclosed in prosecuting or defending litigation relating to this Option Agreement, the Ancillary Agreements or the transactions contemplated hereby or thereby;</w:t>
      </w:r>
    </w:p>
    <w:p>
      <w:pPr>
        <w:pStyle w:val="TextBody"/>
        <w:bidi w:val="0"/>
        <w:spacing w:before="0" w:after="240"/>
        <w:jc w:val="left"/>
        <w:rPr>
          <w:rFonts w:ascii="Times New Roman" w:hAnsi="Times New Roman"/>
          <w:color w:val="000000"/>
          <w:sz w:val="20"/>
        </w:rPr>
      </w:pPr>
      <w:bookmarkStart w:id="132" w:name="x35ea0d17c4890c9__dv_m231"/>
      <w:bookmarkEnd w:id="132"/>
      <w:r>
        <w:rPr>
          <w:rFonts w:ascii="Times New Roman" w:hAnsi="Times New Roman"/>
          <w:color w:val="000000"/>
          <w:sz w:val="20"/>
        </w:rPr>
        <w:t>(f) is required to be disclosed to comply with applicable Law;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 in the case of Fortis or the Seller’s Representative, is reasonably necessary to be disclosed to (i) the Sellers (a) in order for Fortis to comply with stockholder disclosure obligations under applicable Law or solicit Seller signatures to a Joinders, Written Consent or Letter of Transmittal or (b) by the Sellers’ Representative in accordance with Section 2.12(d) of this Agreement or (ii) advisors and representatives of Fortis or the Sellers’ Representative who have a need to know such information.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If and whenever any Confidential Information of the disclosing Party is disclosed by the receiving Party in accordance with this </w:t>
      </w:r>
      <w:r>
        <w:rPr>
          <w:rFonts w:ascii="Times New Roman" w:hAnsi="Times New Roman"/>
          <w:color w:val="000000"/>
          <w:sz w:val="20"/>
          <w:u w:val="single"/>
        </w:rPr>
        <w:t>Section 7.7</w:t>
      </w:r>
      <w:r>
        <w:rPr>
          <w:rFonts w:ascii="Times New Roman" w:hAnsi="Times New Roman"/>
          <w:color w:val="000000"/>
          <w:sz w:val="20"/>
        </w:rPr>
        <w:t xml:space="preserve">, such disclosure shall not cause any such information to cease to be subject to the restrictions of this </w:t>
      </w:r>
      <w:r>
        <w:rPr>
          <w:rFonts w:ascii="Times New Roman" w:hAnsi="Times New Roman"/>
          <w:color w:val="000000"/>
          <w:sz w:val="20"/>
          <w:u w:val="single"/>
        </w:rPr>
        <w:t>Section 7.7</w:t>
      </w:r>
      <w:r>
        <w:rPr>
          <w:rFonts w:ascii="Times New Roman" w:hAnsi="Times New Roman"/>
          <w:color w:val="000000"/>
          <w:sz w:val="20"/>
        </w:rPr>
        <w:t xml:space="preserve"> except to the extent that such disclosure results in a public disclosure of such Confidential Information (other than by breach of this Option Agreement). Notwithstanding the foregoing, in the event a Party is required to make a disclosure of the other Party’s Confidential Information pursuant to clauses (e) or (f) of this </w:t>
      </w:r>
      <w:r>
        <w:rPr>
          <w:rFonts w:ascii="Times New Roman" w:hAnsi="Times New Roman"/>
          <w:color w:val="000000"/>
          <w:sz w:val="20"/>
          <w:u w:val="single"/>
        </w:rPr>
        <w:t>Section 7.7</w:t>
      </w:r>
      <w:r>
        <w:rPr>
          <w:rFonts w:ascii="Times New Roman" w:hAnsi="Times New Roman"/>
          <w:color w:val="000000"/>
          <w:sz w:val="20"/>
        </w:rPr>
        <w:t xml:space="preserve">, it will, except where impracticable, give reasonable advance notice to the other Party of such disclosure and use not less than the same efforts to secure confidential treatment of such Confidential Information as it would to protect its own confidential information from disclosure. This Option Agreement, together with the Evaluation Agreement, supersedes the Mutual Confidential Disclosure Agreement [*], between Fortis and FibroGen;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all “Confidential Information” disclosed or received by the Parties thereunder shall be subject to the restrictions set forth in this </w:t>
      </w:r>
      <w:r>
        <w:rPr>
          <w:rFonts w:ascii="Times New Roman" w:hAnsi="Times New Roman"/>
          <w:color w:val="000000"/>
          <w:sz w:val="20"/>
          <w:u w:val="single"/>
        </w:rPr>
        <w:t>Section 7.7</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7.8. </w:t>
      </w:r>
      <w:r>
        <w:rPr>
          <w:rFonts w:ascii="Times New Roman" w:hAnsi="Times New Roman"/>
          <w:color w:val="000000"/>
          <w:sz w:val="20"/>
          <w:u w:val="single"/>
        </w:rPr>
        <w:t>Restrictive Covenants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(a) Fortis agrees that, during the Option Period, it shall not, directly or indirectly (whether as principal, agent, employee, independent contractor, partner or otherwise), anywhere in the world in which Fortis conducts the Business as of the Closing, develop, manufacture, market, distribute or sell, or otherwise have any interest (financial or otherwise) in [*] (such drug, a “</w:t>
      </w:r>
      <w:r>
        <w:rPr>
          <w:rFonts w:ascii="Times New Roman" w:hAnsi="Times New Roman"/>
          <w:i/>
          <w:color w:val="000000"/>
          <w:sz w:val="20"/>
        </w:rPr>
        <w:t>Competing Product</w:t>
      </w:r>
      <w:r>
        <w:rPr>
          <w:rFonts w:ascii="Times New Roman" w:hAnsi="Times New Roman"/>
          <w:color w:val="000000"/>
          <w:sz w:val="20"/>
        </w:rPr>
        <w:t xml:space="preserve">”), except to the extent necessary to perform the obligations of Fortis under the Evaluation Agreement. [*]. Any breaches or violations by Fortis of this </w:t>
      </w:r>
      <w:r>
        <w:rPr>
          <w:rFonts w:ascii="Times New Roman" w:hAnsi="Times New Roman"/>
          <w:color w:val="000000"/>
          <w:sz w:val="20"/>
          <w:u w:val="single"/>
        </w:rPr>
        <w:t>Section 7.8(a)</w:t>
      </w:r>
      <w:r>
        <w:rPr>
          <w:rFonts w:ascii="Times New Roman" w:hAnsi="Times New Roman"/>
          <w:color w:val="000000"/>
          <w:sz w:val="20"/>
        </w:rPr>
        <w:t xml:space="preserve"> shall be subject to indemnification by Fortis as set forth in </w:t>
      </w:r>
      <w:r>
        <w:rPr>
          <w:rFonts w:ascii="Times New Roman" w:hAnsi="Times New Roman"/>
          <w:color w:val="000000"/>
          <w:sz w:val="20"/>
          <w:u w:val="single"/>
        </w:rPr>
        <w:t>Article 9</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Fortis agrees that (i) his, her or its agreement to the covenants contained in this </w:t>
      </w:r>
      <w:r>
        <w:rPr>
          <w:rFonts w:ascii="Times New Roman" w:hAnsi="Times New Roman"/>
          <w:color w:val="000000"/>
          <w:sz w:val="20"/>
          <w:u w:val="single"/>
        </w:rPr>
        <w:t>Section 7.8</w:t>
      </w:r>
      <w:r>
        <w:rPr>
          <w:rFonts w:ascii="Times New Roman" w:hAnsi="Times New Roman"/>
          <w:color w:val="000000"/>
          <w:sz w:val="20"/>
        </w:rPr>
        <w:t xml:space="preserve"> is a material condition of FibroGen’s willingness to enter into this Option Agreement and consummate the transactions contemplated hereby, (ii) the covenants contained in this </w:t>
      </w:r>
      <w:r>
        <w:rPr>
          <w:rFonts w:ascii="Times New Roman" w:hAnsi="Times New Roman"/>
          <w:color w:val="000000"/>
          <w:sz w:val="20"/>
          <w:u w:val="single"/>
        </w:rPr>
        <w:t>Section 7.8</w:t>
      </w:r>
      <w:r>
        <w:rPr>
          <w:rFonts w:ascii="Times New Roman" w:hAnsi="Times New Roman"/>
          <w:color w:val="000000"/>
          <w:sz w:val="20"/>
        </w:rPr>
        <w:t xml:space="preserve"> are necessary to protect the good will, confidential information, trade secrets and other legitimate interests of Fortis and FibroGen, (iii) in addition and not in the alternative to any other remedies available to it, FibroGen shall be entitled to preliminary and permanent injunctive relief against any breach or threatened breach by Fortis, without having to post bond, (iv) the restricted period applicable to Fortis shall be tolled, and shall not run, during the period of any breach by such Person of any such covenants, (v) no breach of any provision of this Option Agreement shall operate to extinguish any Person’s obligation to comply with this </w:t>
      </w:r>
      <w:r>
        <w:rPr>
          <w:rFonts w:ascii="Times New Roman" w:hAnsi="Times New Roman"/>
          <w:color w:val="000000"/>
          <w:sz w:val="20"/>
          <w:u w:val="single"/>
        </w:rPr>
        <w:t>Section 7.8</w:t>
      </w:r>
      <w:r>
        <w:rPr>
          <w:rFonts w:ascii="Times New Roman" w:hAnsi="Times New Roman"/>
          <w:color w:val="000000"/>
          <w:sz w:val="20"/>
        </w:rPr>
        <w:t xml:space="preserve">, and (vi) in the event that the final judgment of any court of competent jurisdiction declares any term or provision of this </w:t>
      </w:r>
      <w:r>
        <w:rPr>
          <w:rFonts w:ascii="Times New Roman" w:hAnsi="Times New Roman"/>
          <w:color w:val="000000"/>
          <w:sz w:val="20"/>
          <w:u w:val="single"/>
        </w:rPr>
        <w:t>Section 7.8</w:t>
      </w:r>
      <w:r>
        <w:rPr>
          <w:rFonts w:ascii="Times New Roman" w:hAnsi="Times New Roman"/>
          <w:color w:val="000000"/>
          <w:sz w:val="20"/>
        </w:rPr>
        <w:t xml:space="preserve"> to be invalid or unenforceable by reason of its being extended over too great a time, too large a geographic area or too great a range of activities, that provision shall be deemed to be modified to permit its enforcement to the maximum extent permitted by law.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7.9. </w:t>
      </w:r>
      <w:r>
        <w:rPr>
          <w:rFonts w:ascii="Times New Roman" w:hAnsi="Times New Roman"/>
          <w:color w:val="000000"/>
          <w:sz w:val="20"/>
          <w:u w:val="single"/>
        </w:rPr>
        <w:t>Security Interest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(a) Fortis hereby grants, assigns by way of security and pledges to FibroGen, a continuing and valid first priority lien and security interest in all presently existing and hereafter acquired, arising or developed general intangible assets of Fortis (the “</w:t>
      </w:r>
      <w:r>
        <w:rPr>
          <w:rFonts w:ascii="Times New Roman" w:hAnsi="Times New Roman"/>
          <w:i/>
          <w:color w:val="000000"/>
          <w:sz w:val="20"/>
        </w:rPr>
        <w:t>Collateral</w:t>
      </w:r>
      <w:r>
        <w:rPr>
          <w:rFonts w:ascii="Times New Roman" w:hAnsi="Times New Roman"/>
          <w:color w:val="000000"/>
          <w:sz w:val="20"/>
        </w:rPr>
        <w:t>”) in order to secure</w:t>
      </w:r>
      <w:r>
        <w:rPr>
          <w:rFonts w:ascii="Times New Roman" w:hAnsi="Times New Roman"/>
          <w:color w:val="0000FF"/>
          <w:sz w:val="20"/>
        </w:rPr>
        <w:t xml:space="preserve"> </w:t>
      </w:r>
      <w:r>
        <w:rPr>
          <w:rFonts w:ascii="Times New Roman" w:hAnsi="Times New Roman"/>
          <w:color w:val="000000"/>
          <w:sz w:val="20"/>
        </w:rPr>
        <w:t>any Losses incurred by FibroGen arising from a material breach of this Agreement by Fortis (the “</w:t>
      </w:r>
      <w:r>
        <w:rPr>
          <w:rFonts w:ascii="Times New Roman" w:hAnsi="Times New Roman"/>
          <w:i/>
          <w:color w:val="000000"/>
          <w:sz w:val="20"/>
        </w:rPr>
        <w:t>Security Interest</w:t>
      </w:r>
      <w:r>
        <w:rPr>
          <w:rFonts w:ascii="Times New Roman" w:hAnsi="Times New Roman"/>
          <w:color w:val="000000"/>
          <w:sz w:val="20"/>
        </w:rPr>
        <w:t>”), provided that the Security Interest shall not be enforceable and FibroGen shall have no right to take any action to enforce such Security Interest unless and until this Option Agreement is rejected under U.S.C. Title 11 (Bankruptcy Code) (the “</w:t>
      </w:r>
      <w:r>
        <w:rPr>
          <w:rFonts w:ascii="Times New Roman" w:hAnsi="Times New Roman"/>
          <w:i/>
          <w:color w:val="000000"/>
          <w:sz w:val="20"/>
        </w:rPr>
        <w:t>Rejection Time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in the event of any material breach by FibroGen of this Option Agreement or the Evaluation Agreement, this </w:t>
      </w:r>
      <w:r>
        <w:rPr>
          <w:rFonts w:ascii="Times New Roman" w:hAnsi="Times New Roman"/>
          <w:color w:val="000000"/>
          <w:sz w:val="20"/>
          <w:u w:val="single"/>
        </w:rPr>
        <w:t>Section 7.9(a)</w:t>
      </w:r>
      <w:r>
        <w:rPr>
          <w:rFonts w:ascii="Times New Roman" w:hAnsi="Times New Roman"/>
          <w:color w:val="000000"/>
          <w:sz w:val="20"/>
        </w:rPr>
        <w:t xml:space="preserve"> shall be of no force or effect and be immediately null and void, and the Security Interest shall not be enforceable or, if such material breach occurs following the Rejection Time, the Security Interest shall automatically be terminated and released immediately upon such material breach.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Fortis shall provide FibroGen with written notice at any time that (i) Fortis’s board of directors or senior management seeks the advice of counsel concerning a potential bankruptcy, assignment for the benefit of creditors or similar proceeding; (ii) Fortis is unable to pay its debts as they become due; (iii) Fortis has cash on hand and marketable securities with an aggregate value less than the amount required to fund the then current calendar quarter plus at least the next two (2) succeeding calendar quarters of its budgeted operating expenses; or (iv) any corporate or other action is taken by Fortis for the purpose of authorizing or effecting any bankruptcy, assignment for the benefit of creditors or similar proceeding. Following the delivery of such notice, Fortis and FibroGen will discuss in good faith a potential approach for continued performance by Fortis under the Evaluation Agreement and Study Plan and either (i) an increase to the amount of the Development Fees paid by FibroGen under the Evaluation Agreement or (ii) FibroGen providing a consent or waiver of Fortis’ obligations under </w:t>
      </w:r>
      <w:r>
        <w:rPr>
          <w:rFonts w:ascii="Times New Roman" w:hAnsi="Times New Roman"/>
          <w:color w:val="000000"/>
          <w:sz w:val="20"/>
          <w:u w:val="single"/>
        </w:rPr>
        <w:t>Section 7.1(b)(v)</w:t>
      </w:r>
      <w:r>
        <w:rPr>
          <w:rFonts w:ascii="Times New Roman" w:hAnsi="Times New Roman"/>
          <w:color w:val="000000"/>
          <w:sz w:val="20"/>
        </w:rPr>
        <w:t xml:space="preserve"> or </w:t>
      </w:r>
      <w:r>
        <w:rPr>
          <w:rFonts w:ascii="Times New Roman" w:hAnsi="Times New Roman"/>
          <w:color w:val="000000"/>
          <w:sz w:val="20"/>
          <w:u w:val="single"/>
        </w:rPr>
        <w:t>Section 7.1(b)(vi)</w:t>
      </w:r>
      <w:r>
        <w:rPr>
          <w:rFonts w:ascii="Times New Roman" w:hAnsi="Times New Roman"/>
          <w:color w:val="000000"/>
          <w:sz w:val="20"/>
        </w:rPr>
        <w:t xml:space="preserve"> of this Option Agreement solely for purposes of obtaining funding necessary for Fortis to complete its required activities under the Evaluation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In the event that this Agreement is terminated pursuant to </w:t>
      </w:r>
      <w:r>
        <w:rPr>
          <w:rFonts w:ascii="Times New Roman" w:hAnsi="Times New Roman"/>
          <w:color w:val="000000"/>
          <w:sz w:val="20"/>
          <w:u w:val="single"/>
        </w:rPr>
        <w:t>Article 10</w:t>
      </w:r>
      <w:r>
        <w:rPr>
          <w:rFonts w:ascii="Times New Roman" w:hAnsi="Times New Roman"/>
          <w:color w:val="000000"/>
          <w:sz w:val="20"/>
        </w:rPr>
        <w:t xml:space="preserve">, </w:t>
      </w:r>
      <w:r>
        <w:rPr>
          <w:rFonts w:ascii="Times New Roman" w:hAnsi="Times New Roman"/>
          <w:color w:val="000000"/>
          <w:sz w:val="20"/>
          <w:u w:val="single"/>
        </w:rPr>
        <w:t>Section 7.9(a)</w:t>
      </w:r>
      <w:r>
        <w:rPr>
          <w:rFonts w:ascii="Times New Roman" w:hAnsi="Times New Roman"/>
          <w:color w:val="000000"/>
          <w:sz w:val="20"/>
        </w:rPr>
        <w:t xml:space="preserve"> shall be of no force or effect and be immediately null and void, and the Security Interest shall not be enforceable or, if such termination occurs following the Rejection Time, the Security Interest shall automatically be terminated and released immediately upon such termination and FibroGen shall take all actions necessary to promptly release the Collateral from the Security Interest.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7.10. </w:t>
      </w:r>
      <w:r>
        <w:rPr>
          <w:rFonts w:ascii="Times New Roman" w:hAnsi="Times New Roman"/>
          <w:color w:val="000000"/>
          <w:sz w:val="20"/>
          <w:u w:val="single"/>
        </w:rPr>
        <w:t>Additional Equityholders</w:t>
      </w:r>
      <w:r>
        <w:rPr>
          <w:rFonts w:ascii="Times New Roman" w:hAnsi="Times New Roman"/>
          <w:color w:val="000000"/>
          <w:sz w:val="20"/>
        </w:rPr>
        <w:t xml:space="preserve">. During the Option Period, Fortis will require that, following receipt of the prior written consent of FibroGen under </w:t>
      </w:r>
      <w:r>
        <w:rPr>
          <w:rFonts w:ascii="Times New Roman" w:hAnsi="Times New Roman"/>
          <w:color w:val="000000"/>
          <w:sz w:val="20"/>
          <w:u w:val="single"/>
        </w:rPr>
        <w:t>Section 7.1(b)(v)</w:t>
      </w:r>
      <w:r>
        <w:rPr>
          <w:rFonts w:ascii="Times New Roman" w:hAnsi="Times New Roman"/>
          <w:color w:val="000000"/>
          <w:sz w:val="20"/>
        </w:rPr>
        <w:t>, in the event any Person wishes to become a Fortis Equityholder, such Person shall, and Fortis shall cause such Person to, execute and deliver a Joinder and, if such Person wishes to become a Fortis Shareholder, a Written Consent to Fortis prior to such Person becoming a Fortis Equityholder, and Fortis will promptly thereafter provide copies of such documents to FibroGen.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7.11. </w:t>
      </w:r>
      <w:r>
        <w:rPr>
          <w:rFonts w:ascii="Times New Roman" w:hAnsi="Times New Roman"/>
          <w:color w:val="000000"/>
          <w:sz w:val="20"/>
          <w:u w:val="single"/>
        </w:rPr>
        <w:t>280G Matters</w:t>
      </w:r>
      <w:r>
        <w:rPr>
          <w:rFonts w:ascii="Times New Roman" w:hAnsi="Times New Roman"/>
          <w:color w:val="000000"/>
          <w:sz w:val="20"/>
        </w:rPr>
        <w:t>. [*] Fortis shall use reasonable best efforts to: (a) seek a vote pursuant to the exemption contained in Section 280G(b)(5)(A)(ii) of the Code and the applicable regulations promulgated thereunder (the “</w:t>
      </w:r>
      <w:r>
        <w:rPr>
          <w:rFonts w:ascii="Times New Roman" w:hAnsi="Times New Roman"/>
          <w:i/>
          <w:color w:val="000000"/>
          <w:sz w:val="20"/>
        </w:rPr>
        <w:t>280G Stockholder Vote</w:t>
      </w:r>
      <w:r>
        <w:rPr>
          <w:rFonts w:ascii="Times New Roman" w:hAnsi="Times New Roman"/>
          <w:color w:val="000000"/>
          <w:sz w:val="20"/>
        </w:rPr>
        <w:t>”) of any payments or benefits in respect of the Merger that may, separately or in the aggregate, constitute “parachute payments” under Section 280G of the Code (such, payments or benefits, the “</w:t>
      </w:r>
      <w:r>
        <w:rPr>
          <w:rFonts w:ascii="Times New Roman" w:hAnsi="Times New Roman"/>
          <w:i/>
          <w:color w:val="000000"/>
          <w:sz w:val="20"/>
        </w:rPr>
        <w:t>280G Payments</w:t>
      </w:r>
      <w:r>
        <w:rPr>
          <w:rFonts w:ascii="Times New Roman" w:hAnsi="Times New Roman"/>
          <w:color w:val="000000"/>
          <w:sz w:val="20"/>
        </w:rPr>
        <w:t>”) and (b) cause, prior to any such 280G Stockholder Vote, any “disqualified individual” (as defined in Section 280G of the Code and the regulations thereunder and hereafter referred to as a “</w:t>
      </w:r>
      <w:r>
        <w:rPr>
          <w:rFonts w:ascii="Times New Roman" w:hAnsi="Times New Roman"/>
          <w:i/>
          <w:color w:val="000000"/>
          <w:sz w:val="20"/>
        </w:rPr>
        <w:t>Disqualified Individual</w:t>
      </w:r>
      <w:r>
        <w:rPr>
          <w:rFonts w:ascii="Times New Roman" w:hAnsi="Times New Roman"/>
          <w:color w:val="000000"/>
          <w:sz w:val="20"/>
        </w:rPr>
        <w:t>”) to waive such Disqualified Individual’s rights to receive some or all of any 280G Payments (the “</w:t>
      </w:r>
      <w:r>
        <w:rPr>
          <w:rFonts w:ascii="Times New Roman" w:hAnsi="Times New Roman"/>
          <w:i/>
          <w:color w:val="000000"/>
          <w:sz w:val="20"/>
        </w:rPr>
        <w:t>Waived Benefits</w:t>
      </w:r>
      <w:r>
        <w:rPr>
          <w:rFonts w:ascii="Times New Roman" w:hAnsi="Times New Roman"/>
          <w:color w:val="000000"/>
          <w:sz w:val="20"/>
        </w:rPr>
        <w:t>”) pursuant to a parachute payment waiver to the extent necessary so that all remaining payments and benefits applicable to such Disqualified Individual shall not be deemed a parachute payment, and accepting in substitution for the Waived Benefits the right to receive the Waived Benefits only if approved by the stockholders of Fortis in a manner that complies with Section 280G(b)(5)(B) of the Code. Fortis shall provide FibroGen and its counsel with a copy of the waiver agreement, shareholder voting materials and the disclosure statement prepared in connection with the actions contemplated by this Section 7.10, as well as the underlying calculations and supporting documentation, [*]. [*], Fortis shall deliver to FibroGen notification and documentation reasonably satisfactory to FibroGen that, for any Disqualified Individual who has submitted the Waived Benefits to a 280G Stockholder Vote (i) a 280G Stockholder Vote was solicited in conformance with Section 280G of the Code and the applicable regulations promulgated thereunder and the requisite stockholder approval was obtained with respect to any 280G Payments (the “</w:t>
      </w:r>
      <w:r>
        <w:rPr>
          <w:rFonts w:ascii="Times New Roman" w:hAnsi="Times New Roman"/>
          <w:i/>
          <w:color w:val="000000"/>
          <w:sz w:val="20"/>
        </w:rPr>
        <w:t>280G Stockholder Approval</w:t>
      </w:r>
      <w:r>
        <w:rPr>
          <w:rFonts w:ascii="Times New Roman" w:hAnsi="Times New Roman"/>
          <w:color w:val="000000"/>
          <w:sz w:val="20"/>
        </w:rPr>
        <w:t>”) or (ii) that the 280G Stockholder Approval was not obtained and, as a consequence, that the Waived Benefits shall not be made or provided to the Disqualified Individuals.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7.12. </w:t>
      </w:r>
      <w:r>
        <w:rPr>
          <w:rFonts w:ascii="Times New Roman" w:hAnsi="Times New Roman"/>
          <w:color w:val="000000"/>
          <w:sz w:val="20"/>
          <w:u w:val="single"/>
        </w:rPr>
        <w:t>Discharge of Indebtedness</w:t>
      </w:r>
      <w:r>
        <w:rPr>
          <w:rFonts w:ascii="Times New Roman" w:hAnsi="Times New Roman"/>
          <w:color w:val="000000"/>
          <w:sz w:val="20"/>
        </w:rPr>
        <w:t xml:space="preserve">. With respect to each Payoff Recipient owed any portion of the Closing Indebtedness for borrowed money (if any), Fortis shall provide to FibroGen at or before the Closing with copies of payoff letters from each Payoff Recipient, each of which shall have been duly executed by such Payoff Recipient, (i) acknowledging the aggregate principal amount and all accrued but unpaid interest and any applicable prepayment or similar penalties and other fees constituting the Closing Indebtedness owed to such Payoff Recipient (ii) agreeing that all obligations and Indebtedness of Fortis to such Payoff Recipient through the Closing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will be extinguished upon receipt of such payment on the Closing Date and (iii) agreeing to, after receipt of such payment, release all Liens related to such Indebtedness and return any possessory or original collateral.</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7.13. </w:t>
      </w:r>
      <w:r>
        <w:rPr>
          <w:rFonts w:ascii="Times New Roman" w:hAnsi="Times New Roman"/>
          <w:color w:val="000000"/>
          <w:sz w:val="20"/>
          <w:u w:val="single"/>
        </w:rPr>
        <w:t>Incorporation of Merger Sub</w:t>
      </w:r>
      <w:r>
        <w:rPr>
          <w:rFonts w:ascii="Times New Roman" w:hAnsi="Times New Roman"/>
          <w:color w:val="000000"/>
          <w:sz w:val="20"/>
        </w:rPr>
        <w:t xml:space="preserve">. [*]. </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8</w:t>
      </w:r>
      <w:r>
        <w:rPr>
          <w:rFonts w:ascii="Times New Roman" w:hAnsi="Times New Roman"/>
          <w:caps/>
          <w:color w:val="000000"/>
          <w:sz w:val="20"/>
          <w:u w:val="single"/>
        </w:rPr>
        <w:br/>
        <w:t>Certain Additional Covenants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8.1. </w:t>
      </w:r>
      <w:r>
        <w:rPr>
          <w:rFonts w:ascii="Times New Roman" w:hAnsi="Times New Roman"/>
          <w:color w:val="000000"/>
          <w:sz w:val="20"/>
          <w:u w:val="single"/>
        </w:rPr>
        <w:t>Commercially Reasonable Efforts</w:t>
      </w:r>
      <w:r>
        <w:rPr>
          <w:rFonts w:ascii="Times New Roman" w:hAnsi="Times New Roman"/>
          <w:color w:val="000000"/>
          <w:sz w:val="20"/>
        </w:rPr>
        <w:t xml:space="preserve">. Following the delivery of the Exercise Notice and until the earlier of Closing or termination of this Option Agreement, the Parties agree that time is of the essence with respect to each Party’s covenants and obligations under this Option Agreement, and, upon the terms and subject to the conditions set forth herein, each Party (other than the Sellers’ Representative) shall use [*] to take, or cause to be taken, all actions and to do, or cause to be done, and to assist and cooperate the other Party in doing, all things, in each case necessary or advisable to permit the consummation of the Merger and the other transactions contemplated by this Option Agreement, including the actions to be taken by Fortis as set forth in </w:t>
      </w:r>
      <w:r>
        <w:rPr>
          <w:rFonts w:ascii="Times New Roman" w:hAnsi="Times New Roman"/>
          <w:color w:val="000000"/>
          <w:sz w:val="20"/>
          <w:u w:val="single"/>
        </w:rPr>
        <w:t>Section 4.2</w:t>
      </w:r>
      <w:r>
        <w:rPr>
          <w:rFonts w:ascii="Times New Roman" w:hAnsi="Times New Roman"/>
          <w:color w:val="000000"/>
          <w:sz w:val="20"/>
        </w:rPr>
        <w:t xml:space="preserve">, obtaining any consents, authorizations, approvals, permits, licenses, or governmental authorizations, estoppel certificates and filings under any applicable Law (including any applicable filings and receiving termination or expiration of any waiting periods under the HSR Act and any applicable foreign competition, merger control, antitrust or similar Law) required to be obtained or made which may be reasonably necessary or appropriate to permit the consummation of the Merger and the other transactions contemplated by this Option Agreement. Without limiting the foregoing, in the event that (a) any Action of the type and having any of the effects described in </w:t>
      </w:r>
      <w:r>
        <w:rPr>
          <w:rFonts w:ascii="Times New Roman" w:hAnsi="Times New Roman"/>
          <w:color w:val="000000"/>
          <w:sz w:val="20"/>
          <w:u w:val="single"/>
        </w:rPr>
        <w:t>Section 4.1(b)</w:t>
      </w:r>
      <w:r>
        <w:rPr>
          <w:rFonts w:ascii="Times New Roman" w:hAnsi="Times New Roman"/>
          <w:color w:val="000000"/>
          <w:sz w:val="20"/>
        </w:rPr>
        <w:t xml:space="preserve"> is pending or threatened or (b) any other legal restraint, Law or prohibition that could reasonably be expected to result, directly or indirectly, in any of the effects described in </w:t>
      </w:r>
      <w:r>
        <w:rPr>
          <w:rFonts w:ascii="Times New Roman" w:hAnsi="Times New Roman"/>
          <w:color w:val="000000"/>
          <w:sz w:val="20"/>
          <w:u w:val="single"/>
        </w:rPr>
        <w:t>Section 4.1(b)</w:t>
      </w:r>
      <w:r>
        <w:rPr>
          <w:rFonts w:ascii="Times New Roman" w:hAnsi="Times New Roman"/>
          <w:color w:val="000000"/>
          <w:sz w:val="20"/>
        </w:rPr>
        <w:t xml:space="preserve"> is in effect, then each of Fortis and FibroGen shall use [*] to have such Action or other legal restraint, Law or prohibition vacated, reversed or made to be no longer in effect. Nothing in this Option Agreement shall be deemed to require FibroGen to agree to, or proffer to, divest, license or hold separate any rights or other assets or any portion of any business of FibroGen.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8.2. </w:t>
      </w:r>
      <w:r>
        <w:rPr>
          <w:rFonts w:ascii="Times New Roman" w:hAnsi="Times New Roman"/>
          <w:color w:val="000000"/>
          <w:sz w:val="20"/>
          <w:u w:val="single"/>
        </w:rPr>
        <w:t>Publicity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No Party shall, and each Party shall cause its Affiliates, officers, directors, employees, advisors and other Representatives not to, issue a press release or public announcement or otherwise make any public disclosure concerning the subject matter of this Option Agreement without the prior written approval of Fortis (if prior to the Closing) or the Sellers’ Representative (if after the Closing), on the one hand, and FibroGen, on the other hand;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Party may make any public disclosure it believes in good faith is required by applicable Law or stock market rule and in such case such Party must, prior to making such disclosure, (a) use [*] to advise the other Party of such disclosure (including a copy thereof) as far in advance of such disclosure as is reasonably practicable and (b) consult with the other Party with respect to the content of such disclosure. Notwithstanding anything herein to the contrary, following Closing and after the public announcement of the Merger, the Sellers’ Representative shall be permitted to announce that it has been engaged to serve as the Sellers’ Representative in connection herewith as long as such announcement does not disclose any of the other terms hereof.</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Notwithstanding anything to the contrary in this Option Agreement, in the event Fortis or FibroGen proposes to file with the Securities and Exchange Commission or the securities regulators of any state or other jurisdiction a registration statement or any other disclosure document that describes or refers to the terms and conditions of this Option Agreement or any related agreements between the Parties, such Party shall notify Fortis (if prior to the Closing) or the Sellers’ Representative (if after the Closing) or FibroGen, as applicable, of such intention and shall provide the Fortis (if prior to the Closing) or the Sellers’ Representative (if after the Closing), or FibroGen, as applicable with a copy of relevant portions of the proposed filing at least [*] prior to such filing (and any revisions to such portions of the proposed filing a reasonable time prior to the filing thereof), including any exhibits thereto that refer to the other Party or the terms and conditions of this Option Agreement or any related agreements between the Parties. The Party making such filing shall cooperate in good faith with the other Party to obtain confidential treatment of the terms and conditions of this Option Agreement or any related agreements between the Parties that the other Party requests be kept confidential or otherwise afforded confidential treatment, and shall only disclose Confidential Information that it is reasonably advised by outside counsel is legally required to be disclosed. No such notice shall be required if the description of or reference to this Option Agreement or a related agreement between the Parties contained in the proposed filing has been included in any previous filing made by the either Party in accordance with this </w:t>
      </w:r>
      <w:r>
        <w:rPr>
          <w:rFonts w:ascii="Times New Roman" w:hAnsi="Times New Roman"/>
          <w:color w:val="000000"/>
          <w:sz w:val="20"/>
          <w:u w:val="single"/>
        </w:rPr>
        <w:t>Section 8.2(b)</w:t>
      </w:r>
      <w:r>
        <w:rPr>
          <w:rFonts w:ascii="Times New Roman" w:hAnsi="Times New Roman"/>
          <w:color w:val="000000"/>
          <w:sz w:val="20"/>
        </w:rPr>
        <w:t xml:space="preserve"> or otherwise approved by the other Party to whom notification is required to be made in accordance with the first sentence of this </w:t>
      </w:r>
      <w:r>
        <w:rPr>
          <w:rFonts w:ascii="Times New Roman" w:hAnsi="Times New Roman"/>
          <w:color w:val="000000"/>
          <w:sz w:val="20"/>
          <w:u w:val="single"/>
        </w:rPr>
        <w:t>Section 8.2(b).</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8.3. </w:t>
      </w:r>
      <w:r>
        <w:rPr>
          <w:rFonts w:ascii="Times New Roman" w:hAnsi="Times New Roman"/>
          <w:color w:val="000000"/>
          <w:sz w:val="20"/>
          <w:u w:val="single"/>
        </w:rPr>
        <w:t>Antitrust Notification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bookmarkStart w:id="133" w:name="elru26o"/>
      <w:bookmarkEnd w:id="133"/>
      <w:r>
        <w:rPr>
          <w:rFonts w:ascii="Times New Roman" w:hAnsi="Times New Roman"/>
          <w:color w:val="000000"/>
          <w:sz w:val="20"/>
        </w:rPr>
        <w:t xml:space="preserve">(a) Within [*] following the delivery of a Final Exercise Notice, FibroGen shall provide written notice to Fortis whether notification under the HSR Act is required or not in connection with the transactions contemplated by this Agreement. If such notice is provided and notification under the HSR Act is required, Fortis and FibroGen shall, as promptly as practicable following delivery of such notice (and in any event, no less than [*] of such notice) file with the FTC and the DOJ the premerger notification and report form, if any, required as a result of the Merger and the other transactions contemplated hereby, and shall include any supplemental information requested in connection therewith, pursuant to the HSR Act. Any such filing, notification and report form and supplemental information shall be in substantial compliance with the requirements of the HSR Act. The Parties shall work together and shall furnish to one another such necessary information and reasonable assistance as the other may request in connection with its preparation of any filing or submission which is necessary under the HSR Act. The Parties shall keep one another apprised of the status of any communications with, and any inquiries or requests for additional information from, the FTC, the DOJ or any other applicable Governmental Entity, and shall comply promptly with any such inquiry or request. Subject to </w:t>
      </w:r>
      <w:bookmarkStart w:id="134" w:name="el2a26o"/>
      <w:bookmarkEnd w:id="134"/>
      <w:r>
        <w:rPr>
          <w:rFonts w:ascii="Times New Roman" w:hAnsi="Times New Roman"/>
          <w:color w:val="000000"/>
          <w:sz w:val="20"/>
        </w:rPr>
        <w:t xml:space="preserve">applicable Law, each of </w:t>
      </w:r>
      <w:bookmarkStart w:id="135" w:name="el2m26o"/>
      <w:bookmarkEnd w:id="135"/>
      <w:r>
        <w:rPr>
          <w:rFonts w:ascii="Times New Roman" w:hAnsi="Times New Roman"/>
          <w:color w:val="000000"/>
          <w:sz w:val="20"/>
        </w:rPr>
        <w:t xml:space="preserve">Fortis and FibroGen shall have the right to review and comment in advance, and each shall consult with the other in connection with any filing made with, or written materials submitted to, any </w:t>
      </w:r>
      <w:bookmarkStart w:id="136" w:name="el2c26o"/>
      <w:bookmarkEnd w:id="136"/>
      <w:r>
        <w:rPr>
          <w:rFonts w:ascii="Times New Roman" w:hAnsi="Times New Roman"/>
          <w:color w:val="000000"/>
          <w:sz w:val="20"/>
        </w:rPr>
        <w:t xml:space="preserve">Governmental Entity in connection with any filing, investigation, or proceeding in connection with this </w:t>
      </w:r>
      <w:bookmarkStart w:id="137" w:name="el2d26o"/>
      <w:bookmarkEnd w:id="137"/>
      <w:r>
        <w:rPr>
          <w:rFonts w:ascii="Times New Roman" w:hAnsi="Times New Roman"/>
          <w:color w:val="000000"/>
          <w:sz w:val="20"/>
        </w:rPr>
        <w:t xml:space="preserve">Option Agreement or the transactions contemplated </w:t>
      </w:r>
      <w:bookmarkStart w:id="138" w:name="el2q26o"/>
      <w:bookmarkEnd w:id="138"/>
      <w:r>
        <w:rPr>
          <w:rFonts w:ascii="Times New Roman" w:hAnsi="Times New Roman"/>
          <w:color w:val="000000"/>
          <w:sz w:val="20"/>
        </w:rPr>
        <w:t xml:space="preserve">hereby. In connection with such collaboration, the </w:t>
      </w:r>
      <w:bookmarkStart w:id="139" w:name="el2o26o"/>
      <w:bookmarkEnd w:id="139"/>
      <w:r>
        <w:rPr>
          <w:rFonts w:ascii="Times New Roman" w:hAnsi="Times New Roman"/>
          <w:color w:val="000000"/>
          <w:sz w:val="20"/>
        </w:rPr>
        <w:t xml:space="preserve">Fortis and FibroGen each shall act reasonably and as promptly as practicable, </w:t>
      </w:r>
      <w:bookmarkStart w:id="140" w:name="el2r26o"/>
      <w:bookmarkEnd w:id="140"/>
      <w:r>
        <w:rPr>
          <w:rFonts w:ascii="Times New Roman" w:hAnsi="Times New Roman"/>
          <w:color w:val="000000"/>
          <w:sz w:val="20"/>
        </w:rPr>
        <w:t xml:space="preserve">including permitting a representative of the other to attend any meetings with a </w:t>
      </w:r>
      <w:bookmarkStart w:id="141" w:name="el2f26o"/>
      <w:bookmarkEnd w:id="141"/>
      <w:r>
        <w:rPr>
          <w:rFonts w:ascii="Times New Roman" w:hAnsi="Times New Roman"/>
          <w:color w:val="000000"/>
          <w:sz w:val="20"/>
        </w:rPr>
        <w:t xml:space="preserve">Governmental Entity, so long as permitted by that </w:t>
      </w:r>
      <w:bookmarkStart w:id="142" w:name="el2g26o"/>
      <w:bookmarkEnd w:id="142"/>
      <w:r>
        <w:rPr>
          <w:rFonts w:ascii="Times New Roman" w:hAnsi="Times New Roman"/>
          <w:color w:val="000000"/>
          <w:sz w:val="20"/>
        </w:rPr>
        <w:t xml:space="preserve">Governmental Entity. Notwithstanding the foregoing, </w:t>
      </w:r>
      <w:bookmarkStart w:id="143" w:name="el2p26o"/>
      <w:bookmarkEnd w:id="143"/>
      <w:r>
        <w:rPr>
          <w:rFonts w:ascii="Times New Roman" w:hAnsi="Times New Roman"/>
          <w:color w:val="000000"/>
          <w:sz w:val="20"/>
        </w:rPr>
        <w:t xml:space="preserve">neither Fortis nor FibroGen shall be required to provide business documents deemed highly confidential by the possessing </w:t>
      </w:r>
      <w:bookmarkStart w:id="144" w:name="el2h26o"/>
      <w:bookmarkEnd w:id="144"/>
      <w:r>
        <w:rPr>
          <w:rFonts w:ascii="Times New Roman" w:hAnsi="Times New Roman"/>
          <w:color w:val="000000"/>
          <w:sz w:val="20"/>
        </w:rPr>
        <w:t>Party (</w:t>
      </w:r>
      <w:bookmarkStart w:id="145" w:name="el2s26o"/>
      <w:bookmarkEnd w:id="145"/>
      <w:r>
        <w:rPr>
          <w:rFonts w:ascii="Times New Roman" w:hAnsi="Times New Roman"/>
          <w:color w:val="000000"/>
          <w:sz w:val="20"/>
        </w:rPr>
        <w:t xml:space="preserve">including documents submitted as attachments to the Party’s Notification and Report Form under the </w:t>
      </w:r>
      <w:bookmarkStart w:id="146" w:name="el2i26o"/>
      <w:bookmarkEnd w:id="146"/>
      <w:r>
        <w:rPr>
          <w:rFonts w:ascii="Times New Roman" w:hAnsi="Times New Roman"/>
          <w:color w:val="000000"/>
          <w:sz w:val="20"/>
        </w:rPr>
        <w:t xml:space="preserve">HSR Act) to the other </w:t>
      </w:r>
      <w:bookmarkStart w:id="147" w:name="el2j26o"/>
      <w:bookmarkEnd w:id="147"/>
      <w:r>
        <w:rPr>
          <w:rFonts w:ascii="Times New Roman" w:hAnsi="Times New Roman"/>
          <w:color w:val="000000"/>
          <w:sz w:val="20"/>
        </w:rPr>
        <w:t>Party.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From and after filings with the DOJ and FTC are made pursuant to </w:t>
      </w:r>
      <w:r>
        <w:rPr>
          <w:rFonts w:ascii="Times New Roman" w:hAnsi="Times New Roman"/>
          <w:color w:val="000000"/>
          <w:sz w:val="20"/>
          <w:u w:val="single"/>
        </w:rPr>
        <w:t>Section 8.3(a)</w:t>
      </w:r>
      <w:r>
        <w:rPr>
          <w:rFonts w:ascii="Times New Roman" w:hAnsi="Times New Roman"/>
          <w:color w:val="000000"/>
          <w:sz w:val="20"/>
        </w:rPr>
        <w:t>, Fortis and FibroGen shall each use [*] to obtain any clearance required under the HSR Act (the “</w:t>
      </w:r>
      <w:r>
        <w:rPr>
          <w:rFonts w:ascii="Times New Roman" w:hAnsi="Times New Roman"/>
          <w:i/>
          <w:color w:val="000000"/>
          <w:sz w:val="20"/>
        </w:rPr>
        <w:t>HSR Approval</w:t>
      </w:r>
      <w:r>
        <w:rPr>
          <w:rFonts w:ascii="Times New Roman" w:hAnsi="Times New Roman"/>
          <w:color w:val="000000"/>
          <w:sz w:val="20"/>
        </w:rPr>
        <w:t xml:space="preserve">”), including replying at the earliest practicable date to any requests for information received from the FTC or DOJ pursuant to the HSR Act and making any permitted request for early expiration or termination of the applicable waiting periods under the HSR Act as soon as possible.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8.4. </w:t>
      </w:r>
      <w:r>
        <w:rPr>
          <w:rFonts w:ascii="Times New Roman" w:hAnsi="Times New Roman"/>
          <w:color w:val="000000"/>
          <w:sz w:val="20"/>
          <w:u w:val="single"/>
        </w:rPr>
        <w:t>Expenses</w:t>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8.5. </w:t>
      </w:r>
      <w:r>
        <w:rPr>
          <w:rFonts w:ascii="Times New Roman" w:hAnsi="Times New Roman"/>
          <w:color w:val="000000"/>
          <w:sz w:val="20"/>
          <w:u w:val="single"/>
        </w:rPr>
        <w:t>Further Assurances</w:t>
      </w:r>
      <w:r>
        <w:rPr>
          <w:rFonts w:ascii="Times New Roman" w:hAnsi="Times New Roman"/>
          <w:color w:val="000000"/>
          <w:sz w:val="20"/>
        </w:rPr>
        <w:t>. From time to time, as and when requested by any Party, the Parties shall execute and deliver, or cause to be executed and delivered, all such documents and instruments and shall take, or cause to be taken, all such further or other actions as a Party may reasonably deem necessary or desirable in order to carry out the intent and accomplish the purposes of this Option Agreement and, subject to the conditions of this Option Agreement, the consummation of the transactions contemplated hereunder.</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9</w:t>
      </w:r>
      <w:r>
        <w:rPr>
          <w:rFonts w:ascii="Times New Roman" w:hAnsi="Times New Roman"/>
          <w:caps/>
          <w:color w:val="000000"/>
          <w:sz w:val="20"/>
          <w:u w:val="single"/>
        </w:rPr>
        <w:br/>
        <w:t>Indemnification</w:t>
      </w:r>
    </w:p>
    <w:p>
      <w:pPr>
        <w:pStyle w:val="TextBody"/>
        <w:bidi w:val="0"/>
        <w:spacing w:before="0" w:after="240"/>
        <w:jc w:val="left"/>
        <w:rPr>
          <w:rFonts w:ascii="Times New Roman" w:hAnsi="Times New Roman"/>
          <w:sz w:val="20"/>
        </w:rPr>
      </w:pPr>
      <w:bookmarkStart w:id="148" w:name="el2846o"/>
      <w:bookmarkEnd w:id="148"/>
      <w:r>
        <w:rPr>
          <w:rFonts w:ascii="Times New Roman" w:hAnsi="Times New Roman"/>
          <w:color w:val="000000"/>
          <w:sz w:val="20"/>
        </w:rPr>
        <w:t xml:space="preserve">Section 9.1. </w:t>
      </w:r>
      <w:r>
        <w:rPr>
          <w:rFonts w:ascii="Times New Roman" w:hAnsi="Times New Roman"/>
          <w:color w:val="000000"/>
          <w:sz w:val="20"/>
          <w:u w:val="single"/>
        </w:rPr>
        <w:t>Survival of Representations and Warranties</w:t>
      </w:r>
      <w:r>
        <w:rPr>
          <w:rFonts w:ascii="Times New Roman" w:hAnsi="Times New Roman"/>
          <w:color w:val="000000"/>
          <w:sz w:val="20"/>
        </w:rPr>
        <w:t xml:space="preserve">. The representations and warranties of the Parties contained in this Option Agreement shall survive the Closing until the date which is [*];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 the Specified IP Representations shall survive the Closing until the date that is [*] and (ii) the Fundamental Representations shall survive the Closing until the date which is [*]. Each Indemnified Party must give a Claim Notice to the respective Indemnifying Party of any claim for indemnification under this </w:t>
      </w:r>
      <w:r>
        <w:rPr>
          <w:rFonts w:ascii="Times New Roman" w:hAnsi="Times New Roman"/>
          <w:color w:val="000000"/>
          <w:sz w:val="20"/>
          <w:u w:val="single"/>
        </w:rPr>
        <w:t>Article 9</w:t>
      </w:r>
      <w:r>
        <w:rPr>
          <w:rFonts w:ascii="Times New Roman" w:hAnsi="Times New Roman"/>
          <w:color w:val="000000"/>
          <w:sz w:val="20"/>
        </w:rPr>
        <w:t xml:space="preserve"> in accordance with </w:t>
      </w:r>
      <w:r>
        <w:rPr>
          <w:rFonts w:ascii="Times New Roman" w:hAnsi="Times New Roman"/>
          <w:color w:val="000000"/>
          <w:sz w:val="20"/>
          <w:u w:val="single"/>
        </w:rPr>
        <w:t>Section 9.5</w:t>
      </w:r>
      <w:r>
        <w:rPr>
          <w:rFonts w:ascii="Times New Roman" w:hAnsi="Times New Roman"/>
          <w:color w:val="000000"/>
          <w:sz w:val="20"/>
        </w:rPr>
        <w:t xml:space="preserve">. Any claim for indemnification included in a Claim Notice by the Indemnified Party on or prior to the expiration of the applicable survival period shall survive until such claim is finally and fully resolved. All of the covenants and other agreements of the Parties contained in this Option Agreement that are required to be performed at or prior to the Closing shall survive the Closing until the date which is [*]. All of the covenants and other agreements of the Parties contained in this Option Agreement that are required to be performed after the Closing shall survive until fully performed or fulfilled, except as otherwise provided in this Option Agreement. The Parties acknowledge that the time periods set forth in this </w:t>
      </w:r>
      <w:r>
        <w:rPr>
          <w:rFonts w:ascii="Times New Roman" w:hAnsi="Times New Roman"/>
          <w:color w:val="000000"/>
          <w:sz w:val="20"/>
          <w:u w:val="single"/>
        </w:rPr>
        <w:t>Section 9.1</w:t>
      </w:r>
      <w:r>
        <w:rPr>
          <w:rFonts w:ascii="Times New Roman" w:hAnsi="Times New Roman"/>
          <w:color w:val="000000"/>
          <w:sz w:val="20"/>
        </w:rPr>
        <w:t xml:space="preserve"> for the assertion of claims under this </w:t>
      </w:r>
      <w:bookmarkStart w:id="149" w:name="el2a46o"/>
      <w:bookmarkEnd w:id="149"/>
      <w:r>
        <w:rPr>
          <w:rFonts w:ascii="Times New Roman" w:hAnsi="Times New Roman"/>
          <w:color w:val="000000"/>
          <w:sz w:val="20"/>
        </w:rPr>
        <w:t xml:space="preserve">Agreement are the result of arms-length negotiation among the </w:t>
      </w:r>
      <w:bookmarkStart w:id="150" w:name="el2b46o"/>
      <w:bookmarkEnd w:id="150"/>
      <w:r>
        <w:rPr>
          <w:rFonts w:ascii="Times New Roman" w:hAnsi="Times New Roman"/>
          <w:color w:val="000000"/>
          <w:sz w:val="20"/>
        </w:rPr>
        <w:t xml:space="preserve">Parties and that they intend for the time periods to be enforced as agreed by the </w:t>
      </w:r>
      <w:bookmarkStart w:id="151" w:name="el2c46o"/>
      <w:bookmarkEnd w:id="151"/>
      <w:r>
        <w:rPr>
          <w:rFonts w:ascii="Times New Roman" w:hAnsi="Times New Roman"/>
          <w:color w:val="000000"/>
          <w:sz w:val="20"/>
        </w:rPr>
        <w:t xml:space="preserve">Parties. It is the express intent of the </w:t>
      </w:r>
      <w:bookmarkStart w:id="152" w:name="el2d46o"/>
      <w:bookmarkEnd w:id="152"/>
      <w:r>
        <w:rPr>
          <w:rFonts w:ascii="Times New Roman" w:hAnsi="Times New Roman"/>
          <w:color w:val="000000"/>
          <w:sz w:val="20"/>
        </w:rPr>
        <w:t xml:space="preserve">Parties that, if an applicable survival period as contemplated by this </w:t>
      </w:r>
      <w:r>
        <w:rPr>
          <w:rFonts w:ascii="Times New Roman" w:hAnsi="Times New Roman"/>
          <w:color w:val="000000"/>
          <w:sz w:val="20"/>
          <w:u w:val="single"/>
        </w:rPr>
        <w:t>Section 9.1</w:t>
      </w:r>
      <w:r>
        <w:rPr>
          <w:rFonts w:ascii="Times New Roman" w:hAnsi="Times New Roman"/>
          <w:color w:val="000000"/>
          <w:sz w:val="20"/>
        </w:rPr>
        <w:t xml:space="preserve"> is shorter or longer than the statute of limitations that would otherwise have been applicable, then, by </w:t>
      </w:r>
      <w:bookmarkStart w:id="153" w:name="el2h46o"/>
      <w:bookmarkEnd w:id="153"/>
      <w:r>
        <w:rPr>
          <w:rFonts w:ascii="Times New Roman" w:hAnsi="Times New Roman"/>
          <w:color w:val="000000"/>
          <w:sz w:val="20"/>
        </w:rPr>
        <w:t xml:space="preserve">contract, the applicable statute of limitations shall be reduced to the shortened survival period contemplated </w:t>
      </w:r>
      <w:bookmarkStart w:id="154" w:name="el2g46o"/>
      <w:bookmarkEnd w:id="154"/>
      <w:r>
        <w:rPr>
          <w:rFonts w:ascii="Times New Roman" w:hAnsi="Times New Roman"/>
          <w:color w:val="000000"/>
          <w:sz w:val="20"/>
        </w:rPr>
        <w:t>hereby or lengthened to the longer survival period contemplated hereby, as applicable.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9.2. </w:t>
      </w:r>
      <w:r>
        <w:rPr>
          <w:rFonts w:ascii="Times New Roman" w:hAnsi="Times New Roman"/>
          <w:color w:val="000000"/>
          <w:sz w:val="20"/>
          <w:u w:val="single"/>
        </w:rPr>
        <w:t>Indemnification of FibroGen</w:t>
      </w:r>
      <w:r>
        <w:rPr>
          <w:rFonts w:ascii="Times New Roman" w:hAnsi="Times New Roman"/>
          <w:color w:val="000000"/>
          <w:sz w:val="20"/>
        </w:rPr>
        <w:t xml:space="preserve">. Subject to the limitations set forth in this </w:t>
      </w:r>
      <w:r>
        <w:rPr>
          <w:rFonts w:ascii="Times New Roman" w:hAnsi="Times New Roman"/>
          <w:color w:val="000000"/>
          <w:sz w:val="20"/>
          <w:u w:val="single"/>
        </w:rPr>
        <w:t>Article 9</w:t>
      </w:r>
      <w:r>
        <w:rPr>
          <w:rFonts w:ascii="Times New Roman" w:hAnsi="Times New Roman"/>
          <w:color w:val="000000"/>
          <w:sz w:val="20"/>
        </w:rPr>
        <w:t>, from and after the Closing, FibroGen and its Affiliates (including, from and after the Closing, the Surviving Corporation) and each of their respective officers, directors, Affiliates, and agents (each, a “</w:t>
      </w:r>
      <w:r>
        <w:rPr>
          <w:rFonts w:ascii="Times New Roman" w:hAnsi="Times New Roman"/>
          <w:i/>
          <w:color w:val="000000"/>
          <w:sz w:val="20"/>
        </w:rPr>
        <w:t>FibroGen Indemnified Party</w:t>
      </w:r>
      <w:r>
        <w:rPr>
          <w:rFonts w:ascii="Times New Roman" w:hAnsi="Times New Roman"/>
          <w:color w:val="000000"/>
          <w:sz w:val="20"/>
        </w:rPr>
        <w:t xml:space="preserve">”) shall be indemnified and held harmless by Sellers, severally (according to each Seller’s Indemnity Pro Rata Share) but not jointly, against any and all Losses, whether or not involving a Third Party Claim, arising out of or resulting from: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the breach of or inaccuracy in any representation or warranty made by Fortis contained in </w:t>
      </w:r>
      <w:r>
        <w:rPr>
          <w:rFonts w:ascii="Times New Roman" w:hAnsi="Times New Roman"/>
          <w:color w:val="000000"/>
          <w:sz w:val="20"/>
          <w:u w:val="single"/>
        </w:rPr>
        <w:t>Article 5</w:t>
      </w:r>
      <w:r>
        <w:rPr>
          <w:rFonts w:ascii="Times New Roman" w:hAnsi="Times New Roman"/>
          <w:color w:val="000000"/>
          <w:sz w:val="20"/>
        </w:rPr>
        <w:t xml:space="preserve"> of this Option Agreement as of the Closing Date, except that the accuracy of any representations or warranties that by terms speak as of a specified date will be determined as of such date (in each case, as such representation or warranty would read if all qualifications as to materiality, including each reference to the words “Material Adverse Change”, “material” and “materiality” and all similar phrases and words, were deleted therefrom, except with respect to the definition of “Material Contract” and all references to “Material Contract”, the reference to “Material” in </w:t>
      </w:r>
      <w:r>
        <w:rPr>
          <w:rFonts w:ascii="Times New Roman" w:hAnsi="Times New Roman"/>
          <w:color w:val="000000"/>
          <w:sz w:val="20"/>
          <w:u w:val="single"/>
        </w:rPr>
        <w:t>Section 5.6(j)</w:t>
      </w:r>
      <w:r>
        <w:rPr>
          <w:rFonts w:ascii="Times New Roman" w:hAnsi="Times New Roman"/>
          <w:color w:val="000000"/>
          <w:sz w:val="20"/>
        </w:rPr>
        <w:t xml:space="preserve">, the reference to “material” in clause (z) of the last sentence of </w:t>
      </w:r>
      <w:r>
        <w:rPr>
          <w:rFonts w:ascii="Times New Roman" w:hAnsi="Times New Roman"/>
          <w:color w:val="000000"/>
          <w:sz w:val="20"/>
          <w:u w:val="single"/>
        </w:rPr>
        <w:t>Section 5.8</w:t>
      </w:r>
      <w:r>
        <w:rPr>
          <w:rFonts w:ascii="Times New Roman" w:hAnsi="Times New Roman"/>
          <w:color w:val="000000"/>
          <w:sz w:val="20"/>
        </w:rPr>
        <w:t xml:space="preserve">, the reference to “Material Adverse Change” in </w:t>
      </w:r>
      <w:r>
        <w:rPr>
          <w:rFonts w:ascii="Times New Roman" w:hAnsi="Times New Roman"/>
          <w:color w:val="000000"/>
          <w:sz w:val="20"/>
          <w:u w:val="single"/>
        </w:rPr>
        <w:t>Section 5.9(a)</w:t>
      </w:r>
      <w:r>
        <w:rPr>
          <w:rFonts w:ascii="Times New Roman" w:hAnsi="Times New Roman"/>
          <w:color w:val="000000"/>
          <w:sz w:val="20"/>
        </w:rPr>
        <w:t xml:space="preserve">, the reference to “material” in </w:t>
      </w:r>
      <w:r>
        <w:rPr>
          <w:rFonts w:ascii="Times New Roman" w:hAnsi="Times New Roman"/>
          <w:color w:val="000000"/>
          <w:sz w:val="20"/>
          <w:u w:val="single"/>
        </w:rPr>
        <w:t>Section 5.9(b)</w:t>
      </w:r>
      <w:r>
        <w:rPr>
          <w:rFonts w:ascii="Times New Roman" w:hAnsi="Times New Roman"/>
          <w:color w:val="000000"/>
          <w:sz w:val="20"/>
        </w:rPr>
        <w:t xml:space="preserve">, the references to “material” in </w:t>
      </w:r>
      <w:r>
        <w:rPr>
          <w:rFonts w:ascii="Times New Roman" w:hAnsi="Times New Roman"/>
          <w:color w:val="000000"/>
          <w:sz w:val="20"/>
          <w:u w:val="single"/>
        </w:rPr>
        <w:t>Section 5.10</w:t>
      </w:r>
      <w:r>
        <w:rPr>
          <w:rFonts w:ascii="Times New Roman" w:hAnsi="Times New Roman"/>
          <w:color w:val="000000"/>
          <w:sz w:val="20"/>
        </w:rPr>
        <w:t xml:space="preserve">, the reference to “material” in the first paragraph of </w:t>
      </w:r>
      <w:r>
        <w:rPr>
          <w:rFonts w:ascii="Times New Roman" w:hAnsi="Times New Roman"/>
          <w:color w:val="000000"/>
          <w:sz w:val="20"/>
          <w:u w:val="single"/>
        </w:rPr>
        <w:t>Section 5.13(a)</w:t>
      </w:r>
      <w:r>
        <w:rPr>
          <w:rFonts w:ascii="Times New Roman" w:hAnsi="Times New Roman"/>
          <w:color w:val="000000"/>
          <w:sz w:val="20"/>
        </w:rPr>
        <w:t xml:space="preserve">, and the references to “material” in </w:t>
      </w:r>
      <w:r>
        <w:rPr>
          <w:rFonts w:ascii="Times New Roman" w:hAnsi="Times New Roman"/>
          <w:color w:val="000000"/>
          <w:sz w:val="20"/>
          <w:u w:val="single"/>
        </w:rPr>
        <w:t>Section 5.14(a)</w:t>
      </w:r>
      <w:r>
        <w:rPr>
          <w:rFonts w:ascii="Times New Roman" w:hAnsi="Times New Roman"/>
          <w:color w:val="000000"/>
          <w:sz w:val="20"/>
        </w:rPr>
        <w:t xml:space="preserve"> and </w:t>
      </w:r>
      <w:r>
        <w:rPr>
          <w:rFonts w:ascii="Times New Roman" w:hAnsi="Times New Roman"/>
          <w:color w:val="000000"/>
          <w:sz w:val="20"/>
          <w:u w:val="single"/>
        </w:rPr>
        <w:t>Section 5.14(f))</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breach or violation of any covenant or agreement of Fortis contained in this Option Agreement, whether occurring before or at the Closing but not after the Closing; or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any Closing Indebtedness, Deal Fees, Change of Control Payments or Pre-Closing Taxes, in each case to the extent not taken into account in the calculation of the Final Closing Payment pursuant to </w:t>
      </w:r>
      <w:r>
        <w:rPr>
          <w:rFonts w:ascii="Times New Roman" w:hAnsi="Times New Roman"/>
          <w:color w:val="000000"/>
          <w:sz w:val="20"/>
          <w:u w:val="single"/>
        </w:rPr>
        <w:t>Section 2.15</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Notwithstanding anything to the contrary contained in this Option Agreement, no FibroGen Indemnified Party will be entitled to indemnification under this </w:t>
      </w:r>
      <w:r>
        <w:rPr>
          <w:rFonts w:ascii="Times New Roman" w:hAnsi="Times New Roman"/>
          <w:color w:val="000000"/>
          <w:sz w:val="20"/>
          <w:u w:val="single"/>
        </w:rPr>
        <w:t>Section 9.2</w:t>
      </w:r>
      <w:r>
        <w:rPr>
          <w:rFonts w:ascii="Times New Roman" w:hAnsi="Times New Roman"/>
          <w:color w:val="000000"/>
          <w:sz w:val="20"/>
        </w:rPr>
        <w:t xml:space="preserve"> for Losses to the extent arising out of or resulting from (a) actions taken by FibroGen or its Affiliates under the Evaluation Agreement or otherwise prior to the Closing or (b) Disclosed Events.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9.3. </w:t>
      </w:r>
      <w:r>
        <w:rPr>
          <w:rFonts w:ascii="Times New Roman" w:hAnsi="Times New Roman"/>
          <w:color w:val="000000"/>
          <w:sz w:val="20"/>
          <w:u w:val="single"/>
        </w:rPr>
        <w:t>Indemnification of Sellers</w:t>
      </w:r>
      <w:r>
        <w:rPr>
          <w:rFonts w:ascii="Times New Roman" w:hAnsi="Times New Roman"/>
          <w:color w:val="000000"/>
          <w:sz w:val="20"/>
        </w:rPr>
        <w:t xml:space="preserve">. Subject to the limitations set forth in this </w:t>
      </w:r>
      <w:r>
        <w:rPr>
          <w:rFonts w:ascii="Times New Roman" w:hAnsi="Times New Roman"/>
          <w:color w:val="000000"/>
          <w:sz w:val="20"/>
          <w:u w:val="single"/>
        </w:rPr>
        <w:t>Article 9</w:t>
      </w:r>
      <w:r>
        <w:rPr>
          <w:rFonts w:ascii="Times New Roman" w:hAnsi="Times New Roman"/>
          <w:color w:val="000000"/>
          <w:sz w:val="20"/>
        </w:rPr>
        <w:t>, from and after the Closing, each of the Sellers and each of their respective officers, directors, Affiliates, and agents (each, a “</w:t>
      </w:r>
      <w:r>
        <w:rPr>
          <w:rFonts w:ascii="Times New Roman" w:hAnsi="Times New Roman"/>
          <w:i/>
          <w:color w:val="000000"/>
          <w:sz w:val="20"/>
        </w:rPr>
        <w:t>Seller Indemnified Party</w:t>
      </w:r>
      <w:r>
        <w:rPr>
          <w:rFonts w:ascii="Times New Roman" w:hAnsi="Times New Roman"/>
          <w:color w:val="000000"/>
          <w:sz w:val="20"/>
        </w:rPr>
        <w:t xml:space="preserve">”) shall be indemnified and held harmless by FibroGen against such Seller’s Pro Rata Percentage of any and all Losses, whether or not involving a Third Party Claim, arising out of or directly or indirectly resulting from: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breach or violation of or inaccuracy in any representation or warranty made by FibroGen contained in this Option Agreement (in each case, as such representation or warranty would read if all qualifications as to materiality, including each reference to the words “Material Adverse Change”, “material” and “materiality” and all similar phrases and words, were deleted therefrom);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breach or violation of any covenant or agreement of FibroGen contained in this Option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9.4. </w:t>
      </w:r>
      <w:r>
        <w:rPr>
          <w:rFonts w:ascii="Times New Roman" w:hAnsi="Times New Roman"/>
          <w:color w:val="000000"/>
          <w:sz w:val="20"/>
          <w:u w:val="single"/>
        </w:rPr>
        <w:t>Limits on Indemnification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 [*]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9.5. </w:t>
      </w:r>
      <w:r>
        <w:rPr>
          <w:rFonts w:ascii="Times New Roman" w:hAnsi="Times New Roman"/>
          <w:color w:val="000000"/>
          <w:sz w:val="20"/>
          <w:u w:val="single"/>
        </w:rPr>
        <w:t>Notice of Loss; Third Party Claims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(a) A claim for indemnification for any matter not involving a Third Party Claim may be asserted by written notice by FibroGen or the Sellers’ Representative, as applicable, to the Indemnifying Party. Such notice shall include in reasonable detail the facts constituting the basis for such claim for indemnification, the sections of this Option Agreement upon which such claim for indemnification is then based and an estimate, if possible, of the amount of Losses suffered or reasonably expected to be suffered by the Indemnified Party (a “</w:t>
      </w:r>
      <w:r>
        <w:rPr>
          <w:rFonts w:ascii="Times New Roman" w:hAnsi="Times New Roman"/>
          <w:i/>
          <w:color w:val="000000"/>
          <w:sz w:val="20"/>
        </w:rPr>
        <w:t>Claim Notice</w:t>
      </w:r>
      <w:r>
        <w:rPr>
          <w:rFonts w:ascii="Times New Roman" w:hAnsi="Times New Roman"/>
          <w:color w:val="000000"/>
          <w:sz w:val="20"/>
        </w:rPr>
        <w:t>”).</w:t>
      </w:r>
    </w:p>
    <w:p>
      <w:pPr>
        <w:pStyle w:val="TextBody"/>
        <w:bidi w:val="0"/>
        <w:spacing w:before="0" w:after="240"/>
        <w:jc w:val="left"/>
        <w:rPr>
          <w:rFonts w:ascii="Times New Roman" w:hAnsi="Times New Roman"/>
          <w:sz w:val="20"/>
        </w:rPr>
      </w:pPr>
      <w:bookmarkStart w:id="155" w:name="el2ed6o"/>
      <w:bookmarkEnd w:id="155"/>
      <w:r>
        <w:rPr>
          <w:rFonts w:ascii="Times New Roman" w:hAnsi="Times New Roman"/>
          <w:color w:val="000000"/>
          <w:sz w:val="20"/>
        </w:rPr>
        <w:t xml:space="preserve">(b) Upon reasonable request, the Indemnified Party shall furnish the Indemnifying Party with any information </w:t>
      </w:r>
      <w:bookmarkStart w:id="156" w:name="el2ae6o"/>
      <w:bookmarkEnd w:id="156"/>
      <w:r>
        <w:rPr>
          <w:rFonts w:ascii="Times New Roman" w:hAnsi="Times New Roman"/>
          <w:color w:val="000000"/>
          <w:sz w:val="20"/>
        </w:rPr>
        <w:t xml:space="preserve">to the extent that such information is reasonably necessary in order to evaluate the </w:t>
      </w:r>
      <w:bookmarkStart w:id="157" w:name="el2fd6o"/>
      <w:bookmarkEnd w:id="157"/>
      <w:r>
        <w:rPr>
          <w:rFonts w:ascii="Times New Roman" w:hAnsi="Times New Roman"/>
          <w:color w:val="000000"/>
          <w:sz w:val="20"/>
        </w:rPr>
        <w:t xml:space="preserve">Claim Notice. If the Indemnifying Party in good faith objects to any claim made by the </w:t>
      </w:r>
      <w:bookmarkStart w:id="158" w:name="el2gd6o"/>
      <w:bookmarkEnd w:id="158"/>
      <w:r>
        <w:rPr>
          <w:rFonts w:ascii="Times New Roman" w:hAnsi="Times New Roman"/>
          <w:color w:val="000000"/>
          <w:sz w:val="20"/>
        </w:rPr>
        <w:t xml:space="preserve">Indemnified Party in the </w:t>
      </w:r>
      <w:bookmarkStart w:id="159" w:name="el2hd6o"/>
      <w:bookmarkEnd w:id="159"/>
      <w:r>
        <w:rPr>
          <w:rFonts w:ascii="Times New Roman" w:hAnsi="Times New Roman"/>
          <w:color w:val="000000"/>
          <w:sz w:val="20"/>
        </w:rPr>
        <w:t>Claim Notice, then the Indemnifying Party shall deliver a written notice (an “</w:t>
      </w:r>
      <w:bookmarkStart w:id="160" w:name="el31ao"/>
      <w:bookmarkEnd w:id="160"/>
      <w:r>
        <w:rPr>
          <w:rFonts w:ascii="Times New Roman" w:hAnsi="Times New Roman"/>
          <w:i/>
          <w:color w:val="000000"/>
          <w:sz w:val="20"/>
        </w:rPr>
        <w:t>Claim Dispute Notice</w:t>
      </w:r>
      <w:r>
        <w:rPr>
          <w:rFonts w:ascii="Times New Roman" w:hAnsi="Times New Roman"/>
          <w:color w:val="000000"/>
          <w:sz w:val="20"/>
        </w:rPr>
        <w:t xml:space="preserve">”) to the </w:t>
      </w:r>
      <w:bookmarkStart w:id="161" w:name="el2kd6o"/>
      <w:bookmarkEnd w:id="161"/>
      <w:r>
        <w:rPr>
          <w:rFonts w:ascii="Times New Roman" w:hAnsi="Times New Roman"/>
          <w:color w:val="000000"/>
          <w:sz w:val="20"/>
        </w:rPr>
        <w:t xml:space="preserve">Indemnified Party within [*] by the Indemnifying Party of a </w:t>
      </w:r>
      <w:bookmarkStart w:id="162" w:name="el2pd6o"/>
      <w:bookmarkEnd w:id="162"/>
      <w:r>
        <w:rPr>
          <w:rFonts w:ascii="Times New Roman" w:hAnsi="Times New Roman"/>
          <w:color w:val="000000"/>
          <w:sz w:val="20"/>
        </w:rPr>
        <w:t xml:space="preserve">Claim Notice from such </w:t>
      </w:r>
      <w:bookmarkStart w:id="163" w:name="el2qd6o"/>
      <w:bookmarkEnd w:id="163"/>
      <w:r>
        <w:rPr>
          <w:rFonts w:ascii="Times New Roman" w:hAnsi="Times New Roman"/>
          <w:color w:val="000000"/>
          <w:sz w:val="20"/>
        </w:rPr>
        <w:t xml:space="preserve">Indemnified Party. The </w:t>
      </w:r>
      <w:bookmarkStart w:id="164" w:name="el2rd6o"/>
      <w:bookmarkEnd w:id="164"/>
      <w:r>
        <w:rPr>
          <w:rFonts w:ascii="Times New Roman" w:hAnsi="Times New Roman"/>
          <w:color w:val="000000"/>
          <w:sz w:val="20"/>
        </w:rPr>
        <w:t xml:space="preserve">Claim Dispute Notice shall set forth in reasonable detail the principal basis for the dispute of any claim made by the </w:t>
      </w:r>
      <w:bookmarkStart w:id="165" w:name="el2sd6o"/>
      <w:bookmarkEnd w:id="165"/>
      <w:r>
        <w:rPr>
          <w:rFonts w:ascii="Times New Roman" w:hAnsi="Times New Roman"/>
          <w:color w:val="000000"/>
          <w:sz w:val="20"/>
        </w:rPr>
        <w:t xml:space="preserve">Indemnified Party in the </w:t>
      </w:r>
      <w:bookmarkStart w:id="166" w:name="el2td6o"/>
      <w:bookmarkEnd w:id="166"/>
      <w:r>
        <w:rPr>
          <w:rFonts w:ascii="Times New Roman" w:hAnsi="Times New Roman"/>
          <w:color w:val="000000"/>
          <w:sz w:val="20"/>
        </w:rPr>
        <w:t xml:space="preserve">Claim Notice. If the Indemnifying Party fails to deliver a </w:t>
      </w:r>
      <w:bookmarkStart w:id="167" w:name="el2ud6o"/>
      <w:bookmarkEnd w:id="167"/>
      <w:r>
        <w:rPr>
          <w:rFonts w:ascii="Times New Roman" w:hAnsi="Times New Roman"/>
          <w:color w:val="000000"/>
          <w:sz w:val="20"/>
        </w:rPr>
        <w:t xml:space="preserve">Claim Dispute Notice prior to the expiration of such [*], then the indemnity claim set forth in the </w:t>
      </w:r>
      <w:bookmarkStart w:id="168" w:name="el2vd6o"/>
      <w:bookmarkEnd w:id="168"/>
      <w:r>
        <w:rPr>
          <w:rFonts w:ascii="Times New Roman" w:hAnsi="Times New Roman"/>
          <w:color w:val="000000"/>
          <w:sz w:val="20"/>
        </w:rPr>
        <w:t xml:space="preserve">Claim Notice shall be conclusively determined in the </w:t>
      </w:r>
      <w:bookmarkStart w:id="169" w:name="el2wd6o"/>
      <w:bookmarkEnd w:id="169"/>
      <w:r>
        <w:rPr>
          <w:rFonts w:ascii="Times New Roman" w:hAnsi="Times New Roman"/>
          <w:color w:val="000000"/>
          <w:sz w:val="20"/>
        </w:rPr>
        <w:t xml:space="preserve">Indemnified Party’s favor for purposes of this </w:t>
      </w:r>
      <w:r>
        <w:rPr>
          <w:rFonts w:ascii="Times New Roman" w:hAnsi="Times New Roman"/>
          <w:color w:val="000000"/>
          <w:sz w:val="20"/>
          <w:u w:val="single"/>
        </w:rPr>
        <w:t>Article 9</w:t>
      </w:r>
      <w:r>
        <w:rPr>
          <w:rFonts w:ascii="Times New Roman" w:hAnsi="Times New Roman"/>
          <w:color w:val="000000"/>
          <w:sz w:val="20"/>
        </w:rPr>
        <w:t xml:space="preserve">, and the </w:t>
      </w:r>
      <w:bookmarkStart w:id="170" w:name="el2xd6o"/>
      <w:bookmarkEnd w:id="170"/>
      <w:r>
        <w:rPr>
          <w:rFonts w:ascii="Times New Roman" w:hAnsi="Times New Roman"/>
          <w:color w:val="000000"/>
          <w:sz w:val="20"/>
        </w:rPr>
        <w:t xml:space="preserve">Indemnified Party shall be indemnified for the amount of the </w:t>
      </w:r>
      <w:bookmarkStart w:id="171" w:name="el2yd6o"/>
      <w:bookmarkEnd w:id="171"/>
      <w:r>
        <w:rPr>
          <w:rFonts w:ascii="Times New Roman" w:hAnsi="Times New Roman"/>
          <w:color w:val="000000"/>
          <w:sz w:val="20"/>
        </w:rPr>
        <w:t xml:space="preserve">Losses stated in such </w:t>
      </w:r>
      <w:bookmarkStart w:id="172" w:name="el2zd6o"/>
      <w:bookmarkEnd w:id="172"/>
      <w:r>
        <w:rPr>
          <w:rFonts w:ascii="Times New Roman" w:hAnsi="Times New Roman"/>
          <w:color w:val="000000"/>
          <w:sz w:val="20"/>
        </w:rPr>
        <w:t xml:space="preserve">Claim Notice (or, in the case of any notice in which the </w:t>
      </w:r>
      <w:bookmarkStart w:id="173" w:name="el2_d6o"/>
      <w:bookmarkEnd w:id="173"/>
      <w:r>
        <w:rPr>
          <w:rFonts w:ascii="Times New Roman" w:hAnsi="Times New Roman"/>
          <w:color w:val="000000"/>
          <w:sz w:val="20"/>
        </w:rPr>
        <w:t xml:space="preserve">Losses (or any portion thereof) are estimated, the amount of such </w:t>
      </w:r>
      <w:bookmarkStart w:id="174" w:name="el20e6o"/>
      <w:bookmarkEnd w:id="174"/>
      <w:r>
        <w:rPr>
          <w:rFonts w:ascii="Times New Roman" w:hAnsi="Times New Roman"/>
          <w:color w:val="000000"/>
          <w:sz w:val="20"/>
        </w:rPr>
        <w:t xml:space="preserve">Losses (or such portion thereof) as finally determined) or, in the case of any notice in which the </w:t>
      </w:r>
      <w:bookmarkStart w:id="175" w:name="el21e6o"/>
      <w:bookmarkEnd w:id="175"/>
      <w:r>
        <w:rPr>
          <w:rFonts w:ascii="Times New Roman" w:hAnsi="Times New Roman"/>
          <w:color w:val="000000"/>
          <w:sz w:val="20"/>
        </w:rPr>
        <w:t xml:space="preserve">Losses (or any portion thereof) are estimated, on such later date when the amount of such </w:t>
      </w:r>
      <w:bookmarkStart w:id="176" w:name="el22e6o"/>
      <w:bookmarkEnd w:id="176"/>
      <w:r>
        <w:rPr>
          <w:rFonts w:ascii="Times New Roman" w:hAnsi="Times New Roman"/>
          <w:color w:val="000000"/>
          <w:sz w:val="20"/>
        </w:rPr>
        <w:t xml:space="preserve">Losses (or such portion thereof) becomes finally determined, in either case, subject to the limitations of this </w:t>
      </w:r>
      <w:r>
        <w:rPr>
          <w:rFonts w:ascii="Times New Roman" w:hAnsi="Times New Roman"/>
          <w:color w:val="000000"/>
          <w:sz w:val="20"/>
          <w:u w:val="single"/>
        </w:rPr>
        <w:t>Article 9</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bookmarkStart w:id="177" w:name="el2we6o"/>
      <w:bookmarkEnd w:id="177"/>
      <w:r>
        <w:rPr>
          <w:rFonts w:ascii="Times New Roman" w:hAnsi="Times New Roman"/>
          <w:color w:val="000000"/>
          <w:sz w:val="20"/>
        </w:rPr>
        <w:t xml:space="preserve">(c) If the Indemnifying Party delivers a Claim Dispute Notice, then the </w:t>
      </w:r>
      <w:bookmarkStart w:id="178" w:name="el2xe6o"/>
      <w:bookmarkEnd w:id="178"/>
      <w:r>
        <w:rPr>
          <w:rFonts w:ascii="Times New Roman" w:hAnsi="Times New Roman"/>
          <w:color w:val="000000"/>
          <w:sz w:val="20"/>
        </w:rPr>
        <w:t xml:space="preserve">Indemnified Party and the Indemnifying Party shall attempt in good faith to resolve any such objections raised by Indemnifying Party in such </w:t>
      </w:r>
      <w:bookmarkStart w:id="179" w:name="el2_e6o"/>
      <w:bookmarkEnd w:id="179"/>
      <w:r>
        <w:rPr>
          <w:rFonts w:ascii="Times New Roman" w:hAnsi="Times New Roman"/>
          <w:color w:val="000000"/>
          <w:sz w:val="20"/>
        </w:rPr>
        <w:t xml:space="preserve">Claim Dispute Notice. If the </w:t>
      </w:r>
      <w:bookmarkStart w:id="180" w:name="el22f6o"/>
      <w:bookmarkEnd w:id="180"/>
      <w:r>
        <w:rPr>
          <w:rFonts w:ascii="Times New Roman" w:hAnsi="Times New Roman"/>
          <w:color w:val="000000"/>
          <w:sz w:val="20"/>
        </w:rPr>
        <w:t xml:space="preserve">Indemnified Party and the Indemnifying Party agree to a resolution of such objection, then a memorandum setting forth the matters conclusively determined by the </w:t>
      </w:r>
      <w:bookmarkStart w:id="181" w:name="el24f6o"/>
      <w:bookmarkEnd w:id="181"/>
      <w:r>
        <w:rPr>
          <w:rFonts w:ascii="Times New Roman" w:hAnsi="Times New Roman"/>
          <w:color w:val="000000"/>
          <w:sz w:val="20"/>
        </w:rPr>
        <w:t xml:space="preserve">Indemnified Party and the Indemnifying Party shall be prepared and signed by both parties, and shall be binding and conclusive. </w:t>
      </w:r>
    </w:p>
    <w:p>
      <w:pPr>
        <w:pStyle w:val="TextBody"/>
        <w:bidi w:val="0"/>
        <w:spacing w:before="0" w:after="240"/>
        <w:jc w:val="left"/>
        <w:rPr>
          <w:rFonts w:ascii="Times New Roman" w:hAnsi="Times New Roman"/>
          <w:sz w:val="20"/>
        </w:rPr>
      </w:pPr>
      <w:bookmarkStart w:id="182" w:name="el2hf6o"/>
      <w:bookmarkEnd w:id="182"/>
      <w:r>
        <w:rPr>
          <w:rFonts w:ascii="Times New Roman" w:hAnsi="Times New Roman"/>
          <w:color w:val="000000"/>
          <w:sz w:val="20"/>
        </w:rPr>
        <w:t xml:space="preserve">(d) If no such resolution can be reached during the [*] of a given Claim Dispute Notice, then upon the expiration of such [*] (or such longer period as may be mutually agreed), either FibroGen or the Seller’s Representative may initiate any suit, action or proceeding in accordance with </w:t>
      </w:r>
      <w:r>
        <w:rPr>
          <w:rFonts w:ascii="Times New Roman" w:hAnsi="Times New Roman"/>
          <w:color w:val="000000"/>
          <w:sz w:val="20"/>
          <w:u w:val="single"/>
        </w:rPr>
        <w:t>Section 11.4(a)</w:t>
      </w:r>
      <w:r>
        <w:rPr>
          <w:rFonts w:ascii="Times New Roman" w:hAnsi="Times New Roman"/>
          <w:color w:val="000000"/>
          <w:sz w:val="20"/>
        </w:rPr>
        <w:t xml:space="preserve"> to resolve such dispute.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In the event that any Action shall be instituted or asserted by any Third Party in respect of which payment may be sought under </w:t>
      </w:r>
      <w:r>
        <w:rPr>
          <w:rFonts w:ascii="Times New Roman" w:hAnsi="Times New Roman"/>
          <w:color w:val="000000"/>
          <w:sz w:val="20"/>
          <w:u w:val="single"/>
        </w:rPr>
        <w:t>Section 9.2</w:t>
      </w:r>
      <w:r>
        <w:rPr>
          <w:rFonts w:ascii="Times New Roman" w:hAnsi="Times New Roman"/>
          <w:color w:val="000000"/>
          <w:sz w:val="20"/>
        </w:rPr>
        <w:t xml:space="preserve"> or </w:t>
      </w:r>
      <w:r>
        <w:rPr>
          <w:rFonts w:ascii="Times New Roman" w:hAnsi="Times New Roman"/>
          <w:color w:val="000000"/>
          <w:sz w:val="20"/>
          <w:u w:val="single"/>
        </w:rPr>
        <w:t>Section 9.3</w:t>
      </w:r>
      <w:r>
        <w:rPr>
          <w:rFonts w:ascii="Times New Roman" w:hAnsi="Times New Roman"/>
          <w:color w:val="000000"/>
          <w:sz w:val="20"/>
        </w:rPr>
        <w:t xml:space="preserve"> hereof (regardless of the limitations set forth in </w:t>
      </w:r>
      <w:r>
        <w:rPr>
          <w:rFonts w:ascii="Times New Roman" w:hAnsi="Times New Roman"/>
          <w:color w:val="000000"/>
          <w:sz w:val="20"/>
          <w:u w:val="single"/>
        </w:rPr>
        <w:t>Section 9.4</w:t>
      </w:r>
      <w:r>
        <w:rPr>
          <w:rFonts w:ascii="Times New Roman" w:hAnsi="Times New Roman"/>
          <w:color w:val="000000"/>
          <w:sz w:val="20"/>
        </w:rPr>
        <w:t>) (each, a “</w:t>
      </w:r>
      <w:r>
        <w:rPr>
          <w:rFonts w:ascii="Times New Roman" w:hAnsi="Times New Roman"/>
          <w:i/>
          <w:color w:val="000000"/>
          <w:sz w:val="20"/>
        </w:rPr>
        <w:t>Third Party Claim</w:t>
      </w:r>
      <w:r>
        <w:rPr>
          <w:rFonts w:ascii="Times New Roman" w:hAnsi="Times New Roman"/>
          <w:color w:val="000000"/>
          <w:sz w:val="20"/>
        </w:rPr>
        <w:t xml:space="preserve">”), the Indemnified Party shall promptly cause written notice of the assertion of any Third Party Claim of which it has knowledge which is covered by this indemnity to be forwarded to the Indemnifying Party. The failure of the Indemnified Party to give reasonably prompt notice of any Third Party Claim shall not release, waive or otherwise affect the Indemnifying Party’s obligations with respect thereto except to the extent that the Indemnifying Party is actually prejudiced as a result of such failure. The Indemnifying Party shall have the right, [*] to be represented by counsel reasonably acceptable to the Indemnified Party and to defend against, negotiate, settle or otherwise deal with any Third Party Claim which relates to any Losses indemnified by it hereunder;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Indemnifying Party may not assume control of defense to a Third Party Claim (i) involving criminal liability or in which equitable relief other than monetary damages is sought, (ii) involving a purported class action, (iii) if the Indemnifying Party has not notified the Indemnified Party in writing that it will be liable to indemnify the Indemnified Party with respect to all Losses relating to such Third Party Claim subject to the limitations of </w:t>
      </w:r>
      <w:r>
        <w:rPr>
          <w:rFonts w:ascii="Times New Roman" w:hAnsi="Times New Roman"/>
          <w:color w:val="000000"/>
          <w:sz w:val="20"/>
          <w:u w:val="single"/>
        </w:rPr>
        <w:t>Section 9.4</w:t>
      </w:r>
      <w:r>
        <w:rPr>
          <w:rFonts w:ascii="Times New Roman" w:hAnsi="Times New Roman"/>
          <w:color w:val="000000"/>
          <w:sz w:val="20"/>
        </w:rPr>
        <w:t xml:space="preserve">, or (iv) if the Third Party Claim relates to Fortis Intellectual Property. If the Indemnifying Party elects to defend against, negotiate, settle or otherwise deal with any Third Party Claim which relates to any Losses indemnified by it hereunder, it shall within [*] notify the Indemnified Party of its intent to do so. If the Indemnifying Party elects not to defend against, negotiate, settle or otherwise deal with any Third Party Claim which relates to any Losses indemnified against hereunder, or is not permitted to assume the defense of a Third Party Claim pursuant to the proviso to the third sentence of this </w:t>
      </w:r>
      <w:r>
        <w:rPr>
          <w:rFonts w:ascii="Times New Roman" w:hAnsi="Times New Roman"/>
          <w:color w:val="000000"/>
          <w:sz w:val="20"/>
          <w:u w:val="single"/>
        </w:rPr>
        <w:t>Section 9.5(b)</w:t>
      </w:r>
      <w:r>
        <w:rPr>
          <w:rFonts w:ascii="Times New Roman" w:hAnsi="Times New Roman"/>
          <w:color w:val="000000"/>
          <w:sz w:val="20"/>
        </w:rPr>
        <w:t xml:space="preserve">, the Indemnified Party may defend against, negotiate, settle or otherwise deal with such Third Party Claim, subject to the provisions below. If the Indemnifying Party shall assume the defense of any Third Party Claim pursuant to the terms of this Option Agreement, the Indemnified Party may participate, [*] in the defense of such Third Party Claim;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such Indemnified Party shall be entitled to participate in any such defense with separate counsel at the expense of the Indemnifying Party if (A) so requested by the Indemnifying Party to participate or (B) in the reasonable opinion of outside counsel to the Indemnified Party a conflict or potential conflict exists between the Indemnified Party and the Indemnifying Party that would make such separate representation advisable;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the Indemnifying Party shall not be required to pay for more than one such counsel for all Indemnified Parties in connection with any Third Party Claim. The Parties hereto agree to reasonably cooperate with each other in connection with the defense, negotiation or settlement of any Third Party Claim. Notwithstanding anything in this </w:t>
      </w:r>
      <w:r>
        <w:rPr>
          <w:rFonts w:ascii="Times New Roman" w:hAnsi="Times New Roman"/>
          <w:color w:val="000000"/>
          <w:sz w:val="20"/>
          <w:u w:val="single"/>
        </w:rPr>
        <w:t>Section 9.5</w:t>
      </w:r>
      <w:r>
        <w:rPr>
          <w:rFonts w:ascii="Times New Roman" w:hAnsi="Times New Roman"/>
          <w:color w:val="000000"/>
          <w:sz w:val="20"/>
        </w:rPr>
        <w:t xml:space="preserve"> to the contrary, neither the Indemnifying Party nor the Indemnified Party shall, without the written consent of the other Party (which consent shall not be unreasonably withheld, conditioned or delayed), settle or compromise any Third Party Claim or permit a default or consent to entry of any judgment unless (1) the claimant provides to such other Party an unqualified release of the Indemnified and Indemnifying Parties from all liability in respect of such Third Party Claim, (2) where the Indemnifying Party is the controlling Party, such settlement does not involve any injunctive relief binding upon the Indemnified Party or any of its Affiliates, (3) where the Indemnifying Party is the controlling Party, such settlement does not encumber any of the material assets of any Indemnified Party or impose any restriction or condition that would apply to or materially affect any Indemnified Party or the conduct of any Indemnified Party’s business and (4) where the Indemnifying Party is the controlling Party, such settlement does not involve any admission of liability or wrongdoing by any Indemnified Party or any of its Affiliates. Notwithstanding anything to the contrary in this Option Agreement, all Tax Actions shall be governed by Section 7.2(k) and not this Section 9.5(e).</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bookmarkStart w:id="183" w:name="el2_k6o"/>
      <w:bookmarkEnd w:id="183"/>
      <w:r>
        <w:rPr>
          <w:rFonts w:ascii="Times New Roman" w:hAnsi="Times New Roman"/>
          <w:color w:val="000000"/>
          <w:sz w:val="20"/>
        </w:rPr>
        <w:t xml:space="preserve">(f) In the event that the Indemnified Party conducts the defense of the Third Party Claim pursuant to this </w:t>
      </w:r>
      <w:r>
        <w:rPr>
          <w:rFonts w:ascii="Times New Roman" w:hAnsi="Times New Roman"/>
          <w:color w:val="000000"/>
          <w:sz w:val="20"/>
          <w:u w:val="single"/>
        </w:rPr>
        <w:t>Section 9.5</w:t>
      </w:r>
      <w:r>
        <w:rPr>
          <w:rFonts w:ascii="Times New Roman" w:hAnsi="Times New Roman"/>
          <w:color w:val="000000"/>
          <w:sz w:val="20"/>
        </w:rPr>
        <w:t xml:space="preserve">, the Indemnifying Party will remain responsible for any and all other Losses that the Indemnified Party may incur or suffer resulting from, arising out of, relating to, in the nature of or caused by the Third Party Claim to the fullest extent provided in this </w:t>
      </w:r>
      <w:r>
        <w:rPr>
          <w:rFonts w:ascii="Times New Roman" w:hAnsi="Times New Roman"/>
          <w:color w:val="000000"/>
          <w:sz w:val="20"/>
          <w:u w:val="single"/>
        </w:rPr>
        <w:t>Article 9</w:t>
      </w:r>
      <w:r>
        <w:rPr>
          <w:rFonts w:ascii="Times New Roman" w:hAnsi="Times New Roman"/>
          <w:color w:val="000000"/>
          <w:sz w:val="20"/>
        </w:rPr>
        <w:t xml:space="preserve">, but solely to the extent the </w:t>
      </w:r>
      <w:bookmarkStart w:id="184" w:name="el2gk6o"/>
      <w:bookmarkEnd w:id="184"/>
      <w:r>
        <w:rPr>
          <w:rFonts w:ascii="Times New Roman" w:hAnsi="Times New Roman"/>
          <w:color w:val="000000"/>
          <w:sz w:val="20"/>
        </w:rPr>
        <w:t xml:space="preserve">Indemnified Party shall have proved its right for indemnification pursuant to this </w:t>
      </w:r>
      <w:r>
        <w:rPr>
          <w:rFonts w:ascii="Times New Roman" w:hAnsi="Times New Roman"/>
          <w:color w:val="000000"/>
          <w:sz w:val="20"/>
          <w:u w:val="single"/>
        </w:rPr>
        <w:t>Article 9</w:t>
      </w:r>
      <w:r>
        <w:rPr>
          <w:rFonts w:ascii="Times New Roman" w:hAnsi="Times New Roman"/>
          <w:color w:val="000000"/>
          <w:sz w:val="20"/>
        </w:rPr>
        <w:t xml:space="preserve"> and such </w:t>
      </w:r>
      <w:bookmarkStart w:id="185" w:name="el2ik6o"/>
      <w:bookmarkEnd w:id="185"/>
      <w:r>
        <w:rPr>
          <w:rFonts w:ascii="Times New Roman" w:hAnsi="Times New Roman"/>
          <w:color w:val="000000"/>
          <w:sz w:val="20"/>
        </w:rPr>
        <w:t xml:space="preserve">Losses are indemnifiable pursuant to this </w:t>
      </w:r>
      <w:r>
        <w:rPr>
          <w:rFonts w:ascii="Times New Roman" w:hAnsi="Times New Roman"/>
          <w:color w:val="000000"/>
          <w:sz w:val="20"/>
          <w:u w:val="single"/>
        </w:rPr>
        <w:t>Article 9</w:t>
      </w:r>
      <w:r>
        <w:rPr>
          <w:rFonts w:ascii="Times New Roman" w:hAnsi="Times New Roman"/>
          <w:color w:val="000000"/>
          <w:sz w:val="20"/>
        </w:rPr>
        <w:t>. [*].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9.6. </w:t>
      </w:r>
      <w:r>
        <w:rPr>
          <w:rFonts w:ascii="Times New Roman" w:hAnsi="Times New Roman"/>
          <w:color w:val="000000"/>
          <w:sz w:val="20"/>
          <w:u w:val="single"/>
        </w:rPr>
        <w:t>Tax Treatment</w:t>
      </w:r>
      <w:r>
        <w:rPr>
          <w:rFonts w:ascii="Times New Roman" w:hAnsi="Times New Roman"/>
          <w:color w:val="000000"/>
          <w:sz w:val="20"/>
        </w:rPr>
        <w:t xml:space="preserve">. To the extent permitted by Law, the Parties agree to treat all payments made under this </w:t>
      </w:r>
      <w:r>
        <w:rPr>
          <w:rFonts w:ascii="Times New Roman" w:hAnsi="Times New Roman"/>
          <w:color w:val="000000"/>
          <w:sz w:val="20"/>
          <w:u w:val="single"/>
        </w:rPr>
        <w:t>Article 9</w:t>
      </w:r>
      <w:r>
        <w:rPr>
          <w:rFonts w:ascii="Times New Roman" w:hAnsi="Times New Roman"/>
          <w:color w:val="000000"/>
          <w:sz w:val="20"/>
        </w:rPr>
        <w:t>, under any other indemnity provision contained in this Option Agreement, and for any misrepresentations or breach of warranties or covenants as adjustments to the purchase price for all Tax purposes.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9.7. </w:t>
      </w:r>
      <w:r>
        <w:rPr>
          <w:rFonts w:ascii="Times New Roman" w:hAnsi="Times New Roman"/>
          <w:color w:val="000000"/>
          <w:sz w:val="20"/>
          <w:u w:val="single"/>
        </w:rPr>
        <w:t>Remedies</w:t>
      </w:r>
      <w:r>
        <w:rPr>
          <w:rFonts w:ascii="Times New Roman" w:hAnsi="Times New Roman"/>
          <w:color w:val="000000"/>
          <w:sz w:val="20"/>
        </w:rPr>
        <w:t xml:space="preserve">. [*] except as specifically provided herein, [*] of any Indemnified Party for any breach or failure to be true and accurate, or alleged breach or failure to be true and accurate, of any representation or warranty in this Option Agreement, or any breach or violation of any covenant in this Option Agreement to be performed [*] or otherwise relating to matters with respect to this Agreement shall be indemnification in accordance with this </w:t>
      </w:r>
      <w:r>
        <w:rPr>
          <w:rFonts w:ascii="Times New Roman" w:hAnsi="Times New Roman"/>
          <w:color w:val="000000"/>
          <w:sz w:val="20"/>
          <w:u w:val="single"/>
        </w:rPr>
        <w:t>Article 9</w:t>
      </w:r>
      <w:r>
        <w:rPr>
          <w:rFonts w:ascii="Times New Roman" w:hAnsi="Times New Roman"/>
          <w:color w:val="000000"/>
          <w:sz w:val="20"/>
        </w:rPr>
        <w:t xml:space="preserve">. Notwithstanding the foregoing, this </w:t>
      </w:r>
      <w:r>
        <w:rPr>
          <w:rFonts w:ascii="Times New Roman" w:hAnsi="Times New Roman"/>
          <w:color w:val="000000"/>
          <w:sz w:val="20"/>
          <w:u w:val="single"/>
        </w:rPr>
        <w:t>Section 9.7</w:t>
      </w:r>
      <w:r>
        <w:rPr>
          <w:rFonts w:ascii="Times New Roman" w:hAnsi="Times New Roman"/>
          <w:color w:val="000000"/>
          <w:sz w:val="20"/>
        </w:rPr>
        <w:t xml:space="preserve"> shall not operate to limit the rights of the Parties to seek equitable remedies (including specific performance or injunctive relief) or, any remedies or amounts of damages available to it under applicable Law, against any Seller in the event of (a) Fraud committed by such Seller or (b) a Seller’s breach or violation of any covenant in any Ancillary Agreement, subject to the limitation set forth in the last sentence of Section 9.4(c).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9.8. </w:t>
      </w:r>
      <w:r>
        <w:rPr>
          <w:rFonts w:ascii="Times New Roman" w:hAnsi="Times New Roman"/>
          <w:color w:val="000000"/>
          <w:sz w:val="20"/>
          <w:u w:val="single"/>
        </w:rPr>
        <w:t>Set-Off</w:t>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9.9. </w:t>
      </w:r>
      <w:r>
        <w:rPr>
          <w:rFonts w:ascii="Times New Roman" w:hAnsi="Times New Roman"/>
          <w:color w:val="000000"/>
          <w:sz w:val="20"/>
          <w:u w:val="single"/>
        </w:rPr>
        <w:t>No Circular Recovery</w:t>
      </w:r>
      <w:r>
        <w:rPr>
          <w:rFonts w:ascii="Times New Roman" w:hAnsi="Times New Roman"/>
          <w:color w:val="000000"/>
          <w:sz w:val="20"/>
        </w:rPr>
        <w:t xml:space="preserve">. Each Seller hereby agrees that he, she or it will not make any claim for indemnification against FibroGen, the Surviving Corporation or Fortis by reason of the fact that such Seller was a controlling Person, director, employee or Representative of Fortis or the Surviving Corporation or was serving as such for another Person at the request of FibroGen or Fortis (whether such claim is for Losses of any kind or otherwise and whether such claim is pursuant to any statute, organizational document, contractual obligation or otherwise) with respect to any indemnification claim brought by an Indemnified Party against Sellers pursuant to </w:t>
      </w:r>
      <w:r>
        <w:rPr>
          <w:rFonts w:ascii="Times New Roman" w:hAnsi="Times New Roman"/>
          <w:color w:val="000000"/>
          <w:sz w:val="20"/>
          <w:u w:val="single"/>
        </w:rPr>
        <w:t>Section 9.2</w:t>
      </w:r>
      <w:r>
        <w:rPr>
          <w:rFonts w:ascii="Times New Roman" w:hAnsi="Times New Roman"/>
          <w:color w:val="000000"/>
          <w:sz w:val="20"/>
        </w:rPr>
        <w:t xml:space="preserve">. With respect to any claim brought by an Indemnified Party against Sellers pursuant to </w:t>
      </w:r>
      <w:r>
        <w:rPr>
          <w:rFonts w:ascii="Times New Roman" w:hAnsi="Times New Roman"/>
          <w:color w:val="000000"/>
          <w:sz w:val="20"/>
          <w:u w:val="single"/>
        </w:rPr>
        <w:t>Section 9.2</w:t>
      </w:r>
      <w:r>
        <w:rPr>
          <w:rFonts w:ascii="Times New Roman" w:hAnsi="Times New Roman"/>
          <w:color w:val="000000"/>
          <w:sz w:val="20"/>
        </w:rPr>
        <w:t xml:space="preserve">, each Seller expressly waives any right of subrogation, contribution, advancement, indemnification or other claim against Fortis with respect to any amounts owed by such Seller pursuant to this </w:t>
      </w:r>
      <w:r>
        <w:rPr>
          <w:rFonts w:ascii="Times New Roman" w:hAnsi="Times New Roman"/>
          <w:color w:val="000000"/>
          <w:sz w:val="20"/>
          <w:u w:val="single"/>
        </w:rPr>
        <w:t>Article 9</w:t>
      </w:r>
      <w:r>
        <w:rPr>
          <w:rFonts w:ascii="Times New Roman" w:hAnsi="Times New Roman"/>
          <w:color w:val="000000"/>
          <w:sz w:val="20"/>
        </w:rPr>
        <w:t xml:space="preserve">. Notwithstanding the foregoing, nothing in this </w:t>
      </w:r>
      <w:r>
        <w:rPr>
          <w:rFonts w:ascii="Times New Roman" w:hAnsi="Times New Roman"/>
          <w:color w:val="000000"/>
          <w:sz w:val="20"/>
          <w:u w:val="single"/>
        </w:rPr>
        <w:t>Section 9.9</w:t>
      </w:r>
      <w:r>
        <w:rPr>
          <w:rFonts w:ascii="Times New Roman" w:hAnsi="Times New Roman"/>
          <w:color w:val="000000"/>
          <w:sz w:val="20"/>
        </w:rPr>
        <w:t xml:space="preserve"> shall limit the D&amp;O Indemnified Parties right to indemnification, exculpation and insurance pursuant to </w:t>
      </w:r>
      <w:r>
        <w:rPr>
          <w:rFonts w:ascii="Times New Roman" w:hAnsi="Times New Roman"/>
          <w:color w:val="000000"/>
          <w:sz w:val="20"/>
          <w:u w:val="single"/>
        </w:rPr>
        <w:t>Section 7.5</w:t>
      </w:r>
      <w:r>
        <w:rPr>
          <w:rFonts w:ascii="Times New Roman" w:hAnsi="Times New Roman"/>
          <w:color w:val="000000"/>
          <w:sz w:val="20"/>
        </w:rPr>
        <w:t>.</w:t>
      </w:r>
    </w:p>
    <w:p>
      <w:pPr>
        <w:pStyle w:val="TextBody"/>
        <w:bidi w:val="0"/>
        <w:spacing w:before="0" w:after="240"/>
        <w:jc w:val="left"/>
        <w:rPr>
          <w:rFonts w:ascii="Times New Roman" w:hAnsi="Times New Roman"/>
          <w:sz w:val="20"/>
        </w:rPr>
      </w:pPr>
      <w:bookmarkStart w:id="186" w:name="el2ip6o"/>
      <w:bookmarkEnd w:id="186"/>
      <w:r>
        <w:rPr>
          <w:rFonts w:ascii="Times New Roman" w:hAnsi="Times New Roman"/>
          <w:color w:val="000000"/>
          <w:sz w:val="20"/>
        </w:rPr>
        <w:t xml:space="preserve">Section 9.10. </w:t>
      </w:r>
      <w:r>
        <w:rPr>
          <w:rFonts w:ascii="Times New Roman" w:hAnsi="Times New Roman"/>
          <w:color w:val="000000"/>
          <w:sz w:val="20"/>
          <w:u w:val="single"/>
        </w:rPr>
        <w:t>No Duplicative Recovery</w:t>
      </w:r>
      <w:r>
        <w:rPr>
          <w:rFonts w:ascii="Times New Roman" w:hAnsi="Times New Roman"/>
          <w:color w:val="000000"/>
          <w:sz w:val="20"/>
        </w:rPr>
        <w:t xml:space="preserve">. The Sellers shall not be required to indemnify any </w:t>
      </w:r>
      <w:bookmarkStart w:id="187" w:name="el2jp6o"/>
      <w:bookmarkEnd w:id="187"/>
      <w:r>
        <w:rPr>
          <w:rFonts w:ascii="Times New Roman" w:hAnsi="Times New Roman"/>
          <w:color w:val="000000"/>
          <w:sz w:val="20"/>
        </w:rPr>
        <w:t xml:space="preserve">FibroGen Indemnified Party under this </w:t>
      </w:r>
      <w:bookmarkStart w:id="188" w:name="el2kp6o"/>
      <w:bookmarkEnd w:id="188"/>
      <w:r>
        <w:rPr>
          <w:rFonts w:ascii="Times New Roman" w:hAnsi="Times New Roman"/>
          <w:color w:val="000000"/>
          <w:sz w:val="20"/>
        </w:rPr>
        <w:t xml:space="preserve">Agreement with respect to any Losses if </w:t>
      </w:r>
      <w:bookmarkStart w:id="189" w:name="el2lp6o"/>
      <w:bookmarkEnd w:id="189"/>
      <w:r>
        <w:rPr>
          <w:rFonts w:ascii="Times New Roman" w:hAnsi="Times New Roman"/>
          <w:color w:val="000000"/>
          <w:sz w:val="20"/>
        </w:rPr>
        <w:t xml:space="preserve">Fortis has paid damages to or indemnified </w:t>
      </w:r>
      <w:bookmarkStart w:id="190" w:name="el2mp6o"/>
      <w:bookmarkEnd w:id="190"/>
      <w:r>
        <w:rPr>
          <w:rFonts w:ascii="Times New Roman" w:hAnsi="Times New Roman"/>
          <w:color w:val="000000"/>
          <w:sz w:val="20"/>
        </w:rPr>
        <w:t xml:space="preserve">FibroGen or such </w:t>
      </w:r>
      <w:bookmarkStart w:id="191" w:name="el2np6o"/>
      <w:bookmarkEnd w:id="191"/>
      <w:r>
        <w:rPr>
          <w:rFonts w:ascii="Times New Roman" w:hAnsi="Times New Roman"/>
          <w:color w:val="000000"/>
          <w:sz w:val="20"/>
        </w:rPr>
        <w:t xml:space="preserve">FibroGen Indemnified Party, as applicable, under the </w:t>
      </w:r>
      <w:bookmarkStart w:id="192" w:name="el2op6o"/>
      <w:bookmarkEnd w:id="192"/>
      <w:r>
        <w:rPr>
          <w:rFonts w:ascii="Times New Roman" w:hAnsi="Times New Roman"/>
          <w:color w:val="000000"/>
          <w:sz w:val="20"/>
        </w:rPr>
        <w:t xml:space="preserve">Evaluation Agreement for the same Losses or that relate to the same underlying facts or circumstances. In addition, no Indemnified Party shall be entitled to multiple recovery for any indemnifiable Losses that may have resulted from the breach or inaccuracy of more than one of the representations, warranties, agreements and covenants in this Agreement or that may be recoverable under more than one clause of </w:t>
      </w:r>
      <w:r>
        <w:rPr>
          <w:rFonts w:ascii="Times New Roman" w:hAnsi="Times New Roman"/>
          <w:color w:val="000000"/>
          <w:sz w:val="20"/>
          <w:u w:val="single"/>
        </w:rPr>
        <w:t>Section 9.2</w:t>
      </w:r>
      <w:r>
        <w:rPr>
          <w:rFonts w:ascii="Times New Roman" w:hAnsi="Times New Roman"/>
          <w:color w:val="000000"/>
          <w:sz w:val="20"/>
        </w:rPr>
        <w:t xml:space="preserve"> or </w:t>
      </w:r>
      <w:r>
        <w:rPr>
          <w:rFonts w:ascii="Times New Roman" w:hAnsi="Times New Roman"/>
          <w:color w:val="000000"/>
          <w:sz w:val="20"/>
          <w:u w:val="single"/>
        </w:rPr>
        <w:t>Section 9.3</w:t>
      </w:r>
      <w:r>
        <w:rPr>
          <w:rFonts w:ascii="Times New Roman" w:hAnsi="Times New Roman"/>
          <w:color w:val="000000"/>
          <w:sz w:val="20"/>
        </w:rPr>
        <w:t xml:space="preserve"> or that relate to the same underlying facts or circumstances.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r>
        <w:rPr>
          <w:rFonts w:ascii="Times New Roman" w:hAnsi="Times New Roman"/>
          <w:caps/>
          <w:color w:val="000000"/>
          <w:sz w:val="20"/>
        </w:rPr>
        <w:t>Article 10</w:t>
      </w:r>
      <w:r>
        <w:rPr>
          <w:rFonts w:ascii="Times New Roman" w:hAnsi="Times New Roman"/>
          <w:caps/>
          <w:color w:val="000000"/>
          <w:sz w:val="20"/>
          <w:u w:val="single"/>
        </w:rPr>
        <w:br/>
        <w:t>Termination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10.1. </w:t>
      </w:r>
      <w:r>
        <w:rPr>
          <w:rFonts w:ascii="Times New Roman" w:hAnsi="Times New Roman"/>
          <w:color w:val="000000"/>
          <w:sz w:val="20"/>
          <w:u w:val="single"/>
        </w:rPr>
        <w:t>Termination</w:t>
      </w:r>
      <w:r>
        <w:rPr>
          <w:rFonts w:ascii="Times New Roman" w:hAnsi="Times New Roman"/>
          <w:color w:val="000000"/>
          <w:sz w:val="20"/>
        </w:rPr>
        <w:t>. This Option Agreement may be terminated, and the Merger contemplated hereby may be abandoned, at any time prior to the Closing: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automatically, (i) upon termination of the Evaluation Agreement by FibroGen without cause pursuant to Section 11.2 of the Evaluation Agreement, (ii) upon termination of the Evaluation Agreement by Fortis pursuant to Section 11.3 of the Evaluation Agreement, (iii) upon termination of the Evaluation Agreement by Fortis pursuant to Section 11.4 of the Evaluation Agreement if such termination of the Evaluation Agreement occurs on or prior to the date that is two (2) years after the date of this Option Agreement or (iv) at [*] following the termination of the Evaluation Agreement by FibroGen pursuant to Section 11.4 of the Evaluation Agreement if FibroGen shall not have delivered the [*] following the termination of the Evaluation Agreement by FibroGen pursuant to Section 11.4 of the Evaluation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by FibroGen, at any time for any reason prior to the Closing;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by mutual written consent of FibroGen, on the one hand, and Fortis, on the other hand;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 by Fortis, if any court of competent jurisdiction or other Governmental Entity shall have issued a final and nonappealable order, injunction or decree having the effect of permanently restraining, enjoining or otherwise prohibiting the Merger;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 [*];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 automatically, if (i) FibroGen sends a Rejection Notice to Fortis prior to the expiration of the Due Diligence Review Period, (ii) FibroGen withdraws the Exercise Notice prior to the expiration of the Due Diligence Review Period, or (iii) FibroGen does not deliver the Final Exercise Notice prior to the expiration of the Due Diligence Review Period.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10.2. </w:t>
      </w:r>
      <w:r>
        <w:rPr>
          <w:rFonts w:ascii="Times New Roman" w:hAnsi="Times New Roman"/>
          <w:color w:val="000000"/>
          <w:sz w:val="20"/>
          <w:u w:val="single"/>
        </w:rPr>
        <w:t>Effect of Termination</w:t>
      </w:r>
      <w:r>
        <w:rPr>
          <w:rFonts w:ascii="Times New Roman" w:hAnsi="Times New Roman"/>
          <w:color w:val="000000"/>
          <w:sz w:val="20"/>
        </w:rPr>
        <w:t xml:space="preserve">. If this Option Agreement is terminated and the Merger and the other transactions contemplated hereby are abandoned as described in this </w:t>
      </w:r>
      <w:r>
        <w:rPr>
          <w:rFonts w:ascii="Times New Roman" w:hAnsi="Times New Roman"/>
          <w:color w:val="000000"/>
          <w:sz w:val="20"/>
          <w:u w:val="single"/>
        </w:rPr>
        <w:t>Article 10</w:t>
      </w:r>
      <w:r>
        <w:rPr>
          <w:rFonts w:ascii="Times New Roman" w:hAnsi="Times New Roman"/>
          <w:color w:val="000000"/>
          <w:sz w:val="20"/>
        </w:rPr>
        <w:t xml:space="preserve">, this Option Agreement shall become void and of no further force or effect, except for the provisions of </w:t>
      </w:r>
      <w:r>
        <w:rPr>
          <w:rFonts w:ascii="Times New Roman" w:hAnsi="Times New Roman"/>
          <w:color w:val="000000"/>
          <w:sz w:val="20"/>
          <w:u w:val="single"/>
        </w:rPr>
        <w:t>Section 7.7</w:t>
      </w:r>
      <w:r>
        <w:rPr>
          <w:rFonts w:ascii="Times New Roman" w:hAnsi="Times New Roman"/>
          <w:color w:val="000000"/>
          <w:sz w:val="20"/>
        </w:rPr>
        <w:t xml:space="preserve">, </w:t>
      </w:r>
      <w:r>
        <w:rPr>
          <w:rFonts w:ascii="Times New Roman" w:hAnsi="Times New Roman"/>
          <w:color w:val="000000"/>
          <w:sz w:val="20"/>
          <w:u w:val="single"/>
        </w:rPr>
        <w:t>Section 8.2</w:t>
      </w:r>
      <w:r>
        <w:rPr>
          <w:rFonts w:ascii="Times New Roman" w:hAnsi="Times New Roman"/>
          <w:color w:val="000000"/>
          <w:sz w:val="20"/>
        </w:rPr>
        <w:t xml:space="preserve">, </w:t>
      </w:r>
      <w:r>
        <w:rPr>
          <w:rFonts w:ascii="Times New Roman" w:hAnsi="Times New Roman"/>
          <w:color w:val="000000"/>
          <w:sz w:val="20"/>
          <w:u w:val="single"/>
        </w:rPr>
        <w:t>Section 8.4</w:t>
      </w:r>
      <w:r>
        <w:rPr>
          <w:rFonts w:ascii="Times New Roman" w:hAnsi="Times New Roman"/>
          <w:color w:val="000000"/>
          <w:sz w:val="20"/>
        </w:rPr>
        <w:t xml:space="preserve">, </w:t>
      </w:r>
      <w:r>
        <w:rPr>
          <w:rFonts w:ascii="Times New Roman" w:hAnsi="Times New Roman"/>
          <w:color w:val="000000"/>
          <w:sz w:val="20"/>
          <w:u w:val="single"/>
        </w:rPr>
        <w:t>Article 11</w:t>
      </w:r>
      <w:r>
        <w:rPr>
          <w:rFonts w:ascii="Times New Roman" w:hAnsi="Times New Roman"/>
          <w:color w:val="000000"/>
          <w:sz w:val="20"/>
        </w:rPr>
        <w:t xml:space="preserve">, and this </w:t>
      </w:r>
      <w:r>
        <w:rPr>
          <w:rFonts w:ascii="Times New Roman" w:hAnsi="Times New Roman"/>
          <w:color w:val="000000"/>
          <w:sz w:val="20"/>
          <w:u w:val="single"/>
        </w:rPr>
        <w:t>Section 10.2</w:t>
      </w:r>
      <w:r>
        <w:rPr>
          <w:rFonts w:ascii="Times New Roman" w:hAnsi="Times New Roman"/>
          <w:color w:val="000000"/>
          <w:sz w:val="20"/>
        </w:rPr>
        <w:t xml:space="preserve"> and FibroGen’s right of reimbursement (if applicable) under </w:t>
      </w:r>
      <w:r>
        <w:rPr>
          <w:rFonts w:ascii="Times New Roman" w:hAnsi="Times New Roman"/>
          <w:color w:val="000000"/>
          <w:sz w:val="20"/>
          <w:u w:val="single"/>
        </w:rPr>
        <w:t>Section 7.1(a)</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10.2</w:t>
      </w:r>
      <w:r>
        <w:rPr>
          <w:rFonts w:ascii="Times New Roman" w:hAnsi="Times New Roman"/>
          <w:color w:val="000000"/>
          <w:sz w:val="20"/>
        </w:rPr>
        <w:t xml:space="preserve"> shall be deemed to release any Party from any liability for any Fraud or any willful and material breach by such Party of any covenant or agreement contained in this Option Agreement.</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r>
        <w:rPr>
          <w:rFonts w:ascii="Times New Roman" w:hAnsi="Times New Roman"/>
          <w:caps/>
          <w:color w:val="000000"/>
          <w:sz w:val="20"/>
        </w:rPr>
        <w:t>Article 11</w:t>
      </w:r>
      <w:r>
        <w:rPr>
          <w:rFonts w:ascii="Times New Roman" w:hAnsi="Times New Roman"/>
          <w:caps/>
          <w:color w:val="000000"/>
          <w:sz w:val="20"/>
          <w:u w:val="single"/>
        </w:rPr>
        <w:br/>
        <w:t>Miscellaneous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11.1. </w:t>
      </w:r>
      <w:r>
        <w:rPr>
          <w:rFonts w:ascii="Times New Roman" w:hAnsi="Times New Roman"/>
          <w:color w:val="000000"/>
          <w:sz w:val="20"/>
          <w:u w:val="single"/>
        </w:rPr>
        <w:t>Notices</w:t>
      </w:r>
      <w:r>
        <w:rPr>
          <w:rFonts w:ascii="Times New Roman" w:hAnsi="Times New Roman"/>
          <w:color w:val="000000"/>
          <w:sz w:val="20"/>
        </w:rPr>
        <w:t xml:space="preserve">. All notices, requests, claims, demands, waivers and other communications under this Option Agreement shall be in writing and shall be by electronic mail, courier services or personal delivery to the following addresses, or to such other addresses as shall be designated from time to time by a Party in accordance with this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if to FibroGen:</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if to Fortis:</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if to the Sellers’ Representative:</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notices and communications under this Option Agreement shall be deemed to have been duly given (i) when delivered by hand, if personally delivered, (ii) upon receipt when delivered by a courier (such date of receipt being evidenced by the courier’s service records) or (iii) when sent, if sent by electronic mail (unless an undelivered or “bounceback” message is received by the sender).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11.2. </w:t>
      </w:r>
      <w:r>
        <w:rPr>
          <w:rFonts w:ascii="Times New Roman" w:hAnsi="Times New Roman"/>
          <w:color w:val="000000"/>
          <w:sz w:val="20"/>
          <w:u w:val="single"/>
        </w:rPr>
        <w:t>Assignment</w:t>
      </w:r>
      <w:r>
        <w:rPr>
          <w:rFonts w:ascii="Times New Roman" w:hAnsi="Times New Roman"/>
          <w:color w:val="000000"/>
          <w:sz w:val="20"/>
        </w:rPr>
        <w:t xml:space="preserve">. Neither this Option Agreement nor any of the rights, interests or obligations hereunder shall be assigned, in whole or in part, by operation of Law or otherwise by any of the Parties prior to the Closing without the prior written consent of the other Parties, except that (without limiting or relieving any of FibroGen’s obligations under this Option Agreement) FibroGen may assign, in its sole discretion, any or all of its rights, interests and obligations under this Option Agreement to (a) any Affiliate of FibroGen, or (b) to a purchaser of all or substantially all of FibroGen’s assets or equity interests or in connection with any transaction in which FibroGen transfers, assigns, licenses, sub-licenses, sells or otherwise disposes all or substantially all of the Products and Modified Products, and all Intellectual Property rights related thereto to a Third Party; </w:t>
      </w:r>
      <w:r>
        <w:rPr>
          <w:rFonts w:ascii="Times New Roman" w:hAnsi="Times New Roman"/>
          <w:i/>
          <w:color w:val="000000"/>
          <w:sz w:val="20"/>
        </w:rPr>
        <w:t>provided</w:t>
      </w:r>
      <w:r>
        <w:rPr>
          <w:rFonts w:ascii="Times New Roman" w:hAnsi="Times New Roman"/>
          <w:color w:val="000000"/>
          <w:sz w:val="20"/>
        </w:rPr>
        <w:t xml:space="preserve">, that, the obligations and terms of </w:t>
      </w:r>
      <w:r>
        <w:rPr>
          <w:rFonts w:ascii="Times New Roman" w:hAnsi="Times New Roman"/>
          <w:color w:val="000000"/>
          <w:sz w:val="20"/>
          <w:u w:val="single"/>
        </w:rPr>
        <w:t>Section 2.13(f)</w:t>
      </w:r>
      <w:r>
        <w:rPr>
          <w:rFonts w:ascii="Times New Roman" w:hAnsi="Times New Roman"/>
          <w:color w:val="000000"/>
          <w:sz w:val="20"/>
        </w:rPr>
        <w:t xml:space="preserve"> shall apply to such assignment, and with respect to any such assignment made at or prior to the Effective Time, FibroGen shall cause such transferee to agree in writing to be bound by all of the obligations of FibroGen hereunder, including FibroGen’s obligations under </w:t>
      </w:r>
      <w:r>
        <w:rPr>
          <w:rFonts w:ascii="Times New Roman" w:hAnsi="Times New Roman"/>
          <w:color w:val="000000"/>
          <w:sz w:val="20"/>
          <w:u w:val="single"/>
        </w:rPr>
        <w:t>Section 2.4</w:t>
      </w:r>
      <w:r>
        <w:rPr>
          <w:rFonts w:ascii="Times New Roman" w:hAnsi="Times New Roman"/>
          <w:color w:val="000000"/>
          <w:sz w:val="20"/>
        </w:rPr>
        <w:t>. Subject to the preceding sentence, this Option Agreement shall be binding upon, inure to the benefit of and be enforceable by, the Parties and their respective successors and assigns.</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11.3. </w:t>
      </w:r>
      <w:r>
        <w:rPr>
          <w:rFonts w:ascii="Times New Roman" w:hAnsi="Times New Roman"/>
          <w:color w:val="000000"/>
          <w:sz w:val="20"/>
          <w:u w:val="single"/>
        </w:rPr>
        <w:t>Consents and Approvals</w:t>
      </w:r>
      <w:r>
        <w:rPr>
          <w:rFonts w:ascii="Times New Roman" w:hAnsi="Times New Roman"/>
          <w:color w:val="000000"/>
          <w:sz w:val="20"/>
        </w:rPr>
        <w:t>. For any matter under this Option Agreement requiring the consent or approval of any Party, to be valid and binding on the Parties, such consent or approval must be in writing.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11.4. </w:t>
      </w:r>
      <w:r>
        <w:rPr>
          <w:rFonts w:ascii="Times New Roman" w:hAnsi="Times New Roman"/>
          <w:color w:val="000000"/>
          <w:sz w:val="20"/>
          <w:u w:val="single"/>
        </w:rPr>
        <w:t>Enforcement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Any suit, action or other proceeding arising out of this Option Agreement or any transaction contemplated hereby shall be brought exclusively in the Court of Chancery of the State of Delaware; </w:t>
      </w:r>
      <w:r>
        <w:rPr>
          <w:rFonts w:ascii="Times New Roman" w:hAnsi="Times New Roman"/>
          <w:i/>
          <w:color w:val="000000"/>
          <w:sz w:val="20"/>
        </w:rPr>
        <w:t>provided</w:t>
      </w:r>
      <w:r>
        <w:rPr>
          <w:rFonts w:ascii="Times New Roman" w:hAnsi="Times New Roman"/>
          <w:color w:val="000000"/>
          <w:sz w:val="20"/>
        </w:rPr>
        <w:t xml:space="preserve">, that if jurisdiction is not then available in the Court of Chancery of the State of Delaware, then any such suit, action or proceeding may be brought in a court of competent jurisdiction, federal or state, located in the State of Delaware, and in no other jurisdiction. Each Party hereby consents to personal jurisdiction and venue in, and agrees to service of process issued or authorized by, such court. This </w:t>
      </w:r>
      <w:r>
        <w:rPr>
          <w:rFonts w:ascii="Times New Roman" w:hAnsi="Times New Roman"/>
          <w:color w:val="000000"/>
          <w:sz w:val="20"/>
          <w:u w:val="single"/>
        </w:rPr>
        <w:t>Section 11.4(a)</w:t>
      </w:r>
      <w:r>
        <w:rPr>
          <w:rFonts w:ascii="Times New Roman" w:hAnsi="Times New Roman"/>
          <w:color w:val="000000"/>
          <w:sz w:val="20"/>
        </w:rPr>
        <w:t xml:space="preserve"> shall not apply to any dispute under </w:t>
      </w:r>
      <w:r>
        <w:rPr>
          <w:rFonts w:ascii="Times New Roman" w:hAnsi="Times New Roman"/>
          <w:color w:val="000000"/>
          <w:sz w:val="20"/>
          <w:u w:val="single"/>
        </w:rPr>
        <w:t>Section 2.15</w:t>
      </w:r>
      <w:r>
        <w:rPr>
          <w:rFonts w:ascii="Times New Roman" w:hAnsi="Times New Roman"/>
          <w:color w:val="000000"/>
          <w:sz w:val="20"/>
        </w:rPr>
        <w:t xml:space="preserve"> that is required to be decided by the Auditor.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Parties agree that irreparable damage would occur and that the Parties would not have any adequate remedy at law in the event that any of the provisions of this Option Agreement were not performed in accordance with their specific terms or were otherwise breached. Accordingly, notwithstanding anything in this Option Agreement to the contrary and in addition to any other remedy to which a non-breaching Party may be entitled at Law, a Party may seek a temporary restraining order or a preliminary injunction from any court of competent jurisdiction in order to prevent immediate and irreparable injury, loss, or damage on a provisional basis, pending the decision of the courts on the ultimate merits of any suit, action or other proceeding arising out of this Option Agreement or any transaction contemplated hereby.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During the pendency of any dispute resolution proceeding between the Parties under this </w:t>
      </w:r>
      <w:r>
        <w:rPr>
          <w:rFonts w:ascii="Times New Roman" w:hAnsi="Times New Roman"/>
          <w:color w:val="000000"/>
          <w:sz w:val="20"/>
          <w:u w:val="single"/>
        </w:rPr>
        <w:t>Section 11.4</w:t>
      </w:r>
      <w:r>
        <w:rPr>
          <w:rFonts w:ascii="Times New Roman" w:hAnsi="Times New Roman"/>
          <w:color w:val="000000"/>
          <w:sz w:val="20"/>
        </w:rPr>
        <w:t xml:space="preserve">, the obligation to make any payment under this Option Agreement from one Party to the other Party, which payment is the subject, in whole or in part, of a proceeding under this </w:t>
      </w:r>
      <w:r>
        <w:rPr>
          <w:rFonts w:ascii="Times New Roman" w:hAnsi="Times New Roman"/>
          <w:color w:val="000000"/>
          <w:sz w:val="20"/>
          <w:u w:val="single"/>
        </w:rPr>
        <w:t>Section 11.4</w:t>
      </w:r>
      <w:r>
        <w:rPr>
          <w:rFonts w:ascii="Times New Roman" w:hAnsi="Times New Roman"/>
          <w:color w:val="000000"/>
          <w:sz w:val="20"/>
        </w:rPr>
        <w:t>, shall be tolled until the final outcome of such dispute has been established.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Any and all activities conducted under this </w:t>
      </w:r>
      <w:r>
        <w:rPr>
          <w:rFonts w:ascii="Times New Roman" w:hAnsi="Times New Roman"/>
          <w:color w:val="000000"/>
          <w:sz w:val="20"/>
          <w:u w:val="single"/>
        </w:rPr>
        <w:t>Section 11.4</w:t>
      </w:r>
      <w:r>
        <w:rPr>
          <w:rFonts w:ascii="Times New Roman" w:hAnsi="Times New Roman"/>
          <w:color w:val="000000"/>
          <w:sz w:val="20"/>
        </w:rPr>
        <w:t xml:space="preserve">, including any and all proceedings and decisions under </w:t>
      </w:r>
      <w:r>
        <w:rPr>
          <w:rFonts w:ascii="Times New Roman" w:hAnsi="Times New Roman"/>
          <w:color w:val="000000"/>
          <w:sz w:val="20"/>
          <w:u w:val="single"/>
        </w:rPr>
        <w:t>Section 11.4(a)</w:t>
      </w:r>
      <w:r>
        <w:rPr>
          <w:rFonts w:ascii="Times New Roman" w:hAnsi="Times New Roman"/>
          <w:color w:val="000000"/>
          <w:sz w:val="20"/>
        </w:rPr>
        <w:t xml:space="preserve">, shall be subject to the restrictions set forth in </w:t>
      </w:r>
      <w:r>
        <w:rPr>
          <w:rFonts w:ascii="Times New Roman" w:hAnsi="Times New Roman"/>
          <w:color w:val="000000"/>
          <w:sz w:val="20"/>
          <w:u w:val="single"/>
        </w:rPr>
        <w:t>Section 7.7</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In connection with the Parties’ rights under </w:t>
      </w:r>
      <w:r>
        <w:rPr>
          <w:rFonts w:ascii="Times New Roman" w:hAnsi="Times New Roman"/>
          <w:color w:val="000000"/>
          <w:sz w:val="20"/>
          <w:u w:val="single"/>
        </w:rPr>
        <w:t>Section 11.4(a)</w:t>
      </w:r>
      <w:r>
        <w:rPr>
          <w:rFonts w:ascii="Times New Roman" w:hAnsi="Times New Roman"/>
          <w:color w:val="000000"/>
          <w:sz w:val="20"/>
        </w:rPr>
        <w:t>, EACH PARTY, TO THE EXTENT PERMITTED BY LAW, KNOWINGLY, VOLUNTARILY, AND INTENTIONALLY WAIVES ITS RIGHT TO A TRIAL BY JURY IN ANY ACTION OR OTHER LEGAL PROCEEDING ARISING OUT OF OR RELATING TO THIS OPTION AGREEMENT AND THE TRANSACTIONS IT CONTEMPLATES. THIS WAIVER APPLIES TO ANY ACTION OR LEGAL PROCEEDING, WHETHER SOUNDING IN CONTRACT, TORT, OR OTHERWISE.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11.5. </w:t>
      </w:r>
      <w:r>
        <w:rPr>
          <w:rFonts w:ascii="Times New Roman" w:hAnsi="Times New Roman"/>
          <w:color w:val="000000"/>
          <w:sz w:val="20"/>
          <w:u w:val="single"/>
        </w:rPr>
        <w:t>Amendment and Waiver</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Except as expressly set forth in </w:t>
      </w:r>
      <w:r>
        <w:rPr>
          <w:rFonts w:ascii="Times New Roman" w:hAnsi="Times New Roman"/>
          <w:color w:val="000000"/>
          <w:sz w:val="20"/>
          <w:u w:val="single"/>
        </w:rPr>
        <w:t>Article 9</w:t>
      </w:r>
      <w:r>
        <w:rPr>
          <w:rFonts w:ascii="Times New Roman" w:hAnsi="Times New Roman"/>
          <w:color w:val="000000"/>
          <w:sz w:val="20"/>
        </w:rPr>
        <w:t>, the remedies provided for herein are cumulative and are not exclusive of any remedies that may be available to any Party at Law, in equity or otherwise.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Except as otherwise specifically set forth in this Option Agreement, this Option Agreement may be amended by (i) Fortis and FibroGen at any time prior to Closing and (ii) the Sellers’ Representative and FibroGen at any time after the Closing, whether before or after the Shareholder Approval has been obtained;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after the Shareholder Approval has been obtained, there shall be made no amendment that by Law requires further approval by stockholders of Fortis, without the further approval of such stockholders. This Option Agreement may not be amended except by an instrument in writing signed on behalf of FibroGen and [*].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Except as otherwise specifically set forth in this Option Agreement, any waiver of any provision of this Option Agreement shall be effective (i) only if it is made or given in writing and signed by the Party granting the waiver and (ii) only in the specific instance and for the specific purpose for which made or given.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11.6. </w:t>
      </w:r>
      <w:r>
        <w:rPr>
          <w:rFonts w:ascii="Times New Roman" w:hAnsi="Times New Roman"/>
          <w:color w:val="000000"/>
          <w:sz w:val="20"/>
          <w:u w:val="single"/>
        </w:rPr>
        <w:t>Entire Agreement</w:t>
      </w:r>
      <w:r>
        <w:rPr>
          <w:rFonts w:ascii="Times New Roman" w:hAnsi="Times New Roman"/>
          <w:color w:val="000000"/>
          <w:sz w:val="20"/>
        </w:rPr>
        <w:t>. This Option Agreement and the Evaluation Agreement, together with their schedules (including the Disclosure Schedule and the Updated Disclosure Schedule) and exhibits and all Ancillary Agreements, contain the entire agreement and understanding between the Parties with respect to the subject matter hereof and thereof and, as of the Restatement Effective Date, supersede all prior discussions, negotiations, commitments, agreements and understandings, both written and oral, relating to such subject matter, including the Original Agreement; provided that the amendment and restatement of the Original Agreement shall not affect any rights or obligations of the parties hereto that accrued under the Original Agreement between the Original Effective Date and the Restatement Effective Date.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11.7. </w:t>
      </w:r>
      <w:r>
        <w:rPr>
          <w:rFonts w:ascii="Times New Roman" w:hAnsi="Times New Roman"/>
          <w:color w:val="000000"/>
          <w:sz w:val="20"/>
          <w:u w:val="single"/>
        </w:rPr>
        <w:t>No Third-Party Beneficiaries</w:t>
      </w:r>
      <w:r>
        <w:rPr>
          <w:rFonts w:ascii="Times New Roman" w:hAnsi="Times New Roman"/>
          <w:color w:val="000000"/>
          <w:sz w:val="20"/>
        </w:rPr>
        <w:t xml:space="preserve">. Except as otherwise provided in this Option Agreement, this Option Agreement is for the sole benefit of the Parties and their permitted successors and assigns and nothing herein expressed or implied shall give or be construed to give to any Person, other than the Parties and such successors and assigns, any legal or equitable rights hereunder (except that (i) </w:t>
      </w:r>
      <w:r>
        <w:rPr>
          <w:rFonts w:ascii="Times New Roman" w:hAnsi="Times New Roman"/>
          <w:color w:val="000000"/>
          <w:sz w:val="20"/>
          <w:u w:val="single"/>
        </w:rPr>
        <w:t>Article 9</w:t>
      </w:r>
      <w:r>
        <w:rPr>
          <w:rFonts w:ascii="Times New Roman" w:hAnsi="Times New Roman"/>
          <w:color w:val="000000"/>
          <w:sz w:val="20"/>
        </w:rPr>
        <w:t xml:space="preserve"> is intended to benefit the FibroGen Indemnified Parties and the Seller Indemnified Parties, and the FibroGen Indemnified Parties and the Seller Indemnified Parties shall be third-party beneficiaries of </w:t>
      </w:r>
      <w:r>
        <w:rPr>
          <w:rFonts w:ascii="Times New Roman" w:hAnsi="Times New Roman"/>
          <w:color w:val="000000"/>
          <w:sz w:val="20"/>
          <w:u w:val="single"/>
        </w:rPr>
        <w:t>Article 9</w:t>
      </w:r>
      <w:r>
        <w:rPr>
          <w:rFonts w:ascii="Times New Roman" w:hAnsi="Times New Roman"/>
          <w:color w:val="000000"/>
          <w:sz w:val="20"/>
        </w:rPr>
        <w:t xml:space="preserve">, (ii) </w:t>
      </w:r>
      <w:r>
        <w:rPr>
          <w:rFonts w:ascii="Times New Roman" w:hAnsi="Times New Roman"/>
          <w:color w:val="000000"/>
          <w:sz w:val="20"/>
          <w:u w:val="single"/>
        </w:rPr>
        <w:t>Section 7.5</w:t>
      </w:r>
      <w:r>
        <w:rPr>
          <w:rFonts w:ascii="Times New Roman" w:hAnsi="Times New Roman"/>
          <w:color w:val="000000"/>
          <w:sz w:val="20"/>
        </w:rPr>
        <w:t xml:space="preserve"> is intended to benefit the D&amp;O Indemnified Parties, and the D&amp;O Indemnified Parties shall be third-party beneficiaries of </w:t>
      </w:r>
      <w:r>
        <w:rPr>
          <w:rFonts w:ascii="Times New Roman" w:hAnsi="Times New Roman"/>
          <w:color w:val="000000"/>
          <w:sz w:val="20"/>
          <w:u w:val="single"/>
        </w:rPr>
        <w:t>Section 7.5</w:t>
      </w:r>
      <w:r>
        <w:rPr>
          <w:rFonts w:ascii="Times New Roman" w:hAnsi="Times New Roman"/>
          <w:color w:val="000000"/>
          <w:sz w:val="20"/>
        </w:rPr>
        <w:t xml:space="preserve">, and (iii) following the Closing, all Sellers shall be deemed to be third-party beneficiaries of the provisions of </w:t>
      </w:r>
      <w:r>
        <w:rPr>
          <w:rFonts w:ascii="Times New Roman" w:hAnsi="Times New Roman"/>
          <w:color w:val="000000"/>
          <w:sz w:val="20"/>
          <w:u w:val="single"/>
        </w:rPr>
        <w:t>Article 2</w:t>
      </w:r>
      <w:r>
        <w:rPr>
          <w:rFonts w:ascii="Times New Roman" w:hAnsi="Times New Roman"/>
          <w:color w:val="000000"/>
          <w:sz w:val="20"/>
        </w:rPr>
        <w:t xml:space="preserve">). No covenant or other undertakings in this Option Agreement shall constitute an amendment to any plan, program, policy or arrangement, and any covenant or undertaking that suggests that a plan, program, policy or arrangement will be amended shall be effective only upon the adoption of a written amendment in accordance with the amendment procedures of such plan, program, policy or arrangement. Nothing in this </w:t>
      </w:r>
      <w:r>
        <w:rPr>
          <w:rFonts w:ascii="Times New Roman" w:hAnsi="Times New Roman"/>
          <w:color w:val="000000"/>
          <w:sz w:val="20"/>
          <w:u w:val="single"/>
        </w:rPr>
        <w:t>Section 11.7</w:t>
      </w:r>
      <w:r>
        <w:rPr>
          <w:rFonts w:ascii="Times New Roman" w:hAnsi="Times New Roman"/>
          <w:color w:val="000000"/>
          <w:sz w:val="20"/>
        </w:rPr>
        <w:t xml:space="preserve"> shall be construed to impair the rights and powers of the Sellers’ Representative to take or refrain from taking any action for and on behalf of the Sellers to enforce the rights of the Sellers under this Option Agreement as provided in </w:t>
      </w:r>
      <w:r>
        <w:rPr>
          <w:rFonts w:ascii="Times New Roman" w:hAnsi="Times New Roman"/>
          <w:color w:val="000000"/>
          <w:sz w:val="20"/>
          <w:u w:val="single"/>
        </w:rPr>
        <w:t>Section 2.12</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11.8. </w:t>
      </w:r>
      <w:r>
        <w:rPr>
          <w:rFonts w:ascii="Times New Roman" w:hAnsi="Times New Roman"/>
          <w:color w:val="000000"/>
          <w:sz w:val="20"/>
          <w:u w:val="single"/>
        </w:rPr>
        <w:t>Counterparts</w:t>
      </w:r>
      <w:r>
        <w:rPr>
          <w:rFonts w:ascii="Times New Roman" w:hAnsi="Times New Roman"/>
          <w:color w:val="000000"/>
          <w:sz w:val="20"/>
        </w:rPr>
        <w:t>. This Option Agreement may be executed in any number of counterparts and by the Parties in separate counterparts, each of which when so executed shall be deemed to be an original and all of which taken together shall constitute one and the same agreement. This Option Agreement may be executed by facsimile, .pdf or other electronically transmitted signatures and such signatures shall be deemed to bind each Party hereto as if they were the original signatures.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11.9. </w:t>
      </w:r>
      <w:r>
        <w:rPr>
          <w:rFonts w:ascii="Times New Roman" w:hAnsi="Times New Roman"/>
          <w:color w:val="000000"/>
          <w:sz w:val="20"/>
          <w:u w:val="single"/>
        </w:rPr>
        <w:t>Governing Law</w:t>
      </w:r>
      <w:r>
        <w:rPr>
          <w:rFonts w:ascii="Times New Roman" w:hAnsi="Times New Roman"/>
          <w:color w:val="000000"/>
          <w:sz w:val="20"/>
        </w:rPr>
        <w:t>. This Option Agreement shall be governed by, and construed in accordance with, the substantive Law of the [*], regardless of the Laws that might otherwise govern under applicable principles of conflict of laws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11.10. </w:t>
      </w:r>
      <w:r>
        <w:rPr>
          <w:rFonts w:ascii="Times New Roman" w:hAnsi="Times New Roman"/>
          <w:color w:val="000000"/>
          <w:sz w:val="20"/>
          <w:u w:val="single"/>
        </w:rPr>
        <w:t>Severability</w:t>
      </w:r>
      <w:r>
        <w:rPr>
          <w:rFonts w:ascii="Times New Roman" w:hAnsi="Times New Roman"/>
          <w:color w:val="000000"/>
          <w:sz w:val="20"/>
        </w:rPr>
        <w:t>. Any term or provision of this Option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The Parties shall use all reasonable efforts to replace such invalid or unenforceable provision of this Option Agreement with a valid and enforceable provision that shall achieve, to the greatest extent possible, the economic, business and other purposes of such invalid or unenforceable provision.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11.11. </w:t>
      </w:r>
      <w:r>
        <w:rPr>
          <w:rFonts w:ascii="Times New Roman" w:hAnsi="Times New Roman"/>
          <w:color w:val="000000"/>
          <w:sz w:val="20"/>
          <w:u w:val="single"/>
        </w:rPr>
        <w:t>English Language</w:t>
      </w:r>
      <w:r>
        <w:rPr>
          <w:rFonts w:ascii="Times New Roman" w:hAnsi="Times New Roman"/>
          <w:color w:val="000000"/>
          <w:sz w:val="20"/>
        </w:rPr>
        <w:t>. This Option Agreement shall be written and executed in, and all other communications under or in connection with this Option Agreement shall be in, the English language. Any translation into any other language shall not be an official version thereof, and in the event of any conflict in interpretation between the English version and such translation, the English version shall control.</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11.12. </w:t>
      </w:r>
      <w:r>
        <w:rPr>
          <w:rFonts w:ascii="Times New Roman" w:hAnsi="Times New Roman"/>
          <w:color w:val="000000"/>
          <w:sz w:val="20"/>
          <w:u w:val="single"/>
        </w:rPr>
        <w:t>Conflict of Interest</w:t>
      </w:r>
      <w:r>
        <w:rPr>
          <w:rFonts w:ascii="Times New Roman" w:hAnsi="Times New Roman"/>
          <w:color w:val="000000"/>
          <w:sz w:val="20"/>
        </w:rPr>
        <w:t>. If the Sellers’ Representative so desires, acting on behalf of the Sellers and without the need for any consent or waiver by Fortis or FibroGen, Cooley LLP (“</w:t>
      </w:r>
      <w:r>
        <w:rPr>
          <w:rFonts w:ascii="Times New Roman" w:hAnsi="Times New Roman"/>
          <w:i/>
          <w:color w:val="000000"/>
          <w:sz w:val="20"/>
        </w:rPr>
        <w:t>Cooley</w:t>
      </w:r>
      <w:r>
        <w:rPr>
          <w:rFonts w:ascii="Times New Roman" w:hAnsi="Times New Roman"/>
          <w:color w:val="000000"/>
          <w:sz w:val="20"/>
        </w:rPr>
        <w:t>”) shall be permitted to represent the Sellers’ Representative or the Sellers after the Closing in connection with any matter, including without limitation, anything related to the transactions contemplated by this Option Agreement, any other agreements referenced herein or any disagreement or dispute relating thereto. Without limiting the generality of the foregoing, after the Closing, Cooley shall be permitted to represent the Sellers’ Representative, the Sellers, any of their agents and Affiliates, or any one or more of them, in connection with any negotiation, transaction or dispute (including any litigation, arbitration or other adversary proceeding) with FibroGen, Fortis or any of their agents or Affiliates under or relating to this Option Agreement, any transaction contemplated by this Option Agreement, and any related matter, such as claims or disputes arising under other agreements entered into in connection with this Option Agreement, including with respect to any indemnification claims. Upon and after the Closing, Fortis shall cease to have any attorney-client relationship with Cooley, unless and to the extent Cooley is specifically engaged in writing by Fortis to represent Fortis after the Closing and either such engagement involves no conflict of interest with respect to the Sellers or the Sellers’ Representative consents in writing at the time to such engagement. Any such representation of Fortis by Cooley after the Closing shall not affect the foregoing provisions 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11.13. </w:t>
      </w:r>
      <w:r>
        <w:rPr>
          <w:rFonts w:ascii="Times New Roman" w:hAnsi="Times New Roman"/>
          <w:color w:val="000000"/>
          <w:sz w:val="20"/>
          <w:u w:val="single"/>
        </w:rPr>
        <w:t>Attorney-Client Privilege</w:t>
      </w:r>
      <w:r>
        <w:rPr>
          <w:rFonts w:ascii="Times New Roman" w:hAnsi="Times New Roman"/>
          <w:color w:val="000000"/>
          <w:sz w:val="20"/>
        </w:rPr>
        <w:t>. FibroGen and Fortis agree that all communications between Fortis or the Sellers, on the one hand, and Cooley, on the other hand, relating to the negotiation, preparation, execution and delivery of this Agreement and the consummation of the transactions contemplated hereby (the “</w:t>
      </w:r>
      <w:r>
        <w:rPr>
          <w:rFonts w:ascii="Times New Roman" w:hAnsi="Times New Roman"/>
          <w:i/>
          <w:color w:val="000000"/>
          <w:sz w:val="20"/>
        </w:rPr>
        <w:t>Covered Materials</w:t>
      </w:r>
      <w:r>
        <w:rPr>
          <w:rFonts w:ascii="Times New Roman" w:hAnsi="Times New Roman"/>
          <w:color w:val="000000"/>
          <w:sz w:val="20"/>
        </w:rPr>
        <w:t>”), shall belong to and be controlled by the Sellers’ Representative, and not by the Surviving Corporation, following the Closing, and may be waived only by the Sellers’ Representative, and not the Surviving Corporation, and shall not pass to or be claimed or used by FibroGen or the Surviving Corporation. Absent the consent of the Sellers’ Representative, neither FibroGen nor the Surviving Corporation shall have a right to access the Covered Materials following the Closing and, in the event FibroGen or the Surviving Corporation accesses Covered Materials in violation of this sentence, such access will not waive or otherwise affect the rights of the Sellers’ Representative with respect to the related privilege or protection. Notwithstanding the foregoing, if a dispute arises between FibroGen or the Surviving Corporation, on the one hand, and a third party other than (and unaffiliated with) the Sellers and the Sellers’ Representative, on the other hand, after the Closing, then the Surviving Corporation may assert such attorney-client privilege to prevent disclosure to such Covered Materials.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Section 11.14. </w:t>
      </w:r>
      <w:r>
        <w:rPr>
          <w:rFonts w:ascii="Times New Roman" w:hAnsi="Times New Roman"/>
          <w:color w:val="000000"/>
          <w:sz w:val="20"/>
          <w:u w:val="single"/>
        </w:rPr>
        <w:t>FibroGen Acknowledgment</w:t>
      </w:r>
      <w:r>
        <w:rPr>
          <w:rFonts w:ascii="Times New Roman" w:hAnsi="Times New Roman"/>
          <w:color w:val="000000"/>
          <w:sz w:val="20"/>
        </w:rPr>
        <w:t xml:space="preserve">. FibroGen hereby acknowledges and agrees that, (a) FibroGen has conducted its own independent investigation, review and analysis of the business, results of operations, prospects, financial condition and assets of Fortis and that it has been provided adequate access to the personnel, books and records, assets and other documents and data of Fortis for such purpose, (b) FibroGen has relied solely upon its own investigation and the express representations and warranties of Fortis expressly set forth in </w:t>
      </w:r>
      <w:r>
        <w:rPr>
          <w:rFonts w:ascii="Times New Roman" w:hAnsi="Times New Roman"/>
          <w:color w:val="000000"/>
          <w:sz w:val="20"/>
          <w:u w:val="single"/>
        </w:rPr>
        <w:t>Article 5</w:t>
      </w:r>
      <w:r>
        <w:rPr>
          <w:rFonts w:ascii="Times New Roman" w:hAnsi="Times New Roman"/>
          <w:color w:val="000000"/>
          <w:sz w:val="20"/>
        </w:rPr>
        <w:t xml:space="preserve"> and any certificate delivered by Fortis pursuant to this Option Agreement (in each case as qualified or modified by the Disclosure Schedule or the Updated Disclosure Schedule, as it may be updated pursuant to this Agreement) and disclaims reliance on any other representations and warranties of any kind or nature express or implied, (c) except for the representations and warranties of Fortis expressly set forth in </w:t>
      </w:r>
      <w:r>
        <w:rPr>
          <w:rFonts w:ascii="Times New Roman" w:hAnsi="Times New Roman"/>
          <w:color w:val="000000"/>
          <w:sz w:val="20"/>
          <w:u w:val="single"/>
        </w:rPr>
        <w:t>Article 5</w:t>
      </w:r>
      <w:r>
        <w:rPr>
          <w:rFonts w:ascii="Times New Roman" w:hAnsi="Times New Roman"/>
          <w:color w:val="000000"/>
          <w:sz w:val="20"/>
        </w:rPr>
        <w:t xml:space="preserve"> and any certificate delivered by Fortis pursuant to this Option Agreement (in each case as qualified or modified by the Disclosure Schedule or the Updated Disclosure Schedule, as it may be updated pursuant to this Agreement) and the Evaluation Agreement, none of Fortis, or any of its Affiliates, stockholders, directors, officers, employees, independent contractors, consultants, agents, or Representatives has made or is making any express or implied representation or warranty with respect to Fortis or its business, operation or condition, including with respect to any estimates, projections, forecasts, forward-looking statements or business plans, and FibroGen will have no claim against Fortis or any of its Affiliates, equityholders, directors, officers, employees, independent contractors, consultants, agents or Representatives, or any other Person, with respect thereto, including as to the accuracy or completeness of any information provided.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[Remainder of page intentionally left blank; signature pages follow.]</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smallCaps/>
          <w:color w:val="000000"/>
          <w:sz w:val="20"/>
        </w:rPr>
        <w:t>In Witness Whereof</w:t>
      </w:r>
      <w:r>
        <w:rPr>
          <w:rFonts w:ascii="Times New Roman" w:hAnsi="Times New Roman"/>
          <w:color w:val="000000"/>
          <w:sz w:val="20"/>
        </w:rPr>
        <w:t>, the Parties have caused this Option Agreement to be signed by their duly authorized representatives as of the date first written above.</w:t>
      </w:r>
    </w:p>
    <w:p>
      <w:pPr>
        <w:pStyle w:val="TextBody"/>
        <w:bidi w:val="0"/>
        <w:spacing w:before="0" w:after="480"/>
        <w:jc w:val="both"/>
        <w:rPr>
          <w:rFonts w:ascii="Times New Roman" w:hAnsi="Times New Roman"/>
          <w:smallCaps/>
          <w:color w:val="000000"/>
          <w:sz w:val="20"/>
        </w:rPr>
      </w:pPr>
      <w:r>
        <w:rPr>
          <w:rFonts w:ascii="Times New Roman" w:hAnsi="Times New Roman"/>
          <w:smallCaps/>
          <w:color w:val="000000"/>
          <w:sz w:val="20"/>
        </w:rPr>
        <w:t>FibroGen:</w:t>
      </w:r>
    </w:p>
    <w:p>
      <w:pPr>
        <w:pStyle w:val="TextBody"/>
        <w:bidi w:val="0"/>
        <w:spacing w:before="0" w:after="480"/>
        <w:jc w:val="both"/>
        <w:rPr>
          <w:rFonts w:ascii="Times New Roman" w:hAnsi="Times New Roman"/>
          <w:smallCaps/>
          <w:color w:val="000000"/>
          <w:sz w:val="20"/>
        </w:rPr>
      </w:pPr>
      <w:r>
        <w:rPr>
          <w:rFonts w:ascii="Times New Roman" w:hAnsi="Times New Roman"/>
          <w:smallCaps/>
          <w:color w:val="000000"/>
          <w:sz w:val="20"/>
        </w:rPr>
        <w:t>FibroGen, Inc.</w:t>
      </w:r>
    </w:p>
    <w:p>
      <w:pPr>
        <w:pStyle w:val="TextBody"/>
        <w:bidi w:val="0"/>
        <w:jc w:val="both"/>
        <w:rPr>
          <w:rFonts w:ascii="Times New Roman" w:hAnsi="Times New Roman"/>
          <w:color w:val="000000"/>
          <w:sz w:val="20"/>
        </w:rPr>
      </w:pPr>
      <w:r>
        <w:rPr>
          <w:rFonts w:ascii="Times New Roman" w:hAnsi="Times New Roman"/>
          <w:color w:val="000000"/>
          <w:sz w:val="20"/>
        </w:rPr>
        <w:t xml:space="preserve">By: /s/ [*] </w:t>
      </w:r>
    </w:p>
    <w:p>
      <w:pPr>
        <w:pStyle w:val="TextBody"/>
        <w:bidi w:val="0"/>
        <w:jc w:val="both"/>
        <w:rPr>
          <w:rFonts w:ascii="Times New Roman" w:hAnsi="Times New Roman"/>
          <w:color w:val="000000"/>
          <w:sz w:val="20"/>
        </w:rPr>
      </w:pPr>
      <w:r>
        <w:rPr>
          <w:rFonts w:ascii="Times New Roman" w:hAnsi="Times New Roman"/>
          <w:color w:val="000000"/>
          <w:sz w:val="20"/>
        </w:rPr>
        <w:t>Name: [*]</w:t>
      </w:r>
    </w:p>
    <w:p>
      <w:pPr>
        <w:pStyle w:val="TextBody"/>
        <w:bidi w:val="0"/>
        <w:spacing w:before="0" w:after="480"/>
        <w:jc w:val="both"/>
        <w:rPr>
          <w:rFonts w:ascii="Times New Roman" w:hAnsi="Times New Roman"/>
          <w:color w:val="000000"/>
          <w:sz w:val="20"/>
        </w:rPr>
      </w:pPr>
      <w:r>
        <w:rPr>
          <w:rFonts w:ascii="Times New Roman" w:hAnsi="Times New Roman"/>
          <w:color w:val="000000"/>
          <w:sz w:val="20"/>
        </w:rPr>
        <w:t>Title: [*]</w:t>
      </w:r>
    </w:p>
    <w:p>
      <w:pPr>
        <w:pStyle w:val="TextBody"/>
        <w:bidi w:val="0"/>
        <w:spacing w:before="0" w:after="480"/>
        <w:jc w:val="both"/>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First Amended and Restated Option Agreement and Plan of Merger</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smallCaps/>
          <w:color w:val="000000"/>
          <w:sz w:val="20"/>
        </w:rPr>
        <w:t>In Witness Whereof</w:t>
      </w:r>
      <w:r>
        <w:rPr>
          <w:rFonts w:ascii="Times New Roman" w:hAnsi="Times New Roman"/>
          <w:color w:val="000000"/>
          <w:sz w:val="20"/>
        </w:rPr>
        <w:t>, the Parties have caused this Option Agreement to be signed by their duly authorized representatives as of the date first written above.</w:t>
      </w:r>
    </w:p>
    <w:p>
      <w:pPr>
        <w:pStyle w:val="TextBody"/>
        <w:bidi w:val="0"/>
        <w:spacing w:before="0" w:after="480"/>
        <w:jc w:val="both"/>
        <w:rPr>
          <w:rFonts w:ascii="Times New Roman" w:hAnsi="Times New Roman"/>
          <w:smallCaps/>
          <w:color w:val="000000"/>
          <w:sz w:val="20"/>
        </w:rPr>
      </w:pPr>
      <w:r>
        <w:rPr>
          <w:rFonts w:ascii="Times New Roman" w:hAnsi="Times New Roman"/>
          <w:smallCaps/>
          <w:color w:val="000000"/>
          <w:sz w:val="20"/>
        </w:rPr>
        <w:t>Fortis:</w:t>
      </w:r>
    </w:p>
    <w:p>
      <w:pPr>
        <w:pStyle w:val="TextBody"/>
        <w:bidi w:val="0"/>
        <w:spacing w:before="0" w:after="480"/>
        <w:jc w:val="both"/>
        <w:rPr>
          <w:rFonts w:ascii="Times New Roman" w:hAnsi="Times New Roman"/>
          <w:smallCaps/>
          <w:color w:val="000000"/>
          <w:sz w:val="20"/>
        </w:rPr>
      </w:pPr>
      <w:r>
        <w:rPr>
          <w:rFonts w:ascii="Times New Roman" w:hAnsi="Times New Roman"/>
          <w:smallCaps/>
          <w:color w:val="000000"/>
          <w:sz w:val="20"/>
        </w:rPr>
        <w:t>Fortis Therapeutics, Inc.</w:t>
      </w:r>
    </w:p>
    <w:p>
      <w:pPr>
        <w:pStyle w:val="TextBody"/>
        <w:bidi w:val="0"/>
        <w:jc w:val="both"/>
        <w:rPr>
          <w:rFonts w:ascii="Times New Roman" w:hAnsi="Times New Roman"/>
          <w:color w:val="000000"/>
          <w:sz w:val="20"/>
        </w:rPr>
      </w:pPr>
      <w:r>
        <w:rPr>
          <w:rFonts w:ascii="Times New Roman" w:hAnsi="Times New Roman"/>
          <w:color w:val="000000"/>
          <w:sz w:val="20"/>
        </w:rPr>
        <w:t xml:space="preserve">By: /s/ [*] </w:t>
      </w:r>
    </w:p>
    <w:p>
      <w:pPr>
        <w:pStyle w:val="TextBody"/>
        <w:bidi w:val="0"/>
        <w:jc w:val="both"/>
        <w:rPr>
          <w:rFonts w:ascii="Times New Roman" w:hAnsi="Times New Roman"/>
          <w:color w:val="000000"/>
          <w:sz w:val="20"/>
        </w:rPr>
      </w:pPr>
      <w:r>
        <w:rPr>
          <w:rFonts w:ascii="Times New Roman" w:hAnsi="Times New Roman"/>
          <w:color w:val="000000"/>
          <w:sz w:val="20"/>
        </w:rPr>
        <w:t>Name: [*]</w:t>
      </w:r>
    </w:p>
    <w:p>
      <w:pPr>
        <w:pStyle w:val="TextBody"/>
        <w:bidi w:val="0"/>
        <w:spacing w:before="0" w:after="480"/>
        <w:jc w:val="both"/>
        <w:rPr>
          <w:rFonts w:ascii="Times New Roman" w:hAnsi="Times New Roman"/>
          <w:color w:val="000000"/>
          <w:sz w:val="20"/>
        </w:rPr>
      </w:pPr>
      <w:r>
        <w:rPr>
          <w:rFonts w:ascii="Times New Roman" w:hAnsi="Times New Roman"/>
          <w:color w:val="000000"/>
          <w:sz w:val="20"/>
        </w:rPr>
        <w:t>Title: [*]</w:t>
      </w:r>
    </w:p>
    <w:p>
      <w:pPr>
        <w:pStyle w:val="TextBody"/>
        <w:bidi w:val="0"/>
        <w:jc w:val="both"/>
        <w:rPr/>
      </w:pPr>
      <w:r>
        <w:rPr/>
        <w:t> </w:t>
      </w:r>
    </w:p>
    <w:p>
      <w:pPr>
        <w:pStyle w:val="TextBody"/>
        <w:bidi w:val="0"/>
        <w:jc w:val="both"/>
        <w:rPr/>
      </w:pPr>
      <w:r>
        <w:rPr/>
        <w:t> </w:t>
      </w:r>
    </w:p>
    <w:p>
      <w:pPr>
        <w:pStyle w:val="TextBody"/>
        <w:bidi w:val="0"/>
        <w:spacing w:before="0" w:after="480"/>
        <w:jc w:val="both"/>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First Amended and Restated Option Agreement and Plan of Merger</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smallCaps/>
          <w:color w:val="000000"/>
          <w:sz w:val="20"/>
        </w:rPr>
        <w:t>In Witness Whereof</w:t>
      </w:r>
      <w:r>
        <w:rPr>
          <w:rFonts w:ascii="Times New Roman" w:hAnsi="Times New Roman"/>
          <w:color w:val="000000"/>
          <w:sz w:val="20"/>
        </w:rPr>
        <w:t>, the Parties have caused this Option Agreement to be signed by their duly authorized representatives as of the date first written above.</w:t>
      </w:r>
    </w:p>
    <w:p>
      <w:pPr>
        <w:pStyle w:val="TextBody"/>
        <w:bidi w:val="0"/>
        <w:spacing w:before="0" w:after="480"/>
        <w:jc w:val="both"/>
        <w:rPr>
          <w:rFonts w:ascii="Times New Roman" w:hAnsi="Times New Roman"/>
          <w:smallCaps/>
          <w:color w:val="000000"/>
          <w:sz w:val="20"/>
        </w:rPr>
      </w:pPr>
      <w:r>
        <w:rPr>
          <w:rFonts w:ascii="Times New Roman" w:hAnsi="Times New Roman"/>
          <w:smallCaps/>
          <w:color w:val="000000"/>
          <w:sz w:val="20"/>
        </w:rPr>
        <w:t>Sellers’ Representative:</w:t>
      </w:r>
    </w:p>
    <w:p>
      <w:pPr>
        <w:pStyle w:val="TextBody"/>
        <w:bidi w:val="0"/>
        <w:spacing w:before="0" w:after="480"/>
        <w:jc w:val="both"/>
        <w:rPr>
          <w:rFonts w:ascii="Times New Roman" w:hAnsi="Times New Roman"/>
          <w:smallCaps/>
          <w:color w:val="000000"/>
          <w:sz w:val="20"/>
        </w:rPr>
      </w:pPr>
      <w:r>
        <w:rPr>
          <w:rFonts w:ascii="Times New Roman" w:hAnsi="Times New Roman"/>
          <w:smallCaps/>
          <w:color w:val="000000"/>
          <w:sz w:val="20"/>
        </w:rPr>
        <w:t>Shareholder Representative Services LLC</w:t>
      </w:r>
    </w:p>
    <w:p>
      <w:pPr>
        <w:pStyle w:val="TextBody"/>
        <w:bidi w:val="0"/>
        <w:jc w:val="both"/>
        <w:rPr>
          <w:rFonts w:ascii="Times New Roman" w:hAnsi="Times New Roman"/>
          <w:color w:val="000000"/>
          <w:sz w:val="20"/>
        </w:rPr>
      </w:pPr>
      <w:r>
        <w:rPr>
          <w:rFonts w:ascii="Times New Roman" w:hAnsi="Times New Roman"/>
          <w:color w:val="000000"/>
          <w:sz w:val="20"/>
        </w:rPr>
        <w:t xml:space="preserve">By: /s/ [*] </w:t>
      </w:r>
    </w:p>
    <w:p>
      <w:pPr>
        <w:pStyle w:val="TextBody"/>
        <w:bidi w:val="0"/>
        <w:jc w:val="both"/>
        <w:rPr>
          <w:rFonts w:ascii="Times New Roman" w:hAnsi="Times New Roman"/>
          <w:color w:val="000000"/>
          <w:sz w:val="20"/>
        </w:rPr>
      </w:pPr>
      <w:r>
        <w:rPr>
          <w:rFonts w:ascii="Times New Roman" w:hAnsi="Times New Roman"/>
          <w:color w:val="000000"/>
          <w:sz w:val="20"/>
        </w:rPr>
        <w:t>Name: [*]</w:t>
      </w:r>
    </w:p>
    <w:p>
      <w:pPr>
        <w:pStyle w:val="TextBody"/>
        <w:bidi w:val="0"/>
        <w:spacing w:before="0" w:after="480"/>
        <w:jc w:val="both"/>
        <w:rPr>
          <w:rFonts w:ascii="Times New Roman" w:hAnsi="Times New Roman"/>
          <w:color w:val="000000"/>
          <w:sz w:val="20"/>
        </w:rPr>
      </w:pPr>
      <w:r>
        <w:rPr>
          <w:rFonts w:ascii="Times New Roman" w:hAnsi="Times New Roman"/>
          <w:color w:val="000000"/>
          <w:sz w:val="20"/>
        </w:rPr>
        <w:t>Title: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First Amended and Restated Option Agreement and Plan of Merger</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Joinder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240"/>
        <w:jc w:val="center"/>
        <w:rPr>
          <w:rFonts w:ascii="Times New Roman" w:hAnsi="Times New Roman"/>
          <w:sz w:val="20"/>
        </w:rPr>
      </w:pPr>
      <w:r>
        <w:rPr>
          <w:rFonts w:ascii="Times New Roman" w:hAnsi="Times New Roman"/>
          <w:b/>
          <w:color w:val="000000"/>
          <w:sz w:val="20"/>
        </w:rPr>
        <w:t>Written Consent</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Certificate of Merger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Amended and Restated Charter of Surviving Corporation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Letter of Transmittal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F</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Exercise Notice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Fortis Compliance Certificate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H</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of Restrictive Covenants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Schedule I</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SCHEDULE 1.55</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CVR PRODUCT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SCHEDULE 4.2(C)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GOVERNMENTAL APPROVALS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SCHEDULE 4.2(D)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CONTRACTUAL CONSENTS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 = Certain confidential information contained in this document, marked by brackets, has been omitted because it is both (i) not material and (ii) would likely cause competitive harm to the company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smallCaps/>
          <w:color w:val="000000"/>
          <w:sz w:val="20"/>
        </w:rPr>
      </w:pPr>
      <w:bookmarkStart w:id="193" w:name="fgen-ex10_4.htm"/>
      <w:bookmarkStart w:id="194" w:name="ksfgenex10_4"/>
      <w:bookmarkEnd w:id="193"/>
      <w:bookmarkEnd w:id="194"/>
      <w:r>
        <w:rPr>
          <w:rFonts w:ascii="Times New Roman" w:hAnsi="Times New Roman"/>
          <w:b/>
          <w:smallCaps/>
          <w:color w:val="000000"/>
          <w:sz w:val="20"/>
        </w:rPr>
        <w:t>Exhibit 10.4</w:t>
      </w:r>
      <w:r>
        <w:br w:type="page"/>
      </w:r>
    </w:p>
    <w:p>
      <w:pPr>
        <w:pStyle w:val="TextBody"/>
        <w:bidi w:val="0"/>
        <w:spacing w:before="0" w:after="360"/>
        <w:jc w:val="center"/>
        <w:rPr>
          <w:rFonts w:ascii="Times New Roman" w:hAnsi="Times New Roman"/>
          <w:sz w:val="20"/>
        </w:rPr>
      </w:pPr>
      <w:r>
        <w:rPr>
          <w:rFonts w:ascii="Times New Roman" w:hAnsi="Times New Roman"/>
          <w:b/>
          <w:smallCaps/>
          <w:color w:val="000000"/>
          <w:sz w:val="20"/>
        </w:rPr>
        <w:t>Fibrogen, Inc.</w:t>
        <w:br/>
        <w:t>Restricted Stock Unit Grant Notice</w:t>
        <w:br/>
      </w:r>
      <w:r>
        <w:rPr>
          <w:rFonts w:ascii="Times New Roman" w:hAnsi="Times New Roman"/>
          <w:b/>
          <w:color w:val="000000"/>
          <w:sz w:val="20"/>
        </w:rPr>
        <w:t>(</w:t>
      </w:r>
      <w:r>
        <w:rPr>
          <w:rFonts w:ascii="Times New Roman" w:hAnsi="Times New Roman"/>
          <w:b/>
          <w:smallCaps/>
          <w:color w:val="000000"/>
          <w:sz w:val="20"/>
        </w:rPr>
        <w:t>2024 Equity Incentive Plan)</w:t>
      </w:r>
    </w:p>
    <w:p>
      <w:pPr>
        <w:pStyle w:val="TextBody"/>
        <w:bidi w:val="0"/>
        <w:spacing w:before="0" w:after="240"/>
        <w:jc w:val="both"/>
        <w:rPr>
          <w:rFonts w:ascii="Times New Roman" w:hAnsi="Times New Roman"/>
          <w:sz w:val="20"/>
        </w:rPr>
      </w:pPr>
      <w:r>
        <w:rPr>
          <w:rFonts w:ascii="Times New Roman" w:hAnsi="Times New Roman"/>
          <w:color w:val="000000"/>
          <w:sz w:val="20"/>
        </w:rPr>
        <w:t>Fibrogen, Inc. (the “</w:t>
      </w:r>
      <w:r>
        <w:rPr>
          <w:rFonts w:ascii="Times New Roman" w:hAnsi="Times New Roman"/>
          <w:b/>
          <w:i/>
          <w:color w:val="000000"/>
          <w:sz w:val="20"/>
        </w:rPr>
        <w:t>Company</w:t>
      </w:r>
      <w:r>
        <w:rPr>
          <w:rFonts w:ascii="Times New Roman" w:hAnsi="Times New Roman"/>
          <w:color w:val="000000"/>
          <w:sz w:val="20"/>
        </w:rPr>
        <w:t>”), pursuant to its 2024 Equity Incentive Plan (the “</w:t>
      </w:r>
      <w:r>
        <w:rPr>
          <w:rFonts w:ascii="Times New Roman" w:hAnsi="Times New Roman"/>
          <w:b/>
          <w:i/>
          <w:color w:val="000000"/>
          <w:sz w:val="20"/>
        </w:rPr>
        <w:t>Plan</w:t>
      </w:r>
      <w:r>
        <w:rPr>
          <w:rFonts w:ascii="Times New Roman" w:hAnsi="Times New Roman"/>
          <w:color w:val="000000"/>
          <w:sz w:val="20"/>
        </w:rPr>
        <w:t>”), hereby awards to Participant a Restricted Stock Unit Award for the number of shares of the Company’s Common Stock (“</w:t>
      </w:r>
      <w:r>
        <w:rPr>
          <w:rFonts w:ascii="Times New Roman" w:hAnsi="Times New Roman"/>
          <w:b/>
          <w:i/>
          <w:color w:val="000000"/>
          <w:sz w:val="20"/>
        </w:rPr>
        <w:t>Restricted Stock Units</w:t>
      </w:r>
      <w:r>
        <w:rPr>
          <w:rFonts w:ascii="Times New Roman" w:hAnsi="Times New Roman"/>
          <w:color w:val="000000"/>
          <w:sz w:val="20"/>
        </w:rPr>
        <w:t>”) set forth below (the “</w:t>
      </w:r>
      <w:r>
        <w:rPr>
          <w:rFonts w:ascii="Times New Roman" w:hAnsi="Times New Roman"/>
          <w:b/>
          <w:i/>
          <w:color w:val="000000"/>
          <w:sz w:val="20"/>
        </w:rPr>
        <w:t>Award</w:t>
      </w:r>
      <w:r>
        <w:rPr>
          <w:rFonts w:ascii="Times New Roman" w:hAnsi="Times New Roman"/>
          <w:color w:val="000000"/>
          <w:sz w:val="20"/>
        </w:rPr>
        <w:t>”). The Award is subject to all of the terms and conditions as set forth in this notice of grant (this “</w:t>
      </w:r>
      <w:r>
        <w:rPr>
          <w:rFonts w:ascii="Times New Roman" w:hAnsi="Times New Roman"/>
          <w:b/>
          <w:i/>
          <w:color w:val="000000"/>
          <w:sz w:val="20"/>
        </w:rPr>
        <w:t>Restricted Stock Unit Grant Notice</w:t>
      </w:r>
      <w:r>
        <w:rPr>
          <w:rFonts w:ascii="Times New Roman" w:hAnsi="Times New Roman"/>
          <w:color w:val="000000"/>
          <w:sz w:val="20"/>
        </w:rPr>
        <w:t>”) and in the Plan and the Restricted Stock Unit Award Agreement (the “</w:t>
      </w:r>
      <w:r>
        <w:rPr>
          <w:rFonts w:ascii="Times New Roman" w:hAnsi="Times New Roman"/>
          <w:b/>
          <w:i/>
          <w:color w:val="000000"/>
          <w:sz w:val="20"/>
        </w:rPr>
        <w:t>Award Agreement</w:t>
      </w:r>
      <w:r>
        <w:rPr>
          <w:rFonts w:ascii="Times New Roman" w:hAnsi="Times New Roman"/>
          <w:color w:val="000000"/>
          <w:sz w:val="20"/>
        </w:rPr>
        <w:t>”), which are incorporated herein in their entirety. Capitalized terms not otherwise defined herein shall have the meanings set forth in the Plan or the Award Agreement. In the event of any conflict between the terms in the Award Agreement and the Plan, the terms of the Plan shall control.</w:t>
      </w:r>
    </w:p>
    <w:p>
      <w:pPr>
        <w:pStyle w:val="TextBody"/>
        <w:bidi w:val="0"/>
        <w:jc w:val="both"/>
        <w:rPr/>
      </w:pPr>
      <w:r>
        <w:rPr/>
        <w:t> </w:t>
      </w:r>
    </w:p>
    <w:tbl>
      <w:tblPr>
        <w:tblW w:w="7907" w:type="dxa"/>
        <w:jc w:val="left"/>
        <w:tblInd w:w="0" w:type="dxa"/>
        <w:tblLayout w:type="fixed"/>
        <w:tblCellMar>
          <w:top w:w="28" w:type="dxa"/>
          <w:left w:w="28" w:type="dxa"/>
          <w:bottom w:w="28" w:type="dxa"/>
          <w:right w:w="28" w:type="dxa"/>
        </w:tblCellMar>
      </w:tblPr>
      <w:tblGrid>
        <w:gridCol w:w="3046"/>
        <w:gridCol w:w="4861"/>
      </w:tblGrid>
      <w:tr>
        <w:trPr/>
        <w:tc>
          <w:tcPr>
            <w:tcW w:w="304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w:t>
            </w:r>
          </w:p>
        </w:tc>
        <w:tc>
          <w:tcPr>
            <w:tcW w:w="4861" w:type="dxa"/>
            <w:tcBorders/>
            <w:vAlign w:val="center"/>
          </w:tcPr>
          <w:p>
            <w:pPr>
              <w:pStyle w:val="TableContents"/>
              <w:pBdr>
                <w:bottom w:val="single" w:sz="4" w:space="1" w:color="000000"/>
              </w:pBdr>
              <w:bidi w:val="0"/>
              <w:spacing w:before="0" w:after="283"/>
              <w:jc w:val="both"/>
              <w:rPr>
                <w:rFonts w:ascii="Times New Roman" w:hAnsi="Times New Roman"/>
                <w:color w:val="000000"/>
                <w:sz w:val="20"/>
              </w:rPr>
            </w:pPr>
            <w:r>
              <w:rPr>
                <w:rFonts w:ascii="Times New Roman" w:hAnsi="Times New Roman"/>
                <w:color w:val="000000"/>
                <w:sz w:val="20"/>
              </w:rPr>
              <w:t>%%FIRST_NAME_MIDDLE_NAME_LAST_NAME%-%</w:t>
            </w:r>
          </w:p>
        </w:tc>
      </w:tr>
      <w:tr>
        <w:trPr/>
        <w:tc>
          <w:tcPr>
            <w:tcW w:w="30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w:t>
            </w:r>
          </w:p>
        </w:tc>
        <w:tc>
          <w:tcPr>
            <w:tcW w:w="4861" w:type="dxa"/>
            <w:tcBorders/>
            <w:vAlign w:val="center"/>
          </w:tcPr>
          <w:p>
            <w:pPr>
              <w:pStyle w:val="TableContents"/>
              <w:pBdr>
                <w:bottom w:val="single" w:sz="4" w:space="1" w:color="000000"/>
              </w:pBdr>
              <w:bidi w:val="0"/>
              <w:spacing w:before="0" w:after="283"/>
              <w:jc w:val="both"/>
              <w:rPr>
                <w:rFonts w:ascii="Times New Roman" w:hAnsi="Times New Roman"/>
                <w:color w:val="000000"/>
                <w:sz w:val="20"/>
              </w:rPr>
            </w:pPr>
            <w:r>
              <w:rPr>
                <w:rFonts w:ascii="Times New Roman" w:hAnsi="Times New Roman"/>
                <w:color w:val="000000"/>
                <w:sz w:val="20"/>
              </w:rPr>
              <w:t>%%EMPLOYEE_IDENTIFIER%-%</w:t>
            </w:r>
          </w:p>
        </w:tc>
      </w:tr>
      <w:tr>
        <w:trPr/>
        <w:tc>
          <w:tcPr>
            <w:tcW w:w="30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4861" w:type="dxa"/>
            <w:tcBorders/>
            <w:vAlign w:val="center"/>
          </w:tcPr>
          <w:p>
            <w:pPr>
              <w:pStyle w:val="TableContents"/>
              <w:pBdr>
                <w:bottom w:val="single" w:sz="4" w:space="1" w:color="000000"/>
              </w:pBdr>
              <w:bidi w:val="0"/>
              <w:spacing w:before="0" w:after="283"/>
              <w:jc w:val="both"/>
              <w:rPr>
                <w:rFonts w:ascii="Times New Roman" w:hAnsi="Times New Roman"/>
                <w:color w:val="000000"/>
                <w:sz w:val="20"/>
              </w:rPr>
            </w:pPr>
            <w:r>
              <w:rPr>
                <w:rFonts w:ascii="Times New Roman" w:hAnsi="Times New Roman"/>
                <w:color w:val="000000"/>
                <w:sz w:val="20"/>
              </w:rPr>
              <w:t>%%OPTION_DATE,’MONTH DD, YYYY’%-%</w:t>
            </w:r>
          </w:p>
        </w:tc>
      </w:tr>
      <w:tr>
        <w:trPr/>
        <w:tc>
          <w:tcPr>
            <w:tcW w:w="30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Number:</w:t>
            </w:r>
          </w:p>
        </w:tc>
        <w:tc>
          <w:tcPr>
            <w:tcW w:w="4861" w:type="dxa"/>
            <w:tcBorders/>
            <w:vAlign w:val="center"/>
          </w:tcPr>
          <w:p>
            <w:pPr>
              <w:pStyle w:val="TableContents"/>
              <w:pBdr>
                <w:bottom w:val="single" w:sz="4" w:space="1" w:color="000000"/>
              </w:pBdr>
              <w:bidi w:val="0"/>
              <w:spacing w:before="0" w:after="283"/>
              <w:jc w:val="both"/>
              <w:rPr>
                <w:rFonts w:ascii="Times New Roman" w:hAnsi="Times New Roman"/>
                <w:color w:val="000000"/>
                <w:sz w:val="20"/>
              </w:rPr>
            </w:pPr>
            <w:r>
              <w:rPr>
                <w:rFonts w:ascii="Times New Roman" w:hAnsi="Times New Roman"/>
                <w:color w:val="000000"/>
                <w:sz w:val="20"/>
              </w:rPr>
              <w:t>%%OPTION_NUMBER%-%</w:t>
            </w:r>
          </w:p>
        </w:tc>
      </w:tr>
      <w:tr>
        <w:trPr/>
        <w:tc>
          <w:tcPr>
            <w:tcW w:w="30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c>
          <w:tcPr>
            <w:tcW w:w="4861" w:type="dxa"/>
            <w:tcBorders/>
            <w:vAlign w:val="center"/>
          </w:tcPr>
          <w:p>
            <w:pPr>
              <w:pStyle w:val="TableContents"/>
              <w:pBdr>
                <w:bottom w:val="single" w:sz="4" w:space="1" w:color="000000"/>
              </w:pBdr>
              <w:bidi w:val="0"/>
              <w:spacing w:before="0" w:after="283"/>
              <w:jc w:val="both"/>
              <w:rPr>
                <w:rFonts w:ascii="Times New Roman" w:hAnsi="Times New Roman"/>
                <w:color w:val="000000"/>
                <w:sz w:val="20"/>
              </w:rPr>
            </w:pPr>
            <w:r>
              <w:rPr>
                <w:rFonts w:ascii="Times New Roman" w:hAnsi="Times New Roman"/>
                <w:color w:val="000000"/>
                <w:sz w:val="20"/>
              </w:rPr>
              <w:t>%%VEST_BASE_DATE,’MONTH DD, YYYY’%-%</w:t>
            </w:r>
          </w:p>
        </w:tc>
      </w:tr>
      <w:tr>
        <w:trPr/>
        <w:tc>
          <w:tcPr>
            <w:tcW w:w="30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Subject to Award:</w:t>
            </w:r>
          </w:p>
        </w:tc>
        <w:tc>
          <w:tcPr>
            <w:tcW w:w="4861" w:type="dxa"/>
            <w:tcBorders/>
            <w:vAlign w:val="center"/>
          </w:tcPr>
          <w:p>
            <w:pPr>
              <w:pStyle w:val="TableContents"/>
              <w:pBdr>
                <w:bottom w:val="single" w:sz="4" w:space="1" w:color="000000"/>
              </w:pBdr>
              <w:bidi w:val="0"/>
              <w:spacing w:before="0" w:after="283"/>
              <w:jc w:val="both"/>
              <w:rPr>
                <w:rFonts w:ascii="Times New Roman" w:hAnsi="Times New Roman"/>
                <w:color w:val="000000"/>
                <w:sz w:val="20"/>
              </w:rPr>
            </w:pPr>
            <w:r>
              <w:rPr>
                <w:rFonts w:ascii="Times New Roman" w:hAnsi="Times New Roman"/>
                <w:color w:val="000000"/>
                <w:sz w:val="20"/>
              </w:rPr>
              <w:t>%%TOTAL_SHARES_GRANTED,’999,999,999’%-%</w:t>
            </w:r>
          </w:p>
        </w:tc>
      </w:tr>
    </w:tbl>
    <w:p>
      <w:pPr>
        <w:pStyle w:val="TextBody"/>
        <w:bidi w:val="0"/>
        <w:jc w:val="both"/>
        <w:rPr/>
      </w:pPr>
      <w:r>
        <w:rPr/>
        <w:t> </w:t>
      </w:r>
    </w:p>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Vesting Schedule: </w:t>
      </w:r>
      <w:r>
        <w:rPr>
          <w:rFonts w:ascii="Times New Roman" w:hAnsi="Times New Roman"/>
          <w:color w:val="000000"/>
          <w:sz w:val="20"/>
        </w:rPr>
        <w:t xml:space="preserve">Subject to Section 9(c) of the Plan, the shares subject to the Award shall vest as follows: one-fourth </w:t>
      </w:r>
      <w:r>
        <w:rPr>
          <w:rFonts w:ascii="Times New Roman" w:hAnsi="Times New Roman"/>
          <w:b/>
          <w:color w:val="000000"/>
          <w:sz w:val="20"/>
        </w:rPr>
        <w:t>(</w:t>
      </w:r>
      <w:r>
        <w:rPr>
          <w:rFonts w:ascii="Times New Roman" w:hAnsi="Times New Roman"/>
          <w:color w:val="000000"/>
          <w:sz w:val="20"/>
        </w:rPr>
        <w:t>1/4</w:t>
      </w:r>
      <w:r>
        <w:rPr>
          <w:rFonts w:ascii="Times New Roman" w:hAnsi="Times New Roman"/>
          <w:color w:val="000000"/>
          <w:sz w:val="13"/>
        </w:rPr>
        <w:t>th</w:t>
      </w:r>
      <w:r>
        <w:rPr>
          <w:rFonts w:ascii="Times New Roman" w:hAnsi="Times New Roman"/>
          <w:color w:val="000000"/>
          <w:sz w:val="20"/>
        </w:rPr>
        <w:t>) of the shares vest one year after the Vesting Commencement Date; the balance of the shares vest in a series of twelve (12) successive substantially equal quarterly installments measured from the first anniversary of the Vesting Commencement Date, subject to Participant’s Continuous Service on each applicable vesting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Issuance Schedule: </w:t>
      </w:r>
      <w:r>
        <w:rPr>
          <w:rFonts w:ascii="Times New Roman" w:hAnsi="Times New Roman"/>
          <w:color w:val="000000"/>
          <w:sz w:val="20"/>
        </w:rPr>
        <w:t>Subject to any change on a Capitalization Adjustment, one share of Common Stock will be issued for each Restricted Stock Unit that vests at the time set forth in Section 6 of the Award Agreement.</w:t>
      </w:r>
    </w:p>
    <w:p>
      <w:pPr>
        <w:pStyle w:val="TextBody"/>
        <w:bidi w:val="0"/>
        <w:spacing w:before="240" w:after="120"/>
        <w:jc w:val="both"/>
        <w:rPr>
          <w:rFonts w:ascii="Times New Roman" w:hAnsi="Times New Roman"/>
          <w:sz w:val="20"/>
        </w:rPr>
      </w:pPr>
      <w:r>
        <w:rPr>
          <w:rFonts w:ascii="Times New Roman" w:hAnsi="Times New Roman"/>
          <w:b/>
          <w:color w:val="000000"/>
          <w:sz w:val="20"/>
        </w:rPr>
        <w:t>Additional Terms/Acknowledgements:</w:t>
      </w:r>
      <w:r>
        <w:rPr>
          <w:rFonts w:ascii="Times New Roman" w:hAnsi="Times New Roman"/>
          <w:color w:val="000000"/>
          <w:sz w:val="20"/>
        </w:rPr>
        <w:t xml:space="preserve"> Participant acknowledges receipt of, and understands and agrees to, this Restricted Stock Unit Grant Notice, the 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the written employment agreement or offer letter agreement entered into between the Company and Participant specifying the terms that should govern this specific Award, and (ii) any compensation recovery policy that is adopted by the Company or is otherwise required by applicable law. </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pStyle w:val="TextBody"/>
        <w:bidi w:val="0"/>
        <w:spacing w:before="240" w:after="240"/>
        <w:jc w:val="both"/>
        <w:rPr>
          <w:rFonts w:ascii="Times New Roman" w:hAnsi="Times New Roman"/>
          <w:b/>
          <w:smallCaps/>
          <w:color w:val="000000"/>
          <w:sz w:val="20"/>
        </w:rPr>
      </w:pPr>
      <w:r>
        <w:rPr>
          <w:rFonts w:ascii="Times New Roman" w:hAnsi="Times New Roman"/>
          <w:b/>
          <w:smallCaps/>
          <w:color w:val="000000"/>
          <w:sz w:val="20"/>
        </w:rPr>
        <w:t>FibroGen, Inc.</w:t>
      </w:r>
    </w:p>
    <w:p>
      <w:pPr>
        <w:pStyle w:val="TextBody"/>
        <w:bidi w:val="0"/>
        <w:spacing w:before="0" w:after="240"/>
        <w:jc w:val="both"/>
        <w:rPr/>
      </w:pPr>
      <w:r>
        <w:rPr/>
        <w:t> </w:t>
      </w:r>
    </w:p>
    <w:tbl>
      <w:tblPr>
        <w:tblW w:w="2582" w:type="dxa"/>
        <w:jc w:val="left"/>
        <w:tblInd w:w="0" w:type="dxa"/>
        <w:tblLayout w:type="fixed"/>
        <w:tblCellMar>
          <w:top w:w="28" w:type="dxa"/>
          <w:left w:w="28" w:type="dxa"/>
          <w:bottom w:w="28" w:type="dxa"/>
          <w:right w:w="28" w:type="dxa"/>
        </w:tblCellMar>
      </w:tblPr>
      <w:tblGrid>
        <w:gridCol w:w="571"/>
        <w:gridCol w:w="2011"/>
      </w:tblGrid>
      <w:tr>
        <w:trPr/>
        <w:tc>
          <w:tcPr>
            <w:tcW w:w="57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Juan Graham</w:t>
            </w:r>
          </w:p>
        </w:tc>
      </w:tr>
      <w:tr>
        <w:trPr/>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rFonts w:ascii="Times New Roman" w:hAnsi="Times New Roman"/>
          <w:sz w:val="20"/>
        </w:rPr>
      </w:pPr>
      <w:r>
        <w:rPr>
          <w:rFonts w:ascii="Times New Roman" w:hAnsi="Times New Roman"/>
          <w:b/>
          <w:smallCaps/>
          <w:color w:val="000000"/>
          <w:sz w:val="20"/>
        </w:rPr>
        <w:t>Attachments</w:t>
      </w:r>
      <w:r>
        <w:rPr>
          <w:rFonts w:ascii="Times New Roman" w:hAnsi="Times New Roman"/>
          <w:color w:val="000000"/>
          <w:sz w:val="20"/>
        </w:rPr>
        <w:t>: RSU agreement, 2024 Equity Incentive Plan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Fibrogen,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2024 Equity Incentive Plan</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Restricted Stock Unit Award Agreement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Pursuant to the Restricted Stock Unit Grant Notice (the “</w:t>
      </w:r>
      <w:r>
        <w:rPr>
          <w:rFonts w:ascii="Times New Roman" w:hAnsi="Times New Roman"/>
          <w:b/>
          <w:i/>
          <w:color w:val="000000"/>
          <w:sz w:val="20"/>
        </w:rPr>
        <w:t>Grant Notice</w:t>
      </w:r>
      <w:r>
        <w:rPr>
          <w:rFonts w:ascii="Times New Roman" w:hAnsi="Times New Roman"/>
          <w:color w:val="000000"/>
          <w:sz w:val="20"/>
        </w:rPr>
        <w:t>”) and this Restricted Stock Unit Award Agreement (the “</w:t>
      </w:r>
      <w:r>
        <w:rPr>
          <w:rFonts w:ascii="Times New Roman" w:hAnsi="Times New Roman"/>
          <w:b/>
          <w:i/>
          <w:color w:val="000000"/>
          <w:sz w:val="20"/>
        </w:rPr>
        <w:t>Agreement</w:t>
      </w:r>
      <w:r>
        <w:rPr>
          <w:rFonts w:ascii="Times New Roman" w:hAnsi="Times New Roman"/>
          <w:color w:val="000000"/>
          <w:sz w:val="20"/>
        </w:rPr>
        <w:t>”), Fibrogen, Inc. (the “</w:t>
      </w:r>
      <w:r>
        <w:rPr>
          <w:rFonts w:ascii="Times New Roman" w:hAnsi="Times New Roman"/>
          <w:b/>
          <w:i/>
          <w:color w:val="000000"/>
          <w:sz w:val="20"/>
        </w:rPr>
        <w:t>Company</w:t>
      </w:r>
      <w:r>
        <w:rPr>
          <w:rFonts w:ascii="Times New Roman" w:hAnsi="Times New Roman"/>
          <w:color w:val="000000"/>
          <w:sz w:val="20"/>
        </w:rPr>
        <w:t>”) has awarded you (“</w:t>
      </w:r>
      <w:r>
        <w:rPr>
          <w:rFonts w:ascii="Times New Roman" w:hAnsi="Times New Roman"/>
          <w:b/>
          <w:i/>
          <w:color w:val="000000"/>
          <w:sz w:val="20"/>
        </w:rPr>
        <w:t>Participant</w:t>
      </w:r>
      <w:r>
        <w:rPr>
          <w:rFonts w:ascii="Times New Roman" w:hAnsi="Times New Roman"/>
          <w:color w:val="000000"/>
          <w:sz w:val="20"/>
        </w:rPr>
        <w:t>”) a Restricted Stock Unit Award (this “</w:t>
      </w:r>
      <w:r>
        <w:rPr>
          <w:rFonts w:ascii="Times New Roman" w:hAnsi="Times New Roman"/>
          <w:b/>
          <w:i/>
          <w:color w:val="000000"/>
          <w:sz w:val="20"/>
        </w:rPr>
        <w:t>Award</w:t>
      </w:r>
      <w:r>
        <w:rPr>
          <w:rFonts w:ascii="Times New Roman" w:hAnsi="Times New Roman"/>
          <w:color w:val="000000"/>
          <w:sz w:val="20"/>
        </w:rPr>
        <w:t>”) pursuant to Section 6(b) of the Company’s 2024 Equity Incentive Plan (the “</w:t>
      </w:r>
      <w:r>
        <w:rPr>
          <w:rFonts w:ascii="Times New Roman" w:hAnsi="Times New Roman"/>
          <w:b/>
          <w:i/>
          <w:color w:val="000000"/>
          <w:sz w:val="20"/>
        </w:rPr>
        <w:t>Plan</w:t>
      </w:r>
      <w:r>
        <w:rPr>
          <w:rFonts w:ascii="Times New Roman" w:hAnsi="Times New Roman"/>
          <w:color w:val="000000"/>
          <w:sz w:val="20"/>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smallCaps/>
          <w:color w:val="000000"/>
          <w:sz w:val="20"/>
        </w:rPr>
        <w:t xml:space="preserve">Grant of the Award. </w:t>
      </w:r>
      <w:r>
        <w:rPr>
          <w:rFonts w:ascii="Times New Roman" w:hAnsi="Times New Roman"/>
          <w:color w:val="000000"/>
          <w:sz w:val="20"/>
        </w:rPr>
        <w:t>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 w:hAnsi="Times New Roman"/>
          <w:b/>
          <w:i/>
          <w:color w:val="000000"/>
          <w:sz w:val="20"/>
        </w:rPr>
        <w:t>Account</w:t>
      </w:r>
      <w:r>
        <w:rPr>
          <w:color w:val="000000"/>
        </w:rPr>
        <w:t>”</w:t>
      </w:r>
      <w:r>
        <w:rPr>
          <w:rFonts w:ascii="Times New Roman" w:hAnsi="Times New Roman"/>
          <w:color w:val="000000"/>
          <w:sz w:val="20"/>
        </w:rPr>
        <w:t xml:space="preserve">) the number of Restricted Stock Units/shares of Common Stock subject to this Award. This Award was granted in consideration of your services to the Company.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smallCaps/>
          <w:color w:val="000000"/>
          <w:sz w:val="20"/>
        </w:rPr>
        <w:t xml:space="preserve">Vesting. </w:t>
      </w:r>
      <w:r>
        <w:rPr>
          <w:rFonts w:ascii="Times New Roman" w:hAnsi="Times New Roman"/>
          <w:color w:val="000000"/>
          <w:sz w:val="20"/>
        </w:rPr>
        <w:t>Subject to the limitations contained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smallCaps/>
          <w:color w:val="000000"/>
          <w:sz w:val="20"/>
        </w:rPr>
        <w:t xml:space="preserve">Number of Shares. </w:t>
      </w:r>
      <w:r>
        <w:rPr>
          <w:rFonts w:ascii="Times New Roman" w:hAnsi="Times New Roman"/>
          <w:color w:val="000000"/>
          <w:sz w:val="20"/>
        </w:rPr>
        <w:t>The number of Restricted Stock Units/shares subject to your Award may be adjusted from time to time for Capitalization Adjustments, as provided in the Plan. Any additional Restricted Stock Units, shares, cash or other property that becomes subject to this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smallCaps/>
          <w:color w:val="000000"/>
          <w:sz w:val="20"/>
        </w:rPr>
        <w:t>Securities Law Compliance</w:t>
      </w:r>
      <w:r>
        <w:rPr>
          <w:rFonts w:ascii="Times New Roman" w:hAnsi="Times New Roman"/>
          <w:color w:val="000000"/>
          <w:sz w:val="20"/>
        </w:rPr>
        <w:t>. You may not be issued any Common Stock under your Award unless the 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smallCaps/>
          <w:color w:val="000000"/>
          <w:sz w:val="20"/>
        </w:rPr>
        <w:t>Transfer Restrictions</w:t>
      </w:r>
      <w:r>
        <w:rPr>
          <w:rFonts w:ascii="Times New Roman" w:hAnsi="Times New Roman"/>
          <w:color w:val="000000"/>
          <w:sz w:val="20"/>
        </w:rPr>
        <w:t xml:space="preserve">.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Death</w:t>
      </w:r>
      <w:r>
        <w:rPr>
          <w:rFonts w:ascii="Times New Roman" w:hAnsi="Times New Roman"/>
          <w:color w:val="000000"/>
          <w:sz w:val="20"/>
        </w:rPr>
        <w:t xml:space="preserve">. Your Award is transferable by will and by the laws of descent and distribution. At your death, vesting of your Award will cease and your executor or administrator of your estate shall be entitled to receive, on behalf of your estate, any Common Stock or other consideration that vested but was not issued before your death.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Domestic Relations Orders.</w:t>
      </w:r>
      <w:r>
        <w:rPr>
          <w:color w:val="000000"/>
        </w:rPr>
        <w:t xml:space="preserve"> </w:t>
      </w:r>
      <w:r>
        <w:rPr>
          <w:rFonts w:ascii="Times New Roman" w:hAnsi="Times New Roman"/>
          <w:color w:val="000000"/>
          <w:sz w:val="20"/>
        </w:rPr>
        <w:t>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or marital settlement agreement that contains the information required by the Company to effectuate the transfer. You are encouraged to discuss the proposed terms of any division of this Award with the Company’s stock plan administrator prior to finalizing the domestic relations order or marital settlement agreement to verify that you may make such transfer, and if so, to help ensure the required information is contained within the domestic relations order or marital settlement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 xml:space="preserve">Date of Issuance.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rPr>
        <w:t xml:space="preserve">Subject to the satisfaction of the withholding obligations set forth in Section 11 of this Agreement and subject to Section 6(b) below, in the event that one or more Restricted Stock Units vests, the Company shall issue to you, on the applicable vesting date (subject to any adjustment under Section 3 above), one share of Common Stock for each Restricted Stock Unit that vests on the applicable vesting date; </w:t>
      </w:r>
      <w:r>
        <w:rPr>
          <w:rFonts w:ascii="Times New Roman" w:hAnsi="Times New Roman"/>
          <w:i/>
          <w:color w:val="000000"/>
          <w:sz w:val="20"/>
        </w:rPr>
        <w:t>provided</w:t>
      </w:r>
      <w:r>
        <w:rPr>
          <w:rFonts w:ascii="Times New Roman" w:hAnsi="Times New Roman"/>
          <w:color w:val="000000"/>
          <w:sz w:val="20"/>
        </w:rPr>
        <w:t>, that if such date falls on a date that is not a business day, delivery will instead occur on the next business day.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Notwithstanding the foregoing, shares will be delivered on a date later than the applicable vesting date or its next following business day, if, to the extent applicable at a vesting date, (i) any shares covered by your Restricted Stock Units are scheduled to be delivered on a date (the “</w:t>
      </w:r>
      <w:r>
        <w:rPr>
          <w:rFonts w:ascii="Times New Roman" w:hAnsi="Times New Roman"/>
          <w:b/>
          <w:i/>
          <w:color w:val="000000"/>
          <w:sz w:val="20"/>
        </w:rPr>
        <w:t>Original Distribution Date</w:t>
      </w:r>
      <w:r>
        <w:rPr>
          <w:color w:val="000000"/>
        </w:rPr>
        <w:t>”</w:t>
      </w:r>
      <w:r>
        <w:rPr>
          <w:rFonts w:ascii="Times New Roman" w:hAnsi="Times New Roman"/>
          <w:color w:val="000000"/>
          <w:sz w:val="20"/>
        </w:rPr>
        <w:t>) that does not occur: (A) during an open “window period” applicable to you, as determined by the Company in accordance with the Company’s then-effective policy on trading in Company securities (the “</w:t>
      </w:r>
      <w:r>
        <w:rPr>
          <w:rFonts w:ascii="Times New Roman" w:hAnsi="Times New Roman"/>
          <w:b/>
          <w:i/>
          <w:color w:val="000000"/>
          <w:sz w:val="20"/>
        </w:rPr>
        <w:t>Policy</w:t>
      </w:r>
      <w:r>
        <w:rPr>
          <w:color w:val="000000"/>
        </w:rPr>
        <w:t>”</w:t>
      </w:r>
      <w:r>
        <w:rPr>
          <w:rFonts w:ascii="Times New Roman" w:hAnsi="Times New Roman"/>
          <w:color w:val="000000"/>
          <w:sz w:val="20"/>
        </w:rPr>
        <w:t xml:space="preserve">); (B) on a date on which you are permitted to sell shares of Common Stock pursuant to a written plan that meets the requirements of Rule 10b5-1 under the Exchange Act, as determined by the Company in accordance with the Policy; (C) on a date when you are otherwise permitted to sell shares of Common Stock on the open market; or (D) during any applicable lock-up period under any lock-up agreement or market standoff agreement covering shares of Common Stock held by a Participant; and (ii) the Company elects not to satisfy its tax withholding obligations by withholding shares pursuant to one of the methods permitted under Section 11, withholding from other compensation otherwise payable to you by the Company, or by permitting you to pay your Withholding Taxes in cash, then such shares will not be delivered on such Original Distribution Date and will instead be delivered on the first business day when you are not prohibited from selling shares of the Company’s Common Stock in the open public market, but in no event later than the date that is the 15th day of the third calendar month of the year following the year in which the shares of Common Stock under this Award are no longer subject to a “substantial risk of forfeiture” within the meaning of Treasury Regulations Section 1.409A-1(d).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Delivery of the shares pursuant to the provisions of this Section 6 is intended to comply with the requirements for the short-term deferral exemption available under Treasury Regulations Section 1.409A-1(b)(4) and will be construed and administered in such manner.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elects to issue you cash in part or in full satisfaction of the shares of Common Stock issuable upon vesting of your Restricted Stock Units, then the foregoing provisions of this Section 6 will not apply and such cash will be paid to you in a lump sum at any time on after the vesting date of your Restricted Stock Units, but in no event later than the 15th day of the third calendar month of the year following the year in which the shares of Common Stock under the Restricted Stock Units are no longer subject to a “substantial risk of forfeiture” within the meaning of Treasury Regulations Section 1.409A-1(d).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pPr>
      <w:r>
        <w:rPr>
          <w:rFonts w:ascii="Times New Roman" w:hAnsi="Times New Roman"/>
          <w:color w:val="000000"/>
          <w:sz w:val="20"/>
        </w:rPr>
        <w:t>The form of delivery (</w:t>
      </w:r>
      <w:r>
        <w:rPr>
          <w:rFonts w:ascii="Times New Roman" w:hAnsi="Times New Roman"/>
          <w:i/>
          <w:color w:val="000000"/>
          <w:sz w:val="20"/>
        </w:rPr>
        <w:t>e.g.</w:t>
      </w:r>
      <w:r>
        <w:rPr>
          <w:rFonts w:ascii="Times New Roman" w:hAnsi="Times New Roman"/>
          <w:color w:val="000000"/>
          <w:sz w:val="20"/>
        </w:rPr>
        <w:t xml:space="preserve">, a stock certificate or electronic entry evidencing such shares) shall be determined by the Company.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smallCaps/>
          <w:color w:val="000000"/>
          <w:sz w:val="20"/>
        </w:rPr>
        <w:t>Dividends.</w:t>
      </w:r>
      <w:r>
        <w:rPr>
          <w:color w:val="000000"/>
        </w:rPr>
        <w:t xml:space="preserve"> </w:t>
      </w:r>
      <w:r>
        <w:rPr>
          <w:rFonts w:ascii="Times New Roman" w:hAnsi="Times New Roman"/>
          <w:color w:val="000000"/>
          <w:sz w:val="20"/>
        </w:rPr>
        <w:t xml:space="preserve">You shall receive no benefit or adjustment to your Award with respect to any cash dividend, stock dividend or other distribution that does not result from a Capitalization Adjustment.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smallCaps/>
          <w:color w:val="000000"/>
          <w:sz w:val="20"/>
        </w:rPr>
        <w:t>Restrictive Legends.</w:t>
      </w:r>
      <w:r>
        <w:rPr>
          <w:color w:val="000000"/>
        </w:rPr>
        <w:t xml:space="preserve"> </w:t>
      </w:r>
      <w:r>
        <w:rPr>
          <w:rFonts w:ascii="Times New Roman" w:hAnsi="Times New Roman"/>
          <w:color w:val="000000"/>
          <w:sz w:val="20"/>
        </w:rPr>
        <w:t>The shares of Common Stock issued under your Award shall be endorsed with appropriate legends as determined by the Company.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smallCaps/>
          <w:color w:val="000000"/>
          <w:sz w:val="20"/>
        </w:rPr>
        <w:t>Execution of Documents.</w:t>
      </w:r>
      <w:r>
        <w:rPr>
          <w:color w:val="000000"/>
        </w:rPr>
        <w:t xml:space="preserve"> </w:t>
      </w:r>
      <w:r>
        <w:rPr>
          <w:rFonts w:ascii="Times New Roman" w:hAnsi="Times New Roman"/>
          <w:color w:val="000000"/>
          <w:sz w:val="20"/>
        </w:rPr>
        <w:t>You hereby acknowledge and agree that the manner selected by the Company by which 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smallCaps/>
          <w:color w:val="000000"/>
          <w:sz w:val="20"/>
        </w:rPr>
        <w:t>Award not a Service Contract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Nothing in this Agreement (including, but not limited to, the vesting of your Award or the issuance of the shares subject to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The Company has the right to reorganize, sell, spin-out or otherwise restructure one or more of its businesses or Affiliates at any time or from time to time, as it deems appropriate (a “</w:t>
      </w:r>
      <w:r>
        <w:rPr>
          <w:rFonts w:ascii="Times New Roman" w:hAnsi="Times New Roman"/>
          <w:b/>
          <w:i/>
          <w:color w:val="000000"/>
          <w:sz w:val="20"/>
        </w:rPr>
        <w:t>reorganization</w:t>
      </w:r>
      <w:r>
        <w:rPr>
          <w:color w:val="000000"/>
        </w:rPr>
        <w:t>”</w:t>
      </w:r>
      <w:r>
        <w:rPr>
          <w:rFonts w:ascii="Times New Roman" w:hAnsi="Times New Roman"/>
          <w:color w:val="000000"/>
          <w:sz w:val="20"/>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smallCaps/>
          <w:color w:val="000000"/>
          <w:sz w:val="20"/>
        </w:rPr>
        <w:t>Withholding Obligations.</w:t>
      </w:r>
      <w:r>
        <w:rPr>
          <w:smallCaps/>
          <w:color w:val="00000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195" w:name="ole_link5"/>
      <w:bookmarkEnd w:id="195"/>
      <w:r>
        <w:rPr>
          <w:rFonts w:ascii="Times New Roman" w:hAnsi="Times New Roman"/>
          <w:color w:val="000000"/>
          <w:sz w:val="20"/>
        </w:rPr>
        <w:t>On the vesting date, and on or before the date on which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the vesting and settlement of your Award (the “</w:t>
      </w:r>
      <w:r>
        <w:rPr>
          <w:rFonts w:ascii="Times New Roman" w:hAnsi="Times New Roman"/>
          <w:b/>
          <w:i/>
          <w:color w:val="000000"/>
          <w:sz w:val="20"/>
        </w:rPr>
        <w:t>Withholding Taxes</w:t>
      </w:r>
      <w:r>
        <w:rPr>
          <w:color w:val="000000"/>
        </w:rPr>
        <w:t>”</w:t>
      </w:r>
      <w:r>
        <w:rPr>
          <w:rFonts w:ascii="Times New Roman" w:hAnsi="Times New Roman"/>
          <w:color w:val="000000"/>
          <w:sz w:val="20"/>
        </w:rPr>
        <w:t>).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Times New Roman" w:hAnsi="Times New Roman"/>
          <w:b/>
          <w:i/>
          <w:color w:val="000000"/>
          <w:sz w:val="20"/>
        </w:rPr>
        <w:t>FINRA Dealer</w:t>
      </w:r>
      <w:r>
        <w:rPr>
          <w:color w:val="000000"/>
        </w:rPr>
        <w:t>”</w:t>
      </w:r>
      <w:r>
        <w:rPr>
          <w:rFonts w:ascii="Times New Roman" w:hAnsi="Times New Roman"/>
          <w:color w:val="000000"/>
          <w:sz w:val="20"/>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and </w:t>
      </w:r>
      <w:r>
        <w:rPr>
          <w:rFonts w:ascii="Times New Roman" w:hAnsi="Times New Roman"/>
          <w:i/>
          <w:color w:val="000000"/>
          <w:sz w:val="20"/>
        </w:rPr>
        <w:t>provided</w:t>
      </w:r>
      <w:r>
        <w:rPr>
          <w:rFonts w:ascii="Times New Roman" w:hAnsi="Times New Roman"/>
          <w:color w:val="000000"/>
          <w:sz w:val="20"/>
        </w:rPr>
        <w:t xml:space="preserve">, further, that to the extent necessary to qualify for an exemption from application of Section 16(b) of the Exchange Act, if applicable, such share withholding procedure will be subject to the express prior approval of the Company’s Compensation Committee.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tax withholding obligations of the Company and/or any Affiliate are satisfied, the Company shall have no obligation to deliver to you any shares of Common Stock in settlement of any vested portion of your Award.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smallCaps/>
          <w:color w:val="000000"/>
          <w:sz w:val="20"/>
        </w:rPr>
        <w:t>Tax Consequences.</w:t>
      </w:r>
      <w:r>
        <w:rPr>
          <w:color w:val="000000"/>
        </w:rPr>
        <w:t xml:space="preserve"> </w:t>
      </w:r>
      <w:r>
        <w:rPr>
          <w:rFonts w:ascii="Times New Roman" w:hAnsi="Times New Roman"/>
          <w:color w:val="000000"/>
          <w:sz w:val="20"/>
        </w:rPr>
        <w:t xml:space="preserve">The Company has no duty or obligation to minimize the tax consequences to you of this 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smallCaps/>
          <w:color w:val="000000"/>
          <w:sz w:val="20"/>
        </w:rPr>
        <w:t xml:space="preserve">Unsecured Obligation. </w:t>
      </w:r>
      <w:r>
        <w:rPr>
          <w:rFonts w:ascii="Times New Roman" w:hAnsi="Times New Roman"/>
          <w:color w:val="000000"/>
          <w:sz w:val="20"/>
        </w:rPr>
        <w:t xml:space="preserve">Your Award is unfunded, and as a holder of a vested Award, you shall be considered an 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0" w:after="240"/>
        <w:jc w:val="both"/>
        <w:rPr/>
      </w:pPr>
      <w:r>
        <w:rPr>
          <w:rFonts w:ascii="Times New Roman" w:hAnsi="Times New Roman"/>
          <w:b/>
          <w:smallCaps/>
          <w:color w:val="000000"/>
          <w:sz w:val="20"/>
        </w:rPr>
        <w:t>Notices</w:t>
      </w:r>
      <w:r>
        <w:rPr>
          <w:rFonts w:ascii="Times New Roman" w:hAnsi="Times New Roman"/>
          <w:color w:val="000000"/>
          <w:sz w:val="20"/>
        </w:rPr>
        <w:t xml:space="preserve">. Any notice or request required or permitted hereunder shall be given in writing to each of the other parties hereto 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 </w:t>
      </w:r>
    </w:p>
    <w:tbl>
      <w:tblPr>
        <w:tblW w:w="4862" w:type="dxa"/>
        <w:jc w:val="left"/>
        <w:tblInd w:w="0" w:type="dxa"/>
        <w:tblLayout w:type="fixed"/>
        <w:tblCellMar>
          <w:top w:w="28" w:type="dxa"/>
          <w:left w:w="28" w:type="dxa"/>
          <w:bottom w:w="28" w:type="dxa"/>
          <w:right w:w="28" w:type="dxa"/>
        </w:tblCellMar>
      </w:tblPr>
      <w:tblGrid>
        <w:gridCol w:w="1336"/>
        <w:gridCol w:w="3526"/>
      </w:tblGrid>
      <w:tr>
        <w:trPr/>
        <w:tc>
          <w:tcPr>
            <w:tcW w:w="133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Company:</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Fibrogen, Inc.</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Attn: General Counsel</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 Illinois Street</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Francisco, CA 94158</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Participant: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Your address as on file with the Company</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the time notice is given</w:t>
            </w:r>
          </w:p>
        </w:tc>
      </w:tr>
    </w:tbl>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40"/>
        <w:jc w:val="both"/>
        <w:rPr/>
      </w:pPr>
      <w:r>
        <w:rPr>
          <w:rFonts w:ascii="Times New Roman" w:hAnsi="Times New Roman"/>
          <w:b/>
          <w:smallCaps/>
          <w:color w:val="000000"/>
          <w:sz w:val="20"/>
        </w:rPr>
        <w:t>Headings</w:t>
      </w:r>
      <w:r>
        <w:rPr>
          <w:rFonts w:ascii="Times New Roman" w:hAnsi="Times New Roman"/>
          <w:color w:val="000000"/>
          <w:sz w:val="20"/>
        </w:rPr>
        <w:t>. The headings of the Sections in this Agreement are inserted for convenience only and shall not be deemed to constitute a part of this Agreement or to affect the meaning of this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0" w:after="240"/>
        <w:jc w:val="both"/>
        <w:rPr/>
      </w:pPr>
      <w:r>
        <w:rPr>
          <w:rFonts w:ascii="Times New Roman" w:hAnsi="Times New Roman"/>
          <w:b/>
          <w:smallCaps/>
          <w:color w:val="000000"/>
          <w:sz w:val="20"/>
        </w:rPr>
        <w:t>Miscellaneous</w:t>
      </w:r>
      <w:r>
        <w:rPr>
          <w:rFonts w:ascii="Times New Roman" w:hAnsi="Times New Roman"/>
          <w:smallCaps/>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rights and obligations of the Company under your Award shall be transferable by the Company to any one or more persons or entities, and all covenants and agreements hereunder shall inure to the benefit of, and be enforceable by, the Company’s successors and assigns.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agree upon request to execute any further documents or instruments necessary or desirable in the sole determination of the Company to carry out the purposes or intent of your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acknowledge and agree that you have reviewed your Award in its entirety, have had an opportunity to obtain the advice of counsel prior to executing and accepting your Award and fully understand all provisions of your Award.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subject to all applicable laws, rules, and regulations, and to such approvals by any governmental agencies or national securities exchanges as may be required.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0" w:after="240"/>
        <w:jc w:val="both"/>
        <w:rPr/>
      </w:pPr>
      <w:r>
        <w:rPr>
          <w:rFonts w:ascii="Times New Roman" w:hAnsi="Times New Roman"/>
          <w:b/>
          <w:smallCaps/>
          <w:color w:val="000000"/>
          <w:sz w:val="20"/>
        </w:rPr>
        <w:t>Governing Plan Document</w:t>
      </w:r>
      <w:r>
        <w:rPr>
          <w:rFonts w:ascii="Times New Roman" w:hAnsi="Times New Roman"/>
          <w:color w:val="000000"/>
          <w:sz w:val="20"/>
        </w:rPr>
        <w: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0" w:after="240"/>
        <w:jc w:val="both"/>
        <w:rPr/>
      </w:pPr>
      <w:r>
        <w:rPr>
          <w:rFonts w:ascii="Times New Roman" w:hAnsi="Times New Roman"/>
          <w:b/>
          <w:smallCaps/>
          <w:color w:val="000000"/>
          <w:sz w:val="20"/>
        </w:rPr>
        <w:t>Effect on Other Employee Benefit Plans.</w:t>
      </w:r>
      <w:r>
        <w:rPr>
          <w:color w:val="000000"/>
        </w:rPr>
        <w:t xml:space="preserve"> </w:t>
      </w:r>
      <w:r>
        <w:rPr>
          <w:rFonts w:ascii="Times New Roman" w:hAnsi="Times New Roman"/>
          <w:color w:val="000000"/>
          <w:sz w:val="20"/>
        </w:rPr>
        <w:t>The value of the Award subject to this Agreement shall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0" w:after="240"/>
        <w:jc w:val="both"/>
        <w:rPr/>
      </w:pPr>
      <w:r>
        <w:rPr>
          <w:rFonts w:ascii="Times New Roman" w:hAnsi="Times New Roman"/>
          <w:b/>
          <w:smallCaps/>
          <w:color w:val="000000"/>
          <w:sz w:val="20"/>
        </w:rPr>
        <w:t>Choice of Law</w:t>
      </w:r>
      <w:r>
        <w:rPr>
          <w:rFonts w:ascii="Times New Roman" w:hAnsi="Times New Roman"/>
          <w:b/>
          <w:color w:val="000000"/>
          <w:sz w:val="20"/>
        </w:rPr>
        <w:t>.</w:t>
      </w:r>
      <w:r>
        <w:rPr>
          <w:color w:val="000000"/>
        </w:rPr>
        <w:t xml:space="preserve"> </w:t>
      </w:r>
      <w:r>
        <w:rPr>
          <w:rFonts w:ascii="Times New Roman" w:hAnsi="Times New Roman"/>
          <w:color w:val="000000"/>
          <w:sz w:val="20"/>
        </w:rPr>
        <w:t>The interpretation, performance and enforcement of this Agreement shall be governed by the law of the State of Delaware without regard to that state’s conflicts of laws rules.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0" w:after="240"/>
        <w:jc w:val="both"/>
        <w:rPr/>
      </w:pPr>
      <w:r>
        <w:rPr>
          <w:rFonts w:ascii="Times New Roman" w:hAnsi="Times New Roman"/>
          <w:b/>
          <w:smallCaps/>
          <w:color w:val="000000"/>
          <w:sz w:val="20"/>
        </w:rPr>
        <w:t>Severability</w:t>
      </w:r>
      <w:r>
        <w:rPr>
          <w:rFonts w:ascii="Times New Roman" w:hAnsi="Times New Roman"/>
          <w:smallCaps/>
          <w:color w:val="000000"/>
          <w:sz w:val="20"/>
        </w:rPr>
        <w:t>.</w:t>
      </w:r>
      <w:r>
        <w:rPr>
          <w:color w:val="000000"/>
        </w:rPr>
        <w:t xml:space="preserve"> </w:t>
      </w:r>
      <w:r>
        <w:rPr>
          <w:rFonts w:ascii="Times New Roman" w:hAnsi="Times New Roman"/>
          <w:color w:val="000000"/>
          <w:sz w:val="20"/>
        </w:rPr>
        <w:t>If all or any part of this Agreement or the Plan is declared by any court or governmental 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both"/>
        <w:rPr/>
      </w:pPr>
      <w:r>
        <w:rPr>
          <w:rFonts w:ascii="Times New Roman" w:hAnsi="Times New Roman"/>
          <w:b/>
          <w:smallCaps/>
          <w:color w:val="000000"/>
          <w:sz w:val="20"/>
        </w:rPr>
        <w:t>Other Documents</w:t>
      </w:r>
      <w:r>
        <w:rPr>
          <w:rFonts w:ascii="Times New Roman" w:hAnsi="Times New Roman"/>
          <w:color w:val="000000"/>
          <w:sz w:val="20"/>
        </w:rPr>
        <w:t>. You hereby acknowledge receipt or the right to receive a document providing the information required by Rule 428(b)(1) promulgated under the Securities Act. In addition, you acknowledge receipt of the Company’s Policy.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0" w:after="240"/>
        <w:jc w:val="both"/>
        <w:rPr/>
      </w:pPr>
      <w:r>
        <w:rPr>
          <w:rFonts w:ascii="Times New Roman" w:hAnsi="Times New Roman"/>
          <w:b/>
          <w:smallCaps/>
          <w:color w:val="000000"/>
          <w:sz w:val="20"/>
        </w:rPr>
        <w:t>Amendment.</w:t>
      </w:r>
      <w:r>
        <w:rPr>
          <w:color w:val="000000"/>
        </w:rPr>
        <w:t xml:space="preserve"> </w:t>
      </w:r>
      <w:r>
        <w:rPr>
          <w:rFonts w:ascii="Times New Roman" w:hAnsi="Times New Roman"/>
          <w:color w:val="000000"/>
          <w:sz w:val="20"/>
        </w:rPr>
        <w:t xml:space="preserve">This Agreement may not be modified, amended or terminated except by an instrument in writing, 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0" w:after="240"/>
        <w:jc w:val="both"/>
        <w:rPr/>
      </w:pPr>
      <w:r>
        <w:rPr>
          <w:rFonts w:ascii="Times New Roman" w:hAnsi="Times New Roman"/>
          <w:b/>
          <w:smallCaps/>
          <w:color w:val="000000"/>
          <w:sz w:val="20"/>
        </w:rPr>
        <w:t>Compliance with Section 409A of the Code</w:t>
      </w:r>
      <w:r>
        <w:rPr>
          <w:rFonts w:ascii="Times New Roman" w:hAnsi="Times New Roman"/>
          <w:i/>
          <w:color w:val="000000"/>
          <w:sz w:val="20"/>
        </w:rPr>
        <w:t>.</w:t>
      </w:r>
      <w:r>
        <w:rPr>
          <w:color w:val="000000"/>
        </w:rPr>
        <w:t xml:space="preserve"> </w:t>
      </w:r>
      <w:r>
        <w:rPr>
          <w:rFonts w:ascii="Times New Roman" w:hAnsi="Times New Roman"/>
          <w:color w:val="000000"/>
          <w:sz w:val="20"/>
        </w:rPr>
        <w:t>This Award is intended to comply with the “short-term deferral” 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(or the date of your death, if earlier),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r>
        <w:rPr>
          <w:smallCaps/>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 * * *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Restricted Stock Unit Award Agreement shall be deemed to be signed by the Company and the Participant upon the physical or digital signing by the Participant of the Restricted Stock Unit Grant Notice to which it is attached.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196" w:name="fgen-ex10_5.htm"/>
      <w:bookmarkStart w:id="197" w:name="ksfgenex10_5"/>
      <w:bookmarkEnd w:id="196"/>
      <w:bookmarkEnd w:id="197"/>
      <w:r>
        <w:rPr/>
        <w:t> </w:t>
      </w:r>
      <w:r>
        <w:br w:type="page"/>
      </w:r>
    </w:p>
    <w:p>
      <w:pPr>
        <w:pStyle w:val="TextBody"/>
        <w:bidi w:val="0"/>
        <w:spacing w:before="0" w:after="240"/>
        <w:jc w:val="right"/>
        <w:rPr>
          <w:rFonts w:ascii="Times New Roman" w:hAnsi="Times New Roman"/>
          <w:b/>
          <w:caps/>
          <w:color w:val="000000"/>
          <w:sz w:val="20"/>
        </w:rPr>
      </w:pPr>
      <w:r>
        <w:rPr>
          <w:rFonts w:ascii="Times New Roman" w:hAnsi="Times New Roman"/>
          <w:b/>
          <w:caps/>
          <w:color w:val="000000"/>
          <w:sz w:val="20"/>
        </w:rPr>
        <w:t>Exhibit 10.5</w:t>
      </w:r>
    </w:p>
    <w:p>
      <w:pPr>
        <w:pStyle w:val="TextBody"/>
        <w:bidi w:val="0"/>
        <w:spacing w:before="0" w:after="480"/>
        <w:jc w:val="center"/>
        <w:rPr>
          <w:rFonts w:ascii="Times New Roman" w:hAnsi="Times New Roman"/>
          <w:b/>
          <w:caps/>
          <w:color w:val="000000"/>
          <w:sz w:val="20"/>
        </w:rPr>
      </w:pPr>
      <w:r>
        <w:rPr>
          <w:rFonts w:ascii="Times New Roman" w:hAnsi="Times New Roman"/>
          <w:b/>
          <w:caps/>
          <w:color w:val="000000"/>
          <w:sz w:val="20"/>
        </w:rPr>
        <w:t>FibroGen, Inc.</w:t>
        <w:br/>
        <w:t>Stock Option Grant Notice</w:t>
        <w:br/>
        <w:t>(2024 Equity Incentive Plan)</w:t>
      </w:r>
    </w:p>
    <w:p>
      <w:pPr>
        <w:pStyle w:val="TextBody"/>
        <w:bidi w:val="0"/>
        <w:spacing w:before="0" w:after="240"/>
        <w:jc w:val="both"/>
        <w:rPr>
          <w:rFonts w:ascii="Times New Roman" w:hAnsi="Times New Roman"/>
          <w:sz w:val="20"/>
        </w:rPr>
      </w:pPr>
      <w:r>
        <w:rPr>
          <w:rFonts w:ascii="Times New Roman" w:hAnsi="Times New Roman"/>
          <w:color w:val="000000"/>
          <w:sz w:val="20"/>
        </w:rPr>
        <w:t>FibroGen, Inc. (the “</w:t>
      </w:r>
      <w:r>
        <w:rPr>
          <w:rFonts w:ascii="Times New Roman" w:hAnsi="Times New Roman"/>
          <w:b/>
          <w:i/>
          <w:color w:val="000000"/>
          <w:sz w:val="20"/>
        </w:rPr>
        <w:t>Company</w:t>
      </w:r>
      <w:r>
        <w:rPr>
          <w:rFonts w:ascii="Times New Roman" w:hAnsi="Times New Roman"/>
          <w:color w:val="000000"/>
          <w:sz w:val="20"/>
        </w:rPr>
        <w:t>”), pursuant to its 2024 Equity Incentive Plan (the “</w:t>
      </w:r>
      <w:r>
        <w:rPr>
          <w:rFonts w:ascii="Times New Roman" w:hAnsi="Times New Roman"/>
          <w:b/>
          <w:i/>
          <w:color w:val="000000"/>
          <w:sz w:val="20"/>
        </w:rPr>
        <w:t>Plan</w:t>
      </w:r>
      <w:r>
        <w:rPr>
          <w:rFonts w:ascii="Times New Roman" w:hAnsi="Times New Roman"/>
          <w:color w:val="000000"/>
          <w:sz w:val="20"/>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tbl>
      <w:tblPr>
        <w:tblW w:w="7967" w:type="dxa"/>
        <w:jc w:val="left"/>
        <w:tblInd w:w="0" w:type="dxa"/>
        <w:tblLayout w:type="fixed"/>
        <w:tblCellMar>
          <w:top w:w="28" w:type="dxa"/>
          <w:left w:w="28" w:type="dxa"/>
          <w:bottom w:w="28" w:type="dxa"/>
          <w:right w:w="28" w:type="dxa"/>
        </w:tblCellMar>
      </w:tblPr>
      <w:tblGrid>
        <w:gridCol w:w="3091"/>
        <w:gridCol w:w="4876"/>
      </w:tblGrid>
      <w:tr>
        <w:trPr/>
        <w:tc>
          <w:tcPr>
            <w:tcW w:w="3091"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Optionholder:</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%%FIRST_NAME_MIDDLE_NAME_LAST_NAME%-%</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ID:</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%%EMPLOYEE_IDENTIFIER%-%</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Date of Grant:</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%%OPTION_DATE,’MONTH DD, YYYY’%-%</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Grant Number:</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%%OPTION_NUMBER%-%</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Option Type:</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%%OPTION_TYPE%-%</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Vesting Commencement Date:</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%%VEST_BASE_DATE,’MONTH DD, YYYY’%-%</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Number of Shares Subject to Option:</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%%TOTAL_SHARES_GRANTED,’999,999,999’%-%</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Exercise Price (Per Share):</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%%OPTION_PRICE,’$999,999,999.99’%-%</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Total Exercise Price:</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%%TOTAL_OPTION_PRICE,’$999,999,999.99’%-%</w:t>
            </w:r>
          </w:p>
        </w:tc>
      </w:tr>
      <w:tr>
        <w:trPr/>
        <w:tc>
          <w:tcPr>
            <w:tcW w:w="3091"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Expiration Date:</w:t>
            </w:r>
          </w:p>
        </w:tc>
        <w:tc>
          <w:tcPr>
            <w:tcW w:w="487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%%EXPIRE_DATE_PERIOD1,’MONTH DD, YYYY’%-%</w:t>
            </w:r>
          </w:p>
        </w:tc>
      </w:tr>
    </w:tbl>
    <w:p>
      <w:pPr>
        <w:pStyle w:val="TextBody"/>
        <w:bidi w:val="0"/>
        <w:spacing w:before="0" w:after="240"/>
        <w:jc w:val="both"/>
        <w:rPr/>
      </w:pPr>
      <w:r>
        <w:rPr/>
        <w:t> </w:t>
      </w:r>
    </w:p>
    <w:tbl>
      <w:tblPr>
        <w:tblW w:w="10205" w:type="dxa"/>
        <w:jc w:val="left"/>
        <w:tblInd w:w="0" w:type="dxa"/>
        <w:tblLayout w:type="fixed"/>
        <w:tblCellMar>
          <w:top w:w="28" w:type="dxa"/>
          <w:left w:w="28" w:type="dxa"/>
          <w:bottom w:w="28" w:type="dxa"/>
          <w:right w:w="28" w:type="dxa"/>
        </w:tblCellMar>
      </w:tblPr>
      <w:tblGrid>
        <w:gridCol w:w="1058"/>
        <w:gridCol w:w="9147"/>
      </w:tblGrid>
      <w:tr>
        <w:trPr/>
        <w:tc>
          <w:tcPr>
            <w:tcW w:w="1058" w:type="dxa"/>
            <w:tcBorders/>
            <w:vAlign w:val="center"/>
          </w:tcPr>
          <w:p>
            <w:pPr>
              <w:pStyle w:val="TableContents"/>
              <w:bidi w:val="0"/>
              <w:spacing w:before="0" w:after="283"/>
              <w:jc w:val="left"/>
              <w:rPr>
                <w:sz w:val="4"/>
                <w:szCs w:val="4"/>
              </w:rPr>
            </w:pPr>
            <w:r>
              <w:rPr>
                <w:sz w:val="4"/>
                <w:szCs w:val="4"/>
              </w:rPr>
            </w:r>
          </w:p>
        </w:tc>
        <w:tc>
          <w:tcPr>
            <w:tcW w:w="9147" w:type="dxa"/>
            <w:tcBorders/>
            <w:vAlign w:val="center"/>
          </w:tcPr>
          <w:p>
            <w:pPr>
              <w:pStyle w:val="TableContents"/>
              <w:bidi w:val="0"/>
              <w:spacing w:before="0" w:after="283"/>
              <w:jc w:val="left"/>
              <w:rPr>
                <w:sz w:val="4"/>
                <w:szCs w:val="4"/>
              </w:rPr>
            </w:pPr>
            <w:r>
              <w:rPr>
                <w:sz w:val="4"/>
                <w:szCs w:val="4"/>
              </w:rPr>
            </w:r>
          </w:p>
        </w:tc>
      </w:tr>
      <w:tr>
        <w:trPr/>
        <w:tc>
          <w:tcPr>
            <w:tcW w:w="105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color w:val="000000"/>
                <w:sz w:val="20"/>
              </w:rPr>
              <w:t>Vesting Schedule</w:t>
            </w:r>
            <w:r>
              <w:rPr>
                <w:rFonts w:ascii="Times New Roman" w:hAnsi="Times New Roman"/>
                <w:color w:val="000000"/>
                <w:sz w:val="20"/>
              </w:rPr>
              <w:t>:</w:t>
            </w:r>
          </w:p>
        </w:tc>
        <w:tc>
          <w:tcPr>
            <w:tcW w:w="914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Subject to Section 9 of the Option Agreement, one-fourth (1/4th) of the shares vest one year after the Vesting Commencement Date; the balance of the shares vest in a series of twelve (12) successive substantially equal quarterly installments measured from the first anniversary of the Vesting Commencement Date, subject to Optionholder’s Continuous Service as of each such vesting date.</w:t>
            </w:r>
          </w:p>
        </w:tc>
      </w:tr>
    </w:tbl>
    <w:p>
      <w:pPr>
        <w:pStyle w:val="TextBody"/>
        <w:bidi w:val="0"/>
        <w:spacing w:before="0" w:after="240"/>
        <w:jc w:val="both"/>
        <w:rPr>
          <w:rFonts w:ascii="Times New Roman" w:hAnsi="Times New Roman"/>
          <w:sz w:val="20"/>
        </w:rPr>
      </w:pPr>
      <w:r>
        <w:rPr>
          <w:rFonts w:ascii="Times New Roman" w:hAnsi="Times New Roman"/>
          <w:b/>
          <w:color w:val="000000"/>
          <w:sz w:val="20"/>
        </w:rPr>
        <w:t xml:space="preserve">Additional Terms/Acknowledgements: </w:t>
      </w:r>
      <w:r>
        <w:rPr>
          <w:rFonts w:ascii="Times New Roman" w:hAnsi="Times New Roman"/>
          <w:color w:val="000000"/>
          <w:sz w:val="20"/>
        </w:rPr>
        <w:t>Optionholder acknowledges receipt of, and understands and agrees to, this Stock 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accepting this option, Optionholder consents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FibroGen, Inc.</w:t>
      </w:r>
    </w:p>
    <w:p>
      <w:pPr>
        <w:pStyle w:val="TextBody"/>
        <w:bidi w:val="0"/>
        <w:jc w:val="both"/>
        <w:rPr/>
      </w:pPr>
      <w:r>
        <w:rPr/>
        <w:t> </w:t>
      </w:r>
    </w:p>
    <w:tbl>
      <w:tblPr>
        <w:tblW w:w="2728" w:type="dxa"/>
        <w:jc w:val="left"/>
        <w:tblInd w:w="0" w:type="dxa"/>
        <w:tblLayout w:type="fixed"/>
        <w:tblCellMar>
          <w:top w:w="28" w:type="dxa"/>
          <w:left w:w="28" w:type="dxa"/>
          <w:bottom w:w="28" w:type="dxa"/>
          <w:right w:w="28" w:type="dxa"/>
        </w:tblCellMar>
      </w:tblPr>
      <w:tblGrid>
        <w:gridCol w:w="571"/>
        <w:gridCol w:w="1966"/>
        <w:gridCol w:w="191"/>
      </w:tblGrid>
      <w:tr>
        <w:trPr/>
        <w:tc>
          <w:tcPr>
            <w:tcW w:w="57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Juan Graham</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0"/>
        </w:rPr>
        <w:t>Attachments</w:t>
      </w:r>
      <w:r>
        <w:rPr>
          <w:rFonts w:ascii="Times New Roman" w:hAnsi="Times New Roman"/>
          <w:color w:val="000000"/>
          <w:sz w:val="20"/>
        </w:rPr>
        <w:t>: 2024 Equity Incentive Plan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smallCaps/>
          <w:color w:val="000000"/>
          <w:sz w:val="20"/>
        </w:rPr>
      </w:pPr>
      <w:r>
        <w:rPr>
          <w:rFonts w:ascii="Times New Roman" w:hAnsi="Times New Roman"/>
          <w:b/>
          <w:smallCaps/>
          <w:color w:val="000000"/>
          <w:sz w:val="20"/>
        </w:rPr>
        <w:t>FibroGen, Inc.</w:t>
        <w:br/>
        <w:t>2024 Equity Incentive Plan</w:t>
      </w:r>
    </w:p>
    <w:p>
      <w:pPr>
        <w:pStyle w:val="TextBody"/>
        <w:bidi w:val="0"/>
        <w:spacing w:before="0" w:after="480"/>
        <w:jc w:val="center"/>
        <w:rPr>
          <w:rFonts w:ascii="Times New Roman" w:hAnsi="Times New Roman"/>
          <w:b/>
          <w:smallCaps/>
          <w:color w:val="000000"/>
          <w:sz w:val="20"/>
        </w:rPr>
      </w:pPr>
      <w:r>
        <w:rPr>
          <w:rFonts w:ascii="Times New Roman" w:hAnsi="Times New Roman"/>
          <w:b/>
          <w:smallCaps/>
          <w:color w:val="000000"/>
          <w:sz w:val="20"/>
        </w:rPr>
        <w:t>Option Agreement</w:t>
        <w:br/>
        <w:t>(Incentive Stock Option or Nonstatutory Stock Option)</w:t>
      </w:r>
    </w:p>
    <w:p>
      <w:pPr>
        <w:pStyle w:val="TextBody"/>
        <w:bidi w:val="0"/>
        <w:spacing w:before="0" w:after="240"/>
        <w:jc w:val="both"/>
        <w:rPr>
          <w:rFonts w:ascii="Times New Roman" w:hAnsi="Times New Roman"/>
          <w:sz w:val="20"/>
        </w:rPr>
      </w:pPr>
      <w:r>
        <w:rPr>
          <w:rFonts w:ascii="Times New Roman" w:hAnsi="Times New Roman"/>
          <w:color w:val="000000"/>
          <w:sz w:val="20"/>
        </w:rPr>
        <w:t>Pursuant to your Stock Option Grant Notice (“</w:t>
      </w:r>
      <w:r>
        <w:rPr>
          <w:rFonts w:ascii="Times New Roman" w:hAnsi="Times New Roman"/>
          <w:b/>
          <w:i/>
          <w:color w:val="000000"/>
          <w:sz w:val="20"/>
        </w:rPr>
        <w:t>Grant Notice</w:t>
      </w:r>
      <w:r>
        <w:rPr>
          <w:rFonts w:ascii="Times New Roman" w:hAnsi="Times New Roman"/>
          <w:color w:val="000000"/>
          <w:sz w:val="20"/>
        </w:rPr>
        <w:t>”) and this Option Agreement, FibroGen, Inc. (the “</w:t>
      </w:r>
      <w:r>
        <w:rPr>
          <w:rFonts w:ascii="Times New Roman" w:hAnsi="Times New Roman"/>
          <w:b/>
          <w:i/>
          <w:color w:val="000000"/>
          <w:sz w:val="20"/>
        </w:rPr>
        <w:t>Company</w:t>
      </w:r>
      <w:r>
        <w:rPr>
          <w:rFonts w:ascii="Times New Roman" w:hAnsi="Times New Roman"/>
          <w:color w:val="000000"/>
          <w:sz w:val="20"/>
        </w:rPr>
        <w:t>”) has granted you an option under its 2024 Equity Incentive Plan (the “</w:t>
      </w:r>
      <w:r>
        <w:rPr>
          <w:rFonts w:ascii="Times New Roman" w:hAnsi="Times New Roman"/>
          <w:b/>
          <w:i/>
          <w:color w:val="000000"/>
          <w:sz w:val="20"/>
        </w:rPr>
        <w:t>Plan</w:t>
      </w:r>
      <w:r>
        <w:rPr>
          <w:rFonts w:ascii="Times New Roman" w:hAnsi="Times New Roman"/>
          <w:color w:val="000000"/>
          <w:sz w:val="20"/>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hAnsi="Times New Roman"/>
          <w:b/>
          <w:i/>
          <w:color w:val="000000"/>
          <w:sz w:val="20"/>
        </w:rPr>
        <w:t>Date of Grant</w:t>
      </w:r>
      <w:r>
        <w:rPr>
          <w:rFonts w:ascii="Times New Roman" w:hAnsi="Times New Roman"/>
          <w:color w:val="000000"/>
          <w:sz w:val="20"/>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details of your option, in addition to those set forth in the Grant Notice and the Plan, are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color w:val="000000"/>
          <w:sz w:val="20"/>
        </w:rPr>
        <w:t xml:space="preserve">VESTING. </w:t>
      </w:r>
      <w:r>
        <w:rPr>
          <w:rFonts w:ascii="Times New Roman" w:hAnsi="Times New Roman"/>
          <w:color w:val="000000"/>
          <w:sz w:val="20"/>
        </w:rPr>
        <w:t>Subject to the provisions contained herein, your option will vest as provided in your Grant Notice. Vesting will cease upon the termination of your Continuous Service.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smallCaps/>
          <w:color w:val="000000"/>
          <w:sz w:val="20"/>
        </w:rPr>
        <w:t xml:space="preserve">Number of Shares and Exercise Price. </w:t>
      </w:r>
      <w:r>
        <w:rPr>
          <w:rFonts w:ascii="Times New Roman" w:hAnsi="Times New Roman"/>
          <w:color w:val="000000"/>
          <w:sz w:val="20"/>
        </w:rPr>
        <w:t>The number of shares of Common Stock subject to your option and your exercise price per share in your Grant Notice will be adjusted for Capitalization Adjustments.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smallCaps/>
          <w:color w:val="000000"/>
          <w:sz w:val="20"/>
        </w:rPr>
        <w:t xml:space="preserve">Exercise Restriction for Non-Exempt Employees. </w:t>
      </w:r>
      <w:r>
        <w:rPr>
          <w:rFonts w:ascii="Times New Roman" w:hAnsi="Times New Roman"/>
          <w:color w:val="000000"/>
          <w:sz w:val="20"/>
        </w:rPr>
        <w:t>If you are an Employee eligible for overtime compensation under the Fair Labor Standards Act of 1938, as amended (that is, a “</w:t>
      </w:r>
      <w:r>
        <w:rPr>
          <w:rFonts w:ascii="Times New Roman" w:hAnsi="Times New Roman"/>
          <w:b/>
          <w:i/>
          <w:color w:val="000000"/>
          <w:sz w:val="20"/>
        </w:rPr>
        <w:t>Non-Exempt Employee</w:t>
      </w:r>
      <w:r>
        <w:rPr>
          <w:color w:val="000000"/>
        </w:rPr>
        <w:t>”</w:t>
      </w:r>
      <w:r>
        <w:rPr>
          <w:rFonts w:ascii="Times New Roman" w:hAnsi="Times New Roman"/>
          <w:color w:val="000000"/>
          <w:sz w:val="20"/>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smallCaps/>
          <w:color w:val="000000"/>
          <w:sz w:val="20"/>
        </w:rPr>
        <w:t xml:space="preserve">Exercise prior to Vesting (“Early Exercise”). </w:t>
      </w:r>
      <w:r>
        <w:rPr>
          <w:rFonts w:ascii="Times New Roman" w:hAnsi="Times New Roman"/>
          <w:color w:val="000000"/>
          <w:sz w:val="20"/>
        </w:rPr>
        <w:t>If permitted in your Grant Notice (</w:t>
      </w:r>
      <w:r>
        <w:rPr>
          <w:rFonts w:ascii="Times New Roman" w:hAnsi="Times New Roman"/>
          <w:i/>
          <w:color w:val="000000"/>
          <w:sz w:val="20"/>
        </w:rPr>
        <w:t>i.e.</w:t>
      </w:r>
      <w:r>
        <w:rPr>
          <w:rFonts w:ascii="Times New Roman" w:hAnsi="Times New Roman"/>
          <w:color w:val="000000"/>
          <w:sz w:val="20"/>
        </w:rPr>
        <w:t xml:space="preserve">, the “Exercise 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partial exercise of your option will be deemed to cover first vested shares of Common Stock and then the earliest vesting installment of unvested shares of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shares of Common Stock so purchased from installments that have not vested as of the date of exercise will be subject to the purchase option in favor of the Company as described in the Company’s form of Early Exercise Stock Purchase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will enter into the Company’s form of Early Exercise Stock Purchase Agreement with a vesting schedule that will result in the same vesting as if no early exercise had occurred;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smallCaps/>
          <w:color w:val="000000"/>
          <w:sz w:val="20"/>
        </w:rPr>
        <w:t>Method of Payment</w:t>
      </w:r>
      <w:r>
        <w:rPr>
          <w:rFonts w:ascii="Times New Roman" w:hAnsi="Times New Roman"/>
          <w:b/>
          <w:color w:val="000000"/>
          <w:sz w:val="20"/>
        </w:rPr>
        <w:t xml:space="preserve">. </w:t>
      </w:r>
      <w:r>
        <w:rPr>
          <w:rFonts w:ascii="Times New Roman" w:hAnsi="Times New Roman"/>
          <w:color w:val="000000"/>
          <w:sz w:val="20"/>
        </w:rPr>
        <w:t>You must pay the full amount of the exercise price for the shares you wish to exercise. You may pay the exercise price in cash or by check, bank draft or money order payable to the Company or in any other manner permitted by your Grant Notice, which may include one or more of the following: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smallCaps/>
          <w:color w:val="000000"/>
          <w:sz w:val="20"/>
        </w:rPr>
        <w:t xml:space="preserve">Whole Shares. </w:t>
      </w:r>
      <w:r>
        <w:rPr>
          <w:rFonts w:ascii="Times New Roman" w:hAnsi="Times New Roman"/>
          <w:color w:val="000000"/>
          <w:sz w:val="20"/>
        </w:rPr>
        <w:t>You may exercise your option only for whole shares of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smallCaps/>
          <w:color w:val="000000"/>
          <w:sz w:val="20"/>
        </w:rPr>
        <w:t xml:space="preserve">Securities Law Compliance. </w:t>
      </w:r>
      <w:r>
        <w:rPr>
          <w:rFonts w:ascii="Times New Roman" w:hAnsi="Times New Roman"/>
          <w:color w:val="000000"/>
          <w:sz w:val="20"/>
        </w:rPr>
        <w:t>In no event may you exercise your option unless the shares of Common Stock 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smallCaps/>
          <w:color w:val="000000"/>
          <w:sz w:val="20"/>
        </w:rPr>
        <w:t>Term</w:t>
      </w:r>
      <w:r>
        <w:rPr>
          <w:rFonts w:ascii="Times New Roman" w:hAnsi="Times New Roman"/>
          <w:b/>
          <w:color w:val="000000"/>
          <w:sz w:val="20"/>
        </w:rPr>
        <w:t xml:space="preserve">. </w:t>
      </w:r>
      <w:r>
        <w:rPr>
          <w:rFonts w:ascii="Times New Roman" w:hAnsi="Times New Roman"/>
          <w:color w:val="000000"/>
          <w:sz w:val="20"/>
        </w:rPr>
        <w:t>You may not exercise your option before the Date of Grant or after the expiration of the option’s term. The term of your option expires, subject to the provisions of Section 5(h) of the Plan, upon the earliest of the following: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immediately upon the date on which the event giving rise to your termination of Continuous Service for Cause occurs (or, if required by law, the date of termination of Continuous Service for Cause);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 xml:space="preserve">three (3) months after the termination of your Continuous Service for any reason other than Cause, your Disability or your death (except as otherwise provided in Section 8(d) below);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 w:hAnsi="Times New Roman"/>
          <w:i/>
          <w:color w:val="000000"/>
          <w:sz w:val="20"/>
        </w:rPr>
        <w:t>provided further</w:t>
      </w:r>
      <w:r>
        <w:rPr>
          <w:rFonts w:ascii="Times New Roman" w:hAnsi="Times New Roman"/>
          <w:color w:val="000000"/>
          <w:sz w:val="20"/>
        </w:rPr>
        <w:t>,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twelve (12) months after the termination of your Continuous Service due to your Disability (except as otherwise provided in Section 8(d)) below;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eighteen (18) months after your death if you die either during your Continuous Service or within three (3) months after your Continuous Service terminates for any reason other than Cause or Disability;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Expiration Date indicated in your Grant Notice;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day before the tenth (10th) anniversary of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Vesting Upon a Change in Control.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a Change in Control (as defined in the Plan, except as set forth in Section 9(c) below), if your option is assumed, continued or otherwise substituted in the Change in Control, and your employment is involuntarily terminated by the Company or its successor corporation without Cause (and other than due to your death or disability) within twelve (12) months following the consummation of the Change in Control, or if you terminate your employment due to a Constructive Termination (as defined below) within twelve (12) months following the consummation of the Change in Control, the vesting and exercisability of the unvested portion of your option will accelerate in full on the date of your termination. Notwithstanding the foregoing, in the event of a Change in Control, if your option is not assumed, continued or otherwise substituted in the Change in Control transaction, the unvested portion of your option will vest and become exercisable as of immediately prior to the consummation of the Change in Control.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color w:val="000000"/>
          <w:sz w:val="20"/>
        </w:rPr>
        <w:t>For purposes of this Agreement, “</w:t>
      </w:r>
      <w:r>
        <w:rPr>
          <w:rFonts w:ascii="Times New Roman" w:hAnsi="Times New Roman"/>
          <w:b/>
          <w:i/>
          <w:color w:val="000000"/>
          <w:sz w:val="20"/>
        </w:rPr>
        <w:t>Constructive Termination</w:t>
      </w:r>
      <w:r>
        <w:rPr>
          <w:color w:val="000000"/>
        </w:rPr>
        <w:t xml:space="preserve">” </w:t>
      </w:r>
      <w:r>
        <w:rPr>
          <w:rFonts w:ascii="Times New Roman" w:hAnsi="Times New Roman"/>
          <w:color w:val="000000"/>
          <w:sz w:val="20"/>
        </w:rPr>
        <w:t>means your termination of employment following the occurrence, without your written consent, of any one of the following events: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substantial reduction in your duties or responsibilities (and not simply a change in title or reporting relationships) in effect immediately prior to the effective date of the Change in Control;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it shall not be a “Constructive Termination” if the Company is retained as a separate legal entity or business unit following the effective date of the Change in Control and you hold the same position in such legal entity or business unit as you held before the effective date of the Change in Control;</w:t>
      </w:r>
    </w:p>
    <w:p>
      <w:pPr>
        <w:pStyle w:val="TextBody"/>
        <w:bidi w:val="0"/>
        <w:spacing w:before="0" w:after="240"/>
        <w:jc w:val="both"/>
        <w:rPr>
          <w:rFonts w:ascii="Times New Roman" w:hAnsi="Times New Roman"/>
          <w:sz w:val="20"/>
        </w:rPr>
      </w:pPr>
      <w:r>
        <w:rPr>
          <w:rFonts w:ascii="Times New Roman" w:hAnsi="Times New Roman"/>
          <w:color w:val="000000"/>
          <w:sz w:val="20"/>
        </w:rPr>
        <w:t>a material reduction by the Company (or its successor corporation) in your annual base salary, as in effect on the effective date of the Change in Control or as increased thereafter; any failure by the Company (or its successor corporation) to continue in effect any benefit plan or program, including incentive plans or plans with respect to the receipt of securities of the Company, in which you were participating immediately prior to the effective date of the Change in Control (hereinafter referred to as “</w:t>
      </w:r>
      <w:r>
        <w:rPr>
          <w:rFonts w:ascii="Times New Roman" w:hAnsi="Times New Roman"/>
          <w:b/>
          <w:i/>
          <w:color w:val="000000"/>
          <w:sz w:val="20"/>
        </w:rPr>
        <w:t>Benefit Plans</w:t>
      </w:r>
      <w:r>
        <w:rPr>
          <w:rFonts w:ascii="Times New Roman" w:hAnsi="Times New Roman"/>
          <w:color w:val="000000"/>
          <w:sz w:val="20"/>
        </w:rPr>
        <w:t>”), or the taking of any action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by the Company (or its successor corporation) that would adversely affect your participation in or reduce your benefits under the Benefit Plans or deprive you of any fringe benefit that you enjoyed immediately prior to the effective date of the Change in Control;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 Constructive Termination shall not be deemed to have occurred if the Company (or its successor corporation) provides for your participation in benefit plans and programs that, taken as a whole, are comparable to the Benefit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relocation of your business office location more than fifty (50) miles from the location at which you performed your duties as of the effective date of the Change in Control, except for required travel by you on the Company’s (or its successor corporation’s) business to an extent substantially consistent with your business travel obligations prior to the effective date of the Change in Control;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material breach by the Company (or its successor corporation) of any provision of any material agreement between you and the Company concerning the terms and conditions of your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Agreement, notwithstanding anything to the contrary contained in the Plan, the term “Change in Control” shall be defined as in the Plan, except that the term shall not include the implementation of anti-takeover measures, including, without limitation, a recapitalization or reorganization of the Company’s capital structure, whether by merger, amendment of the Company’s certificate of incorporation or certificate(s) of designations, or otherwise, solely for the purposes of the implementation of a dual class stock structure, in which one class of securities has greater voting power on matters involving a change of control and other related issues, irrespective of (i) whether such anti-takeover measure includes a voting agreement or a proxy with respect to the Company’s shares; or (ii) whether such recapitalization, reorganization or anti-takeover measure results in a change in Ownership of greater than fifty percent (50%) of the total voting power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smallCaps/>
          <w:color w:val="000000"/>
          <w:sz w:val="20"/>
        </w:rPr>
        <w:t>Exercise</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smallCaps/>
          <w:color w:val="000000"/>
          <w:sz w:val="20"/>
        </w:rPr>
        <w:t xml:space="preserve">Transferability. </w:t>
      </w:r>
      <w:r>
        <w:rPr>
          <w:rFonts w:ascii="Times New Roman" w:hAnsi="Times New Roman"/>
          <w:color w:val="000000"/>
          <w:sz w:val="20"/>
        </w:rPr>
        <w:t>Except as otherwise provided in this Section 11, your option is not transferable, except by will or by the laws of descent and distribution, and is exercisable during your life only by you.</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b/>
          <w:color w:val="000000"/>
          <w:sz w:val="20"/>
        </w:rPr>
        <w:t xml:space="preserve">Certain Trusts. </w:t>
      </w:r>
      <w:r>
        <w:rPr>
          <w:rFonts w:ascii="Times New Roman" w:hAnsi="Times New Roman"/>
          <w:color w:val="000000"/>
          <w:sz w:val="20"/>
        </w:rPr>
        <w:t>Upon receiving written permission from the Board or its duly authorized 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pPr>
      <w:r>
        <w:rPr>
          <w:rFonts w:ascii="Times New Roman" w:hAnsi="Times New Roman"/>
          <w:b/>
          <w:color w:val="000000"/>
          <w:sz w:val="20"/>
        </w:rPr>
        <w:t xml:space="preserve">Domestic Relations Orders. </w:t>
      </w:r>
      <w:r>
        <w:rPr>
          <w:rFonts w:ascii="Times New Roman" w:hAnsi="Times New Roman"/>
          <w:color w:val="000000"/>
          <w:sz w:val="20"/>
        </w:rPr>
        <w:t>Upon receiving written permission from the Board or its 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pPr>
      <w:r>
        <w:rPr>
          <w:rFonts w:ascii="Times New Roman" w:hAnsi="Times New Roman"/>
          <w:b/>
          <w:color w:val="000000"/>
          <w:sz w:val="20"/>
        </w:rPr>
        <w:t xml:space="preserve">Beneficiary Designation. </w:t>
      </w:r>
      <w:r>
        <w:rPr>
          <w:rFonts w:ascii="Times New Roman" w:hAnsi="Times New Roman"/>
          <w:color w:val="000000"/>
          <w:sz w:val="20"/>
        </w:rPr>
        <w:t>Upon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smallCaps/>
          <w:color w:val="000000"/>
          <w:sz w:val="20"/>
        </w:rPr>
        <w:t xml:space="preserve">Option not a Service Contract. </w:t>
      </w:r>
      <w:r>
        <w:rPr>
          <w:rFonts w:ascii="Times New Roman" w:hAnsi="Times New Roman"/>
          <w:color w:val="000000"/>
          <w:sz w:val="20"/>
        </w:rPr>
        <w:t>Your option is not an employment or service contract, and 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smallCaps/>
          <w:color w:val="000000"/>
          <w:sz w:val="20"/>
        </w:rPr>
        <w:t>Withholding Obligations</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0" w:after="240"/>
        <w:jc w:val="both"/>
        <w:rPr/>
      </w:pPr>
      <w:r>
        <w:rPr>
          <w:rFonts w:ascii="Times New Roman" w:hAnsi="Times New Roman"/>
          <w:b/>
          <w:smallCaps/>
          <w:color w:val="000000"/>
          <w:sz w:val="20"/>
        </w:rPr>
        <w:t>Tax Consequences</w:t>
      </w:r>
      <w:r>
        <w:rPr>
          <w:rFonts w:ascii="Times New Roman" w:hAnsi="Times New Roman"/>
          <w:color w:val="000000"/>
          <w:sz w:val="20"/>
        </w:rPr>
        <w:t>.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0" w:after="240"/>
        <w:jc w:val="both"/>
        <w:rPr/>
      </w:pPr>
      <w:r>
        <w:rPr>
          <w:rFonts w:ascii="Times New Roman" w:hAnsi="Times New Roman"/>
          <w:b/>
          <w:smallCaps/>
          <w:color w:val="000000"/>
          <w:sz w:val="20"/>
        </w:rPr>
        <w:t>Notices</w:t>
      </w:r>
      <w:r>
        <w:rPr>
          <w:rFonts w:ascii="Times New Roman" w:hAnsi="Times New Roman"/>
          <w:b/>
          <w:color w:val="000000"/>
          <w:sz w:val="20"/>
        </w:rPr>
        <w:t xml:space="preserve">. </w:t>
      </w:r>
      <w:r>
        <w:rPr>
          <w:rFonts w:ascii="Times New Roman" w:hAnsi="Times New Roman"/>
          <w:color w:val="000000"/>
          <w:sz w:val="20"/>
        </w:rPr>
        <w:t>Any notices provided for in your option or the Plan will be given in writing (including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0" w:after="240"/>
        <w:jc w:val="both"/>
        <w:rPr/>
      </w:pPr>
      <w:r>
        <w:rPr>
          <w:rFonts w:ascii="Times New Roman" w:hAnsi="Times New Roman"/>
          <w:b/>
          <w:smallCaps/>
          <w:color w:val="000000"/>
          <w:sz w:val="20"/>
        </w:rPr>
        <w:t xml:space="preserve">Governing Plan Document. </w:t>
      </w:r>
      <w:r>
        <w:rPr>
          <w:rFonts w:ascii="Times New Roman" w:hAnsi="Times New Roman"/>
          <w:color w:val="000000"/>
          <w:sz w:val="20"/>
        </w:rPr>
        <w:t>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0" w:after="240"/>
        <w:jc w:val="both"/>
        <w:rPr/>
      </w:pPr>
      <w:r>
        <w:rPr>
          <w:rFonts w:ascii="Times New Roman" w:hAnsi="Times New Roman"/>
          <w:b/>
          <w:smallCaps/>
          <w:color w:val="000000"/>
          <w:sz w:val="20"/>
        </w:rPr>
        <w:t>Other Documents</w:t>
      </w:r>
      <w:r>
        <w:rPr>
          <w:rFonts w:ascii="Times New Roman" w:hAnsi="Times New Roman"/>
          <w:color w:val="000000"/>
          <w:sz w:val="20"/>
        </w:rPr>
        <w:t>. You hereby acknowledge receipt of and the right to receive a document providing the 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0" w:after="240"/>
        <w:jc w:val="both"/>
        <w:rPr/>
      </w:pPr>
      <w:r>
        <w:rPr>
          <w:rFonts w:ascii="Times New Roman" w:hAnsi="Times New Roman"/>
          <w:b/>
          <w:smallCaps/>
          <w:color w:val="000000"/>
          <w:sz w:val="20"/>
        </w:rPr>
        <w:t>Effect on Other Employee Benefit Plans</w:t>
      </w:r>
      <w:r>
        <w:rPr>
          <w:rFonts w:ascii="Times New Roman" w:hAnsi="Times New Roman"/>
          <w:color w:val="000000"/>
          <w:sz w:val="20"/>
        </w:rPr>
        <w:t>. The value of this option will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0" w:after="240"/>
        <w:jc w:val="both"/>
        <w:rPr/>
      </w:pPr>
      <w:r>
        <w:rPr>
          <w:rFonts w:ascii="Times New Roman" w:hAnsi="Times New Roman"/>
          <w:b/>
          <w:color w:val="000000"/>
          <w:sz w:val="20"/>
        </w:rPr>
        <w:t>VOTING RIGHTS</w:t>
      </w:r>
      <w:r>
        <w:rPr>
          <w:rFonts w:ascii="Times New Roman" w:hAnsi="Times New Roman"/>
          <w:color w:val="000000"/>
          <w:sz w:val="20"/>
        </w:rPr>
        <w:t>. You will not have voting or any other rights as a stockholder of the Company with respect to the 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0" w:after="240"/>
        <w:jc w:val="both"/>
        <w:rPr/>
      </w:pPr>
      <w:r>
        <w:rPr>
          <w:rFonts w:ascii="Times New Roman" w:hAnsi="Times New Roman"/>
          <w:b/>
          <w:smallCaps/>
          <w:color w:val="000000"/>
          <w:sz w:val="20"/>
        </w:rPr>
        <w:t>Severability</w:t>
      </w:r>
      <w:r>
        <w:rPr>
          <w:rFonts w:ascii="Times New Roman" w:hAnsi="Times New Roman"/>
          <w:color w:val="000000"/>
          <w:sz w:val="20"/>
        </w:rPr>
        <w:t>. If all or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both"/>
        <w:rPr/>
      </w:pPr>
      <w:r>
        <w:rPr>
          <w:rFonts w:ascii="Times New Roman" w:hAnsi="Times New Roman"/>
          <w:b/>
          <w:smallCaps/>
          <w:color w:val="000000"/>
          <w:sz w:val="20"/>
        </w:rPr>
        <w:t>Miscellaneous</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rights and obligations of the Company under your option will be transferable to any one or more persons or entities, and all covenants and agreements hereunder will inure to the benefit of, and be enforceable by the Company’s successors and assigns.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agree upon request to execute any further documents or instruments necessary or desirable in the sole determination of the Company to carry out the purposes or intent of your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acknowledge and agree that you have reviewed your option in its entirety, have had an opportunity to obtain the advice of counsel prior to executing and accepting your option, and fully understand all provisions of your option.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Option Agreement will be subject to all applicable laws, rules, and regulations, and to such approvals by any governmental agencies or national securities exchanges as may be required.</w:t>
      </w:r>
    </w:p>
    <w:p>
      <w:pPr>
        <w:pStyle w:val="TextBody"/>
        <w:bidi w:val="0"/>
        <w:spacing w:before="0" w:after="72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720"/>
        <w:jc w:val="both"/>
        <w:rPr>
          <w:rFonts w:ascii="Times New Roman" w:hAnsi="Times New Roman"/>
          <w:color w:val="000000"/>
          <w:sz w:val="20"/>
        </w:rPr>
      </w:pPr>
      <w:r>
        <w:rPr>
          <w:rFonts w:ascii="Times New Roman" w:hAnsi="Times New Roman"/>
          <w:color w:val="000000"/>
          <w:sz w:val="20"/>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before="0" w:after="72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This Option Agreement will be deemed to be signed by you upon your physical or</w:t>
        <w:br/>
        <w:t>digital signature of the attached Grant Notice.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NOTICE OF EXERCISE</w:t>
      </w:r>
    </w:p>
    <w:p>
      <w:pPr>
        <w:pStyle w:val="TextBody"/>
        <w:bidi w:val="0"/>
        <w:jc w:val="both"/>
        <w:rPr>
          <w:rFonts w:ascii="Times New Roman" w:hAnsi="Times New Roman"/>
          <w:color w:val="000000"/>
          <w:sz w:val="20"/>
        </w:rPr>
      </w:pPr>
      <w:r>
        <w:rPr>
          <w:rFonts w:ascii="Times New Roman" w:hAnsi="Times New Roman"/>
          <w:color w:val="000000"/>
          <w:sz w:val="20"/>
        </w:rPr>
        <w:t xml:space="preserve">FibroGen, Inc. </w:t>
      </w:r>
    </w:p>
    <w:p>
      <w:pPr>
        <w:pStyle w:val="TextBody"/>
        <w:bidi w:val="0"/>
        <w:jc w:val="both"/>
        <w:rPr>
          <w:rFonts w:ascii="Times New Roman" w:hAnsi="Times New Roman"/>
          <w:color w:val="000000"/>
          <w:sz w:val="20"/>
        </w:rPr>
      </w:pPr>
      <w:r>
        <w:rPr>
          <w:rFonts w:ascii="Times New Roman" w:hAnsi="Times New Roman"/>
          <w:color w:val="000000"/>
          <w:sz w:val="20"/>
        </w:rPr>
        <w:t>Attention: Stock Plan Administrator</w:t>
      </w:r>
    </w:p>
    <w:p>
      <w:pPr>
        <w:pStyle w:val="TextBody"/>
        <w:bidi w:val="0"/>
        <w:jc w:val="both"/>
        <w:rPr>
          <w:rFonts w:ascii="Times New Roman" w:hAnsi="Times New Roman"/>
          <w:color w:val="000000"/>
          <w:sz w:val="20"/>
        </w:rPr>
      </w:pPr>
      <w:r>
        <w:rPr>
          <w:rFonts w:ascii="Times New Roman" w:hAnsi="Times New Roman"/>
          <w:color w:val="000000"/>
          <w:sz w:val="20"/>
        </w:rPr>
        <w:t xml:space="preserve">409 Illinois St. San Francisco, CA 94158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Date of Exercise: _______________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constitutes notice to FibroGen, Inc. (the “Company”) under my stock option that I elect to purchase the below number of shares of Common Stock of the Company (the “Shares”) for the price set forth below. </w:t>
      </w:r>
    </w:p>
    <w:tbl>
      <w:tblPr>
        <w:tblW w:w="4543" w:type="dxa"/>
        <w:jc w:val="left"/>
        <w:tblInd w:w="0" w:type="dxa"/>
        <w:tblLayout w:type="fixed"/>
        <w:tblCellMar>
          <w:top w:w="28" w:type="dxa"/>
          <w:left w:w="28" w:type="dxa"/>
          <w:bottom w:w="28" w:type="dxa"/>
          <w:right w:w="28" w:type="dxa"/>
        </w:tblCellMar>
      </w:tblPr>
      <w:tblGrid>
        <w:gridCol w:w="4141"/>
        <w:gridCol w:w="211"/>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dated:</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Number:</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as to which option is exercised:</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exercise price:</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 Contact Information:</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DTC number:</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By this exercise, I agree (i) to provide such additional documents as you may require pursuant to the terms of the FibroGen, Inc. 2024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Very truly yours,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Signature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Print Name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8" w:name="fgen-ex31_1.htm"/>
      <w:bookmarkStart w:id="199" w:name="ksfgenex31_1"/>
      <w:bookmarkEnd w:id="198"/>
      <w:bookmarkEnd w:id="19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Thane Wettig,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FibroGen,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367" w:type="dxa"/>
        <w:jc w:val="left"/>
        <w:tblInd w:w="0" w:type="dxa"/>
        <w:tblLayout w:type="fixed"/>
        <w:tblCellMar>
          <w:top w:w="28" w:type="dxa"/>
          <w:left w:w="28" w:type="dxa"/>
          <w:bottom w:w="28" w:type="dxa"/>
          <w:right w:w="28" w:type="dxa"/>
        </w:tblCellMar>
      </w:tblPr>
      <w:tblGrid>
        <w:gridCol w:w="1846"/>
        <w:gridCol w:w="2521"/>
      </w:tblGrid>
      <w:tr>
        <w:trPr/>
        <w:tc>
          <w:tcPr>
            <w:tcW w:w="18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r>
      <w:tr>
        <w:trPr/>
        <w:tc>
          <w:tcPr>
            <w:tcW w:w="18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Thane Wettig</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0" w:name="fgen-ex31_2.htm"/>
      <w:bookmarkStart w:id="201" w:name="ksfgenex31_2"/>
      <w:bookmarkEnd w:id="200"/>
      <w:bookmarkEnd w:id="20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Juan Graham,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Form 10-Q of FibroGen,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032" w:type="dxa"/>
        <w:jc w:val="left"/>
        <w:tblInd w:w="0" w:type="dxa"/>
        <w:tblLayout w:type="fixed"/>
        <w:tblCellMar>
          <w:top w:w="28" w:type="dxa"/>
          <w:left w:w="28" w:type="dxa"/>
          <w:bottom w:w="28" w:type="dxa"/>
          <w:right w:w="28" w:type="dxa"/>
        </w:tblCellMar>
      </w:tblPr>
      <w:tblGrid>
        <w:gridCol w:w="1846"/>
        <w:gridCol w:w="4186"/>
      </w:tblGrid>
      <w:tr>
        <w:trPr/>
        <w:tc>
          <w:tcPr>
            <w:tcW w:w="18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Juan Graham</w:t>
            </w:r>
          </w:p>
        </w:tc>
      </w:tr>
      <w:tr>
        <w:trPr/>
        <w:tc>
          <w:tcPr>
            <w:tcW w:w="1846" w:type="dxa"/>
            <w:tcBorders/>
            <w:vAlign w:val="center"/>
          </w:tcPr>
          <w:p>
            <w:pPr>
              <w:pStyle w:val="TableContents"/>
              <w:bidi w:val="0"/>
              <w:spacing w:before="0" w:after="283"/>
              <w:jc w:val="left"/>
              <w:rPr/>
            </w:pPr>
            <w:r>
              <w:rPr/>
              <w:t> </w:t>
            </w:r>
          </w:p>
        </w:tc>
        <w:tc>
          <w:tcPr>
            <w:tcW w:w="418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Juan Graham</w:t>
            </w:r>
          </w:p>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2" w:name="fgen-ex32_1.htm"/>
      <w:bookmarkStart w:id="203" w:name="ksfgenex32_1"/>
      <w:bookmarkEnd w:id="202"/>
      <w:bookmarkEnd w:id="20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Thane Wettig, Chief Executive Officer of FibroGen, Inc. (the “Company”), and Juan Graham,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2024,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6, 2024</w:t>
      </w:r>
    </w:p>
    <w:p>
      <w:pPr>
        <w:pStyle w:val="TextBody"/>
        <w:bidi w:val="0"/>
        <w:spacing w:before="360" w:after="2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6</w:t>
      </w:r>
      <w:r>
        <w:rPr>
          <w:rFonts w:ascii="Times New Roman" w:hAnsi="Times New Roman"/>
          <w:color w:val="000000"/>
          <w:sz w:val="13"/>
        </w:rPr>
        <w:t>th</w:t>
      </w:r>
      <w:r>
        <w:rPr>
          <w:rFonts w:ascii="Times New Roman" w:hAnsi="Times New Roman"/>
          <w:color w:val="000000"/>
          <w:sz w:val="20"/>
        </w:rPr>
        <w:t xml:space="preserve"> day of August, 2024.</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086"/>
        <w:gridCol w:w="146"/>
        <w:gridCol w:w="22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Thane Wettig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Juan Graham</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Thane Wettig</w:t>
            </w:r>
          </w:p>
        </w:tc>
        <w:tc>
          <w:tcPr>
            <w:tcW w:w="146"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Juan Graham</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119312514380087/d720189dex34.htm" TargetMode="External"/><Relationship Id="rId4" Type="http://schemas.openxmlformats.org/officeDocument/2006/relationships/hyperlink" Target="https://www.sec.gov/Archives/edgar/data/921299/000119312514420380/d824859dex41.htm" TargetMode="External"/><Relationship Id="rId5" Type="http://schemas.openxmlformats.org/officeDocument/2006/relationships/hyperlink" Target="https://www.sec.gov/Archives/edgar/data/0000921299/000119312514381669/d720189dex417.htm" TargetMode="External"/><Relationship Id="rId6" Type="http://schemas.openxmlformats.org/officeDocument/2006/relationships/hyperlink" Target="https://www.sec.gov/Archives/edgar/data/921299/000095017024070636/fgen-ex10_1.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138858</Words>
  <Characters>762983</Characters>
  <CharactersWithSpaces>900867</CharactersWithSpaces>
  <Paragraphs>11326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