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gen-20250930.htm"/>
      <w:bookmarkStart w:id="1" w:name="ksfgen20250930"/>
      <w:bookmarkEnd w:id="0"/>
      <w:bookmarkEnd w:id="1"/>
      <w:r>
        <w:rPr/>
        <w:t> </w:t>
      </w:r>
    </w:p>
    <w:p>
      <w:pPr>
        <w:pStyle w:val="TextBody"/>
        <w:bidi w:val="0"/>
        <w:jc w:val="left"/>
        <w:rPr/>
      </w:pPr>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aps/>
          <w:color w:val="000000"/>
          <w:sz w:val="36"/>
        </w:rPr>
        <w:t>F</w:t>
      </w:r>
      <w:r>
        <w:rPr>
          <w:rFonts w:ascii="Times New Roman" w:hAnsi="Times New Roman"/>
          <w:b/>
          <w:color w:val="000000"/>
          <w:sz w:val="36"/>
        </w:rPr>
        <w:t>orm 10-Q</w:t>
      </w:r>
    </w:p>
    <w:p>
      <w:pPr>
        <w:pStyle w:val="TextBody"/>
        <w:pBdr>
          <w:bottom w:val="single" w:sz="4" w:space="1" w:color="000000"/>
        </w:pBdr>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001-36740</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FIBROGEN,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063" w:type="dxa"/>
        <w:jc w:val="left"/>
        <w:tblInd w:w="0" w:type="dxa"/>
        <w:tblLayout w:type="fixed"/>
        <w:tblCellMar>
          <w:top w:w="28" w:type="dxa"/>
          <w:left w:w="28" w:type="dxa"/>
          <w:bottom w:w="28" w:type="dxa"/>
          <w:right w:w="28" w:type="dxa"/>
        </w:tblCellMar>
      </w:tblPr>
      <w:tblGrid>
        <w:gridCol w:w="2431"/>
        <w:gridCol w:w="146"/>
        <w:gridCol w:w="148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77-0357827</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tbl>
      <w:tblPr>
        <w:tblW w:w="4093" w:type="dxa"/>
        <w:jc w:val="left"/>
        <w:tblInd w:w="0" w:type="dxa"/>
        <w:tblLayout w:type="fixed"/>
        <w:tblCellMar>
          <w:top w:w="28" w:type="dxa"/>
          <w:left w:w="28" w:type="dxa"/>
          <w:bottom w:w="28" w:type="dxa"/>
          <w:right w:w="28" w:type="dxa"/>
        </w:tblCellMar>
      </w:tblPr>
      <w:tblGrid>
        <w:gridCol w:w="3016"/>
        <w:gridCol w:w="146"/>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350 Bay Street,</w:t>
            </w:r>
            <w:r>
              <w:rPr>
                <w:rFonts w:ascii="Times New Roman" w:hAnsi="Times New Roman"/>
                <w:color w:val="000000"/>
                <w:sz w:val="20"/>
              </w:rPr>
              <w:t xml:space="preserve"> </w:t>
            </w:r>
            <w:r>
              <w:rPr>
                <w:rFonts w:ascii="Times New Roman" w:hAnsi="Times New Roman"/>
                <w:b/>
                <w:color w:val="000000"/>
                <w:sz w:val="20"/>
              </w:rPr>
              <w:t>Suite 100, #6009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94133</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978-1200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2731"/>
        <w:gridCol w:w="1501"/>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5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w:t>
            </w:r>
          </w:p>
        </w:tc>
        <w:tc>
          <w:tcPr>
            <w:tcW w:w="15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FGEN</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58" w:type="dxa"/>
        <w:jc w:val="left"/>
        <w:tblInd w:w="0" w:type="dxa"/>
        <w:tblLayout w:type="fixed"/>
        <w:tblCellMar>
          <w:top w:w="28" w:type="dxa"/>
          <w:left w:w="28" w:type="dxa"/>
          <w:bottom w:w="28" w:type="dxa"/>
          <w:right w:w="28" w:type="dxa"/>
        </w:tblCellMar>
      </w:tblPr>
      <w:tblGrid>
        <w:gridCol w:w="2142"/>
        <w:gridCol w:w="492"/>
        <w:gridCol w:w="2487"/>
        <w:gridCol w:w="537"/>
      </w:tblGrid>
      <w:tr>
        <w:trPr/>
        <w:tc>
          <w:tcPr>
            <w:tcW w:w="214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ind w:left="0" w:right="0" w:firstLine="176"/>
              <w:jc w:val="left"/>
              <w:rPr>
                <w:sz w:val="4"/>
                <w:szCs w:val="4"/>
              </w:rPr>
            </w:pPr>
            <w:r>
              <w:rPr>
                <w:sz w:val="4"/>
                <w:szCs w:val="4"/>
              </w:rPr>
            </w:r>
          </w:p>
        </w:tc>
      </w:tr>
      <w:tr>
        <w:trPr/>
        <w:tc>
          <w:tcPr>
            <w:tcW w:w="2142"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 xml:space="preserve">Large accelerated filer </w:t>
            </w:r>
          </w:p>
        </w:tc>
        <w:tc>
          <w:tcPr>
            <w:tcW w:w="492"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c>
          <w:tcPr>
            <w:tcW w:w="248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 xml:space="preserve">Accelerated filer </w:t>
            </w:r>
          </w:p>
        </w:tc>
        <w:tc>
          <w:tcPr>
            <w:tcW w:w="537"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r>
      <w:tr>
        <w:trPr/>
        <w:tc>
          <w:tcPr>
            <w:tcW w:w="2142"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Non-accelerated filer</w:t>
            </w:r>
          </w:p>
        </w:tc>
        <w:tc>
          <w:tcPr>
            <w:tcW w:w="492"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c>
          <w:tcPr>
            <w:tcW w:w="248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Smaller reporting company</w:t>
            </w:r>
          </w:p>
        </w:tc>
        <w:tc>
          <w:tcPr>
            <w:tcW w:w="537"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r>
      <w:tr>
        <w:trPr/>
        <w:tc>
          <w:tcPr>
            <w:tcW w:w="2142" w:type="dxa"/>
            <w:tcBorders/>
            <w:tcMar>
              <w:top w:w="0" w:type="dxa"/>
              <w:left w:w="0" w:type="dxa"/>
              <w:bottom w:w="0" w:type="dxa"/>
              <w:right w:w="0" w:type="dxa"/>
            </w:tcMar>
            <w:vAlign w:val="center"/>
          </w:tcPr>
          <w:p>
            <w:pPr>
              <w:pStyle w:val="TableContents"/>
              <w:bidi w:val="0"/>
              <w:spacing w:before="0" w:after="283"/>
              <w:ind w:left="0" w:right="0" w:firstLine="176"/>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c>
          <w:tcPr>
            <w:tcW w:w="248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Emerging growth company</w:t>
            </w:r>
          </w:p>
        </w:tc>
        <w:tc>
          <w:tcPr>
            <w:tcW w:w="537"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Exchange Act Rule 12b-2). Yes ☐ No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number of shares of common stock outstanding as of October 31, 2025 was 4,045,445.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3"/>
        <w:gridCol w:w="8694"/>
        <w:gridCol w:w="146"/>
        <w:gridCol w:w="482"/>
      </w:tblGrid>
      <w:tr>
        <w:trPr/>
        <w:tc>
          <w:tcPr>
            <w:tcW w:w="883" w:type="dxa"/>
            <w:tcBorders/>
            <w:vAlign w:val="center"/>
          </w:tcPr>
          <w:p>
            <w:pPr>
              <w:pStyle w:val="TableContents"/>
              <w:bidi w:val="0"/>
              <w:spacing w:before="0" w:after="283"/>
              <w:jc w:val="left"/>
              <w:rPr>
                <w:sz w:val="4"/>
                <w:szCs w:val="4"/>
              </w:rPr>
            </w:pPr>
            <w:r>
              <w:rPr>
                <w:sz w:val="4"/>
                <w:szCs w:val="4"/>
              </w:rPr>
            </w:r>
          </w:p>
        </w:tc>
        <w:tc>
          <w:tcPr>
            <w:tcW w:w="8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95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9577" w:type="dxa"/>
            <w:gridSpan w:val="2"/>
            <w:tcBorders/>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Times New Roman" w:hAnsi="Times New Roman"/>
                  <w:b/>
                  <w:color w:val="0000FF"/>
                  <w:sz w:val="20"/>
                  <w:u w:val="single"/>
                </w:rPr>
                <w:t>PART I—FINANCIAL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86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condensed_consolidated_financial">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balance_sheets">
              <w:r>
                <w:rPr>
                  <w:rStyle w:val="InternetLink"/>
                  <w:rFonts w:ascii="Times New Roman" w:hAnsi="Times New Roman"/>
                  <w:color w:val="0000FF"/>
                  <w:sz w:val="20"/>
                  <w:u w:val="single"/>
                </w:rPr>
                <w:t>Condensed Consolidated Balance Sheets as of September 30, 2025 and December 31,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and Nine Months Ended September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ompre">
              <w:r>
                <w:rPr>
                  <w:rStyle w:val="InternetLink"/>
                  <w:rFonts w:ascii="Times New Roman" w:hAnsi="Times New Roman"/>
                  <w:color w:val="0000FF"/>
                  <w:sz w:val="20"/>
                  <w:u w:val="single"/>
                </w:rPr>
                <w:t>Condensed Consolidated Statements of Comprehensive Income (Loss) for the Three and Nine Months Ended September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equity">
              <w:r>
                <w:rPr>
                  <w:rStyle w:val="InternetLink"/>
                  <w:rFonts w:ascii="Times New Roman" w:hAnsi="Times New Roman"/>
                  <w:color w:val="0000FF"/>
                  <w:sz w:val="20"/>
                  <w:u w:val="single"/>
                </w:rPr>
                <w:t>Condensed Consolidated Statements of Changes in Redeemable Non-controlling Interests and Stockholders’ Deficit for the Three and Nine Months Ended September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ash_f">
              <w:r>
                <w:rPr>
                  <w:rStyle w:val="InternetLink"/>
                  <w:rFonts w:ascii="Times New Roman" w:hAnsi="Times New Roman"/>
                  <w:color w:val="0000FF"/>
                  <w:sz w:val="20"/>
                  <w:u w:val="single"/>
                </w:rPr>
                <w:t>Condensed Consolidated Statements of Cash Flows for the Nine Months Ended September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_to_condensed_consolidated_financia">
              <w:r>
                <w:rPr>
                  <w:rStyle w:val="InternetLink"/>
                  <w:rFonts w:ascii="Times New Roman" w:hAnsi="Times New Roman"/>
                  <w:color w:val="0000FF"/>
                  <w:sz w:val="20"/>
                  <w:u w:val="single"/>
                </w:rPr>
                <w:t>Notes to the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86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7" w:type="dxa"/>
            <w:gridSpan w:val="2"/>
            <w:tcBorders/>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Times New Roman" w:hAnsi="Times New Roman"/>
                  <w:b/>
                  <w:color w:val="0000FF"/>
                  <w:sz w:val="20"/>
                  <w:u w:val="single"/>
                </w:rPr>
                <w:t>PART II—OTHER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86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1A.</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5.</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6.</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9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60" w:after="283"/>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4" w:name="item_1_condensed_consolidated_financial"/>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79"/>
        <w:gridCol w:w="246"/>
        <w:gridCol w:w="275"/>
        <w:gridCol w:w="1244"/>
        <w:gridCol w:w="246"/>
        <w:gridCol w:w="246"/>
        <w:gridCol w:w="266"/>
        <w:gridCol w:w="1210"/>
        <w:gridCol w:w="593"/>
      </w:tblGrid>
      <w:tr>
        <w:trPr/>
        <w:tc>
          <w:tcPr>
            <w:tcW w:w="58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50,482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31,542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assets held for sale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110,849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196,509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assets held for sale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137,014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214,525</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non-controlling interests and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1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7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and other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62,035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27,290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liabilities held for sale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38,917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35,973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133,306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development obligations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19,471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 net of 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114,708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 term loan facilities, non-current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73,092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Liability related to sale of future revenues, non-current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63,414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58,864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liabilities held for sale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119,529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398,160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non-controlling interests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125,000</w:t>
            </w:r>
            <w:r>
              <w:rPr>
                <w:rFonts w:ascii="Times New Roman" w:hAnsi="Times New Roman"/>
                <w:color w:val="000000"/>
                <w:sz w:val="20"/>
              </w:rPr>
              <w:t> </w:t>
            </w:r>
            <w:r>
              <w:rPr>
                <w:rFonts w:ascii="Times New Roman" w:hAnsi="Times New Roman"/>
                <w:color w:val="000000"/>
                <w:sz w:val="16"/>
              </w:rPr>
              <w:t>shares authorized; no</w:t>
            </w:r>
            <w:r>
              <w:rPr>
                <w:rFonts w:ascii="Times New Roman" w:hAnsi="Times New Roman"/>
                <w:color w:val="000000"/>
                <w:sz w:val="20"/>
              </w:rPr>
              <w:t> </w:t>
            </w:r>
            <w:r>
              <w:rPr>
                <w:rFonts w:ascii="Times New Roman" w:hAnsi="Times New Roman"/>
                <w:color w:val="000000"/>
                <w:sz w:val="16"/>
              </w:rPr>
              <w:t xml:space="preserve">shares issued </w:t>
              <w:br/>
              <w:t>   and outstanding at September 30, 2025 and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225,000</w:t>
            </w:r>
            <w:r>
              <w:rPr>
                <w:rFonts w:ascii="Times New Roman" w:hAnsi="Times New Roman"/>
                <w:color w:val="000000"/>
                <w:sz w:val="20"/>
              </w:rPr>
              <w:t> </w:t>
            </w:r>
            <w:r>
              <w:rPr>
                <w:rFonts w:ascii="Times New Roman" w:hAnsi="Times New Roman"/>
                <w:color w:val="000000"/>
                <w:sz w:val="16"/>
              </w:rPr>
              <w:t xml:space="preserve">shares authorized at September 30, 2025 </w:t>
              <w:br/>
              <w:t>   and December 31, 2024; 4,045</w:t>
            </w:r>
            <w:r>
              <w:rPr>
                <w:rFonts w:ascii="Times New Roman" w:hAnsi="Times New Roman"/>
                <w:color w:val="000000"/>
                <w:sz w:val="20"/>
              </w:rPr>
              <w:t> </w:t>
            </w:r>
            <w:r>
              <w:rPr>
                <w:rFonts w:ascii="Times New Roman" w:hAnsi="Times New Roman"/>
                <w:color w:val="000000"/>
                <w:sz w:val="16"/>
              </w:rPr>
              <w:t>and 4,037</w:t>
            </w:r>
            <w:r>
              <w:rPr>
                <w:rFonts w:ascii="Times New Roman" w:hAnsi="Times New Roman"/>
                <w:color w:val="000000"/>
                <w:sz w:val="20"/>
              </w:rPr>
              <w:t> </w:t>
            </w:r>
            <w:r>
              <w:rPr>
                <w:rFonts w:ascii="Times New Roman" w:hAnsi="Times New Roman"/>
                <w:color w:val="000000"/>
                <w:sz w:val="16"/>
              </w:rPr>
              <w:t xml:space="preserve">shares issued and outstanding </w:t>
              <w:br/>
              <w:t>   at September 30, 2025 and December 31,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1,675,999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1,668,620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(1,691,827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(1,889,499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stockholders’ deficit attributable to FibroGen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(225,602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Nonredeemable non-controlling interests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(205,115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redeemable non-controlling interests and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137,014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214,525</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117"/>
        <w:gridCol w:w="146"/>
        <w:gridCol w:w="236"/>
        <w:gridCol w:w="877"/>
        <w:gridCol w:w="186"/>
        <w:gridCol w:w="164"/>
        <w:gridCol w:w="236"/>
        <w:gridCol w:w="827"/>
        <w:gridCol w:w="166"/>
        <w:gridCol w:w="146"/>
        <w:gridCol w:w="224"/>
        <w:gridCol w:w="832"/>
        <w:gridCol w:w="176"/>
        <w:gridCol w:w="155"/>
        <w:gridCol w:w="224"/>
        <w:gridCol w:w="895"/>
        <w:gridCol w:w="598"/>
      </w:tblGrid>
      <w:tr>
        <w:trPr/>
        <w:tc>
          <w:tcPr>
            <w:tcW w:w="4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Development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24,954</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26,486</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21,407</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88,824</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40,984</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18,554</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37,546</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169,769</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(143,283</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(6,029</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(144,704</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(13,146</w:t>
            </w:r>
          </w:p>
        </w:tc>
        <w:tc>
          <w:tcPr>
            <w:tcW w:w="1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(43,594</w:t>
            </w:r>
          </w:p>
        </w:tc>
        <w:tc>
          <w:tcPr>
            <w:tcW w:w="1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(144,433</w:t>
            </w:r>
          </w:p>
        </w:tc>
        <w:tc>
          <w:tcPr>
            <w:tcW w:w="5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213,782</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241,266</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78,872</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200,636</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197,672</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(65,561</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discontinued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w:t>
            </w:r>
          </w:p>
        </w:tc>
        <w:tc>
          <w:tcPr>
            <w:tcW w:w="1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1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5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used to calculate</w:t>
              <w:br/>
              <w:t>   net income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356"/>
        <w:gridCol w:w="146"/>
        <w:gridCol w:w="236"/>
        <w:gridCol w:w="877"/>
        <w:gridCol w:w="186"/>
        <w:gridCol w:w="163"/>
        <w:gridCol w:w="236"/>
        <w:gridCol w:w="827"/>
        <w:gridCol w:w="166"/>
        <w:gridCol w:w="146"/>
        <w:gridCol w:w="231"/>
        <w:gridCol w:w="857"/>
        <w:gridCol w:w="182"/>
        <w:gridCol w:w="160"/>
        <w:gridCol w:w="231"/>
        <w:gridCol w:w="807"/>
        <w:gridCol w:w="398"/>
      </w:tblGrid>
      <w:tr>
        <w:trPr/>
        <w:tc>
          <w:tcPr>
            <w:tcW w:w="4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200,636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197,672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(65,561</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Cumulative currency translation adjustment attributable to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investments, net of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203,219</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201,193</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(64,314</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sz w:val="20"/>
        </w:rPr>
      </w:pPr>
      <w:bookmarkStart w:id="8" w:name="condensed_consolidated_statements_equity"/>
      <w:bookmarkEnd w:id="8"/>
      <w:r>
        <w:rPr>
          <w:rFonts w:ascii="Times New Roman" w:hAnsi="Times New Roman"/>
          <w:b/>
          <w:color w:val="000000"/>
          <w:sz w:val="20"/>
        </w:rPr>
        <w:t>CONDENSED CONSOLIDATED STATEMENTS OF CHANGES IN REDEEMABLE NON-CONTROLLING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INTERESTS AND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786" w:type="dxa"/>
        <w:jc w:val="left"/>
        <w:tblInd w:w="0" w:type="dxa"/>
        <w:tblLayout w:type="fixed"/>
        <w:tblCellMar>
          <w:top w:w="28" w:type="dxa"/>
          <w:left w:w="28" w:type="dxa"/>
          <w:bottom w:w="28" w:type="dxa"/>
          <w:right w:w="28" w:type="dxa"/>
        </w:tblCellMar>
      </w:tblPr>
      <w:tblGrid>
        <w:gridCol w:w="1216"/>
        <w:gridCol w:w="146"/>
        <w:gridCol w:w="146"/>
        <w:gridCol w:w="826"/>
        <w:gridCol w:w="146"/>
        <w:gridCol w:w="146"/>
        <w:gridCol w:w="196"/>
        <w:gridCol w:w="511"/>
        <w:gridCol w:w="146"/>
        <w:gridCol w:w="146"/>
        <w:gridCol w:w="196"/>
        <w:gridCol w:w="826"/>
        <w:gridCol w:w="166"/>
        <w:gridCol w:w="146"/>
        <w:gridCol w:w="260"/>
        <w:gridCol w:w="761"/>
        <w:gridCol w:w="166"/>
        <w:gridCol w:w="146"/>
        <w:gridCol w:w="196"/>
        <w:gridCol w:w="886"/>
        <w:gridCol w:w="166"/>
        <w:gridCol w:w="146"/>
        <w:gridCol w:w="269"/>
        <w:gridCol w:w="827"/>
        <w:gridCol w:w="166"/>
        <w:gridCol w:w="146"/>
        <w:gridCol w:w="196"/>
        <w:gridCol w:w="751"/>
        <w:gridCol w:w="166"/>
        <w:gridCol w:w="146"/>
        <w:gridCol w:w="146"/>
        <w:gridCol w:w="269"/>
        <w:gridCol w:w="827"/>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3" w:type="dxa"/>
            <w:gridSpan w:val="3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Nonredeemable</w:t>
              <w:b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w:t>
              <w:br/>
              <w:t>Non-Controlling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4,043,899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1,673,249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gain or </w:t>
              <w:br/>
              <w:t>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translation </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Cumulative currency translation </w:t>
              <w:br/>
              <w:t xml:space="preserve">   adjustment attributable to </w:t>
              <w:br/>
              <w:t>   divestiture (Note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Distribution to non-controlling </w:t>
              <w:br/>
              <w:t>   interest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plans, net of payroll taxes</w:t>
              <w:br/>
              <w: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4,045,445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(1,691,827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w:t>
              <w:br/>
              <w:t>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4,015,990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gain or </w:t>
              <w:br/>
              <w:t>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translation </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plans, net of payroll taxes</w:t>
              <w:br/>
              <w: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4,030,804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(1,907,481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CONSOLIDATED STATEMENTS OF CHANGES IN REDEEMABLE NON-CONTROLLING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INTERESTS AND STOCKHOLDERS’ DEFICIT (CONTINUED)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1806" w:type="dxa"/>
        <w:jc w:val="left"/>
        <w:tblInd w:w="0" w:type="dxa"/>
        <w:tblLayout w:type="fixed"/>
        <w:tblCellMar>
          <w:top w:w="28" w:type="dxa"/>
          <w:left w:w="28" w:type="dxa"/>
          <w:bottom w:w="28" w:type="dxa"/>
          <w:right w:w="28" w:type="dxa"/>
        </w:tblCellMar>
      </w:tblPr>
      <w:tblGrid>
        <w:gridCol w:w="1216"/>
        <w:gridCol w:w="146"/>
        <w:gridCol w:w="146"/>
        <w:gridCol w:w="826"/>
        <w:gridCol w:w="166"/>
        <w:gridCol w:w="146"/>
        <w:gridCol w:w="196"/>
        <w:gridCol w:w="511"/>
        <w:gridCol w:w="146"/>
        <w:gridCol w:w="146"/>
        <w:gridCol w:w="196"/>
        <w:gridCol w:w="826"/>
        <w:gridCol w:w="166"/>
        <w:gridCol w:w="146"/>
        <w:gridCol w:w="260"/>
        <w:gridCol w:w="761"/>
        <w:gridCol w:w="166"/>
        <w:gridCol w:w="146"/>
        <w:gridCol w:w="196"/>
        <w:gridCol w:w="886"/>
        <w:gridCol w:w="166"/>
        <w:gridCol w:w="146"/>
        <w:gridCol w:w="269"/>
        <w:gridCol w:w="827"/>
        <w:gridCol w:w="166"/>
        <w:gridCol w:w="146"/>
        <w:gridCol w:w="196"/>
        <w:gridCol w:w="751"/>
        <w:gridCol w:w="166"/>
        <w:gridCol w:w="146"/>
        <w:gridCol w:w="146"/>
        <w:gridCol w:w="269"/>
        <w:gridCol w:w="827"/>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3" w:type="dxa"/>
            <w:gridSpan w:val="3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Nonredeemable</w:t>
              <w:b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w:t>
              <w:br/>
              <w:t>Non-Controlling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(Note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4,036,678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gain </w:t>
              <w:br/>
              <w:t>   or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Cumulative currency translation </w:t>
              <w:br/>
              <w:t xml:space="preserve">   adjustment attributable to </w:t>
              <w:br/>
              <w:t>   divestiture (Note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Distribution to non-controlling </w:t>
              <w:br/>
              <w:t>   interest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cost under </w:t>
              <w:br/>
              <w:t>   ATM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Redemption of fractional</w:t>
              <w:br/>
              <w:t xml:space="preserve">   shares due to reverse </w:t>
              <w:br/>
              <w:t>   stock split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4,045,445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(1,691,827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3,950,809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gain </w:t>
              <w:br/>
              <w:t>   or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4,030,804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(1,907,481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7897" w:type="dxa"/>
        <w:jc w:val="left"/>
        <w:tblInd w:w="0" w:type="dxa"/>
        <w:tblLayout w:type="fixed"/>
        <w:tblCellMar>
          <w:top w:w="28" w:type="dxa"/>
          <w:left w:w="28" w:type="dxa"/>
          <w:bottom w:w="28" w:type="dxa"/>
          <w:right w:w="28" w:type="dxa"/>
        </w:tblCellMar>
      </w:tblPr>
      <w:tblGrid>
        <w:gridCol w:w="4771"/>
        <w:gridCol w:w="146"/>
        <w:gridCol w:w="221"/>
        <w:gridCol w:w="790"/>
        <w:gridCol w:w="184"/>
        <w:gridCol w:w="178"/>
        <w:gridCol w:w="221"/>
        <w:gridCol w:w="790"/>
        <w:gridCol w:w="596"/>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Nine Months Ended September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197,672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(65,561</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Adjustments to reconcile net income (loss) to net cash provided by (used in) </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Amortization of 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accretion of premium and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Investment income in unconsolidated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(2,664</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Gain on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(52,163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on debt extinguishments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6,583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2,445</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5,387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25,037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Dividend received from unconsolidated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2,230</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(15,958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17,778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54,774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(18,181</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66,011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1,115</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(26,306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(8,705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(48,148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(17,112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(12,796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(136,321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(15,218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interest expense related to sale of future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5,659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interest for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(65,830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13,554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(107,533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divestiture, net of cash transferred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90,204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840</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(8,628</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132,183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87,131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124,270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Repayments of senior secured term loan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(75,000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 of senior secured term loan facilities pay-off premium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Repayments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paid for payroll taxes on restricted stock unit releases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paid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 of issuance cost under ATM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 under employee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(86,014</w:t>
            </w:r>
          </w:p>
        </w:tc>
        <w:tc>
          <w:tcPr>
            <w:tcW w:w="18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w:t>
            </w:r>
          </w:p>
        </w:tc>
        <w:tc>
          <w:tcPr>
            <w:tcW w:w="5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Effect of exchange rate change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838</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15,797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17,315</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102,178</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113,688</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117,975</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131,003</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THE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FibroGen, Inc. (“FibroGen” or the “Company”) is a biopharmaceutical company focused on development of novel therapies at the frontiers of cancer biology and anemia.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The Company initiated a Phase 2 monotherapy dose optimization study of FG-3246 for the treatment of mCRPC, along with the exploratory analysis of FG-3180, in the third quarter of 2025.</w:t>
      </w:r>
    </w:p>
    <w:p>
      <w:pPr>
        <w:pStyle w:val="TextBody"/>
        <w:bidi w:val="0"/>
        <w:spacing w:before="240" w:after="283"/>
        <w:jc w:val="left"/>
        <w:rPr/>
      </w:pPr>
      <w:r>
        <w:rPr>
          <w:rFonts w:ascii="Times New Roman" w:hAnsi="Times New Roman"/>
          <w:color w:val="000000"/>
          <w:sz w:val="20"/>
        </w:rPr>
        <w:t>The Company and its collaboration partners developed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which is currently approved in the People’s Republic of China (“China”), Europe, Japan, and numerous other countries for the treatment of anemia in chronic kidney disease (“CKD”) patients on dialysis and not on dialysis.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August 29, 2025, the Company closed the sale of its China operations through FibroGen International (Hong Kong) Ltd. (“FibroGen International”) to AstraZeneca Treasury Limited pursuant to the share purchase agreement entered into by the Company and AstraZeneca Treasury Limited on February 20, 2025, as amended (“Share Purchase Agreement”) for a total consideration of $220.4 million comprised of $85.0 million in enterprise value and $135.4 million in net cash held in China. AstraZeneca AB (“AstraZeneca”) was the Company’s long-time commercialization partner for roxadustat in greater China. For additional details, refer to Note 2, </w:t>
      </w:r>
      <w:r>
        <w:rPr>
          <w:rFonts w:ascii="Times New Roman" w:hAnsi="Times New Roman"/>
          <w:i/>
          <w:color w:val="000000"/>
          <w:sz w:val="20"/>
        </w:rPr>
        <w:t>Discontinued Operations and Divestiture.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FibroGen has retained the rights to roxadustat in the United States of America (“U.S.”), Canada, Mexico, and in all markets not held by AstraZeneca or licensed to Astellas Pharma Inc. (“Astellas”). Astellas is commercializing roxadustat (EVRENZO</w:t>
      </w:r>
      <w:r>
        <w:rPr>
          <w:rFonts w:ascii="Times New Roman" w:hAnsi="Times New Roman"/>
          <w:color w:val="000000"/>
          <w:sz w:val="13"/>
        </w:rPr>
        <w:t>TM</w:t>
      </w:r>
      <w:r>
        <w:rPr>
          <w:rFonts w:ascii="Times New Roman" w:hAnsi="Times New Roman"/>
          <w:color w:val="000000"/>
          <w:sz w:val="20"/>
        </w:rPr>
        <w:t>) in Europe and Japan to treat anemia under two development and commercialization license agreements: one for Japan, and one for Europe, the Commonwealth of Independent States, the Middle East and South Africa.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continues to work on its development plan for roxadustat in anemia associated with lower-risk myelodysplastic syndromes (“MDS”), a high-value indication with significant unmet medical need. The Company had a positive Type-C meeting with the U.S. Food and Drug Administration (“FDA”) in July 2025, and reached alignment on several elements of our proposed Phase 3 study design for roxadustat in anemia associated with lower-risk MDS, including the starting dose and the inclusion criteria.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and related disclosures have been prepared in accordance with accounting principles generally accepted in the United States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2024, filed on March 17,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FibroGen, its wholly-owned subsidiaries and its majority-owned subsidiaries, as well as any variable interest entity (“VIE”) for which FibroGen is the primary beneficiary. All inter-company transactions and balances have been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as one reportable segment — the development and commercialization of novel therapeutics to treat serious unmet medical needs.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2025, the Company entered into the Share Purchase Agreement with AstraZeneca Treasury Limited pursuant to which FibroGen and its subsidiary FibroGen China Anemia Holdings, Ltd. agreed to sell all of the issued and outstanding equity interests of FibroGen International to AstraZeneca Treasury Limited (the “Transaction”). This sale includes all of FibroGen’s roxadustat assets in China, including FibroGen International’s subsidiary FibroGen (China) Medical Technology Development Co., Ltd (“FibroGen Beijing”) and its 51.1% interest in Beijing Falikang Pharmaceutical Co., Ltd. (“Falikang”). The Transaction was closed on August 29, 2025 for a total consideration of $220.4 million, subject to certain customary adjustments as set forth in the purchase agreement, comprised of $85.0 million in enterprise value and $135.4 million in net cash held in China.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analyzed the quantitative and qualitative factors and concluded that the sale of FibroGen International represents a strategic shift in FibroGen’s business and qualified as a discontinued operation since December 31, 2024. As a result, the Company determined that FibroGen International met the “held for sale” criteria and the “discontinued operations” criteria in accordance with Financial Accounting Standard Board (“FASB”) Accounting Standards Codification (“ASC”) 205, </w:t>
      </w:r>
      <w:r>
        <w:rPr>
          <w:rFonts w:ascii="Times New Roman" w:hAnsi="Times New Roman"/>
          <w:i/>
          <w:color w:val="000000"/>
          <w:sz w:val="20"/>
        </w:rPr>
        <w:t xml:space="preserve">Presentation of Financial Statements. </w:t>
      </w:r>
      <w:r>
        <w:rPr>
          <w:rFonts w:ascii="Times New Roman" w:hAnsi="Times New Roman"/>
          <w:color w:val="000000"/>
          <w:sz w:val="20"/>
        </w:rPr>
        <w:t xml:space="preserve">Accordingly, the operating results related to FibroGen International are classified as discontinued operations, and have been reflected as discontinued operations in the condensed consolidated statements of operations for all periods presented, and therefore, the condensed consolidated statements of operations and the notes to the condensed consolidated financial statements were recasted for all comparative periods presented to classify FibroGen International as discontinued operations. In addition, the related assets and liabilities were classified within the condensed consolidated balance sheets as held for sale for each balance sheet date before the Transaction closes since December 31, 2024. See Note 2, </w:t>
      </w:r>
      <w:r>
        <w:rPr>
          <w:rFonts w:ascii="Times New Roman" w:hAnsi="Times New Roman"/>
          <w:i/>
          <w:color w:val="000000"/>
          <w:sz w:val="20"/>
        </w:rPr>
        <w:t>Discontinued Operations and Divestiture</w:t>
      </w:r>
      <w:r>
        <w:rPr>
          <w:rFonts w:ascii="Times New Roman" w:hAnsi="Times New Roman"/>
          <w:color w:val="000000"/>
          <w:sz w:val="20"/>
        </w:rPr>
        <w:t>, for related disclosures. Unless otherwise noted, discussion in the notes to the condensed consolidated financial statements, relates to solely to the Company’s continuing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16, 2025, the Company effected a 1-for-25 reverse stock split (the “Reverse Stock Split”). The Reverse Stock Split reduced the number of issued and outstanding shares of common stock from approximately 101.1 million shares to approximately 4.0 million shares. Proportionate adjustments have been made to the number of shares available for issuance under the Company’s equity incentive plans as well as outstanding equity awards, in accordance with their respective terms. All share amounts have been retroactively adjusted in the condensed consolidated financial statements and the notes to the condensed consolidated financial statements, where applicable, to reflect the Reverse Stock Split.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are prepared in accordance with the U.S. GAAP applicable to a going concern, which contemplates the realization of assets and the satisfaction of liabilities in the normal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disclosed in previous filings (including the September 30, 2024 Form 10-Q and subsequent Form 10-K and Form 10-Qs), if the Company was unable to complete the above-mentioned Transaction, access additional cash from its China operations, or raise additional capital in the U.S., the Company would not have sufficient liquidity to continue operations in the U.S. for the 12 months from the date that the financial statements were issued and would not be able to comply with its financial covenant that required a minimum balance of unrestricted cash and cash equivalents to be held in accounts in the U.S. Upon an event of default, the Company’s senior secured term loan facilities with Morgan Stanley Tactical Value (“MSTV”) would become immediately due and payable. These factors had raised substantial doubt about the Company’s ability to continue as a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29, 2025, upon the Transaction close, the Company received cash for the sale of $210.4 million and repaid its senior secured term loan facilities with MSTV, outstanding interest and related premium and fees for approximately $80.9 million. With the cash proceeds from the Transaction close, based on its current operating plan, the Company believes that its existing cash and cash equivalents will be sufficient to fund the Company’s planned operating requirements for at least the 12 months following the issuance of the financial statements for 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and estimates in transaction price per unit for the China performance obligation, which was completed during the third quarter of 2025 upon the above-mentioned Transaction close.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used by the Company in its presentation of interim financial results are consistent with those presented in Note 2 to the consolidated financial statements included in the Company’s Annual Report on Form 10-K for the year ended December 31, 2024, filed on March 17,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common shares that would have the effect of increasing diluted earnings per share are considered to be anti-dilutive and as such, these shares are not included in the calculation of diluted earnings per share. The Company reported a loss from continuing operations for each of the three and nine months ended September 30, 2025 and 2024. Therefore, dilutive common shares are not assumed to have been issued since their effect is anti-dilutive for these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Diluted weighted average shares excluded the following potential common shares related to stock options, service-based restricted stock units (“RSUs”), performance-based RSUs (“PRSUs”), total shareholder return (“TSR”) awards and shares to be purchased under the 2014 Employee Stock Purchase Plan (“ESPP”) for the periods presented as they were anti-dilutive (in thousands):</w:t>
      </w:r>
    </w:p>
    <w:p>
      <w:pPr>
        <w:pStyle w:val="TextBody"/>
        <w:bidi w:val="0"/>
        <w:jc w:val="left"/>
        <w:rPr/>
      </w:pPr>
      <w:r>
        <w:rPr/>
        <w:t> </w:t>
      </w:r>
    </w:p>
    <w:tbl>
      <w:tblPr>
        <w:tblW w:w="8471" w:type="dxa"/>
        <w:jc w:val="left"/>
        <w:tblInd w:w="0" w:type="dxa"/>
        <w:tblLayout w:type="fixed"/>
        <w:tblCellMar>
          <w:top w:w="28" w:type="dxa"/>
          <w:left w:w="28" w:type="dxa"/>
          <w:bottom w:w="28" w:type="dxa"/>
          <w:right w:w="28" w:type="dxa"/>
        </w:tblCellMar>
      </w:tblPr>
      <w:tblGrid>
        <w:gridCol w:w="2566"/>
        <w:gridCol w:w="146"/>
        <w:gridCol w:w="275"/>
        <w:gridCol w:w="792"/>
        <w:gridCol w:w="275"/>
        <w:gridCol w:w="275"/>
        <w:gridCol w:w="275"/>
        <w:gridCol w:w="792"/>
        <w:gridCol w:w="146"/>
        <w:gridCol w:w="146"/>
        <w:gridCol w:w="265"/>
        <w:gridCol w:w="766"/>
        <w:gridCol w:w="265"/>
        <w:gridCol w:w="265"/>
        <w:gridCol w:w="265"/>
        <w:gridCol w:w="76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PRSUs and TSR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regulatory authorities,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Guidance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Standards Update (“ASU”)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and relevantly in January 2025, the FASB issued ASU 2025-01, </w:t>
      </w:r>
      <w:r>
        <w:rPr>
          <w:rFonts w:ascii="Times New Roman" w:hAnsi="Times New Roman"/>
          <w:i/>
          <w:color w:val="000000"/>
          <w:sz w:val="20"/>
        </w:rPr>
        <w:t xml:space="preserve">Income Statement - Reporting Comprehensive Income - Expense Disaggregation Disclosures (Subtopic 220-40): Clarifying the Effective Date. </w:t>
      </w:r>
      <w:r>
        <w:rPr>
          <w:rFonts w:ascii="Times New Roman" w:hAnsi="Times New Roman"/>
          <w:color w:val="000000"/>
          <w:sz w:val="20"/>
        </w:rPr>
        <w:t>The guidance requires entities to disaggregate operating expenses into specific categories to provide enhanced transparency into the nature and function of expenses. This guidance is effective for fiscal years beginning after December 15, 2026, and for interim periods within fiscal years beginning after December 15, 2027, with early adoption permitted. This guidance should be applied either prospectively to financial statements issued for reporting periods after the effective date or retrospectively to any or all prior periods presented in the financial statements. The Company is currently in the process of evaluating the effects of this guidance on its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This guidance is effective for annual periods beginning after December 15, 2024, with early adoption permitted. The Company is currently in the process of evaluating the impact of this pronouncement on its related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Discontinued Operations and Divestiture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February 20, 2025, the Company entered into the Share Purchase Agreement with AstraZeneca Treasury Limited, pursuant to which FibroGen and its subsidiary FibroGen China Anemia Holdings, Ltd. agreed to sell all of the issued and outstanding equity interests of FibroGen International to AstraZeneca Treasury Limited. This sale includes all of our roxadustat assets in China, including FibroGen International’s subsidiary FibroGen Beijing and its 51.1% interest in Falikang. The Company determined that FibroGen International met the “held for sale” criteria and the “discontinued operations” criteria in accordance with FASB ASC 205, </w:t>
      </w:r>
      <w:r>
        <w:rPr>
          <w:rFonts w:ascii="Times New Roman" w:hAnsi="Times New Roman"/>
          <w:i/>
          <w:color w:val="000000"/>
          <w:sz w:val="20"/>
        </w:rPr>
        <w:t>Presentation of Financial Statements</w:t>
      </w:r>
      <w:r>
        <w:rPr>
          <w:rFonts w:ascii="Times New Roman" w:hAnsi="Times New Roman"/>
          <w:color w:val="000000"/>
          <w:sz w:val="20"/>
        </w:rPr>
        <w:t xml:space="preserve">, as of December 31, 2024. Accordingly, the operating results related to the FibroGen International are classified as discontinued operations, and have been reflected as discontinued operations in the condensed consolidated statements of operations, while the related assets and liabilities were classified within the condensed consolidated balance sheets as held for sale for all periods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Transaction was closed on August 29, 2025 for a total consideration of $220.4 million comprised of $85.0 million in cash for the enterprise value of FibroGen International and $135.4 million in net cash held in China. The total consideration included a $210.4 million in cash paid at closing, and a total of $10.0 million cash payable by AstraZeneca at the closing subject to holdbacks of: (i) a $6.0 million holdback to offset final net cash adjustments which will be released following a customary adjustment process approximately 90 days post-closing (as such time may be extended for the parties to mutually agree upon final adjustments), and (ii) a $4.0 million holdback to satisfy any indemnity claims, which will be released, net of any claims paid or unresolved, nine months after the closing. The Company does not expect such adjustments to be material, therefore have recorded the $10.0 million as other receivable as of September 30, 2025, which were included in the prepaid expenses and other current assets on the condensed consolidated balance sheets. On November 6, 2025, the Company received a $6.4 million payment from AstraZeneca, which is in full satisfaction of the first holdback of $6.0 million, plus $0.4 million that was an additional payment following the final net cash adjustments after closing.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results of the discontinued operations with respect to FibroGen International reflected in the condensed consolidated statements of operations for the three and nine months ended September 30, 2025 and 2024 were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23"/>
        <w:gridCol w:w="146"/>
        <w:gridCol w:w="243"/>
        <w:gridCol w:w="902"/>
        <w:gridCol w:w="191"/>
        <w:gridCol w:w="168"/>
        <w:gridCol w:w="243"/>
        <w:gridCol w:w="781"/>
        <w:gridCol w:w="166"/>
        <w:gridCol w:w="146"/>
        <w:gridCol w:w="229"/>
        <w:gridCol w:w="851"/>
        <w:gridCol w:w="180"/>
        <w:gridCol w:w="159"/>
        <w:gridCol w:w="229"/>
        <w:gridCol w:w="851"/>
        <w:gridCol w:w="597"/>
      </w:tblGrid>
      <w:tr>
        <w:trPr/>
        <w:tc>
          <w:tcPr>
            <w:tcW w:w="4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226,651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126,391</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14,820</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21,666</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41,868</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196,609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84,523</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(8,745</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238,783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76,262</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 in unconsolidated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241,266</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78,872</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color w:val="000000"/>
          <w:sz w:val="20"/>
        </w:rPr>
        <w:t xml:space="preserve">The product revenue, net, consists primarily of revenues from sales of roxadustat commercial product to Falikang, a distribution entity jointly owned by AstraZeneca and FibroGen Beijing, and is discussed in the </w:t>
      </w:r>
      <w:r>
        <w:rPr>
          <w:rFonts w:ascii="Times New Roman" w:hAnsi="Times New Roman"/>
          <w:i/>
          <w:color w:val="000000"/>
          <w:sz w:val="20"/>
        </w:rPr>
        <w:t>China Performance Obligation</w:t>
      </w:r>
      <w:r>
        <w:rPr>
          <w:rFonts w:ascii="Times New Roman" w:hAnsi="Times New Roman"/>
          <w:color w:val="000000"/>
          <w:sz w:val="20"/>
        </w:rPr>
        <w:t xml:space="preserve"> section in Note 3, </w:t>
      </w:r>
      <w:r>
        <w:rPr>
          <w:rFonts w:ascii="Times New Roman" w:hAnsi="Times New Roman"/>
          <w:i/>
          <w:color w:val="000000"/>
          <w:sz w:val="20"/>
        </w:rPr>
        <w:t>Collaboration Agreements, License Agreement and Revenues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gain on divestiture of $52.2 million was resulted from the above-mentioned total consideration of $220.4 million, less the transaction costs and fees of $7.8 million, and the derecognition of the net equity of $154.9 million of FibroGen International at the Transaction close and the cumulative currency translation adjustments of $5.5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 of the assets and liabilities of the discontinued operations with respect to FibroGen International on the condensed consolidated balance sheets as of December 31, 2024 were as follows (in thousands):</w:t>
      </w:r>
    </w:p>
    <w:p>
      <w:pPr>
        <w:pStyle w:val="TextBody"/>
        <w:bidi w:val="0"/>
        <w:jc w:val="left"/>
        <w:rPr/>
      </w:pPr>
      <w:r>
        <w:rPr/>
        <w:t> </w:t>
      </w:r>
    </w:p>
    <w:tbl>
      <w:tblPr>
        <w:tblW w:w="7908" w:type="dxa"/>
        <w:jc w:val="left"/>
        <w:tblInd w:w="0" w:type="dxa"/>
        <w:tblLayout w:type="fixed"/>
        <w:tblCellMar>
          <w:top w:w="28" w:type="dxa"/>
          <w:left w:w="28" w:type="dxa"/>
          <w:bottom w:w="28" w:type="dxa"/>
          <w:right w:w="28" w:type="dxa"/>
        </w:tblCellMar>
      </w:tblPr>
      <w:tblGrid>
        <w:gridCol w:w="5671"/>
        <w:gridCol w:w="146"/>
        <w:gridCol w:w="319"/>
        <w:gridCol w:w="1181"/>
        <w:gridCol w:w="5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investment in unconsolidated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liabilities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significant non-cash items and capital expenditures for the discontinued operations with respect to FibroGen International included in the condensed consolidated statements of cash flows for the nine months ended September 30, 2025 and 2024 were as follows (in thousands):</w:t>
      </w:r>
    </w:p>
    <w:p>
      <w:pPr>
        <w:pStyle w:val="TextBody"/>
        <w:bidi w:val="0"/>
        <w:spacing w:before="40" w:after="283"/>
        <w:jc w:val="both"/>
        <w:rPr/>
      </w:pPr>
      <w:r>
        <w:rPr/>
        <w:t> </w:t>
      </w:r>
    </w:p>
    <w:tbl>
      <w:tblPr>
        <w:tblW w:w="8171" w:type="dxa"/>
        <w:jc w:val="left"/>
        <w:tblInd w:w="0" w:type="dxa"/>
        <w:tblLayout w:type="fixed"/>
        <w:tblCellMar>
          <w:top w:w="28" w:type="dxa"/>
          <w:left w:w="28" w:type="dxa"/>
          <w:bottom w:w="28" w:type="dxa"/>
          <w:right w:w="28" w:type="dxa"/>
        </w:tblCellMar>
      </w:tblPr>
      <w:tblGrid>
        <w:gridCol w:w="5221"/>
        <w:gridCol w:w="146"/>
        <w:gridCol w:w="240"/>
        <w:gridCol w:w="837"/>
        <w:gridCol w:w="279"/>
        <w:gridCol w:w="279"/>
        <w:gridCol w:w="240"/>
        <w:gridCol w:w="718"/>
        <w:gridCol w:w="2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 in unconsolidated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(52,163</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received from unconsolidated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Included in the discontinued operations, Falikang, an entity jointly owned by FibroGen Beijing and AstraZeneca is an unconsolidated VIE accounted for as an equity method investment, and considered as a related party to the Company. FibroGen Beijing owns 51.1% of Falikang’s equity.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product revenue from sales to Falikang were $165.3 million and $42.2 million for the three months ended September 30, 2025 and 2024, and $218.6 million and $115.3 million for the nine months ended September 30, 2025 and 2024, respectively. The product revenue recognized for the three months ended September 30, 2025 included an increase in revenue of $118.3 million resulting from changes to estimated variable consideration in the current period relating to performance obligation satisfied in previous periods. The other income from Falikang were immaterial for the three and nine months ended September 30,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investment income in Falikang was $1.4 million and $0.9 million for the three months ended September 30, 2025 and 2024, and $2.5 million and $2.7 million for the nine months ended September 30, 2025 and 2024, respectively. As of December 31, 2024, the Company’s equity method investment in Falikang was $6.9 million, which were included in the long-term assets held for sale on the condensed consolidated balance sheets. As of December 31, 2024, accounts receivable, net, from Falikang was $13.9 million, which were included in the current assets held for sale on the condensed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Collaboration Agreements, License Agreement and Revenues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Astellas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2005, the Company entered into a collaboration agreement with Astellas for the development and commercialization (but not manufacture) of roxadustat for the treatment of anemia in Japan (“Astellas Japan Agreement”). Under this agreement, Astellas agreed to pay license fees, other upfront consideration and various milestone payments, totaling $172.6 million. The Astellas Japan Agreement also provides for tiered payments based on net sales of product (as defined) in the low 20% range of the list price published by Japan’s Ministry of Health, Labour and Welfare, adjusted for certain elements, after commercial launch.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aggregate amount of consideration received under the Astellas Japan Agreement through September 30, 2025 totaled $105.1 million, excluding drug product revenue that is discussed under the </w:t>
      </w:r>
      <w:r>
        <w:rPr>
          <w:rFonts w:ascii="Times New Roman" w:hAnsi="Times New Roman"/>
          <w:i/>
          <w:color w:val="000000"/>
          <w:sz w:val="20"/>
        </w:rPr>
        <w:t>Drug Product Revenue, Net</w:t>
      </w:r>
      <w:r>
        <w:rPr>
          <w:rFonts w:ascii="Times New Roman" w:hAnsi="Times New Roman"/>
          <w:color w:val="000000"/>
          <w:sz w:val="20"/>
        </w:rPr>
        <w:t xml:space="preserve"> section below. Based on its current development plans for roxadustat in Japan, the Company does not expect to receive most or all of the additional potential milestones under the Astellas Japan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recognized as license revenue and development revenue under the Astellas Japan Agreement were not material for the three and nine months ended September 30, 2025 and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related to consideration received through September 30, 2025 and accounts receivable has been allocated to each of the performance obligations under the Astellas Japan Agreement, including $100.3 million for license and $17.1 million for co-development.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license revenue or development revenue resulting from changes to estimated variable consideration in the current period relating to performance obligations satisfied or partially satisfied in previous periods for the three months ended September 30, 2025 under the Astellas Japan Agreement. The Company does not expect material variable consideration from estimated future co-development billing beyond the development period in the transaction price related to the Astellas Japan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2018, FibroGen and Astellas entered into an amendment to the Astellas Japan Agreement that allows Astellas to manufacture roxadustat drug product for commercialization in Japan (the “Astellas Japan Amendment”). The related drug product revenue is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agreed to pay license fees, other upfront consideration and various milestone payments, totaling $745.0 million. Under the Astellas Europe Agreement, Astellas committed to fund 50% of joint development costs for Europe and North America, and all territory-specific costs. The Astellas Europe Agreement also provides for tiered payments based on net sales of product (as defined) in the low 20% range.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aggregate amount of consideration received under the Astellas Europe Agreement through September 30, 2025 totaled $685.0 million, excluding drug product revenue that is discussed under the </w:t>
      </w:r>
      <w:r>
        <w:rPr>
          <w:rFonts w:ascii="Times New Roman" w:hAnsi="Times New Roman"/>
          <w:i/>
          <w:color w:val="000000"/>
          <w:sz w:val="20"/>
        </w:rPr>
        <w:t>Drug Product Revenue, Net</w:t>
      </w:r>
      <w:r>
        <w:rPr>
          <w:rFonts w:ascii="Times New Roman" w:hAnsi="Times New Roman"/>
          <w:color w:val="000000"/>
          <w:sz w:val="20"/>
        </w:rPr>
        <w:t xml:space="preserve"> section below. Based on its current development plans for roxadustat in Europe, the Company does not expect to receive most or all of the additional potential milestones under the Astellas Europe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recognized as license revenue and development revenue under the Astellas Europe Agreement were not material for the three and nine months ended September 30,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related to consideration received through September 30, 2025 and accounts receivable has been allocated to each of the performance obligations under the Astellas Europe Agreement, including $619.0 million for license and $288.5 million for co-development.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license revenue or development revenue resulting from changes to estimated variable consideration in the current period relating to performance obligations satisfied or partially satisfied in previous periods for three months ended September 30, 2025 under the Astellas Europe Agreement. The Company does not expect material variable consideration from estimated future co-development billing beyond the development period in the transaction price related to the Astellas Europe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2021, the Company entered into an EU Supply Agreement with Astellas under the Astellas Europe Agreement (“Astellas EU Supply Agreement”) to define general forecast, order, supply and payment terms for Astellas to purchase roxadustat bulk drug product from FibroGen in support of commercial supplies. The related drug product revenue is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AstraZeneca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AstraZeneca U.S./Rest of World (“RoW”)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2013, the Company entered into a collaboration agreement with AstraZeneca for the development and commercialization of roxadustat for the treatment of anemia in the U.S. and all other countries in the world, other than China, not previously licensed under the Astellas Europe Agreement and Astellas Japan Agreement (“AstraZeneca U.S./RoW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25, 2024, the Company and AstraZeneca entered into an agreement to terminate the AstraZeneca U.S./RoW Agreement, as amended and restated on August 29, 2025 (“AstraZeneca Termination and Transition Agreement”). Pursuant to the AstraZeneca Termination and Transition Agreement, AstraZeneca returns all of their non-China roxadustat rights to the Company, with the exception of South Korea, and provides certain assistance during a transition period. In addition, as a part of this AstraZeneca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aggregate amount of consideration for milestone and upfront payments received under the AstraZeneca U.S./RoW Agreement through the termination totaled $439.0 million, excluding drug product revenue under the Master Supply Agreement with AstraZeneca under the AstraZeneca U.S./RoW Agreement (“AstraZeneca Master Supply Agreement”), entered in 2020, which is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 In addition, resulting from the AstraZeneca Termination and Transition Agreement, the Company and AstraZeneca settled the outstanding balances relating to past transactions under the AstraZeneca Master Supply Agreement. Accordingly, during the first quarter of 2024, the Company accounted for the termination of the AstraZeneca U.S./RoW agreement as a contract modification under the ASC 606, </w:t>
      </w:r>
      <w:r>
        <w:rPr>
          <w:rFonts w:ascii="Times New Roman" w:hAnsi="Times New Roman"/>
          <w:i/>
          <w:color w:val="000000"/>
          <w:sz w:val="20"/>
        </w:rPr>
        <w:t>Revenue from Contracts with Customers</w:t>
      </w:r>
      <w:r>
        <w:rPr>
          <w:rFonts w:ascii="Times New Roman" w:hAnsi="Times New Roman"/>
          <w:color w:val="000000"/>
          <w:sz w:val="20"/>
        </w:rPr>
        <w:t xml:space="preserve"> (“ASC 606”) and recorded a cumulative catch-up adjustment as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AstraZeneca China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AstraZeneca was the Company’s long-time commercialization partner for roxadustat in greater China. In July 2013, the Company (through its subsidiaries affiliated with China) entered into a collaboration agreement with AstraZeneca for roxadustat for the treatment of anemia in China (“AstraZeneca China Agreement”). Under the terms of the AstraZeneca China Agreement, AstraZeneca agreed to pay upfront consideration and potential milestone payments, totaling $376.7 million. The aggregate amount of such consideration received for milestone and upfront payments through September 30, 2025 totaled $81.2 million.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discussed in Note 2, </w:t>
      </w:r>
      <w:r>
        <w:rPr>
          <w:rFonts w:ascii="Times New Roman" w:hAnsi="Times New Roman"/>
          <w:i/>
          <w:color w:val="000000"/>
          <w:sz w:val="20"/>
        </w:rPr>
        <w:t xml:space="preserve">Discontinued Operations and Divestiture, </w:t>
      </w:r>
      <w:r>
        <w:rPr>
          <w:rFonts w:ascii="Times New Roman" w:hAnsi="Times New Roman"/>
          <w:color w:val="000000"/>
          <w:sz w:val="20"/>
        </w:rPr>
        <w:t>on August 29, 2025, the Transaction was completed to sell the Company’s China operations to AstraZeneca pursuant to the Share Purchase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AstraZeneca China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2020, FibroGen China Anemia Holdings, Ltd., FibroGen Beijing, FibroGen International, and AstraZeneca entered into an amendment to the AstraZeneca China Agreement, relating to the development and commercialization of roxadustat in China (the “AstraZeneca China Amendment”). Under the AstraZeneca China Amendment, in 2020, FibroGen Beijing and AstraZeneca completed the establishment of a jointly owned entity, Falikang, which performs roxadustat distribution, as well as conducts sales and marketing through AstraZeneca.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Substantially all direct roxadustat product sales to distributors in China are made by Falikang, while FibroGen Beijing continues to sell roxadustat product directly in limited areas in China. FibroGen Beijing manufactures and supplies commercial product to Falikang based on a gross transfer price, which is adjusted for the estimated profit share. Further discussion related to the sales to Falikang is discussed under the </w:t>
      </w:r>
      <w:r>
        <w:rPr>
          <w:rFonts w:ascii="Times New Roman" w:hAnsi="Times New Roman"/>
          <w:i/>
          <w:color w:val="000000"/>
          <w:sz w:val="20"/>
        </w:rPr>
        <w:t xml:space="preserve">China Performance Obligation </w:t>
      </w:r>
      <w:r>
        <w:rPr>
          <w:rFonts w:ascii="Times New Roman" w:hAnsi="Times New Roman"/>
          <w:color w:val="000000"/>
          <w:sz w:val="20"/>
        </w:rPr>
        <w:t xml:space="preserve">section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above-mentioned termination of the AstraZeneca U.S./RoW Agreement, the Company evaluated under the ASC 606 and accounted for the AstraZeneca U.S./RoW Agreement and the AstraZeneca China Agreement as a single arrangement with the presumption that two or more agreements executed with a single customer at or around the same time should be presumed to be a single arrangement. As a result of the termination of the AstraZeneca U.S./RoW Agreement, during the first quarter of 2024, the Company recorded the final development revenue under the AstraZeneca U.S./RoW Agreement and AstraZeneca China Agreement, which was immaterial.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transaction price related to consideration received and accounts receivable through the termination of the AstraZeneca U.S./RoW Agreement has been allocated to each of the performance obligations under the AstraZeneca U.S./RoW Agreement and AstraZeneca China Agreement, including $344.5 million for license, $625.5 million for co-development, information sharing and committee services, and $573.4 million for China performance obligation (with cumulative revenue of $573.4 million through September 30, 2025) that is recognized as product revenue, net, included in discontinued operations as described under </w:t>
      </w:r>
      <w:r>
        <w:rPr>
          <w:rFonts w:ascii="Times New Roman" w:hAnsi="Times New Roman"/>
          <w:i/>
          <w:color w:val="000000"/>
          <w:sz w:val="20"/>
        </w:rPr>
        <w:t xml:space="preserve">China Performance Obligation </w:t>
      </w:r>
      <w:r>
        <w:rPr>
          <w:rFonts w:ascii="Times New Roman" w:hAnsi="Times New Roman"/>
          <w:color w:val="000000"/>
          <w:sz w:val="20"/>
        </w:rPr>
        <w:t>section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China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revenue, net, which is included in the discontinued operations, consists primarily of revenues from sales of roxadustat commercial product to Falikang. Substantially all direct roxadustat product sales to distributors in China are made by Falikang. FibroGen Beijing manufactures and supplies commercial product to Falikang. The net transaction price for FibroGen Beijing’s product sales to Falikang is based on a gross transaction price, adjusted for the estimated profit share. </w:t>
      </w:r>
    </w:p>
    <w:p>
      <w:pPr>
        <w:pStyle w:val="TextBody"/>
        <w:bidi w:val="0"/>
        <w:spacing w:before="240" w:after="283"/>
        <w:jc w:val="left"/>
        <w:rPr>
          <w:rFonts w:ascii="Times New Roman" w:hAnsi="Times New Roman"/>
          <w:sz w:val="20"/>
        </w:rPr>
      </w:pPr>
      <w:r>
        <w:rPr>
          <w:rFonts w:ascii="Times New Roman" w:hAnsi="Times New Roman"/>
          <w:color w:val="000000"/>
          <w:sz w:val="20"/>
        </w:rPr>
        <w:t>The roxadustat sales to Falikang marked the beginning of the Company’s China performance obligation under the Company’s agreements with AstraZeneca</w:t>
      </w:r>
      <w:r>
        <w:rPr>
          <w:rFonts w:ascii="Times New Roman" w:hAnsi="Times New Roman"/>
          <w:i/>
          <w:color w:val="000000"/>
          <w:sz w:val="20"/>
        </w:rPr>
        <w:t>.</w:t>
      </w:r>
      <w:r>
        <w:rPr>
          <w:rFonts w:ascii="Times New Roman" w:hAnsi="Times New Roman"/>
          <w:color w:val="000000"/>
          <w:sz w:val="20"/>
        </w:rPr>
        <w:t xml:space="preserve"> 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Periodically, the Company updates its assumptions such as total sales quantity, timing of China’s volume-based purchasing program, performance period, gross transaction price, profit share and other inputs including foreign currency translation impact, among others. Any net transaction price in excess of the revenue recognized is added to the deferred balance to date, and recognized in the periods as the performance obligation is satisfied.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discussed in Note 2, </w:t>
      </w:r>
      <w:r>
        <w:rPr>
          <w:rFonts w:ascii="Times New Roman" w:hAnsi="Times New Roman"/>
          <w:i/>
          <w:color w:val="000000"/>
          <w:sz w:val="20"/>
        </w:rPr>
        <w:t xml:space="preserve">Discontinued Operations and Divestiture, </w:t>
      </w:r>
      <w:r>
        <w:rPr>
          <w:rFonts w:ascii="Times New Roman" w:hAnsi="Times New Roman"/>
          <w:color w:val="000000"/>
          <w:sz w:val="20"/>
        </w:rPr>
        <w:t>the divestiture of FibroGen International was completed on August 29, 2025 and accordingly, the performance obligation to AstraZeneca was completely satisfied upon the closing of the divestiture. As a result, all the previously deferred revenues were recognized as revenue during the three months ended September 30, 2025. The following table includes a roll-forward of the related deferred revenue that was considered as a contract liability that was not included in the disposal group held for sale as of December 31, 2024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98"/>
        <w:gridCol w:w="146"/>
        <w:gridCol w:w="275"/>
        <w:gridCol w:w="1095"/>
        <w:gridCol w:w="166"/>
        <w:gridCol w:w="146"/>
        <w:gridCol w:w="211"/>
        <w:gridCol w:w="736"/>
        <w:gridCol w:w="166"/>
        <w:gridCol w:w="146"/>
        <w:gridCol w:w="239"/>
        <w:gridCol w:w="887"/>
        <w:gridCol w:w="146"/>
        <w:gridCol w:w="146"/>
        <w:gridCol w:w="237"/>
        <w:gridCol w:w="709"/>
        <w:gridCol w:w="166"/>
        <w:gridCol w:w="146"/>
        <w:gridCol w:w="509"/>
        <w:gridCol w:w="840"/>
        <w:gridCol w:w="195"/>
      </w:tblGrid>
      <w:tr>
        <w:trPr/>
        <w:tc>
          <w:tcPr>
            <w:tcW w:w="2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Recognized </w:t>
              <w:br/>
              <w:t xml:space="preserve">as Revenue </w:t>
              <w:br/>
              <w:t xml:space="preserve">(Discontinued </w:t>
              <w:br/>
              <w:t>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br/>
              <w:t>Translation</w:t>
              <w:b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September 30,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AstraZeneca China performance obligation</w:t>
              <w:br/>
              <w:t>   -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related net product revenue recognized from the sales to Falikang was $165.3 million and $42.2 million for the three months ended September 30, 2025 and 2024, and $218.6 million and $115.3 million for the nine months ended September 30, 2025 and 2024, respectively, which were included in the discontinued operations in the condensed consolidated statements of operations together with the sales directly to distributors.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Drug 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product revenue from commercial-grade active pharmaceutical ingredient (“API”) or bulk drug product sales to Astellas and AstraZeneca was as follows for the three and nine months ended September 30, 2025 and 2024 (in thousands):</w:t>
      </w:r>
    </w:p>
    <w:p>
      <w:pPr>
        <w:pStyle w:val="TextBody"/>
        <w:bidi w:val="0"/>
        <w:jc w:val="left"/>
        <w:rPr/>
      </w:pPr>
      <w:r>
        <w:rPr/>
        <w:t> </w:t>
      </w:r>
    </w:p>
    <w:tbl>
      <w:tblPr>
        <w:tblW w:w="9136" w:type="dxa"/>
        <w:jc w:val="left"/>
        <w:tblInd w:w="0" w:type="dxa"/>
        <w:tblLayout w:type="fixed"/>
        <w:tblCellMar>
          <w:top w:w="28" w:type="dxa"/>
          <w:left w:w="28" w:type="dxa"/>
          <w:bottom w:w="28" w:type="dxa"/>
          <w:right w:w="28" w:type="dxa"/>
        </w:tblCellMar>
      </w:tblPr>
      <w:tblGrid>
        <w:gridCol w:w="2911"/>
        <w:gridCol w:w="146"/>
        <w:gridCol w:w="292"/>
        <w:gridCol w:w="792"/>
        <w:gridCol w:w="230"/>
        <w:gridCol w:w="202"/>
        <w:gridCol w:w="292"/>
        <w:gridCol w:w="875"/>
        <w:gridCol w:w="166"/>
        <w:gridCol w:w="146"/>
        <w:gridCol w:w="279"/>
        <w:gridCol w:w="755"/>
        <w:gridCol w:w="193"/>
        <w:gridCol w:w="193"/>
        <w:gridCol w:w="279"/>
        <w:gridCol w:w="894"/>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Astellas Japan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AstraZeneca U.S./RoW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updates its estimate of variable consideration related to the API shipments fulfilled under the terms of Astellas Japan Amendment at each balance sheet date. As a result, the Company recorded a reduction to the drug product revenue of $0.4 million for the three months ended September 30, 2025. Specifically, the change in estimated variable consideration was based on the API held by Astellas at period end, adjusted to reflect foreign exchange impacts,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2025, the adjustment to the drug product revenue was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the Company updated its estimate of variable consideration related to the API shipments fulfilled under the terms of Astellas Japan Amendment, and accordingly recorded an adjustment to the drug product revenue of $1.8 million. Specifically, the change in estimated variable consideration was based on the API held by Astellas at period end, adjusted to reflect the changes in the estimated yield from the manufacture of bulk product tablets,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2024, the Company updated its estimate of variable consideration related to the API shipments fulfilled under the terms of Astellas Japan Amendment, and accordingly recorded a reduction to the drug product revenue of $1.4 million. Specifically, the change in estimated variable consideration was based on the API held by Astellas at period end, adjusted to reflect the changes in the estimated bulk product strength mix intended to be manufactured by Astellas,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June 30, 2024, the Company updated its estimate of variable consideration related to the API shipments fulfilled under the terms of Astellas Japan Amendment, and accordingly recorded a reduction to the drug product revenue of $0.4 million. Specifically, the change in estimated variable consideration was based on the API held by Astellas at period end, adjusted to reflect foreign exchange impacts and the changes in the estimated bulk product strength mix intended to be manufactured by Astellas, among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2024, the Company updated its estimate of variable consideration related to the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and foreign exchange impacts, among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2025, the balances related to the API price true-up under the Astellas Japan Agreement were $1.0 million in accrued liabilities, representing the Company’s best estimate of the timing for these amounts to be paid. As of December 31, 2024, the balances related to the API price true-up under the Astellas Japan Agreement were $2.5 million in accrued liabilities and $0.6 million in other long-term liabilities.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transferred bulk drug product for commercial purposes under the terms of the Astellas Europe Agreement and the Astellas EU Supply Agreement in the prior years. The Company recognized the related fully burdened manufacturing costs as drug product revenue in the respective periods and recorded the constrained transaction price in deferred revenue due to a high degree of uncertainty associated with the variable consideration for revenue recognition purposes. The Company updates its estimate of variable consideration related to the bulk drug product transferred in prior years at each balance sheet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fourth quarter of 2024, the Company transferred bulk drug product for commercial purposes under the terms of the Astellas Europe Agreement and the Astellas EU Supply Agreement, and recognized the related fully-burdened manufacturing costs of $0.6 million as drug product revenue, and recorded $4.4 million as deferred revenue due to a high degree of uncertainty associated with the variable consideration for revenue recognition purposes. In addition,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2024, the Company reclassified $7.2 million from the related deferred revenue to accrued liabilities. As of December 31, 2024, the related balance in accrued liabilities was $10.5 million. Further for the nine months ended September 30, 2025, the Company reclassified $0.9 million from the related deferred revenue to accrued liabilities. As of September 30, 2025, the balances related to the bulk drug product price true-up under the Astellas Europe Agreement and the Astellas EU Supply Agreement were $11.4 million in accrued liabilities, representing the Company’s best estimate that these amounts will be paid within the next 12 months, a $7.1 million of which was paid to Astellas in October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royalty revenue of $1.3 million and $1.1 million as drug product revenue from the deferred revenue under the Astellas Europe Agreement for the three months ended September 30, 2025 and 2024, and $3.3 million and $3.2 million for the nine months ended September 30, 2025 and 2024, respectively. It is the Company’s best estimate that the remainder of the deferred revenue will be recognized as revenue when uncertainty is resolved, based on the performance of roxadustat product sales in the Astellas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includes a roll-forward of the above-mentioned deferred revenues that are considered as contract liabilities related to drug product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9"/>
        <w:gridCol w:w="146"/>
        <w:gridCol w:w="303"/>
        <w:gridCol w:w="907"/>
        <w:gridCol w:w="166"/>
        <w:gridCol w:w="146"/>
        <w:gridCol w:w="379"/>
        <w:gridCol w:w="1029"/>
        <w:gridCol w:w="146"/>
        <w:gridCol w:w="146"/>
        <w:gridCol w:w="860"/>
        <w:gridCol w:w="1723"/>
        <w:gridCol w:w="146"/>
        <w:gridCol w:w="146"/>
        <w:gridCol w:w="312"/>
        <w:gridCol w:w="936"/>
        <w:gridCol w:w="295"/>
      </w:tblGrid>
      <w:tr>
        <w:trPr/>
        <w:tc>
          <w:tcPr>
            <w:tcW w:w="2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 as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Reclassified to Accrued Liability / Accounts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September 30,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Drug product revenue -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AstraZeneca U.S./RoW Agreement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described under </w:t>
      </w:r>
      <w:r>
        <w:rPr>
          <w:rFonts w:ascii="Times New Roman" w:hAnsi="Times New Roman"/>
          <w:i/>
          <w:color w:val="000000"/>
          <w:sz w:val="20"/>
        </w:rPr>
        <w:t xml:space="preserve">AstraZeneca Agreements </w:t>
      </w:r>
      <w:r>
        <w:rPr>
          <w:rFonts w:ascii="Times New Roman" w:hAnsi="Times New Roman"/>
          <w:color w:val="000000"/>
          <w:sz w:val="20"/>
        </w:rPr>
        <w:t xml:space="preserve">section above, pursuant to the AstraZeneca Termination and Transition Agreement related to the AstraZeneca U.S./RoW Agreement, the Company and AstraZeneca settled the outstanding balances relating to past transactions under the AstraZeneca Master Supply Agreement. Accordingly, during the first quarter of 2024, the Company accounted for the termination of the AstraZeneca U.S./RoW agreement as a contract modification under the ASC 606 and recorded a cumulative catch-up net adjustment of $25.7 million to the drug product revenue and received the cash during the second quarter of 2024. Corresponding to the drug product revenue, during the first quarter of 2024, the Company recorded the related cost of goods sold of $21.1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Consolidated Variable Interest Entity - Fortis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May 2023 (the “Option Acquisition Date”), the Company entered into an exclusive option agreement to acquire Fortis Therapeutics, Inc. (“Fortis”) with its novel Phase 1 ADC, FOR46 (now referred to as “FG-3246”), that targets a novel epitope on CD46 preferentially expressed on certain cancer cells. FG-3246 is in development for the treatment of mCRPC with potential applicability in other solid tumors and hematologic malignancies. If FibroGen exercises the option to acquire Fortis, it will pay Fortis an </w:t>
      </w:r>
      <w:r>
        <w:rPr>
          <w:rFonts w:ascii="Times New Roman" w:hAnsi="Times New Roman"/>
          <w:color w:val="212529"/>
          <w:sz w:val="20"/>
        </w:rPr>
        <w:t xml:space="preserve">option exercise payment </w:t>
      </w:r>
      <w:r>
        <w:rPr>
          <w:rFonts w:ascii="Times New Roman" w:hAnsi="Times New Roman"/>
          <w:color w:val="000000"/>
          <w:sz w:val="20"/>
        </w:rPr>
        <w:t xml:space="preserve">of $80.0 million, and thereafter, legacy Fortis shareholders would be eligible to receive from FibroGen up to $200.0 million in contingent payments associated with the achievement of various regulatory approvals. If FibroGen acquires Fortis, it would also be responsible to pay University of California, San Francisco (“UCSF”), an upstream licensor to Fortis, development milestone fees and a single digit royalty on net sales of therapeutic or diagnostic products arising from the </w:t>
      </w:r>
      <w:r>
        <w:rPr>
          <w:rFonts w:ascii="Times New Roman" w:hAnsi="Times New Roman"/>
          <w:color w:val="212529"/>
          <w:sz w:val="20"/>
        </w:rPr>
        <w:t>licensing arrangement between Fortis and UCSF</w:t>
      </w:r>
      <w:r>
        <w:rPr>
          <w:rFonts w:ascii="Times New Roman" w:hAnsi="Times New Roman"/>
          <w:color w:val="000000"/>
          <w:sz w:val="20"/>
        </w:rPr>
        <w:t xml:space="preserve">. If FibroGen chooses not to acquire Fortis, its exclusive license to FG-3246 would expire.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On March 28, 2025, the Company and Fortis entered into amendments and modified the option exercise deadline to December 31, 2027.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an evaluation agreement entered into with Fortis concurrent with the option agreement (together the “Fortis Agreements”), FibroGen has exclusively licensed FG-3246 and will control and fund future research, development, including a Phase 2 clinical study sponsored by FibroGen, and manufacturing of FG-3246 during the up-to four-year option period (which ends on the earlier of 120 days after Fortis or FibroGen submits data from any Phase 2 clinical trial of a product to the U.S. Food and Drug Administration for the purpose of progressing to a Phase 3 clinical trial or December 31, 2027 absent extension). As part of the clinical development strategy, FibroGen will continue the work to develop a PET-based biomarker utilizing a radiolabeled version of the targeting antibody for patient selection. Additionally, the Company is obligated to make four quarterly payments totaling $5.4 million to Fortis in support of its continued development obligations, of which the last payment was $1.7 million and made during the three months ended March 31, 2024.</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Pursuant to the guidance under ASC 810, </w:t>
      </w:r>
      <w:r>
        <w:rPr>
          <w:rFonts w:ascii="Times New Roman" w:hAnsi="Times New Roman"/>
          <w:i/>
          <w:color w:val="000000"/>
          <w:sz w:val="20"/>
        </w:rPr>
        <w:t>Consolidation</w:t>
      </w:r>
      <w:r>
        <w:rPr>
          <w:rFonts w:ascii="Times New Roman" w:hAnsi="Times New Roman"/>
          <w:color w:val="000000"/>
          <w:sz w:val="20"/>
        </w:rPr>
        <w:t xml:space="preserve"> (“ASC 810”), the Company determined that Fortis is a VIE and that the Company is the primary beneficiary of Fortis, as through the Fortis Agreements the Company has the power to direct activities that most significantly impact the economic performance of Fortis. Therefore, the Company consolidated Fortis starting from the Option Acquisition Date and continues to consolidate as of September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Fortis has authorized and issued common shares and Series A preferred shares. As of the Option Acquisition Date and September 30, 2025, the Company owned approximately 2% of Fortis’ Series A preferred shares, which was acquired previously and carried at zero cost. The non-controlling interests (“NCI”) attributable to the common shares is classified as nonredeemable NCI, as it is 100% owned by third party shareholders. The NCI attributable to the approximately 98% of Series A preferred shares owned by other investors are classified as redeemable NCI in temporary equity, as the preferred shares are redeemable by the non-controlling shareholders upon occurrence of certain events out of the Company’s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Subsequent to the Option Acquisition Date, Fortis’ net income is allocated to its common shares and preferred shares based on their respective stated rights. Fortis’ net loss is allocated to its common shares only as the holders of preferred shares do not have a contractual obligation to absorb such losses.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total assets and liabilities of Fortis were immaterial. For the three and nine months ended September 30, 2025 and 2024, Fortis’ net income (losses) was immaterial.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values of the Company’s financial assets that are measured on a recurring basis are as follows (in thousands):</w:t>
      </w:r>
    </w:p>
    <w:tbl>
      <w:tblPr>
        <w:tblW w:w="6820" w:type="dxa"/>
        <w:jc w:val="left"/>
        <w:tblInd w:w="0" w:type="dxa"/>
        <w:tblLayout w:type="fixed"/>
        <w:tblCellMar>
          <w:top w:w="28" w:type="dxa"/>
          <w:left w:w="28" w:type="dxa"/>
          <w:bottom w:w="28" w:type="dxa"/>
          <w:right w:w="28" w:type="dxa"/>
        </w:tblCellMar>
      </w:tblPr>
      <w:tblGrid>
        <w:gridCol w:w="2011"/>
        <w:gridCol w:w="146"/>
        <w:gridCol w:w="211"/>
        <w:gridCol w:w="676"/>
        <w:gridCol w:w="146"/>
        <w:gridCol w:w="146"/>
        <w:gridCol w:w="211"/>
        <w:gridCol w:w="676"/>
        <w:gridCol w:w="146"/>
        <w:gridCol w:w="146"/>
        <w:gridCol w:w="239"/>
        <w:gridCol w:w="391"/>
        <w:gridCol w:w="146"/>
        <w:gridCol w:w="146"/>
        <w:gridCol w:w="211"/>
        <w:gridCol w:w="781"/>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During the three and nine months ended September 30, 2025, a total of $10.0 million and $17.8 million, respectively, of U.S. treasury notes and bills were transferred from Level 1 to Level 2 as such instruments were changed to off-the-run when they were issued before the most recent issue and were still outstanding at measurement day.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consisted of the following (in thousands):</w:t>
      </w:r>
    </w:p>
    <w:p>
      <w:pPr>
        <w:pStyle w:val="TextBody"/>
        <w:bidi w:val="0"/>
        <w:jc w:val="left"/>
        <w:rPr/>
      </w:pPr>
      <w:r>
        <w:rPr/>
        <w:t> </w:t>
      </w:r>
    </w:p>
    <w:tbl>
      <w:tblPr>
        <w:tblW w:w="6775" w:type="dxa"/>
        <w:jc w:val="left"/>
        <w:tblInd w:w="0" w:type="dxa"/>
        <w:tblLayout w:type="fixed"/>
        <w:tblCellMar>
          <w:top w:w="28" w:type="dxa"/>
          <w:left w:w="28" w:type="dxa"/>
          <w:bottom w:w="28" w:type="dxa"/>
          <w:right w:w="28" w:type="dxa"/>
        </w:tblCellMar>
      </w:tblPr>
      <w:tblGrid>
        <w:gridCol w:w="2901"/>
        <w:gridCol w:w="146"/>
        <w:gridCol w:w="328"/>
        <w:gridCol w:w="1217"/>
        <w:gridCol w:w="146"/>
        <w:gridCol w:w="146"/>
        <w:gridCol w:w="357"/>
        <w:gridCol w:w="1143"/>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 Company’s investments consist primarily of available-for-sale debt investments. The amortized cost, gross unrealized holding gains or losses, and fair value of the Company’s investments by major investments type are summarized in the table below (in thousands):</w:t>
      </w:r>
    </w:p>
    <w:p>
      <w:pPr>
        <w:pStyle w:val="TextBody"/>
        <w:bidi w:val="0"/>
        <w:jc w:val="left"/>
        <w:rPr/>
      </w:pPr>
      <w:r>
        <w:rPr/>
        <w:t> </w:t>
      </w:r>
    </w:p>
    <w:tbl>
      <w:tblPr>
        <w:tblW w:w="8019" w:type="dxa"/>
        <w:jc w:val="left"/>
        <w:tblInd w:w="0" w:type="dxa"/>
        <w:tblLayout w:type="fixed"/>
        <w:tblCellMar>
          <w:top w:w="28" w:type="dxa"/>
          <w:left w:w="28" w:type="dxa"/>
          <w:bottom w:w="28" w:type="dxa"/>
          <w:right w:w="28" w:type="dxa"/>
        </w:tblCellMar>
      </w:tblPr>
      <w:tblGrid>
        <w:gridCol w:w="1776"/>
        <w:gridCol w:w="146"/>
        <w:gridCol w:w="336"/>
        <w:gridCol w:w="909"/>
        <w:gridCol w:w="146"/>
        <w:gridCol w:w="146"/>
        <w:gridCol w:w="675"/>
        <w:gridCol w:w="675"/>
        <w:gridCol w:w="146"/>
        <w:gridCol w:w="146"/>
        <w:gridCol w:w="510"/>
        <w:gridCol w:w="840"/>
        <w:gridCol w:w="146"/>
        <w:gridCol w:w="146"/>
        <w:gridCol w:w="238"/>
        <w:gridCol w:w="647"/>
        <w:gridCol w:w="391"/>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0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September 30, 2025, the available-for-sale investments had remaining contractual maturities of two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assesses whether the unrealized losses on its available-for-sale investments were temporary. The Company considers factors such as the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There was no available for sale security in an unrealized loss position as of September 30, 2025, and the Company did not recognize any other-than-temporary impairment loss during the three and nine months ended September 30, 2025 and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did not have any short-term or long-term investments as of December 31, 2024.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rPr/>
      </w:pPr>
      <w:r>
        <w:rPr/>
        <w:t> </w:t>
      </w:r>
    </w:p>
    <w:tbl>
      <w:tblPr>
        <w:tblW w:w="8555" w:type="dxa"/>
        <w:jc w:val="left"/>
        <w:tblInd w:w="0" w:type="dxa"/>
        <w:tblLayout w:type="fixed"/>
        <w:tblCellMar>
          <w:top w:w="28" w:type="dxa"/>
          <w:left w:w="28" w:type="dxa"/>
          <w:bottom w:w="28" w:type="dxa"/>
          <w:right w:w="28" w:type="dxa"/>
        </w:tblCellMar>
      </w:tblPr>
      <w:tblGrid>
        <w:gridCol w:w="4681"/>
        <w:gridCol w:w="146"/>
        <w:gridCol w:w="367"/>
        <w:gridCol w:w="1178"/>
        <w:gridCol w:w="146"/>
        <w:gridCol w:w="146"/>
        <w:gridCol w:w="357"/>
        <w:gridCol w:w="1143"/>
        <w:gridCol w:w="3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proceeds receivable for litigation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Holdback consideration receivable related to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September 30, 2025, the Company recorded a $10.0 million receivable in prepaid expenses and other current assets for the holdbacks related to the closing of the divestiture of FibroGen International. See Note 2, </w:t>
      </w:r>
      <w:r>
        <w:rPr>
          <w:rFonts w:ascii="Times New Roman" w:hAnsi="Times New Roman"/>
          <w:i/>
          <w:color w:val="000000"/>
          <w:sz w:val="20"/>
        </w:rPr>
        <w:t xml:space="preserve">Discontinued Operations and Divestiture, </w:t>
      </w:r>
      <w:r>
        <w:rPr>
          <w:rFonts w:ascii="Times New Roman" w:hAnsi="Times New Roman"/>
          <w:color w:val="000000"/>
          <w:sz w:val="20"/>
        </w:rPr>
        <w:t>for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2024, the Company recorded a $28.5 million receivable in prepaid expenses and other current assets, corresponding to the accrued litigation settlement of the same amount related to the Company’s agreement in principle with plaintiffs to settle the class action lawsuit. As the Company maintains insurance that covers exposure related to the class action lawsuit, this amount is fully recoverable under the Company’s insurance policies. The determination that the recorded receivables are probable of collection is based on the terms of the applicable insurance policies and communications with the insurers. Such amount was fully distributed during the first quarter of 2025. As a result, the related accrued liability and the corresponding receivable were fully settled in the same period. See the </w:t>
      </w:r>
      <w:r>
        <w:rPr>
          <w:rFonts w:ascii="Times New Roman" w:hAnsi="Times New Roman"/>
          <w:i/>
          <w:color w:val="000000"/>
          <w:sz w:val="20"/>
        </w:rPr>
        <w:t>Accrued and Other Current Liabilities</w:t>
      </w:r>
      <w:r>
        <w:rPr>
          <w:rFonts w:ascii="Times New Roman" w:hAnsi="Times New Roman"/>
          <w:color w:val="000000"/>
          <w:sz w:val="20"/>
        </w:rPr>
        <w:t xml:space="preserve"> section below, and the </w:t>
      </w:r>
      <w:r>
        <w:rPr>
          <w:rFonts w:ascii="Times New Roman" w:hAnsi="Times New Roman"/>
          <w:i/>
          <w:color w:val="000000"/>
          <w:sz w:val="20"/>
        </w:rPr>
        <w:t xml:space="preserve">Legal Proceedings and Other Matters </w:t>
      </w:r>
      <w:r>
        <w:rPr>
          <w:rFonts w:ascii="Times New Roman" w:hAnsi="Times New Roman"/>
          <w:color w:val="000000"/>
          <w:sz w:val="20"/>
        </w:rPr>
        <w:t xml:space="preserve">section in Note 11, </w:t>
      </w:r>
      <w:r>
        <w:rPr>
          <w:rFonts w:ascii="Times New Roman" w:hAnsi="Times New Roman"/>
          <w:i/>
          <w:color w:val="000000"/>
          <w:sz w:val="20"/>
        </w:rPr>
        <w:t>Commitments and Contingencies</w:t>
      </w:r>
      <w:r>
        <w:rPr>
          <w:rFonts w:ascii="Times New Roman" w:hAnsi="Times New Roman"/>
          <w:color w:val="000000"/>
          <w:sz w:val="20"/>
        </w:rPr>
        <w:t>, for details.</w:t>
      </w:r>
    </w:p>
    <w:p>
      <w:pPr>
        <w:pStyle w:val="TextBody"/>
        <w:bidi w:val="0"/>
        <w:spacing w:before="360" w:after="283"/>
        <w:jc w:val="left"/>
        <w:rPr>
          <w:rFonts w:ascii="Times New Roman" w:hAnsi="Times New Roman"/>
          <w:sz w:val="20"/>
        </w:rPr>
      </w:pPr>
      <w:r>
        <w:rPr>
          <w:rFonts w:ascii="Times New Roman" w:hAnsi="Times New Roman"/>
          <w:b/>
          <w:i/>
          <w:color w:val="000000"/>
          <w:sz w:val="20"/>
        </w:rPr>
        <w:t>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current liabilities consisted of the following (in thousands):</w:t>
      </w:r>
    </w:p>
    <w:tbl>
      <w:tblPr>
        <w:tblW w:w="8840" w:type="dxa"/>
        <w:jc w:val="left"/>
        <w:tblInd w:w="0" w:type="dxa"/>
        <w:tblLayout w:type="fixed"/>
        <w:tblCellMar>
          <w:top w:w="28" w:type="dxa"/>
          <w:left w:w="28" w:type="dxa"/>
          <w:bottom w:w="28" w:type="dxa"/>
          <w:right w:w="28" w:type="dxa"/>
        </w:tblCellMar>
      </w:tblPr>
      <w:tblGrid>
        <w:gridCol w:w="4966"/>
        <w:gridCol w:w="146"/>
        <w:gridCol w:w="367"/>
        <w:gridCol w:w="1178"/>
        <w:gridCol w:w="146"/>
        <w:gridCol w:w="146"/>
        <w:gridCol w:w="357"/>
        <w:gridCol w:w="1143"/>
        <w:gridCol w:w="3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clinical trial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API and bulk drug product price true-up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liability related to sale of future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62,035</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The accrued liabilities of $12.4 million and $13.1 million for API and bulk drug product price true-up as of September 30, 2025 and December 31, 2024, respectively, resulted from changes in estimated variable consideration associated with the API shipments fulfilled under the terms of the Astellas Japan Amendment, and the bulk drug product transferred under the terms of the Astellas Europe Agreement and the Astellas EU Supply Agreement. See the </w:t>
      </w:r>
      <w:r>
        <w:rPr>
          <w:rFonts w:ascii="Times New Roman" w:hAnsi="Times New Roman"/>
          <w:i/>
          <w:color w:val="000000"/>
          <w:sz w:val="20"/>
        </w:rPr>
        <w:t xml:space="preserve">Drug Product Revenue, Net </w:t>
      </w:r>
      <w:r>
        <w:rPr>
          <w:rFonts w:ascii="Times New Roman" w:hAnsi="Times New Roman"/>
          <w:color w:val="000000"/>
          <w:sz w:val="20"/>
        </w:rPr>
        <w:t xml:space="preserve">section in Note 3, </w:t>
      </w:r>
      <w:r>
        <w:rPr>
          <w:rFonts w:ascii="Times New Roman" w:hAnsi="Times New Roman"/>
          <w:i/>
          <w:color w:val="000000"/>
          <w:sz w:val="20"/>
        </w:rPr>
        <w:t>Collaboration Agreements, License Agreement and Revenues,</w:t>
      </w:r>
      <w:r>
        <w:rPr>
          <w:rFonts w:ascii="Times New Roman" w:hAnsi="Times New Roman"/>
          <w:color w:val="000000"/>
          <w:sz w:val="20"/>
        </w:rPr>
        <w:t xml:space="preserve"> for details.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2024, the accrued litigation settlement of $28.5 million was related to the Company’s agreement in principle with plaintiffs to settle the class action lawsuit, which was fully distributed during the first quarter of 2025 as mentioned above. See the </w:t>
      </w:r>
      <w:r>
        <w:rPr>
          <w:rFonts w:ascii="Times New Roman" w:hAnsi="Times New Roman"/>
          <w:i/>
          <w:color w:val="000000"/>
          <w:sz w:val="20"/>
        </w:rPr>
        <w:t>Legal Proceedings and Other Matters</w:t>
      </w:r>
      <w:r>
        <w:rPr>
          <w:rFonts w:ascii="Times New Roman" w:hAnsi="Times New Roman"/>
          <w:color w:val="000000"/>
          <w:sz w:val="20"/>
        </w:rPr>
        <w:t xml:space="preserve"> section in Note 11, </w:t>
      </w:r>
      <w:r>
        <w:rPr>
          <w:rFonts w:ascii="Times New Roman" w:hAnsi="Times New Roman"/>
          <w:i/>
          <w:color w:val="000000"/>
          <w:sz w:val="20"/>
        </w:rPr>
        <w:t>Commitments and Contingencies</w:t>
      </w:r>
      <w:r>
        <w:rPr>
          <w:rFonts w:ascii="Times New Roman" w:hAnsi="Times New Roman"/>
          <w:color w:val="000000"/>
          <w:sz w:val="20"/>
        </w:rPr>
        <w:t>, for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Responding to the reported results for pamrevlumab in July 2024, the Company implemented an immediate and significant cost reduction plan in the U.S., including terminating pamrevlumab research and development investment and expeditiously wind down remaining obligations, and reducing U.S. workforce by approximately 75%. The total cash payments under the reduction in force was $0.9 million and $3.2 million during the three and nine months ended September 30, 2025, respectively. The remaining accrued restructuring charge of $0.8 million as of September 30, 2025 will be substantially paid out by the end of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Senior Secured Term Loan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the Company entered into a financing agreement (“Financing Agreement”) with investment funds managed by MSTV, as lenders (the “Lenders”), and Wilmington Trust, National Association, as the administrative agent, providing for senior secured term loan facilities, and received $74.1 million, representing a $75.0 million initial term loan (the “Initial Term Loan”), net of $0.9 million issuance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Term Loan accrued interest at a fixed rate of 14.0% per annum, payable monthly in arrears. The Initial Term Loan would mature on May 8, 2026. The Initial Term Loan was subject to amortization payments. The Company was permitted to prepay the Initial Term Loan from time to time, in whole or in part, subject to payment of a make-whole amount equal to the unpaid principal amount of the portion of the Initial Term Loan being repaid or prepaid, plus accrued and unpaid interest of the portion of the Initial Term Loan being repaid or prepaid, plus an amount equal to the remaining scheduled interest payments due on such portion of the Initial Term Loan being repaid or prepaid as if such Initial Term Loan were to remain outstanding until the scheduled maturity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issuance costs and the related transaction costs, totaling $3.7 million were amortized as interest expense using the effective interest method over the term of the Initial Term Loan and were reported on the balance sheet as a direct deduction from the amount of the Initial Term Loan. The effective annual interest rate of the Initial Term Loan was 16.13% for the three and nine months ended September 30, 2025 and 2024. The Company recorded interest expense of $1.9 million and $7.8 million for the three and nine months ended September 30, 2025, and $2.9 million and $8.7 million, respectively, for the three and nine months ended September 30, 2024, respectively, which were included in discontinued operations as the Company was required to repay the loan upon the closing of the divestiture of FibroGen International.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29, 2025, upon the above-mentioned Transaction close, the Company paid the Lenders a total of $80.9 million, including $75.0 million for paying off the senior secured term loan facilities, $0.4 million for outstanding interest and $5.5 million for related premium and fees. Accordingly, the Company recorded a loss on debt extinguishments of $6.6 million, including the $5.5 million of premium and fees and a $1.1 million amortization of issuance costs, for the three and nine months ended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balance of the Company’s senior secured term loan facilities as of December 31, 2024 was as follows (in thousands):</w:t>
      </w:r>
    </w:p>
    <w:p>
      <w:pPr>
        <w:pStyle w:val="TextBody"/>
        <w:bidi w:val="0"/>
        <w:jc w:val="left"/>
        <w:rPr/>
      </w:pPr>
      <w:r>
        <w:rPr/>
        <w:t> </w:t>
      </w:r>
    </w:p>
    <w:tbl>
      <w:tblPr>
        <w:tblW w:w="6798" w:type="dxa"/>
        <w:jc w:val="left"/>
        <w:tblInd w:w="0" w:type="dxa"/>
        <w:tblLayout w:type="fixed"/>
        <w:tblCellMar>
          <w:top w:w="28" w:type="dxa"/>
          <w:left w:w="28" w:type="dxa"/>
          <w:bottom w:w="28" w:type="dxa"/>
          <w:right w:w="28" w:type="dxa"/>
        </w:tblCellMar>
      </w:tblPr>
      <w:tblGrid>
        <w:gridCol w:w="4661"/>
        <w:gridCol w:w="146"/>
        <w:gridCol w:w="357"/>
        <w:gridCol w:w="1143"/>
        <w:gridCol w:w="491"/>
      </w:tblGrid>
      <w:tr>
        <w:trPr/>
        <w:tc>
          <w:tcPr>
            <w:tcW w:w="4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senior secured term loan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Unamortized issuance costs and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 facilities, 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Representing: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Senior secured term loan facilities,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Senior secured term loan facilities,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Liability Related to Sale of Future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the Company entered into a Revenue Interest Financing Agreement (the “RIFA”) with an affiliate of NovaQuest Capital Management (“NovaQuest”), pursuant to which the Company granted NovaQuest 22.5% of its drug product revenue and 10.0% (20.0% for fiscal year 2028 and thereafter) of its revenue from milestone payments that it is entitled to under the Astellas Agreements, for a consideration of $50.0 million (“Investment Amount”) before advisory fees.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November 2022, the Company received the Investment Amount, net of initial issuance costs, and accounted for it as long-term debt based on the terms of the RIFA because the risks and rewards to NovaQuest are limited by the terms of the transaction. The related debt discount and transaction costs are amortized as interest expense based on the projected balance of the liability as of the beginning of each period. As payments are made to NovaQuest, the balance of the liability related to sale of future revenues is being effectively repaid over the life of the RIFA. The payments to NovaQuest are accounted for as a reduction of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prepay its obligations to NovaQuest in full at any time during the term of RIFA. The prepayment amount varies from $80.0 million to $125.0 million less any revenue interest payments made up to such prepayment date. Under the RIFA the Company shall pay to NovaQuest up to a specified maximum amount (“Payment Cap”) of (a) $100.0 million, if the payment is made on or before December 31, 2028; (b) $112.5 million, if the payment is made on or after January 1, 2029, but on or before December 31, 2029; or (c) $125.0 million, if the payment is made after January 1, 2030.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December 31, 2028, if the sum of all payments under the RIFA paid to NovaQuest, does not equal or exceed $62.5 million, then the Company shall pay NovaQuest the difference of these two amounts by no later than March 1, 2029. If, by no later than December 31, 2030, the sum of all payments under the RIFA paid to NovaQuest does not equal or exceed $125.0 million, then the Company shall pay NovaQuest the difference of these two amounts by no later than March 1,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NovaQuest will retain this entitlement until it has reached the Payment Cap, at which point 100% of such revenue interest on future global net sales of Astellas will revert to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Over the course of the RIFA, the effective interest rate is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reassesses the expected total revenue and the timing of such revenue, recalculates the amortization of debt discount and transactions costs and effective interest rate, and adjusts the accounting prospectively as needed. The Company’s estimated effective annual interest rate was 15.23% as of September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activities of the liability related to sale of future revenues for the nine months ended September 30, 2025:</w:t>
      </w:r>
    </w:p>
    <w:p>
      <w:pPr>
        <w:pStyle w:val="TextBody"/>
        <w:bidi w:val="0"/>
        <w:jc w:val="left"/>
        <w:rPr/>
      </w:pPr>
      <w:r>
        <w:rPr/>
        <w:t> </w:t>
      </w:r>
    </w:p>
    <w:tbl>
      <w:tblPr>
        <w:tblW w:w="7888" w:type="dxa"/>
        <w:jc w:val="left"/>
        <w:tblInd w:w="0" w:type="dxa"/>
        <w:tblLayout w:type="fixed"/>
        <w:tblCellMar>
          <w:top w:w="28" w:type="dxa"/>
          <w:left w:w="28" w:type="dxa"/>
          <w:bottom w:w="28" w:type="dxa"/>
          <w:right w:w="28" w:type="dxa"/>
        </w:tblCellMar>
      </w:tblPr>
      <w:tblGrid>
        <w:gridCol w:w="5891"/>
        <w:gridCol w:w="146"/>
        <w:gridCol w:w="371"/>
        <w:gridCol w:w="1189"/>
        <w:gridCol w:w="291"/>
      </w:tblGrid>
      <w:tr>
        <w:trPr/>
        <w:tc>
          <w:tcPr>
            <w:tcW w:w="5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64,983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classified to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During the three and nine months ended September 30, 2025, the Company recognized, under Astellas Agreements, development revenue of $0.1 million and $0.4 million, respectively, and drug product revenue of $1.0 million and $4.8 million, respectively. During the three and nine months ended September 30, 2024, the Company recognized, under Astellas Agreements, development revenue of $0.4 million and $1.0 million, respectively, and drug product revenue of $(0.3) million and $(0.7) million, respectively. See Note 3, </w:t>
      </w:r>
      <w:r>
        <w:rPr>
          <w:rFonts w:ascii="Times New Roman" w:hAnsi="Times New Roman"/>
          <w:i/>
          <w:color w:val="000000"/>
          <w:sz w:val="20"/>
        </w:rPr>
        <w:t>Collaboration Agreements, License Agreement and Revenue</w:t>
      </w:r>
      <w:r>
        <w:rPr>
          <w:rFonts w:ascii="Times New Roman" w:hAnsi="Times New Roman"/>
          <w:color w:val="000000"/>
          <w:sz w:val="20"/>
        </w:rPr>
        <w:t xml:space="preserve">, for details.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nine months ended September 30, 2025, the Company recognized the related interest expense of $2.0 million and $6.1 million, respectively. During the three and nine months ended September 30, 2024, the Company recognized the related interest expense of $2.0 million and $5.8 million, respectively. During nine months ended September 30, 2025 and 2024, the Company paid $0.5 million and $5.7 million accrued interest,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current estimates of drug product revenue and revenue from milestone payments under the Astellas Agreements, and taking into the consideration of the terms discussed above, the Company anticipates reaching a Payment Cap up to $125.0 million by 2031.</w:t>
      </w:r>
    </w:p>
    <w:p>
      <w:pPr>
        <w:pStyle w:val="TextBody"/>
        <w:bidi w:val="0"/>
        <w:spacing w:before="360" w:after="283"/>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FibroGen Cayman Non-Controlling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FibroGen International (Cayman) Limited (“FibroGen Cayman”) has 15,836,966 Series A Preference Shares outstanding, including 10,484,260 shares owned by FibroGen Inc. and 5,352,706 shares owned by minority shareholders, and 78,000,000 common shares outstanding owned by FibroGen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of liquidation, dissolution, or winding up of the entity, either voluntary or involuntary, including by means of a merger, the holders of FibroGen Cayman Series A Preference Shares are entitled to be paid an amount equal to their liquidation preference as set forth in the FibroGen Cayman Amended and Restated Memorandum and Articles of Association (the “Articles”).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discontinued operations sold under the Transaction discussed in the above Note 2, </w:t>
      </w:r>
      <w:r>
        <w:rPr>
          <w:rFonts w:ascii="Times New Roman" w:hAnsi="Times New Roman"/>
          <w:i/>
          <w:color w:val="000000"/>
          <w:sz w:val="20"/>
        </w:rPr>
        <w:t>Discontinued Operations and Divestiture</w:t>
      </w:r>
      <w:r>
        <w:rPr>
          <w:rFonts w:ascii="Times New Roman" w:hAnsi="Times New Roman"/>
          <w:color w:val="000000"/>
          <w:sz w:val="20"/>
        </w:rPr>
        <w:t>, consisted substantially all the assets owned by FibroGen Cayman, and therefore triggered liquidation distribution process of FibroGen Cayman based on its Articles.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during the three months ended September 30, 2025, the Company distributed a total of $5.4 million to FibroGen Cayman’s minority shareholders ($1.00 for each of the FibroGen Cayman Series A Preference Shares held by the minority shareholders), and correspondingly recorded a reduction to the related nonredeemable non-controlling interests of $7.5 million and an adjustment to additional paid-in capital of $2.1 million, for such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further distribution, if applicable, will be paid out on a pro-rata basis to the holders of all common and Series A Preference shares of FibroGen Cayman, and is subject to future adjustments, if any, including additional proceeds received from the holdbacks related to the Transaction, and future costs of FibroGen Cayman.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for (benefits from) income tax for the three and nine months ended September 30, 2025 and 2024 were immaterial and due to foreign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4, 2025, the One Big Beautiful Bill Act was signed into law in the U.S. which contains a broad range of tax reform provisions affecting businesses. The legislation does not have a material impact on the Company’s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 Company had outstanding total non-cancelable purchase obligations of $4.0 million for general purchases and other programs and $2.6 million for manufacture and supply of roxadustat. The Company expects to fulfill its commitments under these agreements in the normal course of business, and as such, no liability has been recorded.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see Note 8, </w:t>
      </w:r>
      <w:r>
        <w:rPr>
          <w:rFonts w:ascii="Times New Roman" w:hAnsi="Times New Roman"/>
          <w:i/>
          <w:color w:val="000000"/>
          <w:sz w:val="20"/>
        </w:rPr>
        <w:t xml:space="preserve">Liability Related to Sale of Future Revenues </w:t>
      </w:r>
      <w:r>
        <w:rPr>
          <w:rFonts w:ascii="Times New Roman" w:hAnsi="Times New Roman"/>
          <w:color w:val="000000"/>
          <w:sz w:val="20"/>
        </w:rPr>
        <w:t>for details of the related obligations.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 and Other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in its condensed consolidated balance sheet as of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Between April 2021 and May 2021, five putative securities class action complaints were filed against FibroGen and certain of its former executive officers in the U.S. District Court for the Northern District of California. On October 17, 2023, the parties reached an agreement in principle to settle the class action at $28.5 million. The Court approved the settlement Plan of Allocation on May 28, 2024 and Plaintiffs’ motion for attorney’s fees on August 1, 2024. The court entered a class distribution order on January 1, 2025 and the amount was fully distributed during the first quarter of 2025. The settlement was fully covered by insurance.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fourth quarter of 2021, the Company received a subpoena from the SEC requesting documents related to roxadustat’s pooled cardiovascular safety data. The SEC followed up with a subpoena for additional documents in the second quarter of 2024. In May 2025, the Company entered into a settlement with the SEC. As part of the settlement, and without admitting or denying the findings in the settlement offer or administrative order to be issued by the SEC, the Company agreed to pay a $1.25 million civil penalty. In September 2025, the agreement was approved by the Commission.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Between 2022 and 2024, the Company’s Board of Directors received seven litigation demands from purported shareholders of the Company, asking the Board of Directors to investigate and take action against certain current and former officers and directors of the Company for alleged wrongdoing based on the same allegations in the derivative and securities class action lawsuits. The litigation demands have been withdrawn.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operating and reporting segment which primarily focuses on the development and commercialization of novel therapeutics to treat serious unmet medical needs. The Company has determined that the chief executive officer is the chief operating decision maker (“CODM”). The CODM assesses performance of the business, monitors budget versus actual results and manages and allocates resources to the Company’s operations using consolidated net income (loss) as the primary measurement. The CODM is regularly provided with entity-wide expense categories that are consistent with those found on the Company’s condensed consolidated statements of operations. These significant segment expenses include cost of goods sold, research and development expenses, selling, general and administrative expenses, and restructuring charge. Other segment items that are presented on the condensed consolidated statements of operations include interest expense, loss on debt extinguishments, interest income and other income (expense), net, and provision for (benefit from) income taxes. The measure of segment assets is reported on the balance sheet as total consolidated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2024 filed with the SEC on March 17, 2025 (“2024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“anticipate,” “intend,” “could,” “should,” “estimate,” or “continue,” and similar expressions or variations.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Such forward-looking and other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and other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and other statements. While we may elect to update these forward-looking and other statements at some point in the future, we have no current intention of doing so except to the extent required by applicable law. You should, therefore, not rely on these forward-looking and other statements as representing our views as of any date subsequent to the date of this Quarterly Report on Form 10-Q and are cautioned not to place undue reliance on such forward-looking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FibroGen, Inc. (“FibroGen” or the “Company”) is a biopharmaceutical company focused on development of novel therapies at the frontiers of cancer biology and anemia.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We initiated a Phase 2 monotherapy dose optimization study of FG-3246 for the treatment of mCRPC, along with the exploratory analysis of FG-3180, in the third quarter of 2025.</w:t>
      </w:r>
    </w:p>
    <w:p>
      <w:pPr>
        <w:pStyle w:val="TextBody"/>
        <w:bidi w:val="0"/>
        <w:spacing w:before="240" w:after="283"/>
        <w:jc w:val="left"/>
        <w:rPr/>
      </w:pPr>
      <w:r>
        <w:rPr>
          <w:rFonts w:ascii="Times New Roman" w:hAnsi="Times New Roman"/>
          <w:color w:val="000000"/>
          <w:sz w:val="20"/>
        </w:rPr>
        <w:t>We and our collaboration partners developed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which is currently approved in the People’s Republic of China (“China”), Europe, Japan, and numerous other countries for the treatment of anemia in chronic kidney disease (“CKD”) patients on dialysis and not on dialysis.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August 29, 2025, we closed the sale of our China operations through FibroGen International (Hong Kong) Ltd. (“FibroGen International”) to AstraZeneca Treasury Limited pursuant to the share purchase agreement entered into by the Company and AstraZeneca Treasury Limited on February 20, 2025, as amended (“Share Purchase Agreement”) for a total consideration of $220.4 million comprised of $85.0 million in enterprise value and $135.4 million in net cash held in China. AstraZeneca AB (“AstraZeneca”) was our long-time commercialization partner for roxadustat in greater China. For additional details, refer to Note 2, </w:t>
      </w:r>
      <w:r>
        <w:rPr>
          <w:rFonts w:ascii="Times New Roman" w:hAnsi="Times New Roman"/>
          <w:i/>
          <w:color w:val="000000"/>
          <w:sz w:val="20"/>
        </w:rPr>
        <w:t xml:space="preserve">Discontinued Operations and Divestiture, </w:t>
      </w:r>
      <w:r>
        <w:rPr>
          <w:rFonts w:ascii="Times New Roman" w:hAnsi="Times New Roman"/>
          <w:color w:val="000000"/>
          <w:sz w:val="20"/>
        </w:rPr>
        <w:t xml:space="preserve">to the condensed consolidated financial statements. </w:t>
      </w:r>
    </w:p>
    <w:p>
      <w:pPr>
        <w:pStyle w:val="TextBody"/>
        <w:bidi w:val="0"/>
        <w:spacing w:before="240" w:after="283"/>
        <w:jc w:val="left"/>
        <w:rPr>
          <w:rFonts w:ascii="Times New Roman" w:hAnsi="Times New Roman"/>
          <w:sz w:val="20"/>
        </w:rPr>
      </w:pPr>
      <w:r>
        <w:rPr>
          <w:rFonts w:ascii="Times New Roman" w:hAnsi="Times New Roman"/>
          <w:color w:val="000000"/>
          <w:sz w:val="20"/>
        </w:rPr>
        <w:t>FibroGen has retained the rights to roxadustat in the United States of America (“U.S.”), Canada, Mexico, and in all markets not held by AstraZeneca or licensed to Astellas Pharma Inc. (“Astellas”). Astellas is commercializing roxadustat (EVRENZO</w:t>
      </w:r>
      <w:r>
        <w:rPr>
          <w:rFonts w:ascii="Times New Roman" w:hAnsi="Times New Roman"/>
          <w:color w:val="000000"/>
          <w:sz w:val="13"/>
        </w:rPr>
        <w:t>TM</w:t>
      </w:r>
      <w:r>
        <w:rPr>
          <w:rFonts w:ascii="Times New Roman" w:hAnsi="Times New Roman"/>
          <w:color w:val="000000"/>
          <w:sz w:val="20"/>
        </w:rPr>
        <w:t>) in Europe and Japan to treat anemia under two development and commercialization license agreements: one for Japan, and one for Europe, the Commonwealth of Independent States, the Middle East and South Africa.</w:t>
      </w:r>
    </w:p>
    <w:p>
      <w:pPr>
        <w:pStyle w:val="TextBody"/>
        <w:bidi w:val="0"/>
        <w:spacing w:before="240" w:after="283"/>
        <w:jc w:val="left"/>
        <w:rPr>
          <w:rFonts w:ascii="Times New Roman" w:hAnsi="Times New Roman"/>
          <w:sz w:val="20"/>
        </w:rPr>
      </w:pPr>
      <w:r>
        <w:rPr>
          <w:rFonts w:ascii="Times New Roman" w:hAnsi="Times New Roman"/>
          <w:color w:val="000000"/>
          <w:sz w:val="20"/>
        </w:rPr>
        <w:t>We continue to work on our development plan for roxadustat in anemia associated with lower-risk myelodysplastic syndromes (“MDS”), a high-value indication with significant unmet medical need. We had a positive Type-C meeting with the U.S. Food and Drug Administration (“FDA”) in July 2025 and reached alignment on several elements of our proposed Phase 3 study design for roxadustat in anemia associated with lower-risk MDS, including the starting dose and the inclusion criteria.</w:t>
      </w:r>
      <w:r>
        <w:rPr>
          <w:rFonts w:ascii="Times New Roman" w:hAnsi="Times New Roman"/>
          <w:color w:val="797979"/>
          <w:sz w:val="20"/>
        </w:rPr>
        <w:t xml:space="preserve"> </w:t>
      </w:r>
      <w:r>
        <w:rPr>
          <w:rFonts w:ascii="Times New Roman" w:hAnsi="Times New Roman"/>
          <w:color w:val="000000"/>
          <w:sz w:val="20"/>
        </w:rPr>
        <w:t>We are starting preparations for the Phase 3 trial, while evaluating internal development and potential partnership opportunities for this late-stage program. We plan to submit the Phase 3 trial protocol to the FDA in the fourth quarter of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Highlights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07"/>
        <w:gridCol w:w="146"/>
        <w:gridCol w:w="242"/>
        <w:gridCol w:w="849"/>
        <w:gridCol w:w="191"/>
        <w:gridCol w:w="167"/>
        <w:gridCol w:w="242"/>
        <w:gridCol w:w="849"/>
        <w:gridCol w:w="166"/>
        <w:gridCol w:w="146"/>
        <w:gridCol w:w="293"/>
        <w:gridCol w:w="1089"/>
        <w:gridCol w:w="177"/>
        <w:gridCol w:w="155"/>
        <w:gridCol w:w="273"/>
        <w:gridCol w:w="1094"/>
        <w:gridCol w:w="219"/>
      </w:tblGrid>
      <w:tr>
        <w:trPr/>
        <w:tc>
          <w:tcPr>
            <w:tcW w:w="3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for per share data)</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169,769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(144,433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revenue for the three and nine months ended September 30, 2025 included primarily the drug product revenue of $1.0 million and $4.8 million, respectively, related to active pharmaceutical ingredient (“API”) deliveries to Astellas.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comparison, our revenue for the three and nine months ended September 30, 2024 included primarily the revenue recognized related to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net reduction of $0.3 million and $0.7 million to drug product revenue related to API deliveries to Astellas; in addition, $25.7 million cumulative catch-up net adjustment in the drug product revenue, for the nine months ended September 30, 2024, as a result of terminating the AstraZeneca U.S./RoW Agreement (as defined below), effective in February 2024 (“AstraZeneca Termination and Transition Agreement”), with the exception of South Korea;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$0.4 million and $1.5 million of development and other revenue recognized mainly under our collaboration agreements with our partners Astellas and AstraZeneca.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costs and expenses for the three and nine months ended September 30, 2025 decreased compared to the same periods a year ago primarily as a result of the net effect of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$18.6 million restructuring charge recorded in the third quarter of 2024 related to the reduction in force plan in August 2024, which did not recur in the current year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$7.7 million and $22.9 million lower facilities-related expenses due to cost control efforts including the lease termination in the third quarter of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$5.9 million and $18.6 million lower stock-based compensation primarily resulting from significantly lower stock price and cancellations of stock options and restricted stock units due to reduced headcount and terminations;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$4.4 million and $14.9 million lower clinical trial expenses primarily associated with the termination of pamrevlumab programs during the second half of 2024 responding to the topline clinical data results we reported in July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 million and $6.8 million lower drug development expenses associated with drug substance activities and logistic expenses related to pamrevlumab programs which were completed and terminated;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$0.8 million and $25.0 million lower employee-related expenses primarily due to the impact from reduction in force action in August 2024 and cost control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$21.1 million one-time cost of goods sold recorded for the nine months ended September 30, 2024 correspondingly to the above-mentioned drug product revenue resulting from the AstraZeneca Termination and Transition Agreement related to the AstraZeneca U.S./RoW Agreement, as defined further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September 30, 2025, we had a loss from continuing operations of $13.1 million, or a loss per basic and diluted share of $3.25, as compared to a loss of $48.3 million, or a loss per basic and diluted share of $12.01, for the same period a year ago, due to decreases in operating costs and expenses as discussed above. For the nine months ended September 30, 2025, we had a loss from continuing operations of $43.6 million, or a loss per basic and diluted share of $10.79, as compared to a loss of $144.4 million, or a loss per basic and diluted share of $36.19, for the same period a year ago, due to decreases in operating costs and expenses offset by decreases in revenue as discussed above.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Cash and cash equivalents, investments and accounts receivable totaled $121.1 million at September 30, 2025, an increase of $70.2 million from December 31, 2024. Upon the the close of our sale of FibroGen International to AstraZeneca Treasury Limited during the third quarter of 2025, we accessed the entirety of our cash and cash equivalents held in China. Consolidated cash and cash equivalents and accounts receivable for both continuing operations and discontinued operations totaled $121.1 million at December 31, 2024. For additional details, refer to Note 2, </w:t>
      </w:r>
      <w:r>
        <w:rPr>
          <w:rFonts w:ascii="Times New Roman" w:hAnsi="Times New Roman"/>
          <w:i/>
          <w:color w:val="000000"/>
          <w:sz w:val="20"/>
        </w:rPr>
        <w:t xml:space="preserve">Discontinued Operations and Divestiture, </w:t>
      </w:r>
      <w:r>
        <w:rPr>
          <w:rFonts w:ascii="Times New Roman" w:hAnsi="Times New Roman"/>
          <w:color w:val="000000"/>
          <w:sz w:val="20"/>
        </w:rPr>
        <w:t xml:space="preserve">to the condensed consolidated financial statement, and the </w:t>
      </w:r>
      <w:r>
        <w:rPr>
          <w:rFonts w:ascii="Times New Roman" w:hAnsi="Times New Roman"/>
          <w:i/>
          <w:color w:val="000000"/>
          <w:sz w:val="20"/>
        </w:rPr>
        <w:t>Liquidity and Capital Resources</w:t>
      </w:r>
      <w:r>
        <w:rPr>
          <w:rFonts w:ascii="Times New Roman" w:hAnsi="Times New Roman"/>
          <w:color w:val="000000"/>
          <w:sz w:val="20"/>
        </w:rPr>
        <w:t xml:space="preserve"> section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Commercial, Development and Research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an overview of our clinical, commercial, and research programs.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FG-3246 and FG-3180 in Metastatic Castration Resistant Prostate Cancer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Disease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Prostate cancer is the second most common malignancy in men, contributing significantly to male mortality rates. Approximately 13% of men will be diagnosed with prostate cancer at some point during their lifetime. There are about 65,000 drug treatable mCRPC cases in the U.S. annually and 5-year survival in mCRPC is approximately 30%.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Current Standard of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Treatment choice in first and second line mCRPC significantly depends on patients’ prior treatments. Androgen receptor signaling inhibitors or androgen receptor pathway inhibitors (“ARSIs”/“ARPIs”, often used interchangeably) and chemotherapy are the preferred treatments in patients who have not been exposed to either in earlier lines of therapy. Most patients previously treated with an ARSI/ARPI for metastatic hormone-sensitive prostate cancer will then receive chemotherapy in first-line mCRPC. Rechallenge with an alternative ARSI/ARPI is associated with limited benefit in this setting.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25-30% of patients with homologous recombination repair mutation, poly (ADP-ribose) polymerase inhibitors are the standard of care for mCRPC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 approvals of prostate-specific membrane antigen (“PSMA”)-targeted radiopharmaceuticals in the post-ARPI and post-chemotherapy setting have diversified treatment options in advanced mCRPC. Furthermore, PSMA-PET has been validated as standard of care diagnostic in prostate cancer, while LOCAMETZ or an approved PSMA-11 imaging agent are approved to select patients for treatment with Pluvicto (lutetium Lu 177 vipivotide tetraxetan).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FibroGen is developing FG-3246 in the post-ARPI, pre-chemotherapy mCRPC setting. This is an area of high unmet need, where radiographic progression free survival is approximately 5.6-6 months after switching to a different ARPI, and approximately 8 months with chemotherapy. Novel mechanisms of action that extend survival are critical in this setting as well as biomarker driven treatment approaches. FG-3246 and the potential patient selection biomarker FG-3180 are being developed to address these unmet medical needs.</w:t>
      </w:r>
    </w:p>
    <w:p>
      <w:pPr>
        <w:pStyle w:val="TextBody"/>
        <w:bidi w:val="0"/>
        <w:spacing w:before="360" w:after="283"/>
        <w:jc w:val="left"/>
        <w:rPr>
          <w:rFonts w:ascii="Times New Roman" w:hAnsi="Times New Roman"/>
          <w:sz w:val="20"/>
        </w:rPr>
      </w:pPr>
      <w:r>
        <w:rPr>
          <w:rFonts w:ascii="Times New Roman" w:hAnsi="Times New Roman"/>
          <w:b/>
          <w:color w:val="000000"/>
          <w:sz w:val="20"/>
        </w:rPr>
        <w:t>Phase 2 Monotherapy Clinical Trial of FG-3246 and FG-3180 for the Treatment of mCRPC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FG-3246 in mCRPC and exploring other potential cancer indications. FG-3246 is a potential first-in-class ADC targeting a novel epitope on CD46. In addition to CD46 being expressed at high levels in certain tumor types with limited expression in most normal tissues, CD46 is a cell receptor that induces internalization upon antibody binding, which makes it an ideal target for an ADC. The cytotoxic payload of FG-3246 is monomethyl auristatin E (“MMAE”), an anti-mitotic agent that has been utilized in four commercially approved ADC drugs.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initiated a Phase 2 monotherapy, dose-optimization study of FG-3246 for the treatment of mCRPC in the third quarter of 2025, with interim results expected in the second half of 2026. </w:t>
      </w:r>
    </w:p>
    <w:p>
      <w:pPr>
        <w:pStyle w:val="TextBody"/>
        <w:bidi w:val="0"/>
        <w:spacing w:before="240" w:after="283"/>
        <w:jc w:val="left"/>
        <w:rPr>
          <w:rFonts w:ascii="Times New Roman" w:hAnsi="Times New Roman"/>
          <w:sz w:val="20"/>
        </w:rPr>
      </w:pPr>
      <w:r>
        <w:rPr>
          <w:rFonts w:ascii="Times New Roman" w:hAnsi="Times New Roman"/>
          <w:color w:val="000000"/>
          <w:sz w:val="20"/>
        </w:rPr>
        <w:t>The trial is also assessing the diagnostic and predictive performance of FG-3180, a companion PET imaging agent, which shares the same CD46-targeted antibody used in FG-3246. The ability of FG-3180 to identify mCRPC lesions and predict response to FG-3246 is being evaluated</w:t>
      </w:r>
      <w:r>
        <w:rPr>
          <w:rFonts w:ascii="Arial" w:hAnsi="Arial"/>
          <w:color w:val="797979"/>
          <w:sz w:val="20"/>
        </w:rPr>
        <w:t>.</w:t>
      </w:r>
      <w:r>
        <w:rPr>
          <w:rFonts w:ascii="Times New Roman" w:hAnsi="Times New Roman"/>
          <w:color w:val="797979"/>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Phase 2 monotherapy trial (</w:t>
      </w:r>
      <w:r>
        <w:rPr>
          <w:rFonts w:ascii="Times New Roman" w:hAnsi="Times New Roman"/>
          <w:color w:val="000000"/>
          <w:sz w:val="20"/>
          <w:u w:val="single"/>
        </w:rPr>
        <w:t>NCT06842498</w:t>
      </w:r>
      <w:r>
        <w:rPr>
          <w:rFonts w:ascii="Times New Roman" w:hAnsi="Times New Roman"/>
          <w:color w:val="000000"/>
          <w:sz w:val="20"/>
        </w:rPr>
        <w:t>) is a randomized, open label, dose optimization trial designed to evaluate the safety, efficacy, tolerability, and pharmacokinetics (PK) of FG-3246 for the treatment of patients with mCRPC who have progressed following ARPI treatment and who have not received chemotherapy for their mCRPC. The trial is scheduled to enroll 75 patients who will be randomized 1:1:1 to receive either 1.8, 2.4 or 2.7 mg/kg AJBW of FG-3246. The primary endpoint of the trial is the determination of the optimal dose for the Phase 3 trial based on efficacy, safety, and PK parameters. Secondary endpoints include radiographic progression free survival (rPFS), prostate-specific antigen (PSA) 50 response, and PSA90 response. An interim analysis is planned once 12 patients enrolled in each of the three dose arms have completed 12 weeks on study or discontinued and is anticipated in the second half of 2026. An exploratory sub-study will evaluate FG-3180, a companion PET imaging agent, as a diagnostic radiopharmaceutical. All patients deemed eligible for participation in the Phase 2 trial will participate in the sub-study evaluating FG-3180 prior to randomization.</w:t>
      </w:r>
    </w:p>
    <w:p>
      <w:pPr>
        <w:pStyle w:val="TextBody"/>
        <w:bidi w:val="0"/>
        <w:spacing w:before="360" w:after="283"/>
        <w:jc w:val="left"/>
        <w:rPr>
          <w:rFonts w:ascii="Times New Roman" w:hAnsi="Times New Roman"/>
          <w:sz w:val="20"/>
        </w:rPr>
      </w:pPr>
      <w:r>
        <w:rPr>
          <w:rFonts w:ascii="Times New Roman" w:hAnsi="Times New Roman"/>
          <w:b/>
          <w:color w:val="000000"/>
          <w:sz w:val="20"/>
        </w:rPr>
        <w:t>Prior Studies of</w:t>
      </w:r>
      <w:r>
        <w:rPr>
          <w:rFonts w:ascii="Times New Roman" w:hAnsi="Times New Roman"/>
          <w:color w:val="000000"/>
          <w:sz w:val="20"/>
        </w:rPr>
        <w:t xml:space="preserve"> </w:t>
      </w:r>
      <w:r>
        <w:rPr>
          <w:rFonts w:ascii="Times New Roman" w:hAnsi="Times New Roman"/>
          <w:b/>
          <w:color w:val="000000"/>
          <w:sz w:val="20"/>
        </w:rPr>
        <w:t>FG-3246 and FG-3180 for the Treatment of mCRPC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FibroGen announced the peer-reviewed publication titled “A Phase 1, First-in-Human Study of FOR46 (FG-3246), an Immune-Modulating Antibody-Drug Conjugate Targeting CD46, in Patients with Metastatic Castration Resistant Prostate Cancer” in the Journal of Oncology. The manuscript included the complete results from the Fortis Therapeutics, Inc. (“Fortis”)-sponsored Phase 1 study of FG-3246 in heavily-pretreated, biomarker un-selected patients with mCRP. Key efficacy highlights observed in the RECIST-evaluable set of 25 patients include: (1) confirmed objective response rate was 20% with median duration of response of 7.5 months, (2) all objective responses observed at a starting dose of 2.7 mg/kg or higher, and (3) disease control rate was 80% with duration of treatment exceeding 24 weeks in 12 patients (48%); (4) PSA50 response rate of 36% in 39 evaluable patients (of eight evaluable patients who received docetaxel in the castration-sensitive setting, four (50%) achieved a confirmed PSA50 response); (5) median radiographic progression-free survival of 8.7 months in all 40 subjects in the efficacy analysis set; (6) of 15 evaluable baseline tumors, 12 (80%) were positive for CD46 expression by immunohistochemistry; and (7) FG-3246 responders were found to have a significantly higher frequency of effector T cells and lower frequency of immunosuppressive myeloid cells.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the University of California, San Francisco (“UCSF”) presented positive interim results from the dose escalation portion of the investigator-sponsored Phase 1b/2 study of FG-3246 in combination with enzalutamide in patients with mCRPC at the 2024 American Society of Clinical Oncology Annual Meeting. The presentation includes data from 17 biomarker unselected patients in the dose escalation portion of the trial. Over 70% of the patients in the study received at least two prior ARPIs, which included prior enzalutamide treatment. Dose escalation was explored with and without prophylactic granulocyte colony-stimulating factor (“G-CSF”) support. The primary endpoint was determination of the maximally tolerated dose of FG-3246 in combination with enzalutamide. The combination treatment demonstrated an encouraging preliminary estimate of median radiographic progression-free survival (“rPFS”) of 10.2 months. The maximally tolerated dose was established at 2.1 mg/kg adjusted body weight, with primary G-CSF prophylaxis, in combination with enzalutamide 160 mg/day. The most frequent adverse events were consistent with other MMAE-based ADCs and included fatigue, weight loss, elevated transaminases, neutropenia, and peripheral neuropathy. We expect topline results from the Phase 2 portion of this study in the first quarter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ROXADUSTAT IN ANEMIA ASSOCIATED WITH MYELODYSPLASTIC SYNDROMES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FibroGen maintains its rights to roxadustat in the U.S. and in all markets not licensed to Astellas.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had a positive Type-C meeting with the FDA in July 2025, and reached alignment on several elements of our proposed Phase 3 study design for roxadustat in anemia associated with lower-risk MDS, including the starting dose and the inclusion criteria. We are starting preparations for the Phase 3 trial, while evaluating internal development and potential partnership opportunities for this late-stage program. We plan to submit the Phase 3 trial protocol to the FDA in the fourth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planned Phase 3 trial will assess the safety and efficacy of roxadustat in a randomized, double-blind, placebo-controlled design in approximately 200 patients with lower-risk MDS. Alignment was reached with the FDA on the patient population (patients requiring ≥ 4 pRBC units in two consecutive 8-week periods prior to randomization, who are refractory to, intolerant to, or ineligible for prior erythropoiesis-stimulating agents (ESA) therapy), dose regimen, as well as management of potential thrombotic risk through eligibility and dose modification and discontinuation criteria. As the primary endpoint for the study, the Company is considering either 8-week or 16-week RBC TI.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MDS are a diverse group of bone marrow disorders characterized by ineffective production of healthy blood cells and premature destruction of blood cells in the bone marrow, leading to anemia. In most MDS patients, the cause of the disease is unknown.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diagnosed prevalence of MDS in the U.S. is estimated to be between 60,000 and 170,000, and continues to rise as more therapies become available and patients are living longer with MDS. Annual incidence rates are estimated to be 4.9/100,000 adults in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Anemia is the most common clinical presentation in MDS, seen in approximately 80% of MDS patients, and produces symptoms of fatigue, weakness, exercise intolerance, shortness of breath, dizziness, and cognitive impairment.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of the Current Standard of Care for Anemia in Myelodysplastic Syndromes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Stem cell transplant is the only potentially curative therapy for MDS, but it is not feasible in most patients due to their advanced age and frailty. The high rate of severe anemia leaves recurring red blood cell transfusions as the mainstay of care in MDS patients. Transfusion can result in direct organ damage through transfusional iron overload. Transfusion-dependent MDS patients suffer higher rates of cardiac events, infections, and transformation to acute leukemia, a decreased overall survival rate when compared with non-transfused patients with MDS, and decreased survival compared to an age-matched elderly population. Patients receiving red blood cell transfusions may require an iron chelator in order to address toxic elements of iron overload such as lipid peroxidation and cell membrane, protein, DNA, and organ damage.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Lower-risk MDS patients represent approximately 77% of the total diagnosed MDS population. National Comprehensive Cancer Network guidelines recommend the use of ESAs, luspatercept and imetelstat in lower risk MDS patients, depending on patients’ treatment history, serum erythropoietin (“EPO”) levels and </w:t>
      </w:r>
      <w:r>
        <w:rPr>
          <w:rFonts w:ascii="Times New Roman" w:hAnsi="Times New Roman"/>
          <w:i/>
          <w:color w:val="000000"/>
          <w:sz w:val="20"/>
        </w:rPr>
        <w:t>ring sideroblast status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Currently available treatment options are effective in only ~50% patients and they are challenging to dose-calibrate and can only be administered via subcutaneous injection or through IV infusion. New strategies that provide durable response and the convenience of oral administration are highly desired in managing patients with MDS.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Opportunity for Roxadustat in Myelodysplastic Syndromes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there is a significant need for a safe, effective, and convenient option to address anemia in patients with lower-risk MDS. Roxadustat, our orally administered small molecule hypoxia-inducible prolyl hydroxylase (“HIF-PH”) inhibitor, stimulates the body’s natural mechanism of red blood cell production and iron hemostasis based on cellular-level oxygen-sensing and iron-regulation mechanisms. Unlike ESAs which are limited to providing exogenous EPO, roxadustat activates a coordinated erythropoietic response in the body that includes the stimulation of red blood cell progenitors, an increase in the body’s production of endogenous EPO, and an increase in iron availability for hemoglobin synthesis, which we believe is important in a broad range of MDS patients. Moreover, in anemia of CKD, roxadustat has demonstrated the ability in clinical trials to increase and maintain hemoglobin levels in the presence of inflammation as measured by C-reactive protein (“CRP”), where ESAs have shown limited effect. We believe that roxadustat has the potential to replicate this result in MDS anemia patients, where it is not uncommon for patients to present with autoimmune and inflammatory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Phase 2/3 Clinical Trial in Myelodysplastic Syndromes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Topline 28-week data from MATTERHORN, our Phase 2/3 placebo-controlled, double-blind clinical trial of roxadustat for the treatment of anemia in MDS, was presented in the fourth quarter of 2023 at the American Society of Hematology annual conference.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 patients in the roxadustat arm (47.5% of 80 patients) achieved transfusion independence for 56 consecutive days (within the first 28 weeks) than the placebo arm (33.3% of 57 patients); however, the p-value was not significant.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in a post-hoc analysis of patients with high transfusion burden (4 or more packed RBC units over two consecutive 8-week periods), 36% of the 22 roxadustat patients achieved transfusion independence, versus 7% of the 15 placebo patients (nominal p-value of 0.04).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Roxadustat in Anemia of Chronic Kidney Disease</w:t>
      </w:r>
    </w:p>
    <w:p>
      <w:pPr>
        <w:pStyle w:val="TextBody"/>
        <w:bidi w:val="0"/>
        <w:spacing w:before="120" w:after="283"/>
        <w:jc w:val="left"/>
        <w:rPr/>
      </w:pPr>
      <w:r>
        <w:rPr>
          <w:rFonts w:ascii="Times New Roman" w:hAnsi="Times New Roman"/>
          <w:color w:val="000000"/>
          <w:sz w:val="20"/>
        </w:rPr>
        <w:t>We and our collaboration partners developed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which is currently approved in China, Europe, Japan, and numerous other countries for the treatment of anemia in CKD patients on dialysis and not on dialysis.</w:t>
      </w:r>
    </w:p>
    <w:p>
      <w:pPr>
        <w:pStyle w:val="TextBody"/>
        <w:bidi w:val="0"/>
        <w:spacing w:before="360" w:after="283"/>
        <w:jc w:val="left"/>
        <w:rPr>
          <w:rFonts w:ascii="Times New Roman" w:hAnsi="Times New Roman"/>
          <w:sz w:val="20"/>
        </w:rPr>
      </w:pPr>
      <w:r>
        <w:rPr>
          <w:rFonts w:ascii="Times New Roman" w:hAnsi="Times New Roman"/>
          <w:b/>
          <w:color w:val="000000"/>
          <w:sz w:val="20"/>
        </w:rPr>
        <w:t>China – Roxadustat Commercial Program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August 29, 2025, we closed the sale of our China operations through FibroGen International (Hong Kong) Ltd. (“FibroGen International”) to AstraZeneca Treasury Limited pursuant to the Share Purchase Agreement for a total consideration of $220.4 million comprised of $85.0 million in enterprise value and $135.4 million in net cash held in China. This sale included all of our roxadustat assets in China, including FibroGen International’s subsidiary FibroGen (China) Medical Technology Development Co., Ltd (“FibroGen Beijing”) and its 51.1% interest in Beijing Falikang Pharmaceutical Co., Ltd. (“Falikang”). For additional details, refer to Note 2, </w:t>
      </w:r>
      <w:r>
        <w:rPr>
          <w:rFonts w:ascii="Times New Roman" w:hAnsi="Times New Roman"/>
          <w:i/>
          <w:color w:val="000000"/>
          <w:sz w:val="20"/>
        </w:rPr>
        <w:t xml:space="preserve">Discontinued Operations and Divestiture, </w:t>
      </w:r>
      <w:r>
        <w:rPr>
          <w:rFonts w:ascii="Times New Roman" w:hAnsi="Times New Roman"/>
          <w:color w:val="000000"/>
          <w:sz w:val="20"/>
        </w:rPr>
        <w:t>to the condensed consolidated financial statements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U.S., Europe, Japan and Rest of World - Roxadustat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FibroGen has retained the rights to roxadustat in the U.S., Canada, Mexico, and in all markets not held by AstraZeneca or licensed to Astellas. </w:t>
      </w:r>
    </w:p>
    <w:p>
      <w:pPr>
        <w:pStyle w:val="TextBody"/>
        <w:bidi w:val="0"/>
        <w:spacing w:before="240" w:after="283"/>
        <w:jc w:val="left"/>
        <w:rPr>
          <w:rFonts w:ascii="Times New Roman" w:hAnsi="Times New Roman"/>
          <w:sz w:val="20"/>
        </w:rPr>
      </w:pPr>
      <w:r>
        <w:rPr>
          <w:rFonts w:ascii="Times New Roman" w:hAnsi="Times New Roman"/>
          <w:color w:val="000000"/>
          <w:sz w:val="20"/>
        </w:rPr>
        <w:t>Astellas is commercializing roxadustat (EVRENZO</w:t>
      </w:r>
      <w:r>
        <w:rPr>
          <w:rFonts w:ascii="Times New Roman" w:hAnsi="Times New Roman"/>
          <w:color w:val="000000"/>
          <w:sz w:val="13"/>
        </w:rPr>
        <w:t>TM</w:t>
      </w:r>
      <w:r>
        <w:rPr>
          <w:rFonts w:ascii="Times New Roman" w:hAnsi="Times New Roman"/>
          <w:color w:val="000000"/>
          <w:sz w:val="20"/>
        </w:rPr>
        <w:t>) in Europe and Japan to treat anemia under two development and commercialization license agreements: one for Japan, and one for Europe, the Commonwealth of Independent States, the Middle East and South Africa.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Exclusive License from and Option to Acquire Fortis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an exclusive option agreement to acquire Fortis with its novel Phase 1 ADC, FG-3246 (previously FOR46), that targets a novel epitope on CD46 preferentially expressed on certain cancer cells. FG-3246 is in development for the treatment of mCRPC with potential applicability in other solid tumors and hematologic malignancies.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an evaluation agreement entered into with Fortis concurrent with the option agreement, FibroGen has exclusively licensed FG-3246 and will control and fund future research, development, including a Phase 2 clinical study sponsored by FibroGen, and manufacturing of FG-3246 during the option period. As part of the clinical development strategy, we will continue the work to develop a PET-based biomarker utilizing a radiolabeled version of the targeting antibody for patient selection.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FibroGen have made four quarterly payments totaling $5.4 million to Fortis in support of its continued development obligations, of which the last payment was $1.7 million and was made during the three months ended March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exercise the option to acquire Fortis, we will pay Fortis $80.0 million, and thereafter, Fortis would be eligible to receive from FibroGen up to $200.0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FibroGen chooses not to acquire Fortis, its exclusive license to FG-3246 would expire.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On March 28, 2025, the Company and Fortis entered into amendments and modified the option exercise deadline to December 31, 2027.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additional details about this transaction, see the </w:t>
      </w:r>
      <w:r>
        <w:rPr>
          <w:rFonts w:ascii="Times New Roman" w:hAnsi="Times New Roman"/>
          <w:i/>
          <w:color w:val="000000"/>
          <w:sz w:val="20"/>
        </w:rPr>
        <w:t>Consolidated Variable Interest Entity - Fortis</w:t>
      </w:r>
      <w:r>
        <w:rPr>
          <w:rFonts w:ascii="Times New Roman" w:hAnsi="Times New Roman"/>
          <w:color w:val="000000"/>
          <w:sz w:val="20"/>
        </w:rPr>
        <w:t xml:space="preserve"> section in Note 4, </w:t>
      </w:r>
      <w:r>
        <w:rPr>
          <w:rFonts w:ascii="Times New Roman" w:hAnsi="Times New Roman"/>
          <w:i/>
          <w:color w:val="000000"/>
          <w:sz w:val="20"/>
        </w:rPr>
        <w:t>Variable Interest Entities</w:t>
      </w:r>
      <w:r>
        <w:rPr>
          <w:rFonts w:ascii="Times New Roman" w:hAnsi="Times New Roman"/>
          <w:color w:val="000000"/>
          <w:sz w:val="20"/>
        </w:rPr>
        <w:t>, to the condensed consolidated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Exclusive License to Eluminex</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2023, FibroGen and Eluminex entered into an Amended and Restated Exclusive License Agreement (“A&amp;R Eluminex Agreement”) in order to add to the license rights to recombinant human collagen Type I (in addition to the rights to collagen Type III that were already licensed). On August 5, 2025, FibroGen accepted the assignment and delegation from FibroGen Hong Kong, FibroGen Beijing, and Falikang of their respective rights and obligations under the A&amp;R Eluminex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Collaboration Partnerships for Roxadustat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current and future research, development, manufacturing and commercialization efforts with respect to roxadustat depend on funds from our collaboration agreements with Astellas and AstraZeneca. See Note 3, </w:t>
      </w:r>
      <w:r>
        <w:rPr>
          <w:rFonts w:ascii="Times New Roman" w:hAnsi="Times New Roman"/>
          <w:i/>
          <w:color w:val="000000"/>
          <w:sz w:val="20"/>
        </w:rPr>
        <w:t>Collaboration Agreements, License Agreement and Revenues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Astellas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2005, we entered into a collaboration agreement with Astellas for the development and commercialization (but not manufacture) of roxadustat for the treatment of anemia in Japan (“Astellas Japan Agreement”). In April 2006, we entered into a separate collaboration agreement with Astellas for roxadustat for the treatment of anemia in Europe, the Commonwealth of Independent States, the Middle East, and South Africa (“Astellas Europe Agreement”). Under these agreements, the aggregate amount of consideration received through September 30, 2025 totaled $790.1 million. Based on the current development plans for roxadustat in Japan and Europe, we do not expect to receive most or all of the additional potential milestones under the Astellas Japan Agreement or the Astellas Europe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2018, we and Astellas entered into an amendment to the Astellas Japan Agreement that allows Astellas to manufacture roxadustat drug product for commercialization in Japan (the “Astellas Japan Amendment”). The related drug product revenue was $(0.4) million and $(1.4) million for the three months ended September 30, 2025 and 2024, and $1.4 million and $(3.9) million for the nine months ended September 30,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2021, we entered into an EU Supply Agreement with Astellas under the Astellas Europe Agreement to define general forecast, order, supply and payment terms for Astellas to purchase roxadustat bulk drug product from FibroGen in support of commercial supplies (the “Astellas EU Supply Agreement”). The related drug product revenue was $1.3 million and $1.1 million for the three months ended September 30, 2025 and 2024, and $3.3 million and $3.2 million for the nine months ended September 30, 2025 and 2024, respectively.</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AstraZeneca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2013, we entered into a collaboration agreement with AstraZeneca for roxadustat for the treatment of anemia in the U.S. and all territories, except for China and other territories not previously licensed to Astellas (the “AstraZeneca U.S./RoW Agreement”). In 2020, we entered into a Master Supply Agreement with AstraZeneca under the AstraZeneca U.S./RoW Agreement (the “AstraZeneca Master Supply Agreement”) to define general forecast, order, supply and payment terms for AstraZeneca to purchase roxadustat bulk drug product from FibroGen in support of commercial supplies.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25, 2024, we entered into an agreement to terminate the AstraZeneca U.S./RoW Agreement with AstraZeneca, as amended and restated on August 29, 2025. Pursuant to the AstraZeneca Termination and Transition Agreement, AstraZeneca returns all of their non-China roxadustat rights to us, with the exception of South Korea, and provides certain assistance during a transition period. In addition, as a part of this AstraZeneca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 The aggregate amount of consideration for milestone and upfront payments received under the AstraZeneca U.S./RoW Agreement through the termination totaled $439.0 million. In addition, resulting from the AstraZeneca Termination and Transition Agreement, FibroGen and AstraZeneca settled the outstanding balances relating to past transactions under the AstraZeneca Master Supply Agreement. Accordingly, during the first quarter of 2024, we recorded a cumulative catch-up net adjustment of $25.7 million to the drug product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AstraZeneca was our long-time commercialization partner for roxadustat in greater China. In July 2013, through our China subsidiary and related affiliates, we entered into a collaboration agreement with AstraZeneca for roxadustat for the treatment of anemia in China (the “AstraZeneca China Agreement”). Under the AstraZeneca agreements, the aggregate amount of consideration received through September 30, 2025 totaled $81.2 million.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August 29, 2025, we closed the sale of our China operations through FibroGen International to AstraZeneca Treasury Limited pursuant to the Share Purchase Agreement. For additional details, refer to Note 2, </w:t>
      </w:r>
      <w:r>
        <w:rPr>
          <w:rFonts w:ascii="Times New Roman" w:hAnsi="Times New Roman"/>
          <w:i/>
          <w:color w:val="000000"/>
          <w:sz w:val="20"/>
        </w:rPr>
        <w:t xml:space="preserve">Discontinued Operations and Divestiture, </w:t>
      </w:r>
      <w:r>
        <w:rPr>
          <w:rFonts w:ascii="Times New Roman" w:hAnsi="Times New Roman"/>
          <w:color w:val="000000"/>
          <w:sz w:val="20"/>
        </w:rPr>
        <w:t xml:space="preserve">to the condensed consolidated financial statements.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AstraZeneca China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2020, FibroGen China and AstraZeneca entered into an amendment, effective July 1, 2020, to the AstraZeneca China Agreement, relating to the development and commercialization of roxadustat in China (the “AstraZeneca China Amendment”). Under the AstraZeneca China Amendment, in 2020, FibroGen Beijing and AstraZeneca completed the establishment of a jointly owned entity, Falikang, which performs roxadustat distribution, as well as conducts sales and marketing through AstraZeneca.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account for our investment in Falikang under the equity method, and Falikang is not consolidated into our consolidated financial statements. Our proportionate share of the reported profits or losses of Falikang, is included in the discontinued operations in the condensed consolidated statement of operations, and the investment in unconsolidated subsidiary is included the held for sale assets on the condensed consolidated balance sheet. See Note 2, </w:t>
      </w:r>
      <w:r>
        <w:rPr>
          <w:rFonts w:ascii="Times New Roman" w:hAnsi="Times New Roman"/>
          <w:i/>
          <w:color w:val="000000"/>
          <w:sz w:val="20"/>
        </w:rPr>
        <w:t>Discontinued Operations and Divestiture</w:t>
      </w:r>
      <w:r>
        <w:rPr>
          <w:rFonts w:ascii="Times New Roman" w:hAnsi="Times New Roman"/>
          <w:color w:val="000000"/>
          <w:sz w:val="20"/>
        </w:rPr>
        <w:t>, to the condensed consolidated financial statements for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revenue, net, which is included in the discontinued operations, consists primarily of revenues from sales of roxadustat commercial product to Falikang.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Substantially all direct roxadustat product sales to distributors in China are made by Falikang, while FibroGen Beijing continues to sell roxadustat product directly in limited areas in China. FibroGen Beijing manufactures and supplies commercial product to Falikang based on an agreed upon transfer price, which includes gross transaction price, net of calculated profit share.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recognize revenue upon the transfer of control of commercial products to Falikang in an amount that reflects the allocation of transaction price of the China manufacturing and supply obligation (“China performance obligation”) to the performance obligation satisfied during the reporting period. For our direct sales of commercial drug product, we recognize revenue when control of the promised good is transferred to the customer in an amount that reflects the consideration that we expect to be entitled to in exchange for the product. As discussed in Note 2, </w:t>
      </w:r>
      <w:r>
        <w:rPr>
          <w:rFonts w:ascii="Times New Roman" w:hAnsi="Times New Roman"/>
          <w:i/>
          <w:color w:val="000000"/>
          <w:sz w:val="20"/>
        </w:rPr>
        <w:t>Discontinued Operations and Divestiture,</w:t>
      </w:r>
      <w:r>
        <w:rPr>
          <w:rFonts w:ascii="Times New Roman" w:hAnsi="Times New Roman"/>
          <w:color w:val="000000"/>
          <w:sz w:val="20"/>
        </w:rPr>
        <w:t xml:space="preserve"> to the condensed consolidated financial statements, the divestiture of FibroGen International was completed on August 29, 2025 and accordingly, the performance obligation to AstraZeneca was completely satisfied upon the closing of the divestiture. As a result, all the previously deferred revenues were recognized as revenue during the three months ended September 30, 2025. We recognized net product revenue of $167.2 million and $46.2 million for the three months ended September 30, 2025 and 2024, and $226.7 million and $126.4 million for the nine months ended September 30, 2025 and 2024, respectively, majority of which were from the sales to Falikang.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jc w:val="left"/>
        <w:rPr/>
      </w:pPr>
      <w:r>
        <w:rPr/>
        <w:t> </w:t>
      </w:r>
    </w:p>
    <w:tbl>
      <w:tblPr>
        <w:tblW w:w="10800" w:type="dxa"/>
        <w:jc w:val="left"/>
        <w:tblInd w:w="0" w:type="dxa"/>
        <w:tblLayout w:type="fixed"/>
        <w:tblCellMar>
          <w:top w:w="28" w:type="dxa"/>
          <w:left w:w="28" w:type="dxa"/>
          <w:bottom w:w="28" w:type="dxa"/>
          <w:right w:w="28" w:type="dxa"/>
        </w:tblCellMar>
      </w:tblPr>
      <w:tblGrid>
        <w:gridCol w:w="1416"/>
        <w:gridCol w:w="146"/>
        <w:gridCol w:w="211"/>
        <w:gridCol w:w="571"/>
        <w:gridCol w:w="146"/>
        <w:gridCol w:w="146"/>
        <w:gridCol w:w="211"/>
        <w:gridCol w:w="481"/>
        <w:gridCol w:w="166"/>
        <w:gridCol w:w="146"/>
        <w:gridCol w:w="211"/>
        <w:gridCol w:w="571"/>
        <w:gridCol w:w="166"/>
        <w:gridCol w:w="146"/>
        <w:gridCol w:w="146"/>
        <w:gridCol w:w="421"/>
        <w:gridCol w:w="166"/>
        <w:gridCol w:w="271"/>
        <w:gridCol w:w="146"/>
        <w:gridCol w:w="211"/>
        <w:gridCol w:w="571"/>
        <w:gridCol w:w="146"/>
        <w:gridCol w:w="146"/>
        <w:gridCol w:w="211"/>
        <w:gridCol w:w="676"/>
        <w:gridCol w:w="146"/>
        <w:gridCol w:w="146"/>
        <w:gridCol w:w="211"/>
        <w:gridCol w:w="736"/>
        <w:gridCol w:w="166"/>
        <w:gridCol w:w="146"/>
        <w:gridCol w:w="146"/>
        <w:gridCol w:w="376"/>
        <w:gridCol w:w="166"/>
        <w:gridCol w:w="716"/>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6"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Development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Development revenue includes co-development and other development related services. We recognize development services as revenue in the period in which they are billed to our partners, excluding China. As of September 30, 2025, we do not expect to incur significant future co-development services. Other revenues consist of contract manufacturing revenue, patent transfer and sales of research and development material. Development and other revenue have not been material for any of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 product revenue includes commercial-grade API or bulk drug product sales to AstraZeneca, under the AstraZeneca U.S./RoW Agreement, and Astellas in support of pre-commercial preparation prior to the new drug application or marketing authorization application approval, and to Astellas for ongoing commercial launch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AstraZeneca U.S./RoW Agreement was terminated on February 25, 2024 (except for South Korea). On August 29, 2025, we closed the sale of our China operations through FibroGen International to AstraZeneca Treasury Limited pursuant to the Share Purchase Agreement. For additional details, refer to Note 2, </w:t>
      </w:r>
      <w:r>
        <w:rPr>
          <w:rFonts w:ascii="Times New Roman" w:hAnsi="Times New Roman"/>
          <w:i/>
          <w:color w:val="000000"/>
          <w:sz w:val="20"/>
        </w:rPr>
        <w:t xml:space="preserve">Discontinued Operations and Divestiture, </w:t>
      </w:r>
      <w:r>
        <w:rPr>
          <w:rFonts w:ascii="Times New Roman" w:hAnsi="Times New Roman"/>
          <w:color w:val="000000"/>
          <w:sz w:val="20"/>
        </w:rPr>
        <w:t xml:space="preserve">to the condensed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will continue generating revenue from collaboration agreements in the form of milestone payments and royalties on drug product sales. We expect that any revenues we generate will fluctuate from quarter to quarter due to the uncertain timing and amount of such payments and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revenue increased $1.0 million, or 775%, for the three months ended September 30, 2025, and decreased $21.3 million, or 81%, for the nine months ended September 30, 2025, respectively, compared to the same periods a year ago for the reasons discussed in the sections below.</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Drug Product Revenue, Net</w:t>
      </w:r>
    </w:p>
    <w:p>
      <w:pPr>
        <w:pStyle w:val="TextBody"/>
        <w:bidi w:val="0"/>
        <w:jc w:val="left"/>
        <w:rPr/>
      </w:pPr>
      <w:r>
        <w:rPr/>
        <w:t> </w:t>
      </w:r>
    </w:p>
    <w:tbl>
      <w:tblPr>
        <w:tblW w:w="10780" w:type="dxa"/>
        <w:jc w:val="left"/>
        <w:tblInd w:w="0" w:type="dxa"/>
        <w:tblLayout w:type="fixed"/>
        <w:tblCellMar>
          <w:top w:w="28" w:type="dxa"/>
          <w:left w:w="28" w:type="dxa"/>
          <w:bottom w:w="28" w:type="dxa"/>
          <w:right w:w="28" w:type="dxa"/>
        </w:tblCellMar>
      </w:tblPr>
      <w:tblGrid>
        <w:gridCol w:w="1326"/>
        <w:gridCol w:w="146"/>
        <w:gridCol w:w="211"/>
        <w:gridCol w:w="571"/>
        <w:gridCol w:w="166"/>
        <w:gridCol w:w="146"/>
        <w:gridCol w:w="211"/>
        <w:gridCol w:w="631"/>
        <w:gridCol w:w="166"/>
        <w:gridCol w:w="146"/>
        <w:gridCol w:w="211"/>
        <w:gridCol w:w="571"/>
        <w:gridCol w:w="146"/>
        <w:gridCol w:w="146"/>
        <w:gridCol w:w="146"/>
        <w:gridCol w:w="421"/>
        <w:gridCol w:w="146"/>
        <w:gridCol w:w="271"/>
        <w:gridCol w:w="146"/>
        <w:gridCol w:w="211"/>
        <w:gridCol w:w="571"/>
        <w:gridCol w:w="146"/>
        <w:gridCol w:w="146"/>
        <w:gridCol w:w="211"/>
        <w:gridCol w:w="676"/>
        <w:gridCol w:w="166"/>
        <w:gridCol w:w="146"/>
        <w:gridCol w:w="211"/>
        <w:gridCol w:w="736"/>
        <w:gridCol w:w="166"/>
        <w:gridCol w:w="146"/>
        <w:gridCol w:w="146"/>
        <w:gridCol w:w="421"/>
        <w:gridCol w:w="166"/>
        <w:gridCol w:w="591"/>
      </w:tblGrid>
      <w:tr>
        <w:trPr/>
        <w:tc>
          <w:tcPr>
            <w:tcW w:w="1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1"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 Japan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AstraZeneca U.S./RoW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 product revenue, net increased $1.2 million, or 465%, for the three months ended September 30, 2025, and decreased $20.2 million, or 81%, for the nine months ended September 30, 2025, respectively, compared to the same periods a year ago.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third quarter of 2025, we updated our estimate of variable consideration related to the API shipments fulfilled under the terms of Astellas Japan Amendment, and accordingly recorded a reduction to the drug product revenue of $0.4 million. Specifically, the change in estimated variable consideration was based on the API held by Astellas at period end, adjusted to reflect foreign exchange impacts,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2025, we updated our estimate of variable consideration related to the API shipments fulfilled under the terms of Astellas Japan Amendment, and accordingly recorded an adjustment to the drug product revenue of $1.8 million. Specifically, the change in estimated variable consideration was based on the API held by Astellas at period end, adjusted to reflect the changes in the estimated yield from the manufacture of bulk product tablets,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third quarter of 2024, we updated our estimate of variable consideration related to the API shipments fulfilled under the terms of Astellas Japan Amendment, and accordingly recorded a reduction to the drug product revenue of $1.4 million. Specifically, the change in estimated variable consideration was based on the API held by Astellas at period end, adjusted to reflect the changes in the estimated bulk product strength mix intended to be manufactured by Astellas,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second quarter of 2024, we updated our estimate of variable consideration related to the API shipments fulfilled under the terms of Astellas Japan Amendment, and accordingly recorded a reduction to the drug product revenue of $0.4 million. Specifically, the change in estimated variable consideration was based on the API held by Astellas at period end, adjusted to reflect the foreign exchange impacts and the changes in the estimated bulk product strength mix intended to be manufactured by Astellas,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2024, we updated our estimate of variable consideration related to the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2025, the balances related to the API price true-up under the Astellas Japan Agreement were $1.0 million in accrued liabilities, representing our best estimate of the timing for these amounts to be paid.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updated our estimate of variable consideration related to the bulk drug product transferred under the terms of the Astellas Europe Agreement and the Astellas EU Supply Agreement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2024, we reclassified $7.2 million from the related deferred revenue to accrued liabilities. As of December 31, 2024, the related balance in accrued liabilities was $10.5 million. We further reclassified $0.9 million from the related deferred revenue to accrued liabilities during the nine months ended September 30, 2025. As of September 30, 2025, the balances related to the bulk drug product price true-up under the Astellas Europe Agreement and the Astellas EU Supply Agreement were $11.4 million in accrued liabilities, representing our best estimate that these amounts will be paid within the next 12 month, a $7.1 million of which was paid to Astellas in October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recognized royalty revenue as drug product revenue, from the deferred revenue under the Astellas Europe Agreement, of $1.3 million and $1.1 million for the three months ended September 30, 2025 and 2024, and $3.3 million and $3.2 million for the nine months ended September 30, 2025 and 2024, respectively. It is our best estimate that the remainder of the deferred revenue will be recognized as revenue and when uncertainty is resolved, based on the performance of roxadustat product sales in the Astellas territory.</w:t>
      </w:r>
    </w:p>
    <w:p>
      <w:pPr>
        <w:pStyle w:val="TextBody"/>
        <w:bidi w:val="0"/>
        <w:spacing w:before="360" w:after="283"/>
        <w:jc w:val="left"/>
        <w:rPr>
          <w:rFonts w:ascii="Times New Roman" w:hAnsi="Times New Roman"/>
          <w:sz w:val="20"/>
        </w:rPr>
      </w:pPr>
      <w:r>
        <w:rPr>
          <w:rFonts w:ascii="Times New Roman" w:hAnsi="Times New Roman"/>
          <w:i/>
          <w:color w:val="000000"/>
          <w:sz w:val="20"/>
        </w:rPr>
        <w:t>AstraZeneca U.S./RoW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above, pursuant to the AstraZeneca Termination and Transition Agreement related to the AstraZeneca U.S./RoW Agreement, FibroGen and AstraZeneca settled the outstanding balances relating to past transactions under the AstraZeneca Master Supply Agreement. Accordingly, during the first quarter of 2024, we accounted for the termination of the AstraZeneca U.S./RoW agreement as a contract modification under the ASC 606 and recorded a cumulative catch-up net adjustment of $25.7 million to the drug product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Costs and Expenses</w:t>
      </w:r>
    </w:p>
    <w:p>
      <w:pPr>
        <w:pStyle w:val="TextBody"/>
        <w:bidi w:val="0"/>
        <w:jc w:val="left"/>
        <w:rPr/>
      </w:pPr>
      <w:r>
        <w:rPr/>
        <w:t> </w:t>
      </w:r>
    </w:p>
    <w:tbl>
      <w:tblPr>
        <w:tblW w:w="11630" w:type="dxa"/>
        <w:jc w:val="left"/>
        <w:tblInd w:w="0" w:type="dxa"/>
        <w:tblLayout w:type="fixed"/>
        <w:tblCellMar>
          <w:top w:w="28" w:type="dxa"/>
          <w:left w:w="28" w:type="dxa"/>
          <w:bottom w:w="28" w:type="dxa"/>
          <w:right w:w="28" w:type="dxa"/>
        </w:tblCellMar>
      </w:tblPr>
      <w:tblGrid>
        <w:gridCol w:w="1491"/>
        <w:gridCol w:w="146"/>
        <w:gridCol w:w="211"/>
        <w:gridCol w:w="571"/>
        <w:gridCol w:w="166"/>
        <w:gridCol w:w="146"/>
        <w:gridCol w:w="211"/>
        <w:gridCol w:w="676"/>
        <w:gridCol w:w="166"/>
        <w:gridCol w:w="146"/>
        <w:gridCol w:w="211"/>
        <w:gridCol w:w="736"/>
        <w:gridCol w:w="166"/>
        <w:gridCol w:w="146"/>
        <w:gridCol w:w="146"/>
        <w:gridCol w:w="481"/>
        <w:gridCol w:w="166"/>
        <w:gridCol w:w="271"/>
        <w:gridCol w:w="146"/>
        <w:gridCol w:w="211"/>
        <w:gridCol w:w="676"/>
        <w:gridCol w:w="146"/>
        <w:gridCol w:w="146"/>
        <w:gridCol w:w="211"/>
        <w:gridCol w:w="781"/>
        <w:gridCol w:w="146"/>
        <w:gridCol w:w="146"/>
        <w:gridCol w:w="211"/>
        <w:gridCol w:w="841"/>
        <w:gridCol w:w="166"/>
        <w:gridCol w:w="146"/>
        <w:gridCol w:w="146"/>
        <w:gridCol w:w="376"/>
        <w:gridCol w:w="166"/>
        <w:gridCol w:w="71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1"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operating costs and expenses decreased $41.3 million, or 86%, and decreased $132.2 million, or 78%, for the nine months ended September 30, 2025, respectively, compared to the same periods a year ago for the reasons discussed in the sections below.</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Cost of Goods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goods sold was immaterial for the three months ended September 30, 2025 and 2024. Cost of goods sold decreased $21.1 million, or 99%, for the nine months ended September 30, 2025, compared to the same period a year ago. As described above, during the first quarter of 2024, we recorded a cumulative catch-up net adjustment to the drug product revenue resulting from the AstraZeneca Termination and Transition Agreement related to the AstraZeneca U.S./RoW Agreement. Correspondingly, we recorded the related cost of goods sold of $21.1 million in the same period. </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We have implemented a significant cost reduction plan in the U.S. in the third quarter of 2024. As a result, research and development expenses have overall decreased.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during the three and nine months ended September 30, 2025 and 2024:</w:t>
      </w:r>
    </w:p>
    <w:tbl>
      <w:tblPr>
        <w:tblW w:w="9786" w:type="dxa"/>
        <w:jc w:val="left"/>
        <w:tblInd w:w="0" w:type="dxa"/>
        <w:tblLayout w:type="fixed"/>
        <w:tblCellMar>
          <w:top w:w="28" w:type="dxa"/>
          <w:left w:w="28" w:type="dxa"/>
          <w:bottom w:w="28" w:type="dxa"/>
          <w:right w:w="28" w:type="dxa"/>
        </w:tblCellMar>
      </w:tblPr>
      <w:tblGrid>
        <w:gridCol w:w="1684"/>
        <w:gridCol w:w="163"/>
        <w:gridCol w:w="1887"/>
        <w:gridCol w:w="146"/>
        <w:gridCol w:w="277"/>
        <w:gridCol w:w="830"/>
        <w:gridCol w:w="218"/>
        <w:gridCol w:w="192"/>
        <w:gridCol w:w="277"/>
        <w:gridCol w:w="889"/>
        <w:gridCol w:w="146"/>
        <w:gridCol w:w="146"/>
        <w:gridCol w:w="265"/>
        <w:gridCol w:w="849"/>
        <w:gridCol w:w="183"/>
        <w:gridCol w:w="183"/>
        <w:gridCol w:w="265"/>
        <w:gridCol w:w="849"/>
        <w:gridCol w:w="146"/>
        <w:gridCol w:w="191"/>
      </w:tblGrid>
      <w:tr>
        <w:trPr/>
        <w:tc>
          <w:tcPr>
            <w:tcW w:w="16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Phase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Product Candidate</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Development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FG-3246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Phase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Roxadustat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Approved / Phase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Pamrevlumab</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Phase 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decreased $18.8 million, or 94%, for the three months ended September 30, 2025, and decreased $72.6 million, or 82%, for the nine months ended September 30, 2025, respectively, compared to the same periods a year ago, primarily as a result of the net effect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$7.2 million and $19.1 million in facilities-related expenses due to cost control efforts including the lease termination in the third quarter of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$4.4 million and $14.9 million in clinical trials costs primarily associated with the termination of pamrevlumab programs during the second half of 2024 responding to the topline clinical data results we reported in July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$4.1 million and $11.0 million in stock-based compensation primarily resulting from significantly lower stock price and cancellations of stock options and restricted stock units due to reduced headcount and terminations;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$1.7 million and $6.8 million in drug development expenses associated with drug substance activities and logistic expenses related to pamrevlumab programs which were completed and terminated;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$1.0 million and $17.2 million in employee-related costs primarily due to the impact from reduction in force action in August 2024 and cost control efforts.</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recruiting fees and expenses associated with obtaining and maintaining patents. We have implemented a significant cost reduction plan in the U.S. in the third quarter of 2024. As a result, SG&amp;A expenses have overall decreased and may continue to decrease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SG&amp;A expenses decreased $4.1 million, or 43%, for the three months ended September 30, 2025, and decreased $20.5 million, or 50%, for the nine months ended September 30, 2025, respectively, compared to the same periods a year ago, primarily as a result of the net effect of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$1.8 million and $7.6 million in stock-based compensation primarily resulting from significantly lower stock price and cancellations of stock options and restricted stock units due to reduced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$7.8 million in employee-related costs for the nine month period, primarily due to the impact from reduction in force action in August 2024 and cost control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$3.8 million in facilities-related expenses for the nine month period, due to cost control efforts including the lease termination in the third quarter of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Restructuring Charge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response to the topline clinical results for pamrevlumab in patients with pancreatic cancer we announced in July 2024, we implemented an immediate and significant cost reduction plan in the U.S., including terminating pamrevlumab research and development investment and expeditiously winding down remaining obligations, and reducing our U.S. workforce by approximately 75%. As a result, we recorded majority of the related non-recurring restructuring charge of $18.6 million during the third quarter of 2024, primarily consisting of notice period and severance payments, accrued vacation, and employee benefits contributions. The related restructuring charges for the three and nine months ended September 30, 2025 were not 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and Other, Net</w:t>
      </w:r>
    </w:p>
    <w:p>
      <w:pPr>
        <w:pStyle w:val="TextBody"/>
        <w:bidi w:val="0"/>
        <w:jc w:val="left"/>
        <w:rPr/>
      </w:pPr>
      <w:r>
        <w:rPr/>
        <w:t> </w:t>
      </w:r>
    </w:p>
    <w:tbl>
      <w:tblPr>
        <w:tblW w:w="11595" w:type="dxa"/>
        <w:jc w:val="left"/>
        <w:tblInd w:w="0" w:type="dxa"/>
        <w:tblLayout w:type="fixed"/>
        <w:tblCellMar>
          <w:top w:w="28" w:type="dxa"/>
          <w:left w:w="28" w:type="dxa"/>
          <w:bottom w:w="28" w:type="dxa"/>
          <w:right w:w="28" w:type="dxa"/>
        </w:tblCellMar>
      </w:tblPr>
      <w:tblGrid>
        <w:gridCol w:w="1671"/>
        <w:gridCol w:w="146"/>
        <w:gridCol w:w="211"/>
        <w:gridCol w:w="631"/>
        <w:gridCol w:w="166"/>
        <w:gridCol w:w="146"/>
        <w:gridCol w:w="211"/>
        <w:gridCol w:w="631"/>
        <w:gridCol w:w="166"/>
        <w:gridCol w:w="146"/>
        <w:gridCol w:w="211"/>
        <w:gridCol w:w="631"/>
        <w:gridCol w:w="166"/>
        <w:gridCol w:w="146"/>
        <w:gridCol w:w="146"/>
        <w:gridCol w:w="571"/>
        <w:gridCol w:w="166"/>
        <w:gridCol w:w="271"/>
        <w:gridCol w:w="146"/>
        <w:gridCol w:w="211"/>
        <w:gridCol w:w="736"/>
        <w:gridCol w:w="166"/>
        <w:gridCol w:w="146"/>
        <w:gridCol w:w="211"/>
        <w:gridCol w:w="631"/>
        <w:gridCol w:w="166"/>
        <w:gridCol w:w="146"/>
        <w:gridCol w:w="211"/>
        <w:gridCol w:w="631"/>
        <w:gridCol w:w="166"/>
        <w:gridCol w:w="146"/>
        <w:gridCol w:w="146"/>
        <w:gridCol w:w="421"/>
        <w:gridCol w:w="166"/>
        <w:gridCol w:w="716"/>
      </w:tblGrid>
      <w:tr>
        <w:trPr/>
        <w:tc>
          <w:tcPr>
            <w:tcW w:w="1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6"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represents the interest related to sale of future revenues and interest related to the Technology Development Center of the Republic of Finland product development obligations. Interest expense remained relatively flat for the three and nine months ended September 30, 2025, compared to the same periods a year ago. </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Loss on debt extinguishments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August 29, 2025, upon the above-mentioned completion of the sale of our China operations through FibroGen International to AstraZeneca Treasury Limited, we paid a total of $80.9 million to Morgan Stanley Tactical Value (“MSTV”), including $75.0 million for paying off the senior secured term loan facilities, $0.4 million for outstanding interest and $5.5 million for related premium and fees. Accordingly, we recorded a loss on debt extinguishments of $6.6 million for the three and nine months ended September 30, 2025. See Note 7, </w:t>
      </w:r>
      <w:r>
        <w:rPr>
          <w:rFonts w:ascii="Times New Roman" w:hAnsi="Times New Roman"/>
          <w:i/>
          <w:color w:val="000000"/>
          <w:sz w:val="20"/>
        </w:rPr>
        <w:t>Senior Secured Term Loan Facilities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Interest Income and Other Income (Expenses),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and other income (expenses), net decreased $0.5 million, or 37%, and decreased $3.0 million, or 65%, for the nine months ended September 30, 2025, respectively, compared to the same periods a year ago, primarily due to lower interest income resulting from overall lower cash equivalents and investment balances during the current year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91"/>
        <w:gridCol w:w="146"/>
        <w:gridCol w:w="224"/>
        <w:gridCol w:w="784"/>
        <w:gridCol w:w="176"/>
        <w:gridCol w:w="288"/>
        <w:gridCol w:w="155"/>
        <w:gridCol w:w="224"/>
        <w:gridCol w:w="784"/>
        <w:gridCol w:w="166"/>
        <w:gridCol w:w="271"/>
        <w:gridCol w:w="146"/>
        <w:gridCol w:w="211"/>
        <w:gridCol w:w="738"/>
        <w:gridCol w:w="166"/>
        <w:gridCol w:w="271"/>
        <w:gridCol w:w="146"/>
        <w:gridCol w:w="211"/>
        <w:gridCol w:w="844"/>
        <w:gridCol w:w="166"/>
        <w:gridCol w:w="397"/>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Provision for (benefits from) income taxes for the three and nine months ended September 30, 2025 and 2024 were primarily related to foreign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2025, we entered into the Share Purchase Agreement with AstraZeneca Treasury Limited pursuant to which we and our subsidiary FibroGen China Anemia Holdings, Ltd. agreed to sell all of the issued and outstanding equity interests of FibroGen International to AstraZeneca Treasury Limited. This sale includes all of our roxadustat assets in China, including FibroGen International’s subsidiary FibroGen Beijing and its 51.1% interest in Falikang. The transaction was closed on August 29, 2025.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determined that FibroGen International met the “held for sale” criteria and the “discontinued operations” criteria in accordance with Financial Accounting Standard Board Accounting Standards Codification ASC 205, </w:t>
      </w:r>
      <w:r>
        <w:rPr>
          <w:rFonts w:ascii="Times New Roman" w:hAnsi="Times New Roman"/>
          <w:i/>
          <w:color w:val="000000"/>
          <w:sz w:val="20"/>
        </w:rPr>
        <w:t>Presentation of Financial Statements</w:t>
      </w:r>
      <w:r>
        <w:rPr>
          <w:rFonts w:ascii="Times New Roman" w:hAnsi="Times New Roman"/>
          <w:color w:val="000000"/>
          <w:sz w:val="20"/>
        </w:rPr>
        <w:t xml:space="preserve">, as of December 31, 2024. Accordingly, the operating results related to FibroGen International are classified as discontinued operations, and have been reflected as discontinued operations in the condensed consolidated statements of operations. See Note 2, </w:t>
      </w:r>
      <w:r>
        <w:rPr>
          <w:rFonts w:ascii="Times New Roman" w:hAnsi="Times New Roman"/>
          <w:i/>
          <w:color w:val="000000"/>
          <w:sz w:val="20"/>
        </w:rPr>
        <w:t>Discontinued Operations and Divestiture</w:t>
      </w:r>
      <w:r>
        <w:rPr>
          <w:rFonts w:ascii="Times New Roman" w:hAnsi="Times New Roman"/>
          <w:color w:val="000000"/>
          <w:sz w:val="20"/>
        </w:rPr>
        <w:t>, to the condensed consolidated financial statements for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funded our operations principally from the sale of common stock (including our public offering proceeds), from the execution of collaboration agreements involving license payments, milestone payments, reimbursement for development services, and the associated product revenue and drug product revenue.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Upon the close of the sales of FibroGen International and its subsidiaries to AstraZeneca Treasury Limited on August 29, 2025, we received $210.4 million in cash paid at closing, and a total of $10.0 million cash payable by AstraZeneca at the closing subject to holdbacks of: (i) a $6.0 million holdback to offset final net cash adjustments which will be released following a customary adjustment process approximately 90 days post-closing (as such time may be extended for the parties to mutually agree upon final adjustments), and (ii) a $4.0 million holdback to satisfy any indemnity claims, which will be released, net of any claims paid or unresolved, nine months after the closing. On November 6, 2025, we received a $6.4 million payment from AstraZeneca, which is in full satisfaction of the first holdback of $6.0 million, plus $0.4 million that was an additional payment following the final net cash adjustments after closing. See Note 2, </w:t>
      </w:r>
      <w:r>
        <w:rPr>
          <w:rFonts w:ascii="Times New Roman" w:hAnsi="Times New Roman"/>
          <w:i/>
          <w:color w:val="000000"/>
          <w:sz w:val="20"/>
        </w:rPr>
        <w:t>Discontinued Operations and Divestiture</w:t>
      </w:r>
      <w:r>
        <w:rPr>
          <w:rFonts w:ascii="Times New Roman" w:hAnsi="Times New Roman"/>
          <w:color w:val="000000"/>
          <w:sz w:val="20"/>
        </w:rPr>
        <w:t>, to the condensed consolidated financial statements for details.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April 2023, we entered into the Financing Agreement with investment funds managed by MSTV, (“Lenders”), and Wilmington Trust, National Association, as the administrative agent, providing for senior secured term loan facilities consisting of a $75.0 million initial term loan. The clinical development milestones which could have triggered Delayed Draw Term Loan 1 were not achieved, and the Lenders have not funded Delayed Draw Term Loan 2. Upon the closing of the sale of FibroGen International and its subsidiaries to AstraZeneca Treasury Limited on August 29, 2025, we repaid our term loan facility with the Lenders. For additional details about this financing transaction, see Note 7, </w:t>
      </w:r>
      <w:r>
        <w:rPr>
          <w:rFonts w:ascii="Times New Roman" w:hAnsi="Times New Roman"/>
          <w:i/>
          <w:color w:val="000000"/>
          <w:sz w:val="20"/>
        </w:rPr>
        <w:t>Senior Secured Term Loan Facilities</w:t>
      </w:r>
      <w:r>
        <w:rPr>
          <w:rFonts w:ascii="Times New Roman" w:hAnsi="Times New Roman"/>
          <w:color w:val="000000"/>
          <w:sz w:val="20"/>
        </w:rPr>
        <w:t xml:space="preserve">, to the condensed consolidated financial statements.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2022, we entered into a Revenue Interest Financing Agreement (“RIFA”) with NovaQuest Capital Management (“NovaQuest”) with respect to our revenues from Astellas’ sales of roxadustat in Europe, Japan and the other Astellas territories. Pursuant to the RIFA, in the fourth quarter of 2022, we received $49.8 million from NovaQuest, representing the gross proceeds of $50.0 million net of initial issuance costs, in consideration for a portion of future revenues we will receive from Astellas. For additional details about this financing transaction, see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2025, we entered into an Equity Distribution Agreement with BofA Securities, Inc. pursuant to which we may issue and sell, from time to time and through BofA Securities, Inc., shares of our common stock having an aggregate offering price of up to $30.0 million. We did not sell any shares of common stock under this agreement during the three and nine months ended September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investments and accounts receivable totaled $121.1 million at September 30, 2025. Upon the close of our sale of FibroGen International to AstraZeneca during the third quarter of 2025, we accessed the entirety of our cash and cash equivalents held in China.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Sources and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primary sources and uses of cash and cash equivalents for each of the periods set forth below (in thousands), including both continuing operations and discontinued operations:</w:t>
      </w:r>
    </w:p>
    <w:p>
      <w:pPr>
        <w:pStyle w:val="TextBody"/>
        <w:bidi w:val="0"/>
        <w:spacing w:before="20" w:after="283"/>
        <w:jc w:val="left"/>
        <w:rPr/>
      </w:pPr>
      <w:r>
        <w:rPr/>
        <w:t> </w:t>
      </w:r>
    </w:p>
    <w:tbl>
      <w:tblPr>
        <w:tblW w:w="8617" w:type="dxa"/>
        <w:jc w:val="left"/>
        <w:tblInd w:w="0" w:type="dxa"/>
        <w:tblLayout w:type="fixed"/>
        <w:tblCellMar>
          <w:top w:w="28" w:type="dxa"/>
          <w:left w:w="28" w:type="dxa"/>
          <w:bottom w:w="28" w:type="dxa"/>
          <w:right w:w="28" w:type="dxa"/>
        </w:tblCellMar>
      </w:tblPr>
      <w:tblGrid>
        <w:gridCol w:w="5286"/>
        <w:gridCol w:w="146"/>
        <w:gridCol w:w="237"/>
        <w:gridCol w:w="826"/>
        <w:gridCol w:w="186"/>
        <w:gridCol w:w="164"/>
        <w:gridCol w:w="237"/>
        <w:gridCol w:w="944"/>
        <w:gridCol w:w="591"/>
      </w:tblGrid>
      <w:tr>
        <w:trPr/>
        <w:tc>
          <w:tcPr>
            <w:tcW w:w="5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(86,014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15,797</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$13.6 million for the nine months ended September 30, 2025 and consisted primarily of net income of $197.7 million adjusted for non-operating cash items of $35.9 million, and a net decrease in operating assets and liabilities of $148.2 million. The significant non-operating cash items included gain on divesture of FibroGen International of $52.2 million, loss on debt extinguishments of $6.6 million and stock-based compensation expense of $5.4 million. The significant items in the changes in operating assets and liabilities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Deferred revenue decreased $136.3 million, due to the recognition of all the previously deferred balance related to our China performance obligation under our agreements with AstraZeneca during the three months ended September 30, 2025 upon the completion of the divestiture of FibroGen International on August 29, 2025, as the performance obligation to AstraZeneca were completely satisfied upon the closing of the divestiture. See the </w:t>
      </w:r>
      <w:r>
        <w:rPr>
          <w:rFonts w:ascii="Times New Roman" w:hAnsi="Times New Roman"/>
          <w:i/>
          <w:color w:val="000000"/>
          <w:sz w:val="20"/>
        </w:rPr>
        <w:t>China Performance Obligation</w:t>
      </w:r>
      <w:r>
        <w:rPr>
          <w:color w:val="000000"/>
        </w:rPr>
        <w:t xml:space="preserve"> </w:t>
      </w:r>
      <w:r>
        <w:rPr>
          <w:rFonts w:ascii="Times New Roman" w:hAnsi="Times New Roman"/>
          <w:color w:val="000000"/>
          <w:sz w:val="20"/>
        </w:rPr>
        <w:t xml:space="preserve">section in Note 3, </w:t>
      </w:r>
      <w:r>
        <w:rPr>
          <w:rFonts w:ascii="Times New Roman" w:hAnsi="Times New Roman"/>
          <w:i/>
          <w:color w:val="000000"/>
          <w:sz w:val="20"/>
        </w:rPr>
        <w:t>Collaboration Agreements, License Agreement and Revenues</w:t>
      </w:r>
      <w:r>
        <w:rPr>
          <w:rFonts w:ascii="Times New Roman" w:hAnsi="Times New Roman"/>
          <w:color w:val="000000"/>
          <w:sz w:val="20"/>
        </w:rPr>
        <w:t>, to the condensed consolidated financial statements for details;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liabilities decreased $48.1 million, primarily driven by the $28.5 million distribution of litigation settlement related to our agreement in principle with plaintiffs to settle the class action lawsuit, $7.8 million of the transaction costs related to the divestiture, and the $3.2 million payments of accrued restructuring charge. The accrued and other liabilities were also impacted by cost control efforts and the timing of invoicing and payment;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payable decreased $26.3 million, primarily driven by the payments made during the current year period to AstraZeneca under the settlement agreements entered in September 2024 between FibroGen China and AstraZeneca to settle certain historical items;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decreased $54.8 million, primarily due to the $28.5 million distribution of the above-mentioned litigation settlement during the quarter, which is fully recoverable under our insurance policies. The decrease in prepaid expenses and other current assets was also related to the collection from Falikang during the current year period based on the arrangements under the above-mentioned settlement agreements between FibroGen China and AstraZeneca to settle certain historical items, which was unbilled receivables as of December 31,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Accrued interest expense related to sale of future revenues increased $5.7 million due to the interest expense of $6.1 million accrued, offset by the interest paid of $0.5 million during the period. See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 for details;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Inventory decreased $5.2 million primarily driven by lower inventory production in China as we have decommissioned our API manufacturing facility in Cangzhou, China in late 2024. Inventory in China was part of the held-for-sale assets as of December 31, 2024 as discussed in Note 2, </w:t>
      </w:r>
      <w:r>
        <w:rPr>
          <w:rFonts w:ascii="Times New Roman" w:hAnsi="Times New Roman"/>
          <w:i/>
          <w:color w:val="000000"/>
          <w:sz w:val="20"/>
        </w:rPr>
        <w:t>Discontinued Operations and Divestiture,</w:t>
      </w:r>
      <w:r>
        <w:rPr>
          <w:color w:val="000000"/>
        </w:rPr>
        <w:t xml:space="preserve"> </w:t>
      </w:r>
      <w:r>
        <w:rPr>
          <w:rFonts w:ascii="Times New Roman" w:hAnsi="Times New Roman"/>
          <w:color w:val="000000"/>
          <w:sz w:val="20"/>
        </w:rPr>
        <w:t>to the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was $107.5 million for the nine months ended September 30, 2024 and consisted primarily of net loss of $65.6 million adjusted for non-operating cash items of $27.7 million, and a net decrease in operating assets and liabilities of $69.7 million. The significant non-operating cash items included stock-based compensation expense of $25.0 million. The significant items in the changes in operating assets and liabilities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assets decreased $66.0 million, operating lease liabilities, non-current decreased $65.8 million and operating lease liabilities, current decreased $12.8 million related to the operating lease termination of our corporate headquarters;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increased $18.2 million, primarily due to the $24.8 million of unbilled receivables from Falikang based on the arrangements under the settlement agreements entered in September 2024 between FibroGen China and AstraZeneca to settle certain historical items, and the reimbursements from the insurance for the legal fees associated with the class action lawsuit, which is recoverable under our insurance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liabilities decreased $17.1 million, primarily driven by payment of $35.3 million to Astellas and $11.5 million to AstraZeneca related to accrued API and bulk drug product price true-up and bonus and severance payouts, totaling $25.2 million. The decreases were offset by $42.4 million of historical co-promotion balances due to AstraZeneca based on the arrangements under the above-mentioned settlement agreements, accrued restructuring charge of $18.6 million related to the reduction in force in August 2024, and accrued inventory related cost of $8.5 million as of September 30, 2024, as part of the cost of goods sold resulting from the above-mentioned termination of the AstraZeneca U.S./RoW agreement. The accrued and other liabilities were also impacted by cost control efforts and the timing of invoicing and payment;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increased $16.0 million, primarily driven by the billings to Falikang based on the arrangements under the above-mentioned settlement agreements and related to the increase product sales, as well as the timing of receipt of the billings under our collaboration and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decreased $15.2 million, primarily related to the $33.1 million product revenue recognized from the previously deferred revenue of the China performance obligation during the nine months ended September 30, 2023. In addition, the decrease in deferred revenue was also related to the $3.2 million royalty revenue recognized from the deferred revenue under the Astellas Europe Agreement, and the reclassification of $5.6 million to accrued liabilities, resulting from changes in estimated variable consideration associated with the bulk drug product transferred to Astellas under the terms of the Astellas Europe Agreement and the Astellas EU Supply Agreement during the nine months ended September 30, 2023. Deferred revenue was no longer netted against any contract assets as of September 30, 2024, and the $22.5 million of unbilled co-development revenue under the AstraZeneca China Amendment and the $4.0 million unbilled regulatory milestone payment under the AstraZeneca China Agreement as of December 31, 2023 were billed during the three months ended September 30, 2024 under the above-mentioned settlement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payable decreased $8.7 million, primarily driven by the timing of invoicing and payments and cost control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decreased $17.8 million primarily driven by the $12.6 million of work-in-progress inventory that was reimbursed as part of the above-mentioned termination of the AstraZeneca U.S./RoW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activities primarily consist of net proceeds from divestiture, purchases of investments and proceeds from the maturity and sale of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$87.1 million for the nine months ended September 30, 2025 and consisted primarily of $90.2 million net proceeds from the divestiture of FibroGen International on August 29, 2025, which included the $210.4 million of cash received at closing, net of the $120.2 million cash in China at the closing that were derecognized upon the divestiture; partially offset by $3.0 million cash used in purchases of available-for-sale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investing activities was $124.3 million for the nine months ended September 30, 2024 and consisted primarily of $132.2 million of proceeds from maturities of investments, partially offset by $8.6 million of cash used in purchases of available-for-sale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 primarily reflect proceeds from strategic financing arrangements, proceeds from the issuance of our common stock, cash paid related to our senior secured term loan facilities, cash paid to shareholders and cash paid for payroll taxes on restricted stock unit releases.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Net cash used in financing activities was $86.0 million for the nine months ended September 30, 2025 and consisted primarily of $75.0 million of cash used to pay off our senior secured term loan facilities with MSTV and $5.5 million of cash paid for the related premium and fees associated with the early pay-off. See Note 7, </w:t>
      </w:r>
      <w:r>
        <w:rPr>
          <w:rFonts w:ascii="Times New Roman" w:hAnsi="Times New Roman"/>
          <w:i/>
          <w:color w:val="000000"/>
          <w:sz w:val="20"/>
        </w:rPr>
        <w:t>Senior Secured Term Loan Facilities</w:t>
      </w:r>
      <w:r>
        <w:rPr>
          <w:rFonts w:ascii="Times New Roman" w:hAnsi="Times New Roman"/>
          <w:color w:val="000000"/>
          <w:sz w:val="20"/>
        </w:rPr>
        <w:t xml:space="preserve">, to the condensed consolidated financial statements for details. Net cash used in financing activities also included $5.4 million of cash paid to FibroGen Cayman’s minority shareholders during the third quarter of 2025. See Note 9, </w:t>
      </w:r>
      <w:r>
        <w:rPr>
          <w:rFonts w:ascii="Times New Roman" w:hAnsi="Times New Roman"/>
          <w:i/>
          <w:color w:val="000000"/>
          <w:sz w:val="20"/>
        </w:rPr>
        <w:t xml:space="preserve">FibroGen Cayman Non-Controlling Interests, </w:t>
      </w:r>
      <w:r>
        <w:rPr>
          <w:rFonts w:ascii="Times New Roman" w:hAnsi="Times New Roman"/>
          <w:color w:val="000000"/>
          <w:sz w:val="20"/>
        </w:rPr>
        <w:t>to the condensed consolidated financial statements for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was immaterial for the nine months ended September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sz w:val="20"/>
        </w:rPr>
      </w:pPr>
      <w:r>
        <w:rPr>
          <w:rFonts w:ascii="Times New Roman" w:hAnsi="Times New Roman"/>
          <w:color w:val="000000"/>
          <w:sz w:val="20"/>
        </w:rPr>
        <w:t>We generate revenue from commercial sales of roxadustat product in Japan and Europe. Even with these revenues, we anticipate that we will continue to generate losses for the foreseeable future. To date, we have funded certain portions of our research and development and manufacturing efforts globally through collaboration partners, debt financings, and equity financing. We expect to continue to incur significant research and development expenses to invest in our development programs and there is no guarantee that sufficient funds will be available to continue to fund these development efforts through commercialization or otherwise. We are also subject to all the risks related to the development and commercialization of novel therapeutics, and we may encounter unforeseen expenses, difficulties, complications, delays and other factors outlined under Part II, Item 1A “</w:t>
      </w:r>
      <w:r>
        <w:rPr>
          <w:rFonts w:ascii="Times New Roman" w:hAnsi="Times New Roman"/>
          <w:i/>
          <w:color w:val="000000"/>
          <w:sz w:val="20"/>
        </w:rPr>
        <w:t>Risk Factors</w:t>
      </w:r>
      <w:r>
        <w:rPr>
          <w:rFonts w:ascii="Times New Roman" w:hAnsi="Times New Roman"/>
          <w:color w:val="000000"/>
          <w:sz w:val="20"/>
        </w:rPr>
        <w:t>” in this Quarterly Report on Form 10-Q, as well as unknown factors that may adversely affect our business. We anticipate that we will need substantial additional funding in connection with our continuing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we had outstanding total non-cancelable purchase obligations of $4.0 million for general purchases and other programs and $2.6 million for manufacture and supply of roxadustat, all of which are expected to be paid within the next 12 months. We expect to fulfill our commitments under these agreements in the normal course of business, and as such, no liability has been recorded.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the RIFA with NovaQuest, as of September 30, 2025, we had $65.0 million of liability related to sale of future revenues in the condensed consolidated balance sheets, $1.6 million of which we anticipate to pay within the next 12 month. Based on our current estimates of drug product revenue and revenue from milestone payments under the Astellas Agreements, and taking into the consideration of the terms under the RIFA, we anticipate to reach a Payment Cap up to $125.0 million by 2031. See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estimates and judgments during the three and nine months ended September 30, 2025 compared with the disclosures in Part II, Item 7 of our 2024 Form 10-K.</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in Rule 12b-2 of the Exchange Act; therefore, pursuant to Item 305(e) of Regulation S-K, we are not required to provide the information required by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13" w:name="item_4_controls_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has evaluated the effectiveness of our disclosure controls and procedures as of September 30, 2025,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evaluation, the Principal Executive Officer and Principal Financial Officer have concluded that our disclosure controls and procedures were effective at the reasonable assurance level as of September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that occurred during the three months ended September 30, 2025 that have materially affected, or are reasonably likely to materially affect, our internal control over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condensed consolidated balance sheet as of September 30, 2025, as we could not predict the ultimate outcome of these matters, or reasonably estimate the potential exposure. See Note 11, </w:t>
      </w:r>
      <w:r>
        <w:rPr>
          <w:rFonts w:ascii="Times New Roman" w:hAnsi="Times New Roman"/>
          <w:i/>
          <w:color w:val="000000"/>
          <w:sz w:val="20"/>
        </w:rPr>
        <w:t>Commitments and Contingencies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marked with an asterisk (*) those risks described below that reflect substantive changes from the risks described under Part I, Item 1A “Risk Factors” included in our Annual Report on Form 10-K for the year ended December 31, 2024, filed on March 17,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FibroGen will depend on a number of factors, many of which are beyond our control and involve risks, including but not limited to the following: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substantially dependent on the success of our lead products roxadustat and FG-3246 (in conjunction with our positron emission tomography imaging agent FG-3180).*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development and obtaining marketing authorization are very difficult endeavors, and we may ultimately be unable to obtain regulatory approval for our various product candidates in one or more jurisdictions and one or more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Phase 1, and Phase 2 clinical trial results may not be indicative of the results that may be obtained in larger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ongoing or planned clinical trials will need to be redesigned based on interim results or if we will be able to achieve sufficient patient enrollment or complete planned clinical trials on schedule.*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or have attributed to them undesirable side effects or have other properties that delay or prevent their regulatory approval or limit their commercial potential.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manufacturers or we cannot properly manufacture the appropriate volume of product, we may experience delays in development, regulatory approval, launch, or successful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substantial competition in the discovery, development and commercialization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collaborations were terminated or if our partners were unwilling or unable to contribute or participate in the collaborations, our ability to successfully develop and commercialize the relevant product candidate could suffer.*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preclinical and clinical trial contractors do not properly perform their agreed-upon obligations, we may not be able to obtain or may be delayed in receiving regulatory approvals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expect to continue to rely, on third parties to conduct many aspects of our product manufacturing and distribution, and these third parties may terminate these agreements or not perform satisfactorily.*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shortfalls, delays, or excesses in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components of our products are acquired from single-source suppliers or without long-term supply agreements. The loss of these suppliers, or their failure to supply, would materially and adversely affect our business.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efforts to protect our proprietary and exclusively licensed technologies are not adequate,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maintaining our patent protection is high and requires continuous review and diligence. We may not be able to effectively maintain our intellectual property position throughout the major markets of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of some foreign countries do not protect proprietary rights to the same extent as do the laws of the U.S., and we may encounter significant problems in securing and defending our intellectual property rights outside the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 is highly uncertain and we may not obtain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International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Within the next year, we may face costs from the wind-up of the Cayman Subsidiary (as defined below), and may not receive some of the AZ Holdbacks (as defined below) related to the sale of FibroGen International and its subsidiaries.*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U.S. and China relations, as well as relations with other countries, and/or regulations may adversely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third party suppliers in China, and there are risks inherent to utilizing third party manufacturing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risk of manufacturing disruption due to geopolitical tensions in China and related to United States legislation impacting WuXi AppTec, Wuxi Biologics, and Wuxi XDC.*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lead products roxadustat and FG-3246 (in conjunction with our positron emission tomography (“PET”) imaging agent FG-3180).*</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value drivers for FibroGen, Inc. (“FibroGen” or the “Company”) depend in large part on the continued commercial success of roxadustat in Europe and Japan, the potential of roxadustat anemia associated with lower-risk myelodysplastic syndromes (“MDS”), and the development of FG-3246 (in conjunction with our PET imaging agent FG-3180), which is in clinical development for metastatic castration-resistant prostate cancer (“mCRPC”).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efforts in these programs are unsuccessful, it may materially and adversely affect our business and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Drug development and obtaining marketing authorization are very difficult endeavors, and we may ultimately be unable to obtain regulatory approval for our various product candidates in one or more jurisdictions and in one or more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manufacturing, marketing, and selling of our products and product candidates are and will continue to be subject to extensive and rigorous review and regulation by numerous government authorities in the United States of America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effective and has an acceptable safety profile for use in each indication for which approval is sought.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drug development and approval processes are expensive and require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for any clinical trial to support a new drug application / 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may take actions or impose requirements that delay, limit or deny approval of our product candidates for many reasons,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adequately demonstrate to the satisfaction of regulatory authorities or an independent advisory committee that our product candidate is effective and has an acceptable safety profile in a particular indication, or that such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of clinical trials to meet the level of statistical significance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determination by regulatory authorities that additional information (including additional preclinical or clinical data or trials) is necessary to demonstrate the safety and efficacy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over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exhibiting an unacceptable safety signal at any stage of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either by us or the clinical research organizations (“CROs”) or investigators that conduct clinical trials on our behalf, to comply with regulations or GCPs, clinical trial protocols, or contractual agreements, which may adversely impact our clinical trials, as well as, investigator-sponsored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over whether to accept results from clinical trial sites in a country where the standard of care is potentially different from that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either by us or third-party contractors manufacturing our product candidates to maintain current good manufacturing practices (“cGMP”), successfully pass inspection, or meet other applicable manufacturing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by regulatory authorities to exclude the use of patient data from unreliable clinical trials, or disagreement with our interpretation of the data from our preclinical trials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delay in approval of one of our clinical trial investigational new drug applications or protocol or protocol amendments (in particular, due to a government shutdown or other factor outside of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collaboration partners or other third parties such as clinical investigators to perform or complete their clinical programs in a timely manner, or at 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data from investigator-sponsored clinical trials to meet GCP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factors, many of which are beyond our control, could delay or jeopardize our or our collaboration partners’ abilities to obtain regulatory approval for our product candidates in one or more indications.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believe our clinical trials, as well as, investigator-sponsored trials are successful, regulatory authorities may not agree that our completed clinical trials provide adequate data on safety or efficacy. Approval by one regulatory authority does not ensure approval by any other regulatory authority.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foregoing scenarios could materially harm the commercial prospects for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Phase 1, and Phase 2 clinical trial results may not be indicative of the results that may be obtained in larger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in the pharmaceutical and biotechnology industries have suffered significant setbacks in late-stage clinical trials after achieving positive results in early-stage development, and we may face similar setbacks.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we have an investigator-sponsored trial, we would have to rely on sponsor’s data generated independently under sponsor’s institutional practices. As a result, there is an additional risk that results may differ in future trials run by FibroGen as the sponsor.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know whether our ongoing or planned clinical trials will need to be redesigned based on interim results or if we will be able to achieve sufficient patient enrollment or complete planned clinical trials on schedule.*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can be delayed, suspended, or terminated by us, by the relevant institutional review boards at the sites at which such trials are being conducted, or by the FDA or other regulatory authorities, for a variety of reasons or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obtain required regulatory or institutional review board approval or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the drug to pass interim futility criteria for efficacy in a clinical trial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side effects that meet safety stopping rules for the study in a clinical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reach timely agreement on acceptable terms with prospective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recruit, enroll and retain patients through the completion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recruitment, enrollment, or retention, clinical site initiation, or retention problems associated with civil unrest, military conflicts around the world, or natural disasters;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maintain clinical sites in compliance with clinical trial protocols or to conduct the clinical trial in accordance with regulatory requirements or our clinical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initiate or add a sufficient number of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manufacture sufficient quantities of product candidate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enrolling a sufficient number of patients to conduct our clinical trials, as well as, investigator-sponsored trials as planned;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inspection of the clinical trial operations or trial site by the FDA or other regulatory authorities resulting in the imposition of a clinical hold, warning letter, or other regulatory 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identifying and qualifying patients to participate in clinical trials of our product candidates is critical to our success. The timing of our clinical trials, as well as, investigator-sponsored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criteria for and design of the study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ongoing clinical trials of competitive agents;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physicians’ and patients’ perceptions of the potential advantages of our product candidates being studied in relation to available therapies or other products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CRO’s and our trial sites’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monitor patients and collect patient data adequately during and after treatment.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cause or have attributed to them undesirable side effects or have other properties that delay or prevent their regulatory approval or limit their commercial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Undesirable side effects caused by our product candidates or that may be identified as related to our product candidates by physician investigators conducting our clinical trials, as well as, investigator-sponsored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 development plan becoming longer and more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terminating our clinical trials, as well as, investigator-sponsored trials for the product candidates or specific indications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increasing the data and information required to approve our product candidates and imposing other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collaboration partners terminating our existing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occurrence of any or all of these events may cause the development of our product candidates to be delayed or terminated, which could materially and adversely affect our business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trials of our product candidates may not uncover all possible adverse effects that patients may experience.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conducted in representative samples of the potential patient population, which may have significant variability. Our drug candidates are being studied in patient populations that are at high risk of death and adverse events, and even if unrelated to our drug candidate,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manufacturers or we cannot properly manufacture the appropriate volume of product, we may experience delays in development, regulatory approval, launch or successful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our clinical trials, as well as, investigator-sponsored trials, and commercialization of our products require access to, or development of, facilities to manufacture and manage our product candidates at sufficient yields, quality and scale. We may need to enter into additional manufacturing agreements and may be unable to do so on satisfactory terms or in a timely manner. In addition, we may experience delays or technical problems associated with technology transfer of manufacturing processes to any new suppliers.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collaboration partner, may not be able to accurately forecast clinical or commercial supply requirements and we may not meet or we may exceed our requirements as to quantities, scale-up, yield, cost, potency or quality in compliance with cGMP.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general risk of delayed drug supply due to delays experienced by any third-party provider in the supply chain, including raw material and components suppliers, export and customs locations, and shipping companies. Any delay or interruption in the supply of our product candidates or products could have a material adverse effect on our business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due to delays in, or not obtaining, marketing approval for any one of our clinical programs, we may have excess supply or excess waste of expiring product supply. Or if product expires due to delays, we may have a shortfall of supply of non-expired product as manufacturing of such product has significant lead times.</w:t>
      </w:r>
    </w:p>
    <w:p>
      <w:pPr>
        <w:pStyle w:val="TextBody"/>
        <w:bidi w:val="0"/>
        <w:spacing w:before="240" w:after="283"/>
        <w:jc w:val="left"/>
        <w:rPr>
          <w:rFonts w:ascii="Times New Roman" w:hAnsi="Times New Roman"/>
          <w:sz w:val="20"/>
        </w:rPr>
      </w:pPr>
      <w:r>
        <w:rPr>
          <w:rFonts w:ascii="Times New Roman" w:hAnsi="Times New Roman"/>
          <w:color w:val="000000"/>
          <w:sz w:val="20"/>
        </w:rPr>
        <w:t>Please see also our risk factor titled “</w:t>
      </w:r>
      <w:r>
        <w:rPr>
          <w:rFonts w:ascii="Times New Roman" w:hAnsi="Times New Roman"/>
          <w:i/>
          <w:color w:val="000000"/>
          <w:sz w:val="20"/>
        </w:rPr>
        <w:t>We may have shortfalls, delays, or excesses in manufacturing.</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partners may add or change manufacturers, change our manufacturing processes, or change packaging specifications to accommodate changes in regulations, manufacturing equipment or to account for different processes at new or second source suppliers. Manufacturing changes made to one of our drugs or drug candidates, include, but are not limited to, demonstration of comparability to regulatory approved/ in approval products and processes, additional clinical trials, delays in development or commercialization, earlier expiration dates, shorter shelf life, or specification failures, and those changes may materially impact our operations and potential profitability. This includes the scenario that the change may be unsuccessful and cause delays or other negative impact.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even an experienced third-party manufacturer, may encounter difficulties in production. Difficulties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and challenges associated with scale-up and attaining sufficient manufacturing yields;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additional suppliers and validation/qualification of additional facilities to meet growing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issues, including coordination of multiple contractors in our supply chain and securing necessary licenses (such as export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availability and shelf-life requirements of raw materials and supplies;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stability and product shelf life;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equipment maintenance issues or failure;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control and quality assurance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of qualified personnel and capital required to manufacture large quantities of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regulatory requirements that vary in each country where a product might be sold;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capacity or forecasting limitations and scheduling availability in contracted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such as pandemics, floods, storms, earthquakes, tsunamis, and droughts, or accidents such as fire, that affect facilities, possibly limit or postpone production, and increase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license to proprietary starting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FibroGen may also elect to transition its manufacturing responsibilities to another party. There may be risks underlying this manufacturing transition, as well as new risks that may emerge after the new organization takes over manufacturing, if that were to happen.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believe we have achieved positive clinical results, regulatory authorities conduct their own benefit-risk analysis and may reach different conclusions. Regulatory authorities may use, among other things, different statistical methods, different endpoints or definitions thereof, and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Regulatory authorities may approve one of our product candidates for fewer or more limited indications than we request or may grant approval contingent on the performance of costly post-approval clinical trials.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substantial competition in the discovery, development and commercialization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in many cases, the products that we commercialize will compete with existing marketed products of companies that have large, established commercial organizations.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will likely face competition from other companies developing products in the same diseases or indications in which we are developing or commercializing products. We will also face competition for patient recruitment and enrollment for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any or all of these potential competitive products may negatively impact the development and potential for success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we are not able to compete effectively against existing and potential competitors, our business and financial condition may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of the product candidate as demonstrated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profile and perceptions of safety of our product candidates relative to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product candidate as a safe and effective treatment by healthcare providers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candidate over alternative treatments, including any similar generic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inclusion or exclusion of the product candidate from treatment guidelines established by various physician groups and the viewpoints of influential physicians with respect to the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the product candidate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pricing and reimbursement by third parties and government authorities as described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adverse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and marketing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unfavorable publicity relating to the product candidate.</w:t>
      </w:r>
    </w:p>
    <w:p>
      <w:pPr>
        <w:pStyle w:val="TextBody"/>
        <w:bidi w:val="0"/>
        <w:spacing w:before="240" w:after="283"/>
        <w:jc w:val="left"/>
        <w:rPr>
          <w:rFonts w:ascii="Times New Roman" w:hAnsi="Times New Roman"/>
          <w:sz w:val="20"/>
        </w:rPr>
      </w:pPr>
      <w:r>
        <w:rPr>
          <w:rFonts w:ascii="Times New Roman" w:hAnsi="Times New Roman"/>
          <w:color w:val="000000"/>
          <w:sz w:val="20"/>
        </w:rPr>
        <w:t>In addition, see the risk factor titled “</w:t>
      </w:r>
      <w:r>
        <w:rPr>
          <w:rFonts w:ascii="Times New Roman" w:hAnsi="Times New Roman"/>
          <w:i/>
          <w:color w:val="000000"/>
          <w:sz w:val="20"/>
        </w:rPr>
        <w:t>Our product candidates may cause or have attributed to them undesirable side effects or have other properties that delay or prevent their regulatory approval or limit their commercial potential</w:t>
      </w:r>
      <w:r>
        <w:rPr>
          <w:rFonts w:ascii="Times New Roman" w:hAnsi="Times New Roman"/>
          <w:color w:val="000000"/>
          <w:sz w:val="20"/>
        </w:rPr>
        <w:t>” above. If any product candidate is approved but does not achieve an adequate level of acceptance by such parties, we may not generate or derive sufficient revenue from that product candidate and may not become or remain profitable.</w:t>
      </w:r>
    </w:p>
    <w:p>
      <w:pPr>
        <w:pStyle w:val="TextBody"/>
        <w:bidi w:val="0"/>
        <w:spacing w:before="360" w:after="283"/>
        <w:jc w:val="left"/>
        <w:rPr>
          <w:rFonts w:ascii="Times New Roman" w:hAnsi="Times New Roman"/>
          <w:sz w:val="20"/>
        </w:rPr>
      </w:pPr>
      <w:r>
        <w:rPr>
          <w:rFonts w:ascii="Times New Roman" w:hAnsi="Times New Roman"/>
          <w:b/>
          <w:i/>
          <w:color w:val="000000"/>
          <w:sz w:val="20"/>
        </w:rPr>
        <w:t>No or limited reimbursement or insurance coverage of our approved products, by third-party payors may render our products less attractive to patients and healthcare providers.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applicable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collaborations were terminated or if our partners were unwilling or unable to contribute or participate in the collaborations, our ability to successfully develop and commercialize the relevant product candidate could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 Evaluation Agreement with Fortis Therapeutics, Inc. (“Fortis”) under which we rely, in part, on Fortis and its development partners, including University of California, San Francisco, for the continued development of FG-3246 (in conjunction with our PET biomarker). While we control development of FG-3246 up to the 4-year evaluation period, we will be doing so under our investigational new drug application that references Fortis’s investigational new drug application. If Fortis were unwilling to cooperate with development efforts, our ability to develop FG-3246 (in conjunction with our PET biomarker) could be delayed.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active collaboration agreements with respect to the development and commercialization of roxadustat with Astellas Pharma Inc. (“Astellas”).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agreements with Astellas provide them with the right to terminate their agreements for convenience or for breach, either of which could have an adverse effect on our business and operations. Moreover, if Astellas, or any successor entity, were to determine that their collaborations with us are no longer a strategic priority, or if either of them or a successor were to reduce their level of commitment to their collaborations with us, our ability to profit from the commercialization of roxadustat could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instance, the collaboration agreement between the Company and AstraZeneca, effective as of July 2013, for the development and commercialization of roxadustat for the treatment of anemia in the U.S. and all other countries in the world, other than China, not previously licensed to Astellas (the “AstraZeneca U.S./RoW Agreement”) was terminated on February 25, 2024 as amended and restated on August 29, 2025 (except for South Korea). Our collaboration agreement with AstraZeneca for the development and commercialization of roxadustat for the treatment of anemia in China (the “AstraZeneca China Agreement”) culminated as a result of the completion of the sale of FibroGen International and its subsidiaries pursuant to the share purchase agreement entered into by the Company and AstraZeneca Treasury Limited on February 20, 2025, as amended on August 29, 2025 (the “Share Purchase Agreement”). This eliminates any additional potential milestones or other payments AstraZeneca could have made under the AstraZeneca U.S./RoW Agreement or the AstraZeneca China Agreement. And while we are now investigating new licensing opportunities for roxadustat, there can be no assurance that we will find such a partner or be able to agree to a license on reasonable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our collaboration partners are unsuccessful in their commercialization efforts (particularly in Europe), our results will be negatively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as well as potentially impacting our commercial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preclinical and clinical trial contractors do not properly perform their agreed upon obligations, we may not be able to obtain or may be delayed in receiving regulatory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heavily on university, hospital, and other institutions and third parties, including the principal investigators and their staff, to carry out our clinical trials, as well as, investigator-sponsored trials in accordance with GCP, clinical protocols, and designs. We also rely on a number of third-party CROs or other third parties to assist in undertaking, managing, monitoring, imaging and testing, and otherwise executing our ongoing clinical trials. We expect to continue to rely on CROs, clinical data management organizations, medical institutions, clinical investigators, and other third parties to conduct our development efforts in the future. We compete with many other companies for the resources of these third parties, and other companies may have significantly more extensive agreements and relationships with such third-party providers, and such third-party providers may prioritize these relationships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cGMP, and good laboratory practices requirements can occur through periodic inspections of trial sponsors, principal investigators, and trial sites.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ensure the quality and accuracy of our data remains uncompromised and reliable, our third-party service providers and clinical investigators or clinical partners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pStyle w:val="TextBody"/>
        <w:bidi w:val="0"/>
        <w:spacing w:before="360" w:after="283"/>
        <w:jc w:val="left"/>
        <w:rPr>
          <w:rFonts w:ascii="Times New Roman" w:hAnsi="Times New Roman"/>
          <w:sz w:val="20"/>
        </w:rPr>
      </w:pPr>
      <w:r>
        <w:rPr>
          <w:rFonts w:ascii="Times New Roman" w:hAnsi="Times New Roman"/>
          <w:b/>
          <w:i/>
          <w:color w:val="000000"/>
          <w:sz w:val="20"/>
        </w:rPr>
        <w:t>We currently rely, and expect to continue to rely, on third parties to conduct many aspects of our product manufacturing and distribution, and these third parties may terminate these agreements or not perform satisfactorily.*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our own operating manufacturing facilities at this time. We currently rely, and expect to continue to rely, on third parties to scale-up, manufacture and supply roxadustat and our other product candidates for drug product in Europe and other countries, and on our partner Astellas for drug product in Japan. We rely on third parties for distribution, including our collaboration partners and their vendors. Risks arising from our reliance on third-party manufacturers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control and additional burdens of oversight as a result of using third-party manufacturers and distributors for all aspects of manufacturing activities, including regulatory compliance and quality control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manufacturing agreements, termination fees associated with such termination, or nonrenewal of manufacturing agreements with third parties may negatively impact our planned development and commercialization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financial commitments we may be required to make with third-party manufacturers for early-stage clinical or pre-clinical programs that may fail to produce scientific results that would justify further development (without the ability to mitigate the manufacturing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technology, including our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the operations of our third-party manufacturers, distributors or suppliers unrelated to our product, including the merger, acquisition, or bankruptcy of a manufacturer or supplier or a catastrophic event, affecting our manufacturers, distributors or suppliers;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for FibroGen to meet timing and volume obligations to Astellas or other partners due to insufficient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 Furthermore, premature termination of third-party manufacturers may result in additional cost burden for FibroGen.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have shortfalls, delays, or excesses in manufacturing.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other manufacturers in the event that we have to manufacture lower volumes or not at all depending on the results of our clinical trials. We may be subject to payments to other third-party manufacturers to cover portions or all of the committed manufacturing campaigns even if we do not need the material for clinical or commercial usage. In addition, third-party manufacturers tend to change their upfront fees or postponement/cancelation fees over time or upon initiation of additional contracts, and this may lead to unanticipated financial loss for FibroGen.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also be additional delays in importing or exporting products, intermediates, or raw materials between countries.</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components of our products are acquired from single-source suppliers or without long-term supply agreements. The loss of these suppliers, or their failure to supply, would materially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new long-term commercial supply arrangements on commercially reasonable terms, could take significant time or may not be possible. We currently rely on our contract manufacturers to purchase from third-party suppliers some of the materials necessary to produce our product candidates. We do not have direct control over the acquisition of those materials by our contract manufacturers.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 (“API”), and drug product to meet our and our collaboration partners’ needs to date, the lead-time and regulatory approvals required to source from and into countries outside of the U.S. increase the risk of delay and potential shortages of supply.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efforts to protect our proprietary and exclusively licensed technologies are not adequate, we may not be able to compete effectively in our market.*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our proprietary information or technology could compromise our competitive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 the past and may in the future be involved in initiating legal or administrative proceedings involving the product candidates and intellectual property of our competitors. Moreover, we are, have been, and may in the future be involved in legal proceedings initiated by third parties involving our intellectual property. These proceedings can result in significant costs and commitment of management time and attention, and there can be no assurance that our efforts would be successful in preventing or limiting the ability of our competitors to market competing products or defending our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Biotechnology and pharmaceutical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generic manufacturers and competitors with significantly greater resources could threaten our ability to commercialize our product candidates.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w:t>
      </w:r>
      <w:r>
        <w:rPr>
          <w:rFonts w:ascii="Times New Roman" w:hAnsi="Times New Roman"/>
          <w:i/>
          <w:color w:val="000000"/>
          <w:sz w:val="20"/>
        </w:rPr>
        <w:t>inter partes</w:t>
      </w:r>
      <w:r>
        <w:rPr>
          <w:rFonts w:ascii="Times New Roman" w:hAnsi="Times New Roman"/>
          <w:color w:val="000000"/>
          <w:sz w:val="20"/>
        </w:rPr>
        <w:t xml:space="preserve"> review, opposition, invalidation,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disputes may be costly, time consuming, and may negatively affect our competitive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may depend on our avoiding infringement of the patents and other proprietary rights of third parties as well as on enforcing our patents and other proprietary rights against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FG-3246 (in conjunction with our PET imaging agent FG-3180). Any litigation involving defense against claims of infringement, regardless of the merit of such claims, would involve substantial litigation expense and would be a substantial diversion of management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have challenged and may again challenge our patents and patent applications. In particular, patent challenges have been filed against our crystal form patents in Europe, and against our photostable formulations patent in Europe. In Europe, our European Patent No. 3470397 (the “`397 Patent”), which claims formulations comprising the commercial crystalline form of roxadustat was upheld in opposition, the opponents have appealed the decision in this case. Final resolution of these proceedings in Europe will take time and we cannot be assured that these patents will survive these proceedings as originally granted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and generic competition, is imperative, and any unauthorized use or disclosure could impair our competitive position and may have a material adverse effect on our business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cost of maintaining our patent protection is high and requires continuous review and diligence. We may not be able to effectively maintain our intellectual property position throughout the major markets of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pStyle w:val="TextBody"/>
        <w:bidi w:val="0"/>
        <w:spacing w:before="360" w:after="283"/>
        <w:jc w:val="left"/>
        <w:rPr>
          <w:rFonts w:ascii="Times New Roman" w:hAnsi="Times New Roman"/>
          <w:sz w:val="20"/>
        </w:rPr>
      </w:pPr>
      <w:r>
        <w:rPr>
          <w:rFonts w:ascii="Times New Roman" w:hAnsi="Times New Roman"/>
          <w:b/>
          <w:i/>
          <w:color w:val="000000"/>
          <w:sz w:val="20"/>
        </w:rPr>
        <w:t>The laws of some foreign countries do not protect proprietary rights to the same extent as do the laws of the U.S., and we may encounter significant problems in securing and defending our intellectual property rights outside the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As we have experienced in multiple jurisdictions,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address all potential threats to any competitive advantage we may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protection on our product candidates may expire before we are able to develop and commercialize the product, or before we are able to recover our investment in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existence of counterfeit pharmaceutical products in pharmaceutical markets may compromise our brand and reputation and have a material adverse effect on our business,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Counterfeit products, including counterfeit pharmaceutical products, can be a significant problem.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The existence of and any increase in the sales and production of counterfeit pharmaceuticals, or the technological capabilities of counterfeiters, could negatively impact our revenues, brand reputation, business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regulatory approval process is highly uncertain and we may not obtain regulatory approval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our product candidates we may discover, in-license or acquire and seek to develop in the future, will not obtain regulatory approval in any particular jurisdiction or indication.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such laws or any other governmental regulations that apply to us, we may be subject to significant penalties, including administrative, civil and criminal penalties, damages, fines, imprisonment, disgorgement, the curtailment or restructuring of our operations, the exclusion from participation in federal and state healthcare programs and imprisonment, any of which could materially adversely affect our ability to operate our business and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confidential, proprietary, and sensitive information, including personal data, business data, trade secrets, intellectual property, information we collect about trial participants in connection with clinical trials, sensitive third-party data, business plans, transactions, and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there are State data privacy and security laws, including data breach notification laws, personal data privacy laws, consumer protection laws (e.g., Section 5 of the Federal Trade Commission Act), and the Federal Health Insurance Portability and Accountability Act, and other similar laws (e.g., wiretapping laws). For example, the California Consumer Privacy Act of 2018, as amended by the California Privacy Rights Act of 2020 (collectively,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 Although the CCPA exempts some data processed in the context of clinical trials, the CCPA increases compliance costs and potential liability. 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upon whom we rely.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U.S., laws, regulations, and industry standards govern data privacy and security. For example, the European Union’s General Data Protection Regulation (“EU GDPR”) and the United Kingdom’s GDPR impose strict requirements for processing personal data, including health-related information. Specifically, under the EU GDPR, companies may face fines of up to 20 million Euros or 4% of annual global revenue, whichever is greater; or private litigation related to processing of personal data brought by classes of data subjects or consumer protection organizations authorized at law to represent their interests. We also target customers in Asia and are subject to new and emerging data privacy regimes in Asia, including Japan’s Act on the Protection of Personal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companies that transfer personal data out of the European Economic Area and the United Kingdom to other jurisdictions are subject to scrutiny from regulators, individual litigants, and activities groups.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planning to bring artificial intelligence (“AI”) into our IT platforms and services. However, our competitors might integrate AI faster or more effectively than us, which could put us at a disadvantage. Additionally, if AI helps create content, analyses, or recommendations that turn out to be flawed or biased, or even just perceived that way, it could hurt our business and financial health. AI can also lead to cybersecurity issues, potentially exposing personal data of users. Such incidents could damage our reputation and affect our performance. As AI technology rapidly evolves, and with the possibility of new regulations, we may need additional resources to ensure we use AI responsibly and ethically to avoid unforeseen negative consequences. Governments have passed and are likely to pass additional laws regulating generative AI. Our use of this technology could result in additional compliance costs, regulatory investigations and actions, and lawsuits.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Preparing for and complying with these obligations requires us to devote resources and may necessitate changes to our services, information technologies, systems, and practices and to those of any third parties that process personal data on our behalf.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restrictions on use of AI tools which may involve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laws and regulations governing corruption, which require us to maintain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comply with a wide range of laws and regulations to prevent corruption, bribery, and other unethical business practices, including the U.S. Foreign Corrupt Practices Act (“FCPA”), anti-bribery and anti-corruption laws in other countries. The implementation and maintenance of compliance programs can be costly and such programs may be difficult to enforce, particularly where reliance on third parties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Compliance with these anti-bribery laws is expensive and difficult, particularly in countries in which corruption is a recognized problem.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U.S. Securities and Exchange Commission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 effective system of internal control, it may result in material misstatements in our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compliance with applicable securities laws and the Nasdaq Stock Market LLC listing requirements, we may be subject to regulatory investigations and penalties, investors may lose confidence in our financial reporting, and our stock price may decline. In addition, if our internal control over financial reporting is deemed ineffective, efforts required to remediate an ineffective system of control over financial reporting may place a significant burden on management and add increased pressure on our financial resources and processes.</w:t>
      </w:r>
    </w:p>
    <w:p>
      <w:pPr>
        <w:pStyle w:val="TextBody"/>
        <w:bidi w:val="0"/>
        <w:spacing w:before="360" w:after="283"/>
        <w:jc w:val="left"/>
        <w:rPr>
          <w:rFonts w:ascii="Times New Roman" w:hAnsi="Times New Roman"/>
          <w:sz w:val="20"/>
        </w:rPr>
      </w:pPr>
      <w:r>
        <w:rPr>
          <w:rFonts w:ascii="Times New Roman" w:hAnsi="Times New Roman"/>
          <w:b/>
          <w:i/>
          <w:color w:val="000000"/>
          <w:sz w:val="20"/>
        </w:rPr>
        <w:t>The impact of U.S. healthcare reform may adversely affect our business model.*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Healthcare reform in the U.S. in the future may include changes to Prescription Drug User Fee Act (PDUFA) funding, or other actions that impact FDA programs or personnel funded by user fees. If user fees are cut or eliminated, or if personnel funded by user fees are terminated at FDA, the result could increase uncertainty on review timelines or extend FDA review timelines (e.g., new drug applications, Biologics License Applications), which can result in delays for regulatory action and adversely impact drug development timelines.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or otherwise adversely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Roxadustat is considered a Class 2 substance on the 2019 World Anti-Doping Agency Prohibited List that could limit sales and increase security and distribution costs for our partners and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may engage in misconduct or improper activities, which could result in significant liability or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including intentional failure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FDA regulations or similar regulations of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accurate information to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manufacturing standards we have established;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 with data privacy and security laws protecting personal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federal and state healthcare fraud and abuse laws and regulations and similar laws and regulations established and enforced by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the FCPA and other anti-bribery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 financial information or data accurately;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 unauthorized activities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or safety laws and regulations, we could incur fines, penalties or other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International Risks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Within the next year, we may face costs from the wind-up of the Cayman Subsidiary (as defined below), and may not receive some of the AZ Holdbacks (as defined below) related to the sale of FibroGen International and its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disclosed in our Current Report on Form 8</w:t>
        <w:noBreakHyphen/>
        <w:t>K filed in February 20, 2025, we agreed to two holdback amounts from the consideration paid by AstraZeneca Treasury Limited (the “AZ Holdbacks”) in connection with the sale of FibroGen International and its subsidiaries. The AZ Holdbacks were subject to specified conditions, potential set</w:t>
        <w:noBreakHyphen/>
        <w:t>offs, indemnification claims, and dispute processes. While we received all of the $6.0 million holdback (plus an additional $0.4 million favorable net cash adjustment), we may not receive all of the $4.0 million remaining AZ holdback. We may not receive some of the second AZ Holdback, the amount may be reduced, and/or the timing of any release may be delayed, including due to claims or issues that are outside our control. In addition, there is a possibility that liabilities related to the sale of FibroGen International and its subsidiaries — such as post</w:t>
        <w:noBreakHyphen/>
        <w:t>closing adjustments, taxes, third</w:t>
        <w:noBreakHyphen/>
        <w:t xml:space="preserve">party or employee claims, product or commercial liabilities, compliance matters, or other indemnifiable losses—could exceed the AZ Holdback or fall outside its scope.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final AZ Holdback is received or finalized, we are planning on winding up FibroGen International (Cayman) Limited (the “Cayman Subsidiary”). The wind</w:t>
        <w:noBreakHyphen/>
        <w:t>up involves legal, regulatory, tax, accounting, and administrative steps. The timing, cost, and outcome of these steps are uncertain and may be impacted by claims or demands from stakeholders, which could require us to establish or increase reserves, provide additional documentation, or engage in dispute resolution or litigation. Any of these issues could delay any further distributions to shareholders of the Cayman Subsidiary and require additional management attention.</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and China relations, as well as relations with other countries, and/or regulations may adversely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government, including the SEC, has made statements and taken certain actions that have led to changes to U.S. and international relations, and will impact companies with connections to China, including imposing several rounds of tariffs affecting certain products manufactured in China. It is unknown whether and to what extent new legislation, executive orders, tariffs, laws or regulations will be adopted, or the effect that any such actions would have on companies with connections to China. We have business operations in the U.S., and conduct contract manufacturing in both the U.S. and China. Any unfavorable government policies on cross-border relations and/or international trade, including tariffs, may affect the import of products and product components from China. While we have thus far imported products manufactured in China under exemptions from tariffs, if we are unable to do so in the future, the Company could encounter additional costs to supply our product and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third party suppliers in China, and there are risks inherent to utilizing third-party manufacturing 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suppliers are obligated to comply with cGMP requirements but there can be no assurance that they will maintain all of the appropriate licenses required to manufacture our product candidates for clinical and commercial use. Our product suppliers must continually spend time, money and effort in production, record-keeping and quality assurance and appropriate controls in order to ensure that any products manufactured in their facilities meet applicable specifications and other requirements for product safety, efficacy and quality but there can be no assurance that their efforts will continue to be successful in meeting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Manufacturing facilities in China are subject to periodic unannounced inspections by the National Medical Products Administration and other regulatory authorities. We expect to depend on these facilities for our product candidates, and we do not yet have a secondary source supplier for either roxadustat API. Consequently, we carry single source supplier risk for all countries we or our partners are selling in. Natural disasters or other unanticipated catastrophic events, including power interruptions, water shortages, storms, fires, pandemics, earthquakes, terrorist attacks, government appropriation of our facilities, and wars, could significantly impair our suppliers’ abilities to operate their manufacturing facilities. Certain equipment, records and other materials located in such facilities would be difficult to replace or would require substantial replacement lead-time that would impact our ability to successfully commercialize supply roxadustat API or other clinical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is a risk of manufacturing disruption due to geopolitical tensions in China and related to U.S. legislation impacting WuXi AppTec, WuXi Biologics, and WuXi XDC.*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climate of geopolitical tensions in China affecting global supply chains may impact our ability to continually meet market demand. For example, certain U.S. lawmakers have encouraged sanctions and introduced legislation that could affect WuXi AppTec (Hong Kong) Limited and our current supplier of FG-3246, WuXi Biologics (Hong Kong) Limited (“WuXi Biologics”), Wuxi XDC (Hong Kong) Limited (“WuXi XDC”) and companies that do business with WuXi Biologics and WuXi XDC. Shanghai SynTheAll Pharmaceutical Co., Ltd. (“WuXi STA”), our supplier of roxadustat drug substance, is also included in this legislation since it is a branch of WuXi Apptec. This can impact the FG-3246 program as we source the linker and payload from WuXi STA and we manufacture antibody, antibody drug conjugate drug substance and antibody drug conjugate drug product at WuXi Biologics and WuXi XDC. This legislation is being developed and it is possible that the content in the legislation continues to change prior to becoming law. There are also risks that new legislation comes up in the future that imposes further restrictions on our ability to source FG-3246 from WuXi Biologics, WuXi XDC, and WuXi STA for U.S. based clinical and commercial demand. This legislation may prevent us from launching FG-3246 in the U.S. or conducting clinical trials after the period specified in the legislation. This may also force us to consider alternative suppliers for which additional time, money and resources may be required without a guarantee of producing comparable product in a timely fashion. The occurrence of any such event could materially and adversely affect our business, financial condition, results of operations, timing of supply deliveries, cash flows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currency exchange rate fluctuations and currency exchange restrictions with respect to our partner</w:t>
      </w:r>
      <w:r>
        <w:rPr>
          <w:rFonts w:ascii="Times New Roman" w:hAnsi="Times New Roman"/>
          <w:color w:val="000000"/>
          <w:sz w:val="20"/>
        </w:rPr>
        <w:t>’</w:t>
      </w:r>
      <w:r>
        <w:rPr>
          <w:rFonts w:ascii="Times New Roman" w:hAnsi="Times New Roman"/>
          <w:b/>
          <w:i/>
          <w:color w:val="000000"/>
          <w:sz w:val="20"/>
        </w:rPr>
        <w:t>s operations in Japan and Europe, which could adversely affect 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tax inefficiencies associated with our offshore corporate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22, 2017, the Tax Cuts and Jobs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Operation of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with two lead product candidates in clinical development, potentially anemia in lower-risk MDS in the U.S. and elsewhere, and FG-3246 (in conjunction with our PET imaging agent FG-3180) for mCRPC. Most of our revenue generated to date has been based on our collaboration agreements. We continue to incur significant research and development and other expenses related to our ongoing operations. Our net loss for the years ended December 31, 2024 and 2023 were $47.6 million and $284.2 million, respectively. As of September 30, 2025, we had an accumulated deficit of $1.7 billion. As of September 30, 2025, we had capital resources from cash and cash equivalents of $118.0 million and long-term investments of $3.0 million. Despite the commercialization efforts of Astellas for roxadustat for the treatment of anemia caused by CKD, we anticipate we will continue to incur losses on an annual basis for the foreseeable future. Furthermore, due to the sale of FibroGen International to AstraZeneca Treasury Limited, we will not be due any royalty, development or milestone payments under the AstraZeneca China Agreement.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(deficit) and working capital. Our failure to become and remain profitable would depress the market price of our common stock and could impair our ability to raise capital, expand our business, diversify our product offerings or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we will continue to expend substantial resources for the foreseeable future as we continue our clinical development efforts.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we may seek additional funds sooner than planned. 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terms of any financing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For example, in 2022 we entered into a Revenue Interest Financing Agreement (“RIFA”) with an affiliate of NovaQuest Capital Management (“NovaQuest”), which imposes certain performance and financial obligations on our business. Our ability to satisfy and meet any future debt service obligations will depend upon our future performance, which will be subject to financial, business and other factors affecting our operations, many of which are beyond our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funding, we could delay, reduce or eliminate research and development programs, product portfolio development or future commercialization efforts which could adversely affect our business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required to recognize an impairment of our long-lived assets, which could adversely affect our financial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long-lived assets group is subject to an impairment assessment at least annually, or when certain triggering events or circumstances indicate that its carrying value may be impaired. Prolonged market declines or other factors negatively impacting the performance of our businesses could adversely affect our evaluation of the recoverability of our long-lived assets. If, as a result of the impairment test, we determine that the fair value of our long-lived asset group is less than its carrying amount, we may incur an impairment charge, which could materially and adversely affect our results of operations or financial position.</w:t>
      </w:r>
    </w:p>
    <w:p>
      <w:pPr>
        <w:pStyle w:val="TextBody"/>
        <w:bidi w:val="0"/>
        <w:spacing w:before="360" w:after="283"/>
        <w:jc w:val="left"/>
        <w:rPr>
          <w:rFonts w:ascii="Times New Roman" w:hAnsi="Times New Roman"/>
          <w:sz w:val="20"/>
        </w:rPr>
      </w:pPr>
      <w:r>
        <w:rPr>
          <w:rFonts w:ascii="Times New Roman" w:hAnsi="Times New Roman"/>
          <w:b/>
          <w:i/>
          <w:color w:val="000000"/>
          <w:sz w:val="20"/>
        </w:rPr>
        <w:t>Our non-dilutive transaction with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we entered into a $50 million RIFA financing with NovaQuest with respect to our revenues from Astellas’ sales of roxadustat in Europe, Japan and the other Astellas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material inducement for NovaQuest to enter into the RIFA, we granted NovaQuest a security interest over our rights, title and interest in and to the revenue interest payments and intellectual property related to roxadustat and the Astellas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RIFA includes customary reporting obligations and events of default by us. Upon the occurrence of an event of default, NovaQuest may exercise all remedies available to it at law or in equity in respect of the security interest.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additional details about this financing transaction, see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obligations under this financing transaction could have significant negative consequences for our shareholders, and our business, results of operations and financial condition by,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our vulnerability to adverse economic and industry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ability to obtain additional non-dilutive financing or enter into collaboration or partnership agreements of a certain size;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the dedication of a portion of our cash flow from operations to service our indebtedness, which will reduce the amount of cash available for other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flexibility to plan for, or react to, changes in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comply with the above covenants may be affected by events beyond our control, and future breaches of any of the covenants could result in a default under the RIFA, or any future financing agreements. If not waived, future defaults could cause all of the outstanding indebtedness under either financing transaction to become immediately due and payable and NovaQuest could seek to enforce their security interest in assets that secure such indebtedness.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we incur additional debt, the risks described above could increase. Any of the above risks would negatively impact our ability to operate our business and obtain additional debt or equity financing on favorable terms.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encounter difficulties in managing our growth and expanding our operations, successfully.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exposed to the risks associated with litigation, investigations, regulatory proceedings, and other legal matters, any of which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Legal proceedings,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 Furthermore, publicity surrounding legal proceedings, including regulatory investigations, even if resolved favorably for us, could result in additional legal proceedings or regulatory investigations, as well as damage to our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have to limit commercial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further development of unapproved product candidates or significantly reduced demand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costs and expenses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time and resources across the entire organization, including our executive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product withdrawals or labeling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our collaboration relationships or disputes with our collaboration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reputational damage negatively impacting our other product candidates in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and operations would suffer in the event of computer system failures.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If our information technology systems or data, or those of third parties upon which we rely, are or were compromised by a cybersecurity incident,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upon which we rely are subject to a variety of evolving cybersecurity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In particular, severe ransomware attacks are becoming increasingly prevalent and can lead to significant interruptions in our operations, loss of </w:t>
      </w:r>
      <w:r>
        <w:rPr>
          <w:rFonts w:ascii="Times New Roman" w:hAnsi="Times New Roman"/>
          <w:color w:val="000000"/>
          <w:sz w:val="20"/>
        </w:rPr>
        <w:t xml:space="preserve">confidential, proprietary, and </w:t>
      </w:r>
      <w:r>
        <w:rPr>
          <w:rFonts w:ascii="Times New Roman" w:hAnsi="Times New Roman"/>
          <w:color w:val="231F20"/>
          <w:sz w:val="20"/>
        </w:rPr>
        <w:t xml:space="preserve">sensitive data and income, reputational harm, and diversion of funds. While it is possible that extortion payments may alleviate the negative impact of a ransomware attack, we may be unwilling or unable to make such payments. </w:t>
      </w:r>
    </w:p>
    <w:p>
      <w:pPr>
        <w:pStyle w:val="TextBody"/>
        <w:bidi w:val="0"/>
        <w:spacing w:before="240" w:after="283"/>
        <w:jc w:val="left"/>
        <w:rPr>
          <w:rFonts w:ascii="Times New Roman" w:hAnsi="Times New Roman"/>
          <w:sz w:val="20"/>
        </w:rPr>
      </w:pPr>
      <w:r>
        <w:rPr>
          <w:rFonts w:ascii="Times New Roman" w:hAnsi="Times New Roman"/>
          <w:color w:val="000000"/>
          <w:sz w:val="20"/>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w:t>
      </w:r>
      <w:r>
        <w:rPr>
          <w:rFonts w:ascii="Times New Roman" w:hAnsi="Times New Roman"/>
          <w:color w:val="231F20"/>
          <w:sz w:val="20"/>
        </w:rPr>
        <w:t xml:space="preserv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r>
        <w:rPr>
          <w:rFonts w:ascii="Times New Roman" w:hAnsi="Times New Roman"/>
          <w:color w:val="231F20"/>
          <w:sz w:val="20"/>
        </w:rPr>
        <w:t>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designated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delays in our development or other business plans; financial loss; and other similar harms. Security incidents and attendant consequences may cause customers to stop using our services, deter new customers from using our services, and negatively impact our ability to grow and operate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pStyle w:val="TextBody"/>
        <w:bidi w:val="0"/>
        <w:spacing w:before="360" w:after="283"/>
        <w:jc w:val="left"/>
        <w:rPr>
          <w:rFonts w:ascii="Times New Roman" w:hAnsi="Times New Roman"/>
          <w:sz w:val="20"/>
        </w:rPr>
      </w:pPr>
      <w:r>
        <w:rPr>
          <w:rFonts w:ascii="Times New Roman" w:hAnsi="Times New Roman"/>
          <w:b/>
          <w:i/>
          <w:color w:val="000000"/>
          <w:sz w:val="20"/>
        </w:rPr>
        <w:t>Our third party service providers may be exposed to natural disasters and other catastrophes.*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 party service, cloud and software-as-a-services (SaaS) platform providers, who we rely on for critical support functions, may be exposed to significant risks from natural disasters and other catastrophic events, including earthquakes, power outages, and unforeseen disruptions. Many of these providers are in regions prone to earthquakes and fires, such as the San Francisco Bay Area. These risks could severely impact their operations, infrastructures, or abilities to deliver services, which could in turn disrupt our business continuity and have a material adverse effect on our operations and financial results. Although we have conducted comprehensive risk assessments, the vulnerability of our third-party partners to these events remains a significant risk, particularly as many operate from single sites with limited disaster recovery capabilities. Their inability to recover promptly from such events could result in service delays or interruptions, leading to operational challenges, and increased costs for us.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of our common stock may be highly volatile, and you may not be able to resell your shares at or above your purchase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has at times experienced price volatility and may continue to be volatile. For example, during the 12-month period ended September 30, 2025, the closing price of our common stock on the Nasdaq Global Select Market has ranged from $5.16 per share to $19.30 per share. 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release of results of and regulatory updates regarding our clinical trials, as well as, investigator-sponsored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any of our product candidates or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issues with respect to our product candidates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 candidates and any approved products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financial condition and operating results, which will be significantly affected by the manner in which we recognize revenue from the achievement of milestones under our collaboration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collaborations and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termination of a collaboration or the inability to establish additional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legislation or other regulatory developments affecting our product candidates or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the biotechnology industry and particular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investigations or regulatory scrutiny of our operations or lawsuits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conditions for biopharmaceutical stocks;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other factors described in this “</w:t>
      </w:r>
      <w:r>
        <w:rPr>
          <w:rFonts w:ascii="Times New Roman" w:hAnsi="Times New Roman"/>
          <w:i/>
          <w:color w:val="000000"/>
          <w:sz w:val="20"/>
        </w:rPr>
        <w:t>Risk Factors</w:t>
      </w:r>
      <w:r>
        <w:rPr>
          <w:color w:val="000000"/>
        </w:rPr>
        <w:t xml:space="preserve">” </w:t>
      </w:r>
      <w:r>
        <w:rPr>
          <w:rFonts w:ascii="Times New Roman" w:hAnsi="Times New Roman"/>
          <w:color w:val="000000"/>
          <w:sz w:val="20"/>
        </w:rPr>
        <w:t>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smaller reporting company, and the reduced disclosure requirements applicable to us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and we are therefore eligible for certain provisions of the Exchange Act, including only being required to provide two years of audited financial statements and reduced disclosure obligations regarding executive compensation in our periodic reports and proxy statements. If some investors find our common shares less attractive as a result of our reliance on these reduced disclosure obligations, there may be a less active trading market for our common shares and our price of our common shares may be more volatile.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engage in acquisitions that could dilute stockholders and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stock that would dilute our existing stockholders’ percentage of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debt and assume liabilities;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amortization expenses related to intangible assets or incur large and immediate write-offs.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problems integrating the purchased business, products or technologies, or employees or other assets of the acquisition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to our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or undisclosed liabilities of the acquired asset or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management’s attention from their day-to-day responsibilities;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reprioritization of our development programs and even cessation of development and commercialization of our current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harm to our operating results or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entrance into markets in which we have limited or no prior experience;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loss of key employees, particularly those of the acquired entity.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complete any acquisitions or effectively integrate the operations, products or personnel gained through any such acquisition.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Provisions in our charter documents and Delaware law may have anti-takeover effects that could discourage an acquisition of us by others and may prevent attempts by our stockholders to replace or remove our current directors or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 classified Board of Directors whose members serve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pursuant to a resolution adopted by a majority of the total number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prior to the end of their term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the holders of our common stock or the majority vote of our Board of Directors to amend our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the holders of our common stock to amend the classification of our Board of Directors into three classes and to amend certain other provisions of our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Changes in our tax provision or exposure to additional tax liabilities could adversely affect our earnings and financial condition.*</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tax regulations in the U.S. and other jurisdictions in which we operate are extremely complex and subject to change. Changes in tax regulations could have an adverse effect on our results of operations and financial condition. On July 4, 2025, the One Big Beautiful Bill Act was signed into law in the U.S. which contains a broad range of tax reform provisions affecting businesses. We are still in the process of evaluating the legislation and an estimate of the financial impact cannot be made at this time.</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Federal and state tax laws impose substantial restrictions on the utilization of net operating loss and credit carryforwards in the event of an “ownership change” for tax purposes, as defined in IRC Section 382. We would undergo an ownership change if, among other things, the stockholders who own, directly or indirectly, 5% or more of our common stock, or are otherwise treated as “5% shareholders” under Section 382 of the U.S. Internal Revenue Code and the regulations promulgated thereunder, increase their aggregate percentage ownership of our stock by more than 50 percentage points over the lowest percentage of the stock owned by these stockholders at any time during the testing period, which is generally the three-year period preceding the potential ownership change. In the event of an ownership change, Section 382 of the U.S. Internal Revenue Code imposes an annual limitation on the amount of taxable income a corporation may offset with NOL carryforwards. The annual limitation is generally equal to the value of the stock of the corporation immediately before the ownership change, multiplied by the long-term tax-exempt rate for the month in which the ownership change occurs (the long-term tax-exempt rate for March 2015 is 2.67%). Any unused annual limitation may generally be carried over to later years until the NOL carryforwards expire. The Company performed an IRC Section 382 analysis and do not believe there were ownership changes as of December 31, 2024. Thus, IRC Section 382 will not limit the use of our net operating loss and tax credit carryforwards. We continue to monitor trading activities in our shares which could cause ownership change in future years.</w:t>
      </w:r>
    </w:p>
    <w:p>
      <w:pPr>
        <w:pStyle w:val="TextBody"/>
        <w:bidi w:val="0"/>
        <w:spacing w:before="200" w:after="160"/>
        <w:jc w:val="left"/>
        <w:rPr>
          <w:rFonts w:ascii="Times New Roman" w:hAnsi="Times New Roman"/>
          <w:b/>
          <w:i/>
          <w:color w:val="000000"/>
          <w:sz w:val="20"/>
        </w:rPr>
      </w:pPr>
      <w:r>
        <w:rPr>
          <w:rFonts w:ascii="Times New Roman" w:hAnsi="Times New Roman"/>
          <w:b/>
          <w:i/>
          <w:color w:val="000000"/>
          <w:sz w:val="20"/>
        </w:rPr>
        <w:t>Tariffs or other trade policy changes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Changes in trade policies, tariffs, and geopolitical tensions may impact our business, supply chain, and costs of operations. Governments worldwide, including the U.S. and key trade partners like China, have imposed and may continue to impose tariffs, export controls, trade restrictions, and other measures that could impact our supply chain and our costs of doing business. If we are impacted by the changing trade relations between the U.S. and other countries, our business and results of operations may be negatively impacted.</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designates courts located in Delaware as the sole forum for certain proceedings,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plan to pay dividends. Capital appreciation will be your sole possible source of gain, which may never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or our share price could be negatively affected as a result of shareholder proposals or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pStyle w:val="TextBody"/>
        <w:bidi w:val="0"/>
        <w:spacing w:before="36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0" w:name="item_5_o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796"/>
        <w:gridCol w:w="146"/>
        <w:gridCol w:w="543"/>
        <w:gridCol w:w="146"/>
        <w:gridCol w:w="937"/>
        <w:gridCol w:w="146"/>
        <w:gridCol w:w="631"/>
        <w:gridCol w:w="146"/>
        <w:gridCol w:w="862"/>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7"/>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 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FibroGen,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11/21/2014</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FibroGen, Inc.</w:t>
              </w:r>
            </w:hyperlink>
            <w:hyperlink r:id="rId4">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8-K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04/04/2025</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of the Amended and Restated Certificate of Incorporation of FibroGen,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001-36740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06/12/2025</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11/21/2014</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Common Stock Purchase Agreement by and between FibroGen, Inc. and AstraZeneca AB, dated as of October 20, 2014.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333-199069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10/24/2014</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79"/>
        <w:gridCol w:w="146"/>
        <w:gridCol w:w="7466"/>
        <w:gridCol w:w="146"/>
        <w:gridCol w:w="346"/>
        <w:gridCol w:w="146"/>
        <w:gridCol w:w="346"/>
        <w:gridCol w:w="146"/>
        <w:gridCol w:w="346"/>
        <w:gridCol w:w="146"/>
        <w:gridCol w:w="392"/>
      </w:tblGrid>
      <w:tr>
        <w:trPr/>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10_1.htm">
              <w:r>
                <w:rPr>
                  <w:rStyle w:val="InternetLink"/>
                  <w:rFonts w:ascii="Times New Roman" w:hAnsi="Times New Roman"/>
                  <w:color w:val="0000FF"/>
                  <w:sz w:val="20"/>
                  <w:u w:val="single"/>
                </w:rPr>
                <w:t>Amendment No.2 to Second Amended and Restated Exclusive License Agreement, by and among Eluminex Biosciences (Suzhou) Limited, FibroGen, Inc., FibroGen International (Hong Kong) Limited, FibroGen (China) Medical Technology Development Co., Ltd., and Beijing Falikang Pharmaceutical Co., Ltd., dated as of August 5, 2025</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color w:val="000000"/>
              </w:rPr>
            </w:pPr>
            <w:r>
              <w:rPr>
                <w:color w:val="000000"/>
              </w:rPr>
              <w:t>—</w:t>
            </w:r>
          </w:p>
          <w:p>
            <w:pPr>
              <w:pStyle w:val="TableContents"/>
              <w:bidi w:val="0"/>
              <w:spacing w:before="0" w:after="283"/>
              <w:jc w:val="left"/>
              <w:rPr/>
            </w:pPr>
            <w:r>
              <w:rPr/>
              <w:t> </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10.2* </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jc w:val="left"/>
              <w:rPr/>
            </w:pPr>
            <w:hyperlink w:anchor="fgen-ex10_2.htm">
              <w:r>
                <w:rPr>
                  <w:rStyle w:val="InternetLink"/>
                  <w:rFonts w:ascii="Times New Roman" w:hAnsi="Times New Roman"/>
                  <w:color w:val="0000FF"/>
                  <w:sz w:val="20"/>
                  <w:u w:val="single"/>
                </w:rPr>
                <w:t>Termination Agreement, by and between, FibroGen, Inc. and AstraZeneca AB, effective as of February 25, 2024, as amended and restated on August 29, 2025.</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color w:val="000000"/>
              </w:rPr>
            </w:pPr>
            <w:r>
              <w:rPr>
                <w:color w:val="000000"/>
              </w:rPr>
              <w:t>—</w:t>
            </w:r>
          </w:p>
          <w:p>
            <w:pPr>
              <w:pStyle w:val="TableContents"/>
              <w:bidi w:val="0"/>
              <w:spacing w:before="0" w:after="283"/>
              <w:jc w:val="left"/>
              <w:rPr/>
            </w:pPr>
            <w:r>
              <w:rPr/>
              <w:t> </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10.3* </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10_3.htm">
              <w:r>
                <w:rPr>
                  <w:rStyle w:val="InternetLink"/>
                  <w:rFonts w:ascii="Times New Roman" w:hAnsi="Times New Roman"/>
                  <w:color w:val="0000FF"/>
                  <w:sz w:val="20"/>
                  <w:u w:val="single"/>
                </w:rPr>
                <w:t>Amendment to Share Purchase Agreement, by and among AstraZeneca Treasury Limited, FibroGen China Anemia Holdings, Ltd., and FibroGen, Inc., dated as of August 29,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jc w:val="left"/>
              <w:rPr/>
            </w:pPr>
            <w:r>
              <w:rPr/>
              <w:t> </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jc w:val="center"/>
              <w:rPr/>
            </w:pPr>
            <w:r>
              <w:rPr/>
              <w:t> </w:t>
            </w:r>
          </w:p>
          <w:p>
            <w:pPr>
              <w:pStyle w:val="TableContents"/>
              <w:bidi w:val="0"/>
              <w:spacing w:before="0" w:after="283"/>
              <w:jc w:val="left"/>
              <w:rPr/>
            </w:pPr>
            <w:r>
              <w:rPr/>
              <w:t> </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31_1.htm">
              <w:r>
                <w:rPr>
                  <w:rStyle w:val="InternetLink"/>
                  <w:rFonts w:ascii="Times New Roman" w:hAnsi="Times New Roman"/>
                  <w:color w:val="0000FF"/>
                  <w:sz w:val="20"/>
                  <w:u w:val="single"/>
                </w:rPr>
                <w:t>Certification of Chief Executive Officer, as required by Rule 13a-14(a) or Rule 15d-14(a).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31_2.htm">
              <w:r>
                <w:rPr>
                  <w:rStyle w:val="InternetLink"/>
                  <w:rFonts w:ascii="Times New Roman" w:hAnsi="Times New Roman"/>
                  <w:color w:val="0000FF"/>
                  <w:sz w:val="20"/>
                  <w:u w:val="single"/>
                </w:rPr>
                <w:t>Certification of Chief Financial Officer, as required by Rule 13a-14(a) or Rule 15d-14(a).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32_1.htm">
              <w:r>
                <w:rPr>
                  <w:rStyle w:val="InternetLink"/>
                  <w:rFonts w:ascii="Times New Roman" w:hAnsi="Times New Roman"/>
                  <w:color w:val="0000FF"/>
                  <w:sz w:val="20"/>
                  <w:u w:val="single"/>
                </w:rPr>
                <w:t>Certification of Principal Executive Officer and Principal Financial Officer, as required by Rule 13a-14(b) or Rule 15d-14(b) and Section 1350 of Chapter 63 of Title 18 of the United States Code (18 U.S.C. §1350)(1)).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Exhibits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spacing w:before="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tbl>
      <w:tblPr>
        <w:tblW w:w="5309" w:type="dxa"/>
        <w:jc w:val="left"/>
        <w:tblInd w:w="0" w:type="dxa"/>
        <w:tblLayout w:type="fixed"/>
        <w:tblCellMar>
          <w:top w:w="28" w:type="dxa"/>
          <w:left w:w="28" w:type="dxa"/>
          <w:bottom w:w="28" w:type="dxa"/>
          <w:right w:w="28" w:type="dxa"/>
        </w:tblCellMar>
      </w:tblPr>
      <w:tblGrid>
        <w:gridCol w:w="2206"/>
        <w:gridCol w:w="146"/>
        <w:gridCol w:w="451"/>
        <w:gridCol w:w="250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FibroGen, Inc.</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Thane Wettig</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tbl>
      <w:tblPr>
        <w:tblW w:w="6944" w:type="dxa"/>
        <w:jc w:val="left"/>
        <w:tblInd w:w="0" w:type="dxa"/>
        <w:tblLayout w:type="fixed"/>
        <w:tblCellMar>
          <w:top w:w="28" w:type="dxa"/>
          <w:left w:w="28" w:type="dxa"/>
          <w:bottom w:w="28" w:type="dxa"/>
          <w:right w:w="28" w:type="dxa"/>
        </w:tblCellMar>
      </w:tblPr>
      <w:tblGrid>
        <w:gridCol w:w="2206"/>
        <w:gridCol w:w="146"/>
        <w:gridCol w:w="451"/>
        <w:gridCol w:w="414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DeLucia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DeLucia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both"/>
        <w:rPr/>
      </w:pPr>
      <w:bookmarkStart w:id="23" w:name="fgen-ex10_1.htm"/>
      <w:bookmarkStart w:id="24" w:name="ksfgenex10_1"/>
      <w:bookmarkEnd w:id="23"/>
      <w:bookmarkEnd w:id="24"/>
      <w:r>
        <w:rPr/>
        <w:t> </w:t>
      </w:r>
      <w:r>
        <w:br w:type="page"/>
      </w:r>
    </w:p>
    <w:p>
      <w:pPr>
        <w:pStyle w:val="TextBody"/>
        <w:bidi w:val="0"/>
        <w:spacing w:before="0" w:after="480"/>
        <w:jc w:val="both"/>
        <w:rPr>
          <w:rFonts w:ascii="sans-serif" w:hAnsi="sans-serif"/>
          <w:b/>
          <w:color w:val="000000"/>
          <w:sz w:val="20"/>
        </w:rPr>
      </w:pPr>
      <w:r>
        <w:rPr>
          <w:rFonts w:ascii="sans-serif" w:hAnsi="sans-serif"/>
          <w:b/>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right"/>
        <w:rPr>
          <w:rFonts w:ascii="sans-serif" w:hAnsi="sans-serif"/>
          <w:b/>
          <w:color w:val="000000"/>
          <w:sz w:val="20"/>
        </w:rPr>
      </w:pPr>
      <w:r>
        <w:rPr>
          <w:rFonts w:ascii="sans-serif" w:hAnsi="sans-serif"/>
          <w:b/>
          <w:color w:val="000000"/>
          <w:sz w:val="20"/>
        </w:rPr>
        <w:t>Exhibit 10.1</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Amendment No. 2 to Second Amended and Restated Exclusive License Agreement</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120"/>
        <w:jc w:val="both"/>
        <w:rPr/>
      </w:pPr>
      <w:r>
        <w:rPr>
          <w:rFonts w:ascii="sans-serif" w:hAnsi="sans-serif"/>
          <w:color w:val="000000"/>
          <w:sz w:val="22"/>
        </w:rPr>
        <w:t>This Amendment No. 2 to Second Amended and Restated Exclusive License Agreement (this “Amendment 2”) is entered into and effective as of August 5, 2025 (the “Amendment 2 Effective Date”) by and among Eluminex Bio</w:t>
      </w:r>
      <w:r>
        <w:rPr>
          <w:rFonts w:ascii="Times New Roman" w:hAnsi="Times New Roman"/>
          <w:color w:val="000000"/>
          <w:sz w:val="22"/>
        </w:rPr>
        <w:t>s</w:t>
      </w:r>
      <w:r>
        <w:rPr>
          <w:rFonts w:ascii="sans-serif" w:hAnsi="sans-serif"/>
          <w:color w:val="000000"/>
          <w:sz w:val="22"/>
        </w:rPr>
        <w:t>ciences (Suzhou) Limited</w:t>
      </w:r>
      <w:r>
        <w:rPr>
          <w:rFonts w:eastAsia="Times New Roman"/>
          <w:color w:val="000000"/>
          <w:sz w:val="22"/>
        </w:rPr>
        <w:t>典晶生物医药科技</w:t>
      </w:r>
      <w:r>
        <w:rPr>
          <w:rFonts w:ascii="Times New Roman" w:hAnsi="Times New Roman"/>
          <w:color w:val="000000"/>
          <w:sz w:val="22"/>
        </w:rPr>
        <w:t>f</w:t>
      </w:r>
      <w:r>
        <w:rPr>
          <w:rFonts w:eastAsia="Times New Roman"/>
          <w:color w:val="000000"/>
          <w:sz w:val="22"/>
        </w:rPr>
        <w:t>（苏州）有限公司</w:t>
      </w:r>
      <w:r>
        <w:rPr>
          <w:rFonts w:ascii="sans-serif" w:hAnsi="sans-serif"/>
          <w:color w:val="000000"/>
          <w:sz w:val="22"/>
        </w:rPr>
        <w:t>, a company organized under the laws of People’s Republic of China with registered address at Unit 401, Building B7, Suzhou BioBAY, No. 218, Xinghu Street, Suzhou Industrial Park, Suzhou, Jiangsu Province 215123, People’s Republic of China (“ELUMINEX”), FibroGen, Inc., a company organized under the laws of Delaware in the United States with a business address at 350 Bay Street, Suite 100 #6009, San Francisco, California 94133, U.S.A. (“FibroGen US”), FibroGen International (Hong Kong) Limited, a private limited company organized under the laws of the Hong Kong Special Administrative Region of the People’s Republic of China (“Hong Kong”) with registered address at 26</w:t>
      </w:r>
      <w:r>
        <w:rPr>
          <w:rFonts w:ascii="sans-serif" w:hAnsi="sans-serif"/>
          <w:color w:val="000000"/>
          <w:sz w:val="15"/>
        </w:rPr>
        <w:t>th</w:t>
      </w:r>
      <w:r>
        <w:rPr>
          <w:rFonts w:ascii="Times New Roman" w:hAnsi="Times New Roman"/>
          <w:color w:val="000000"/>
          <w:sz w:val="20"/>
        </w:rPr>
        <w:t xml:space="preserve"> </w:t>
      </w:r>
      <w:r>
        <w:rPr>
          <w:rFonts w:ascii="sans-serif" w:hAnsi="sans-serif"/>
          <w:color w:val="000000"/>
          <w:sz w:val="22"/>
        </w:rPr>
        <w:t xml:space="preserve">Floor, Three Exchange Square, 8 Connaught Place Central, Hong Kong (“FibroGen HK”), FibroGen (China) Medical Technology Development Co., Ltd. </w:t>
      </w:r>
      <w:r>
        <w:rPr>
          <w:rFonts w:eastAsia="Times New Roman"/>
          <w:color w:val="000000"/>
          <w:sz w:val="22"/>
        </w:rPr>
        <w:t>珐博进（中国）医药技术开发有限公司</w:t>
      </w:r>
      <w:r>
        <w:rPr>
          <w:rFonts w:ascii="Times New Roman" w:hAnsi="Times New Roman"/>
          <w:color w:val="000000"/>
          <w:sz w:val="18"/>
        </w:rPr>
        <w:t xml:space="preserve">, </w:t>
      </w:r>
      <w:r>
        <w:rPr>
          <w:rFonts w:ascii="sans-serif" w:hAnsi="sans-serif"/>
          <w:color w:val="000000"/>
          <w:sz w:val="22"/>
        </w:rPr>
        <w:t xml:space="preserve">a wholly foreign owned limited liability company organized under the laws of People’s Republic of China having its principal place of business at 101-601, Unit 2, Building 7, No. 88, 6th Ke Chuang Street, Beijing Economic Technological Development Area, Beijing, People’s Republic of China (“FibroGen China”), and Beijing Falikang Pharmaceutical Co., Ltd. </w:t>
      </w:r>
      <w:r>
        <w:rPr>
          <w:rFonts w:eastAsia="Times New Roman"/>
          <w:color w:val="000000"/>
          <w:sz w:val="22"/>
        </w:rPr>
        <w:t>北京珐利康医药有限公司</w:t>
      </w:r>
      <w:r>
        <w:rPr>
          <w:rFonts w:ascii="sans-serif" w:hAnsi="sans-serif"/>
          <w:color w:val="000000"/>
          <w:sz w:val="22"/>
        </w:rPr>
        <w:t>,</w:t>
      </w:r>
      <w:r>
        <w:rPr>
          <w:rFonts w:ascii="Times New Roman" w:hAnsi="Times New Roman"/>
          <w:color w:val="000000"/>
          <w:sz w:val="20"/>
        </w:rPr>
        <w:t xml:space="preserve"> </w:t>
      </w:r>
      <w:r>
        <w:rPr>
          <w:rFonts w:ascii="sans-serif" w:hAnsi="sans-serif"/>
          <w:color w:val="000000"/>
          <w:sz w:val="22"/>
        </w:rPr>
        <w:t>a majority foreign owned company organized under the laws of People’s Republic of China having its principal place of business at Room 113, Floor 1, Unit 1, Building No. 6, 88 Kechuang 6</w:t>
      </w:r>
      <w:r>
        <w:rPr>
          <w:rFonts w:ascii="sans-serif" w:hAnsi="sans-serif"/>
          <w:color w:val="000000"/>
          <w:sz w:val="15"/>
        </w:rPr>
        <w:t>th</w:t>
      </w:r>
      <w:r>
        <w:rPr>
          <w:rFonts w:ascii="Times New Roman" w:hAnsi="Times New Roman"/>
          <w:color w:val="000000"/>
          <w:sz w:val="20"/>
        </w:rPr>
        <w:t xml:space="preserve"> </w:t>
      </w:r>
      <w:r>
        <w:rPr>
          <w:rFonts w:ascii="sans-serif" w:hAnsi="sans-serif"/>
          <w:color w:val="000000"/>
          <w:sz w:val="22"/>
        </w:rPr>
        <w:t>Street, Beijing Economic and Technolgical Development Zone, Beijing, People’s Republic of China (“Falikang”; together with FibroGen HK and FibroGen China, the “Company Group”).</w:t>
      </w:r>
    </w:p>
    <w:p>
      <w:pPr>
        <w:pStyle w:val="TextBody"/>
        <w:bidi w:val="0"/>
        <w:spacing w:before="0" w:after="120"/>
        <w:jc w:val="both"/>
        <w:rPr>
          <w:rFonts w:ascii="Times New Roman" w:hAnsi="Times New Roman"/>
          <w:sz w:val="20"/>
        </w:rPr>
      </w:pPr>
      <w:r>
        <w:rPr>
          <w:rFonts w:ascii="sans-serif" w:hAnsi="sans-serif"/>
          <w:color w:val="000000"/>
          <w:sz w:val="22"/>
        </w:rPr>
        <w:t>WHEREAS, ELUMINEX and FibroGen US and its Affiliates entered into a Second Amended and Restated Exclusive License Agreement, effective 19</w:t>
      </w:r>
      <w:r>
        <w:rPr>
          <w:rFonts w:ascii="sans-serif" w:hAnsi="sans-serif"/>
          <w:color w:val="000000"/>
          <w:sz w:val="15"/>
        </w:rPr>
        <w:t>th</w:t>
      </w:r>
      <w:r>
        <w:rPr>
          <w:rFonts w:ascii="Times New Roman" w:hAnsi="Times New Roman"/>
          <w:color w:val="000000"/>
          <w:sz w:val="20"/>
        </w:rPr>
        <w:t xml:space="preserve"> </w:t>
      </w:r>
      <w:r>
        <w:rPr>
          <w:rFonts w:ascii="sans-serif" w:hAnsi="sans-serif"/>
          <w:color w:val="000000"/>
          <w:sz w:val="22"/>
        </w:rPr>
        <w:t>April 2023, as amended by an Amendment No. 1 to the Second Amended and Restated Exclusive License Agreement, entered into as of November 16, 2023 by and between FibroGen China and ELUMINEX (the “Agreement”);</w:t>
      </w:r>
      <w:r>
        <w:rPr>
          <w:rFonts w:ascii="Times New Roman" w:hAnsi="Times New Roman"/>
          <w:color w:val="000000"/>
          <w:sz w:val="20"/>
        </w:rPr>
        <w:t xml:space="preserve"> </w:t>
      </w:r>
    </w:p>
    <w:p>
      <w:pPr>
        <w:pStyle w:val="TextBody"/>
        <w:bidi w:val="0"/>
        <w:spacing w:before="0" w:after="120"/>
        <w:jc w:val="both"/>
        <w:rPr>
          <w:rFonts w:ascii="sans-serif" w:hAnsi="sans-serif"/>
          <w:color w:val="000000"/>
          <w:sz w:val="22"/>
        </w:rPr>
      </w:pPr>
      <w:r>
        <w:rPr>
          <w:rFonts w:ascii="sans-serif" w:hAnsi="sans-serif"/>
          <w:color w:val="000000"/>
          <w:sz w:val="22"/>
        </w:rPr>
        <w:t>[*]</w:t>
      </w:r>
    </w:p>
    <w:p>
      <w:pPr>
        <w:pStyle w:val="TextBody"/>
        <w:bidi w:val="0"/>
        <w:spacing w:before="0" w:after="120"/>
        <w:jc w:val="both"/>
        <w:rPr>
          <w:rFonts w:ascii="Times New Roman" w:hAnsi="Times New Roman"/>
          <w:sz w:val="20"/>
        </w:rPr>
      </w:pPr>
      <w:r>
        <w:rPr>
          <w:rFonts w:ascii="sans-serif" w:hAnsi="sans-serif"/>
          <w:color w:val="000000"/>
          <w:sz w:val="22"/>
        </w:rPr>
        <w:t>WHEREAS, [*], FibroGen China no longer holds any assets being licensed under the Agreement and therefore no longer needs to be a party to the Agreement;</w:t>
      </w:r>
      <w:r>
        <w:rPr>
          <w:rFonts w:ascii="Times New Roman" w:hAnsi="Times New Roman"/>
          <w:color w:val="000000"/>
          <w:sz w:val="20"/>
        </w:rPr>
        <w:t xml:space="preserve"> </w:t>
      </w:r>
    </w:p>
    <w:p>
      <w:pPr>
        <w:pStyle w:val="TextBody"/>
        <w:bidi w:val="0"/>
        <w:spacing w:before="0" w:after="120"/>
        <w:jc w:val="both"/>
        <w:rPr>
          <w:rFonts w:ascii="sans-serif" w:hAnsi="sans-serif"/>
          <w:color w:val="000000"/>
          <w:sz w:val="22"/>
        </w:rPr>
      </w:pPr>
      <w:r>
        <w:rPr>
          <w:rFonts w:ascii="sans-serif" w:hAnsi="sans-serif"/>
          <w:color w:val="000000"/>
          <w:sz w:val="22"/>
        </w:rPr>
        <w:t>WHEREAS, FibroGen HK and Falikang each have never held any assets being licensed under the Agreement and therefore do not need to be a party to the Agreement;</w:t>
      </w:r>
    </w:p>
    <w:p>
      <w:pPr>
        <w:pStyle w:val="TextBody"/>
        <w:bidi w:val="0"/>
        <w:spacing w:before="0" w:after="120"/>
        <w:jc w:val="both"/>
        <w:rPr>
          <w:rFonts w:ascii="sans-serif" w:hAnsi="sans-serif"/>
          <w:color w:val="000000"/>
          <w:sz w:val="22"/>
        </w:rPr>
      </w:pPr>
      <w:r>
        <w:rPr>
          <w:rFonts w:ascii="sans-serif" w:hAnsi="sans-serif"/>
          <w:color w:val="000000"/>
          <w:sz w:val="22"/>
        </w:rPr>
        <w:t>WHEREAS, Section 12.9 of the Agreement provides that the Agreement may not be assigned by a Party without the other Party’s prior written consent, except that a Party may assign the Agreement (in part or in whole (i) to an Affiliate of the assigning Party (for so long as such Affiliate remains an Affiliate) or (ii) in connection with a merger, consolidation or sale of such Party or sale of all or substantially all of the assets of the Party that relate to the Agreement, without the prior consent of the non-assigning Party; and</w:t>
      </w:r>
    </w:p>
    <w:p>
      <w:pPr>
        <w:pStyle w:val="TextBody"/>
        <w:bidi w:val="0"/>
        <w:spacing w:before="0" w:after="120"/>
        <w:jc w:val="both"/>
        <w:rPr>
          <w:rFonts w:ascii="sans-serif" w:hAnsi="sans-serif"/>
          <w:color w:val="000000"/>
          <w:sz w:val="22"/>
        </w:rPr>
      </w:pPr>
      <w:r>
        <w:rPr>
          <w:rFonts w:ascii="sans-serif" w:hAnsi="sans-serif"/>
          <w:color w:val="000000"/>
          <w:sz w:val="22"/>
        </w:rPr>
        <w:t>WHEREAS, in accordance with Section 12.9 of the Agreement, FibroGen HK, FibroGen China and Falikang each desire to assign and delegate to FibroGen US, and FibroGen US desires to accept the assignment and delegation of, and ELUMINEX desires to acknowledge and consent to such assignment and delegation of, all of FibroGen HK’s, FibroGen China’s and Falikang’s respective rights and obligations under the Agreement to FibroGen US [*] and pursuant to the terms and conditions of this Amendment 2.</w:t>
      </w:r>
    </w:p>
    <w:p>
      <w:pPr>
        <w:pStyle w:val="TextBody"/>
        <w:bidi w:val="0"/>
        <w:jc w:val="center"/>
        <w:rPr>
          <w:rFonts w:ascii="Times New Roman" w:hAnsi="Times New Roman"/>
          <w:sz w:val="20"/>
        </w:rPr>
      </w:pPr>
      <w:r>
        <w:rPr>
          <w:rFonts w:ascii="sans-serif" w:hAnsi="sans-serif"/>
          <w:color w:val="000000"/>
          <w:sz w:val="18"/>
        </w:rPr>
        <w:t xml:space="preserve">Page </w:t>
      </w:r>
      <w:r>
        <w:rPr>
          <w:rFonts w:ascii="sans-serif" w:hAnsi="sans-serif"/>
          <w:b/>
          <w:color w:val="000000"/>
          <w:sz w:val="18"/>
        </w:rPr>
        <w:t>1</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20" w:after="120"/>
        <w:jc w:val="both"/>
        <w:rPr>
          <w:rFonts w:ascii="sans-serif" w:hAnsi="sans-serif"/>
          <w:color w:val="000000"/>
          <w:sz w:val="22"/>
        </w:rPr>
      </w:pPr>
      <w:r>
        <w:rPr>
          <w:rFonts w:ascii="sans-serif" w:hAnsi="sans-serif"/>
          <w:color w:val="000000"/>
          <w:sz w:val="22"/>
        </w:rPr>
        <w:t>NOW, THEREFORE, in consideration of the foregoing premises, the mutual representations, warranties, covenants and agreements hereinafter set forth, and other good and valuable consideration, the receipt and sufficiency of which are hereby acknowledged, the parties hereto agree as follows.</w:t>
      </w:r>
    </w:p>
    <w:p>
      <w:pPr>
        <w:pStyle w:val="TextBody"/>
        <w:bidi w:val="0"/>
        <w:spacing w:before="0" w:after="120"/>
        <w:jc w:val="center"/>
        <w:rPr>
          <w:rFonts w:ascii="sans-serif" w:hAnsi="sans-serif"/>
          <w:b/>
          <w:color w:val="000000"/>
          <w:sz w:val="22"/>
        </w:rPr>
      </w:pPr>
      <w:r>
        <w:rPr>
          <w:rFonts w:ascii="sans-serif" w:hAnsi="sans-serif"/>
          <w:b/>
          <w:color w:val="000000"/>
          <w:sz w:val="22"/>
        </w:rPr>
        <w:t>AGREEMENT</w:t>
      </w:r>
    </w:p>
    <w:p>
      <w:pPr>
        <w:pStyle w:val="TextBody"/>
        <w:bidi w:val="0"/>
        <w:spacing w:before="0" w:after="120"/>
        <w:jc w:val="both"/>
        <w:rPr>
          <w:rFonts w:ascii="Calibri" w:hAnsi="Calibri"/>
          <w:color w:val="060606"/>
          <w:sz w:val="22"/>
        </w:rPr>
      </w:pPr>
      <w:r>
        <w:rPr>
          <w:rFonts w:ascii="Calibri" w:hAnsi="Calibri"/>
          <w:color w:val="060606"/>
          <w:sz w:val="22"/>
        </w:rPr>
        <w:t>1.</w:t>
      </w:r>
    </w:p>
    <w:p>
      <w:pPr>
        <w:pStyle w:val="TextBody"/>
        <w:bidi w:val="0"/>
        <w:spacing w:before="0" w:after="120"/>
        <w:jc w:val="both"/>
        <w:rPr/>
      </w:pPr>
      <w:r>
        <w:rPr>
          <w:rFonts w:ascii="sans-serif" w:hAnsi="sans-serif"/>
          <w:color w:val="262626"/>
          <w:sz w:val="22"/>
          <w:u w:val="single"/>
        </w:rPr>
        <w:t>Definitions</w:t>
      </w:r>
      <w:r>
        <w:rPr>
          <w:rFonts w:ascii="sans-serif" w:hAnsi="sans-serif"/>
          <w:color w:val="262626"/>
          <w:sz w:val="22"/>
        </w:rPr>
        <w:t>. Unless otherwise defined herein, capitalized terms used without a definition hereunder shall have the same meaning as ascribed to them in the Agreement.</w:t>
      </w:r>
    </w:p>
    <w:p>
      <w:pPr>
        <w:pStyle w:val="TextBody"/>
        <w:bidi w:val="0"/>
        <w:spacing w:before="0" w:after="120"/>
        <w:jc w:val="both"/>
        <w:rPr>
          <w:rFonts w:ascii="Calibri" w:hAnsi="Calibri"/>
          <w:color w:val="060606"/>
          <w:sz w:val="22"/>
        </w:rPr>
      </w:pPr>
      <w:r>
        <w:rPr>
          <w:rFonts w:ascii="Calibri" w:hAnsi="Calibri"/>
          <w:color w:val="060606"/>
          <w:sz w:val="22"/>
        </w:rPr>
        <w:t>2.</w:t>
      </w:r>
    </w:p>
    <w:p>
      <w:pPr>
        <w:pStyle w:val="TextBody"/>
        <w:bidi w:val="0"/>
        <w:spacing w:before="0" w:after="120"/>
        <w:jc w:val="both"/>
        <w:rPr/>
      </w:pPr>
      <w:r>
        <w:rPr>
          <w:rFonts w:ascii="sans-serif" w:hAnsi="sans-serif"/>
          <w:color w:val="262626"/>
          <w:sz w:val="22"/>
          <w:u w:val="single"/>
        </w:rPr>
        <w:t>Assignment</w:t>
      </w:r>
      <w:r>
        <w:rPr>
          <w:rFonts w:ascii="sans-serif" w:hAnsi="sans-serif"/>
          <w:color w:val="262626"/>
          <w:sz w:val="22"/>
        </w:rPr>
        <w:t xml:space="preserve">. Pursuant to Section 12.9 of the Agreement, FibroGen HK, FibroGen China and Falikang each hereby [*] assign, transfer, convey and delegate all of their respective rights and obligations under the Agreement to FibroGen US, [*] (the “Assignment”). Fibrogen China hereby represents and warrants to ELUMINEX that, [*], it </w:t>
      </w:r>
      <w:r>
        <w:rPr>
          <w:rFonts w:ascii="sans-serif" w:hAnsi="sans-serif"/>
          <w:color w:val="000000"/>
          <w:sz w:val="22"/>
        </w:rPr>
        <w:t>no longer holds any assets being licensed under the Agreement</w:t>
      </w:r>
      <w:r>
        <w:rPr>
          <w:rFonts w:ascii="sans-serif" w:hAnsi="sans-serif"/>
          <w:color w:val="262626"/>
          <w:sz w:val="22"/>
        </w:rPr>
        <w:t xml:space="preserve">. FibroGen HK and Falikang each hereby represent and warrant to ELUMINEX that, [*], they do not hold, and have never held, any assets being licensed under the Agreement. In addition, [*], </w:t>
      </w:r>
      <w:r>
        <w:rPr>
          <w:rFonts w:ascii="sans-serif" w:hAnsi="sans-serif"/>
          <w:color w:val="000000"/>
          <w:sz w:val="22"/>
        </w:rPr>
        <w:t>FibroGen HK, FibroGen China and Falikang each</w:t>
      </w:r>
      <w:r>
        <w:rPr>
          <w:color w:val="000000"/>
        </w:rPr>
        <w:t xml:space="preserve"> </w:t>
      </w:r>
      <w:r>
        <w:rPr>
          <w:rFonts w:ascii="sans-serif" w:hAnsi="sans-serif"/>
          <w:color w:val="262626"/>
          <w:sz w:val="22"/>
        </w:rPr>
        <w:t xml:space="preserve">hereby represent and warrant to ELUMINEX, and ELUMINEX acknowledges, that </w:t>
      </w:r>
      <w:r>
        <w:rPr>
          <w:rFonts w:ascii="sans-serif" w:hAnsi="sans-serif"/>
          <w:color w:val="000000"/>
          <w:sz w:val="22"/>
        </w:rPr>
        <w:t>each of FibroGen HK, FibroGen China and Falikang</w:t>
      </w:r>
      <w:r>
        <w:rPr>
          <w:color w:val="000000"/>
        </w:rPr>
        <w:t xml:space="preserve"> </w:t>
      </w:r>
      <w:r>
        <w:rPr>
          <w:rFonts w:ascii="sans-serif" w:hAnsi="sans-serif"/>
          <w:color w:val="262626"/>
          <w:sz w:val="22"/>
        </w:rPr>
        <w:t>will no longer be an Affiliate of FibroGen US.</w:t>
      </w:r>
    </w:p>
    <w:p>
      <w:pPr>
        <w:pStyle w:val="TextBody"/>
        <w:bidi w:val="0"/>
        <w:spacing w:before="0" w:after="120"/>
        <w:jc w:val="both"/>
        <w:rPr>
          <w:rFonts w:ascii="Calibri" w:hAnsi="Calibri"/>
          <w:color w:val="060606"/>
          <w:sz w:val="22"/>
        </w:rPr>
      </w:pPr>
      <w:r>
        <w:rPr>
          <w:rFonts w:ascii="Calibri" w:hAnsi="Calibri"/>
          <w:color w:val="060606"/>
          <w:sz w:val="22"/>
        </w:rPr>
        <w:t>3.</w:t>
      </w:r>
    </w:p>
    <w:p>
      <w:pPr>
        <w:pStyle w:val="TextBody"/>
        <w:bidi w:val="0"/>
        <w:spacing w:before="0" w:after="120"/>
        <w:jc w:val="both"/>
        <w:rPr/>
      </w:pPr>
      <w:r>
        <w:rPr>
          <w:rFonts w:ascii="sans-serif" w:hAnsi="sans-serif"/>
          <w:color w:val="262626"/>
          <w:sz w:val="22"/>
          <w:u w:val="single"/>
        </w:rPr>
        <w:t>Assumption</w:t>
      </w:r>
      <w:r>
        <w:rPr>
          <w:rFonts w:ascii="sans-serif" w:hAnsi="sans-serif"/>
          <w:color w:val="262626"/>
          <w:sz w:val="22"/>
        </w:rPr>
        <w:t>. FibroGen US hereby accepts the Assignment, and assumes and agrees to observe and perform all of the rights and obligations of the Company Group, [*]. For the avoidance of doubt, the Company Group shall continue to be bound by, and the Assignment shall not diminish or otherwise impact, their obligations under Article 10 of the Agreement.</w:t>
      </w:r>
    </w:p>
    <w:p>
      <w:pPr>
        <w:pStyle w:val="TextBody"/>
        <w:bidi w:val="0"/>
        <w:spacing w:before="0" w:after="120"/>
        <w:jc w:val="both"/>
        <w:rPr>
          <w:rFonts w:ascii="Calibri" w:hAnsi="Calibri"/>
          <w:color w:val="060606"/>
          <w:sz w:val="22"/>
        </w:rPr>
      </w:pPr>
      <w:r>
        <w:rPr>
          <w:rFonts w:ascii="Calibri" w:hAnsi="Calibri"/>
          <w:color w:val="060606"/>
          <w:sz w:val="22"/>
        </w:rPr>
        <w:t>4.</w:t>
      </w:r>
    </w:p>
    <w:p>
      <w:pPr>
        <w:pStyle w:val="TextBody"/>
        <w:bidi w:val="0"/>
        <w:spacing w:before="0" w:after="120"/>
        <w:jc w:val="both"/>
        <w:rPr/>
      </w:pPr>
      <w:r>
        <w:rPr>
          <w:rFonts w:ascii="sans-serif" w:hAnsi="sans-serif"/>
          <w:color w:val="262626"/>
          <w:sz w:val="22"/>
          <w:u w:val="single"/>
        </w:rPr>
        <w:t>Acknowlegment and Cooperation</w:t>
      </w:r>
      <w:r>
        <w:rPr>
          <w:rFonts w:ascii="sans-serif" w:hAnsi="sans-serif"/>
          <w:color w:val="262626"/>
          <w:sz w:val="22"/>
        </w:rPr>
        <w:t>. ELUMINEX hereby acknowledges and consents to the Assignment. In addition, ELUMINEX acknowledges [*], ELUMINEX may elect to enter into a separate Asset Purchase Agreement to that effect, which will replace and supersede the Agreement, [*]. [*]. FibroGen US shall provide payment instructions (including necessary account information) with the issuance of any invoice by FibroGen US [*].</w:t>
      </w:r>
    </w:p>
    <w:p>
      <w:pPr>
        <w:pStyle w:val="TextBody"/>
        <w:bidi w:val="0"/>
        <w:spacing w:before="0" w:after="120"/>
        <w:jc w:val="both"/>
        <w:rPr>
          <w:rFonts w:ascii="Calibri" w:hAnsi="Calibri"/>
          <w:color w:val="060606"/>
          <w:sz w:val="22"/>
        </w:rPr>
      </w:pPr>
      <w:r>
        <w:rPr>
          <w:rFonts w:ascii="Calibri" w:hAnsi="Calibri"/>
          <w:color w:val="060606"/>
          <w:sz w:val="22"/>
        </w:rPr>
        <w:t>5.</w:t>
      </w:r>
    </w:p>
    <w:p>
      <w:pPr>
        <w:pStyle w:val="TextBody"/>
        <w:bidi w:val="0"/>
        <w:spacing w:before="0" w:after="120"/>
        <w:jc w:val="both"/>
        <w:rPr/>
      </w:pPr>
      <w:r>
        <w:rPr>
          <w:rFonts w:ascii="sans-serif" w:hAnsi="sans-serif"/>
          <w:color w:val="262626"/>
          <w:sz w:val="22"/>
          <w:u w:val="single"/>
        </w:rPr>
        <w:t>Cooperation</w:t>
      </w:r>
      <w:r>
        <w:rPr>
          <w:rFonts w:ascii="sans-serif" w:hAnsi="sans-serif"/>
          <w:color w:val="262626"/>
          <w:sz w:val="22"/>
        </w:rPr>
        <w:t>. FibroGen US acknowledges, understands and agrees that certain Taxes may be imposed by Governmental Authorities as a result of or otherwise in connection with the Assignment, [*].</w:t>
      </w:r>
    </w:p>
    <w:p>
      <w:pPr>
        <w:pStyle w:val="TextBody"/>
        <w:bidi w:val="0"/>
        <w:spacing w:before="0" w:after="120"/>
        <w:jc w:val="both"/>
        <w:rPr>
          <w:rFonts w:ascii="Calibri" w:hAnsi="Calibri"/>
          <w:color w:val="060606"/>
          <w:sz w:val="22"/>
        </w:rPr>
      </w:pPr>
      <w:r>
        <w:rPr>
          <w:rFonts w:ascii="Calibri" w:hAnsi="Calibri"/>
          <w:color w:val="060606"/>
          <w:sz w:val="22"/>
        </w:rPr>
        <w:t>6.</w:t>
      </w:r>
    </w:p>
    <w:p>
      <w:pPr>
        <w:pStyle w:val="TextBody"/>
        <w:bidi w:val="0"/>
        <w:spacing w:before="0" w:after="120"/>
        <w:jc w:val="both"/>
        <w:rPr/>
      </w:pPr>
      <w:r>
        <w:rPr>
          <w:rFonts w:ascii="sans-serif" w:hAnsi="sans-serif"/>
          <w:color w:val="262626"/>
          <w:sz w:val="22"/>
          <w:u w:val="single"/>
        </w:rPr>
        <w:t>Release</w:t>
      </w:r>
      <w:r>
        <w:rPr>
          <w:rFonts w:ascii="sans-serif" w:hAnsi="sans-serif"/>
          <w:color w:val="262626"/>
          <w:sz w:val="22"/>
        </w:rPr>
        <w:t>. FibroGen US hereby releases and forever relieves, relinquishes, releases, waives and discharges FibroGen China, along with the Company Group, and its/their past, present and future affiliates, members, directors, officers, shareholders, employees, representatives, agents, attorneys, successors and assigns from any and all past, present and future claims, debts, actions, causes of action, liabilities, demands, duties, obligations, promises, acts, agreements, costs, expenses (including, without limitation, attorneys’ fees, court costs and other litigation expenses) and damages (“Liabilities”) of whatsoever kind or nature, whether now known or unknown, pursuant to, based upon, resulting from, arising out of, or in connection with the Assignment; provided, however, that nothing herein affects any rights, liabilities, or obligations of FibroGen China due to be performed [*]. ELUMINEX acknowledges and agrees to release FibroGen China, along with the Company Group, for any Liabilities [*]. For clarity, nothing herein affects any liabilities or obligations of the Company Group to ELUMINEX (i) accrued [*] under the Agreement, (ii) under this Amendment 2, or (iii) [*].</w:t>
      </w:r>
    </w:p>
    <w:p>
      <w:pPr>
        <w:pStyle w:val="TextBody"/>
        <w:bidi w:val="0"/>
        <w:spacing w:before="0" w:after="120"/>
        <w:jc w:val="both"/>
        <w:rPr>
          <w:rFonts w:ascii="Calibri" w:hAnsi="Calibri"/>
          <w:color w:val="060606"/>
          <w:sz w:val="22"/>
        </w:rPr>
      </w:pPr>
      <w:r>
        <w:rPr>
          <w:rFonts w:ascii="Calibri" w:hAnsi="Calibri"/>
          <w:color w:val="060606"/>
          <w:sz w:val="22"/>
        </w:rPr>
        <w:t>7.</w:t>
      </w:r>
    </w:p>
    <w:p>
      <w:pPr>
        <w:pStyle w:val="TextBody"/>
        <w:bidi w:val="0"/>
        <w:spacing w:before="0" w:after="120"/>
        <w:jc w:val="both"/>
        <w:rPr/>
      </w:pPr>
      <w:r>
        <w:rPr>
          <w:rFonts w:ascii="sans-serif" w:hAnsi="sans-serif"/>
          <w:color w:val="262626"/>
          <w:sz w:val="22"/>
          <w:u w:val="single"/>
        </w:rPr>
        <w:t>References</w:t>
      </w:r>
      <w:r>
        <w:rPr>
          <w:rFonts w:ascii="sans-serif" w:hAnsi="sans-serif"/>
          <w:color w:val="262626"/>
          <w:sz w:val="22"/>
        </w:rPr>
        <w:t>. [*</w:t>
      </w:r>
      <w:r>
        <w:rPr>
          <w:rFonts w:ascii="sans-serif" w:hAnsi="sans-serif"/>
          <w:color w:val="000000"/>
          <w:sz w:val="22"/>
        </w:rPr>
        <w:t>], references to “FibroGen China” under the Agreement shall mean FibroGen US, and references to “this Agreement” under the Agreement shall mean the Agreement, as amended by this Amendment 2.</w:t>
      </w:r>
    </w:p>
    <w:p>
      <w:pPr>
        <w:pStyle w:val="TextBody"/>
        <w:bidi w:val="0"/>
        <w:spacing w:before="0" w:after="120"/>
        <w:jc w:val="both"/>
        <w:rPr>
          <w:rFonts w:ascii="Calibri" w:hAnsi="Calibri"/>
          <w:color w:val="060606"/>
          <w:sz w:val="22"/>
        </w:rPr>
      </w:pPr>
      <w:r>
        <w:rPr>
          <w:rFonts w:ascii="Calibri" w:hAnsi="Calibri"/>
          <w:color w:val="060606"/>
          <w:sz w:val="22"/>
        </w:rPr>
        <w:t>8.</w:t>
      </w:r>
    </w:p>
    <w:p>
      <w:pPr>
        <w:pStyle w:val="TextBody"/>
        <w:bidi w:val="0"/>
        <w:spacing w:before="0" w:after="120"/>
        <w:jc w:val="both"/>
        <w:rPr/>
      </w:pPr>
      <w:r>
        <w:rPr>
          <w:rFonts w:ascii="sans-serif" w:hAnsi="sans-serif"/>
          <w:color w:val="262626"/>
          <w:sz w:val="22"/>
          <w:u w:val="single"/>
        </w:rPr>
        <w:t>Sufficiency of Consideration</w:t>
      </w:r>
      <w:r>
        <w:rPr>
          <w:rFonts w:ascii="sans-serif" w:hAnsi="sans-serif"/>
          <w:color w:val="262626"/>
          <w:sz w:val="22"/>
        </w:rPr>
        <w:t xml:space="preserve">. The parties to this Amendment 2 jointly and severally represent, warrant and covenant that each has received full and sufficient consideration for all rights granted and obligations undertaken in this Amendment 2. Each party to this Amendment 2 hereby represents and warrants that the arrangement of the Assignment and the assumption of the rights and obligations </w:t>
      </w:r>
    </w:p>
    <w:p>
      <w:pPr>
        <w:pStyle w:val="TextBody"/>
        <w:bidi w:val="0"/>
        <w:jc w:val="center"/>
        <w:rPr>
          <w:rFonts w:ascii="Times New Roman" w:hAnsi="Times New Roman"/>
          <w:sz w:val="20"/>
        </w:rPr>
      </w:pPr>
      <w:r>
        <w:rPr>
          <w:rFonts w:ascii="sans-serif" w:hAnsi="sans-serif"/>
          <w:color w:val="000000"/>
          <w:sz w:val="18"/>
        </w:rPr>
        <w:t xml:space="preserve">Page </w:t>
      </w:r>
      <w:r>
        <w:rPr>
          <w:rFonts w:ascii="sans-serif" w:hAnsi="sans-serif"/>
          <w:b/>
          <w:color w:val="000000"/>
          <w:sz w:val="18"/>
        </w:rPr>
        <w:t>2</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20"/>
        <w:jc w:val="both"/>
        <w:rPr>
          <w:rFonts w:ascii="sans-serif" w:hAnsi="sans-serif"/>
          <w:color w:val="262626"/>
          <w:sz w:val="22"/>
        </w:rPr>
      </w:pPr>
      <w:r>
        <w:rPr>
          <w:rFonts w:ascii="sans-serif" w:hAnsi="sans-serif"/>
          <w:color w:val="262626"/>
          <w:sz w:val="22"/>
        </w:rPr>
        <w:t>under the Agreement, as amended by this Amendment 2, reflects its true intention and has been properly and sufficiently approved and authorized, and that its respective authorized representative has been properly authorized to execute this Amendment 2.</w:t>
      </w:r>
    </w:p>
    <w:p>
      <w:pPr>
        <w:pStyle w:val="TextBody"/>
        <w:bidi w:val="0"/>
        <w:spacing w:before="0" w:after="120"/>
        <w:jc w:val="both"/>
        <w:rPr>
          <w:rFonts w:ascii="Calibri" w:hAnsi="Calibri"/>
          <w:color w:val="060606"/>
          <w:sz w:val="22"/>
        </w:rPr>
      </w:pPr>
      <w:r>
        <w:rPr>
          <w:rFonts w:ascii="Calibri" w:hAnsi="Calibri"/>
          <w:color w:val="060606"/>
          <w:sz w:val="22"/>
        </w:rPr>
        <w:t>9.</w:t>
      </w:r>
    </w:p>
    <w:p>
      <w:pPr>
        <w:pStyle w:val="TextBody"/>
        <w:bidi w:val="0"/>
        <w:spacing w:before="0" w:after="120"/>
        <w:jc w:val="both"/>
        <w:rPr>
          <w:rFonts w:ascii="sans-serif" w:hAnsi="sans-serif"/>
          <w:color w:val="262626"/>
          <w:sz w:val="22"/>
        </w:rPr>
      </w:pPr>
      <w:r>
        <w:rPr>
          <w:rFonts w:ascii="sans-serif" w:hAnsi="sans-serif"/>
          <w:color w:val="262626"/>
          <w:sz w:val="22"/>
        </w:rPr>
        <w:t>This Amendment 2 forms an integral part of the Agreement. Except for the provisions expressly amended by this Amendment 2, all other provisions of the Agreement remain unchanged and continue to be in full force and effect. This Amendment 2 supplements and amends the Agreement, and the Agreement and this Amendment 2 shall henceforth be read together and shall have effect so far as practicable as though all the provisions thereof and hereof were contained in one instrument. The Agreement, as amended hereby, shall continue in full force and effect for the remainder of the term thereof in accordance with the terms thereof and hereof, provided that, [*], the Company Group will no longer be parties to the Agreement but will remain bound by Article 10 of the Agreement. The Agreement, as amended hereby, shall inure to the benefit of the Parties and their respective successors and permitted assigns. To the extent of any conflict between the provisions of this Amendment 2 and the Agreement, the provisions of this Amendment 2 shall prevail.</w:t>
      </w:r>
    </w:p>
    <w:p>
      <w:pPr>
        <w:pStyle w:val="TextBody"/>
        <w:bidi w:val="0"/>
        <w:spacing w:before="0" w:after="120"/>
        <w:jc w:val="both"/>
        <w:rPr>
          <w:rFonts w:ascii="Calibri" w:hAnsi="Calibri"/>
          <w:color w:val="060606"/>
          <w:sz w:val="22"/>
        </w:rPr>
      </w:pPr>
      <w:r>
        <w:rPr>
          <w:rFonts w:ascii="Calibri" w:hAnsi="Calibri"/>
          <w:color w:val="060606"/>
          <w:sz w:val="22"/>
        </w:rPr>
        <w:t>10.</w:t>
      </w:r>
    </w:p>
    <w:p>
      <w:pPr>
        <w:pStyle w:val="TextBody"/>
        <w:bidi w:val="0"/>
        <w:spacing w:before="0" w:after="120"/>
        <w:jc w:val="both"/>
        <w:rPr>
          <w:rFonts w:ascii="sans-serif" w:hAnsi="sans-serif"/>
          <w:color w:val="262626"/>
          <w:sz w:val="22"/>
        </w:rPr>
      </w:pPr>
      <w:r>
        <w:rPr>
          <w:rFonts w:ascii="sans-serif" w:hAnsi="sans-serif"/>
          <w:color w:val="262626"/>
          <w:sz w:val="22"/>
        </w:rPr>
        <w:t>This Amendment 2 may be executed in counterparts by a single party, each of which when taken together shall constitute one and the same instrument, and may be executed, including execution via electronic signatures, and delivered through the use of facsimiles or .pdf or other electronically transmitted documents.</w:t>
      </w:r>
    </w:p>
    <w:p>
      <w:pPr>
        <w:pStyle w:val="TextBody"/>
        <w:bidi w:val="0"/>
        <w:jc w:val="center"/>
        <w:rPr>
          <w:rFonts w:ascii="Times New Roman" w:hAnsi="Times New Roman"/>
          <w:sz w:val="20"/>
        </w:rPr>
      </w:pPr>
      <w:r>
        <w:rPr>
          <w:rFonts w:ascii="sans-serif" w:hAnsi="sans-serif"/>
          <w:color w:val="000000"/>
          <w:sz w:val="18"/>
        </w:rPr>
        <w:t xml:space="preserve">Page </w:t>
      </w:r>
      <w:r>
        <w:rPr>
          <w:rFonts w:ascii="sans-serif" w:hAnsi="sans-serif"/>
          <w:b/>
          <w:color w:val="000000"/>
          <w:sz w:val="18"/>
        </w:rPr>
        <w:t>3</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20" w:after="120"/>
        <w:jc w:val="both"/>
        <w:rPr>
          <w:rFonts w:ascii="sans-serif" w:hAnsi="sans-serif"/>
          <w:color w:val="262626"/>
          <w:sz w:val="22"/>
        </w:rPr>
      </w:pPr>
      <w:r>
        <w:rPr>
          <w:rFonts w:ascii="sans-serif" w:hAnsi="sans-serif"/>
          <w:color w:val="262626"/>
          <w:sz w:val="22"/>
        </w:rPr>
        <w:t>IN WITNESS WHEREOF, the parties hereto have executed this Amendment 2 through their respective duly authorized representatives.</w:t>
      </w:r>
    </w:p>
    <w:p>
      <w:pPr>
        <w:pStyle w:val="TextBody"/>
        <w:bidi w:val="0"/>
        <w:spacing w:before="0" w:after="120"/>
        <w:jc w:val="both"/>
        <w:rPr>
          <w:rFonts w:ascii="sans-serif" w:hAnsi="sans-serif"/>
          <w:b/>
          <w:color w:val="000000"/>
          <w:sz w:val="22"/>
        </w:rPr>
      </w:pPr>
      <w:r>
        <w:rPr>
          <w:rFonts w:ascii="sans-serif" w:hAnsi="sans-serif"/>
          <w:b/>
          <w:color w:val="000000"/>
          <w:sz w:val="22"/>
        </w:rPr>
        <w:t>FibroGen, Inc.</w:t>
      </w:r>
    </w:p>
    <w:tbl>
      <w:tblPr>
        <w:tblW w:w="3029" w:type="dxa"/>
        <w:jc w:val="left"/>
        <w:tblInd w:w="0" w:type="dxa"/>
        <w:tblLayout w:type="fixed"/>
        <w:tblCellMar>
          <w:top w:w="28" w:type="dxa"/>
          <w:left w:w="28" w:type="dxa"/>
          <w:bottom w:w="28" w:type="dxa"/>
          <w:right w:w="28" w:type="dxa"/>
        </w:tblCellMar>
      </w:tblPr>
      <w:tblGrid>
        <w:gridCol w:w="1621"/>
        <w:gridCol w:w="146"/>
        <w:gridCol w:w="466"/>
        <w:gridCol w:w="79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tcMar>
              <w:top w:w="0" w:type="dxa"/>
              <w:left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2025-Aug-04</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both"/>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120"/>
              <w:jc w:val="both"/>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/s/ [*]</w:t>
            </w:r>
          </w:p>
        </w:tc>
      </w:tr>
      <w:tr>
        <w:trPr/>
        <w:tc>
          <w:tcPr>
            <w:tcW w:w="1621" w:type="dxa"/>
            <w:tcBorders/>
            <w:tcMar>
              <w:top w:w="0" w:type="dxa"/>
              <w:left w:w="0" w:type="dxa"/>
              <w:bottom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Date</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466" w:type="dxa"/>
            <w:tcBorders/>
            <w:tcMar>
              <w:top w:w="0" w:type="dxa"/>
              <w:left w:w="0" w:type="dxa"/>
              <w:bottom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By:</w:t>
            </w:r>
          </w:p>
        </w:tc>
        <w:tc>
          <w:tcPr>
            <w:tcW w:w="796" w:type="dxa"/>
            <w:tcBorders/>
            <w:tcMar>
              <w:top w:w="0" w:type="dxa"/>
              <w:left w:w="0" w:type="dxa"/>
              <w:bottom w:w="0" w:type="dxa"/>
              <w:right w:w="0" w:type="dxa"/>
            </w:tcMar>
            <w:vAlign w:val="center"/>
          </w:tcPr>
          <w:p>
            <w:pPr>
              <w:pStyle w:val="TableContents"/>
              <w:bidi w:val="0"/>
              <w:jc w:val="both"/>
              <w:rPr>
                <w:rFonts w:ascii="Times New Roman" w:hAnsi="Times New Roman"/>
                <w:sz w:val="22"/>
              </w:rPr>
            </w:pPr>
            <w:r>
              <w:rPr>
                <w:rFonts w:ascii="sans-serif" w:hAnsi="sans-serif"/>
                <w:color w:val="000000"/>
                <w:sz w:val="22"/>
              </w:rPr>
              <w:t>[*]</w:t>
            </w:r>
            <w:r>
              <w:rPr>
                <w:rFonts w:ascii="Times New Roman" w:hAnsi="Times New Roman"/>
                <w:color w:val="000000"/>
                <w:sz w:val="22"/>
              </w:rPr>
              <w:t xml:space="preserve"> </w:t>
            </w:r>
          </w:p>
          <w:p>
            <w:pPr>
              <w:pStyle w:val="TableContents"/>
              <w:bidi w:val="0"/>
              <w:spacing w:before="0" w:after="283"/>
              <w:jc w:val="both"/>
              <w:rPr>
                <w:rFonts w:ascii="sans-serif" w:hAnsi="sans-serif"/>
                <w:color w:val="000000"/>
                <w:sz w:val="22"/>
              </w:rPr>
            </w:pPr>
            <w:r>
              <w:rPr>
                <w:rFonts w:ascii="sans-serif" w:hAnsi="sans-serif"/>
                <w:color w:val="000000"/>
                <w:sz w:val="22"/>
              </w:rPr>
              <w:t>[*]</w:t>
            </w:r>
          </w:p>
        </w:tc>
      </w:tr>
    </w:tbl>
    <w:p>
      <w:pPr>
        <w:pStyle w:val="TextBody"/>
        <w:bidi w:val="0"/>
        <w:jc w:val="both"/>
        <w:rPr>
          <w:rFonts w:ascii="sans-serif" w:hAnsi="sans-serif"/>
          <w:color w:val="000000"/>
          <w:sz w:val="22"/>
        </w:rPr>
      </w:pPr>
      <w:r>
        <w:rPr>
          <w:rFonts w:ascii="sans-serif" w:hAnsi="sans-serif"/>
          <w:color w:val="000000"/>
          <w:sz w:val="22"/>
        </w:rPr>
        <w:t>FibroGen C:00042590.4</w:t>
      </w:r>
    </w:p>
    <w:p>
      <w:pPr>
        <w:pStyle w:val="TextBody"/>
        <w:bidi w:val="0"/>
        <w:jc w:val="both"/>
        <w:rPr/>
      </w:pPr>
      <w:r>
        <w:rPr>
          <w:rFonts w:ascii="sans-serif" w:hAnsi="sans-serif"/>
          <w:b/>
          <w:color w:val="000000"/>
          <w:sz w:val="22"/>
        </w:rPr>
        <w:t xml:space="preserve">FibroGen (China) Medical Technology Development Co., Ltd. </w:t>
      </w:r>
      <w:r>
        <w:rPr>
          <w:rFonts w:eastAsia="Times New Roman"/>
          <w:b/>
          <w:color w:val="000000"/>
          <w:sz w:val="20"/>
        </w:rPr>
        <w:t>珐博进（中国）医药技术开发有限公司</w:t>
      </w:r>
    </w:p>
    <w:p>
      <w:pPr>
        <w:pStyle w:val="TextBody"/>
        <w:bidi w:val="0"/>
        <w:jc w:val="both"/>
        <w:rPr/>
      </w:pPr>
      <w:r>
        <w:rPr/>
        <w:t> </w:t>
      </w:r>
    </w:p>
    <w:p>
      <w:pPr>
        <w:pStyle w:val="TextBody"/>
        <w:bidi w:val="0"/>
        <w:jc w:val="both"/>
        <w:rPr/>
      </w:pPr>
      <w:r>
        <w:rPr/>
        <w:t> </w:t>
      </w:r>
    </w:p>
    <w:tbl>
      <w:tblPr>
        <w:tblW w:w="3404" w:type="dxa"/>
        <w:jc w:val="left"/>
        <w:tblInd w:w="0" w:type="dxa"/>
        <w:tblLayout w:type="fixed"/>
        <w:tblCellMar>
          <w:top w:w="28" w:type="dxa"/>
          <w:left w:w="28" w:type="dxa"/>
          <w:bottom w:w="28" w:type="dxa"/>
          <w:right w:w="28" w:type="dxa"/>
        </w:tblCellMar>
      </w:tblPr>
      <w:tblGrid>
        <w:gridCol w:w="1696"/>
        <w:gridCol w:w="146"/>
        <w:gridCol w:w="766"/>
        <w:gridCol w:w="79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Aug 13, 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both"/>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120"/>
              <w:jc w:val="both"/>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/s/ [*]</w:t>
            </w:r>
          </w:p>
        </w:tc>
      </w:tr>
      <w:tr>
        <w:trPr/>
        <w:tc>
          <w:tcPr>
            <w:tcW w:w="1696" w:type="dxa"/>
            <w:tcBorders/>
            <w:tcMar>
              <w:top w:w="0" w:type="dxa"/>
              <w:left w:w="0" w:type="dxa"/>
              <w:bottom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Date</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766" w:type="dxa"/>
            <w:tcBorders/>
            <w:tcMar>
              <w:top w:w="0" w:type="dxa"/>
              <w:left w:w="0" w:type="dxa"/>
              <w:bottom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Chop:</w:t>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t> </w:t>
      </w:r>
    </w:p>
    <w:p>
      <w:pPr>
        <w:pStyle w:val="TextBody"/>
        <w:bidi w:val="0"/>
        <w:jc w:val="both"/>
        <w:rPr>
          <w:rFonts w:ascii="sans-serif" w:hAnsi="sans-serif"/>
          <w:b/>
          <w:color w:val="000000"/>
          <w:sz w:val="22"/>
        </w:rPr>
      </w:pPr>
      <w:r>
        <w:rPr>
          <w:rFonts w:ascii="sans-serif" w:hAnsi="sans-serif"/>
          <w:b/>
          <w:color w:val="000000"/>
          <w:sz w:val="22"/>
        </w:rPr>
        <w:t>FibroGen International (Hong Kong) Limited</w:t>
      </w:r>
    </w:p>
    <w:p>
      <w:pPr>
        <w:pStyle w:val="TextBody"/>
        <w:bidi w:val="0"/>
        <w:jc w:val="both"/>
        <w:rPr/>
      </w:pPr>
      <w:r>
        <w:rPr/>
        <w:t> </w:t>
      </w:r>
    </w:p>
    <w:p>
      <w:pPr>
        <w:pStyle w:val="TextBody"/>
        <w:bidi w:val="0"/>
        <w:jc w:val="both"/>
        <w:rPr/>
      </w:pPr>
      <w:r>
        <w:rPr/>
        <w:t> </w:t>
      </w:r>
    </w:p>
    <w:tbl>
      <w:tblPr>
        <w:tblW w:w="3104" w:type="dxa"/>
        <w:jc w:val="left"/>
        <w:tblInd w:w="0" w:type="dxa"/>
        <w:tblLayout w:type="fixed"/>
        <w:tblCellMar>
          <w:top w:w="28" w:type="dxa"/>
          <w:left w:w="28" w:type="dxa"/>
          <w:bottom w:w="28" w:type="dxa"/>
          <w:right w:w="28" w:type="dxa"/>
        </w:tblCellMar>
      </w:tblPr>
      <w:tblGrid>
        <w:gridCol w:w="1696"/>
        <w:gridCol w:w="146"/>
        <w:gridCol w:w="466"/>
        <w:gridCol w:w="79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Aug 13, 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both"/>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120"/>
              <w:jc w:val="both"/>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/s/ [*]</w:t>
            </w:r>
          </w:p>
        </w:tc>
      </w:tr>
      <w:tr>
        <w:trPr/>
        <w:tc>
          <w:tcPr>
            <w:tcW w:w="1696" w:type="dxa"/>
            <w:tcBorders/>
            <w:tcMar>
              <w:top w:w="0" w:type="dxa"/>
              <w:left w:w="0" w:type="dxa"/>
              <w:bottom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Date</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466" w:type="dxa"/>
            <w:tcBorders/>
            <w:tcMar>
              <w:top w:w="0" w:type="dxa"/>
              <w:left w:w="0" w:type="dxa"/>
              <w:bottom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By:</w:t>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pPr>
      <w:r>
        <w:rPr>
          <w:rFonts w:ascii="sans-serif" w:hAnsi="sans-serif"/>
          <w:b/>
          <w:color w:val="000000"/>
          <w:sz w:val="22"/>
        </w:rPr>
        <w:t xml:space="preserve">Beijing Falikang Pharmaceutical Co., Ltd. </w:t>
      </w:r>
      <w:r>
        <w:rPr>
          <w:rFonts w:eastAsia="Times New Roman"/>
          <w:b/>
          <w:color w:val="000000"/>
          <w:sz w:val="22"/>
        </w:rPr>
        <w:t>北京珐利康医药有限公司</w:t>
      </w:r>
    </w:p>
    <w:p>
      <w:pPr>
        <w:pStyle w:val="TextBody"/>
        <w:bidi w:val="0"/>
        <w:jc w:val="both"/>
        <w:rPr/>
      </w:pPr>
      <w:r>
        <w:rPr/>
        <w:t> </w:t>
      </w:r>
    </w:p>
    <w:p>
      <w:pPr>
        <w:pStyle w:val="TextBody"/>
        <w:bidi w:val="0"/>
        <w:jc w:val="both"/>
        <w:rPr/>
      </w:pPr>
      <w:r>
        <w:rPr/>
        <w:t> </w:t>
      </w:r>
    </w:p>
    <w:tbl>
      <w:tblPr>
        <w:tblW w:w="3404" w:type="dxa"/>
        <w:jc w:val="left"/>
        <w:tblInd w:w="0" w:type="dxa"/>
        <w:tblLayout w:type="fixed"/>
        <w:tblCellMar>
          <w:top w:w="28" w:type="dxa"/>
          <w:left w:w="28" w:type="dxa"/>
          <w:bottom w:w="28" w:type="dxa"/>
          <w:right w:w="28" w:type="dxa"/>
        </w:tblCellMar>
      </w:tblPr>
      <w:tblGrid>
        <w:gridCol w:w="1696"/>
        <w:gridCol w:w="146"/>
        <w:gridCol w:w="766"/>
        <w:gridCol w:w="79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Aug 13, 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both"/>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120"/>
              <w:jc w:val="both"/>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/s/ [*]</w:t>
            </w:r>
          </w:p>
        </w:tc>
      </w:tr>
      <w:tr>
        <w:trPr/>
        <w:tc>
          <w:tcPr>
            <w:tcW w:w="1696" w:type="dxa"/>
            <w:tcBorders/>
            <w:tcMar>
              <w:top w:w="0" w:type="dxa"/>
              <w:left w:w="0" w:type="dxa"/>
              <w:bottom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Date</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766" w:type="dxa"/>
            <w:tcBorders/>
            <w:tcMar>
              <w:top w:w="0" w:type="dxa"/>
              <w:left w:w="0" w:type="dxa"/>
              <w:bottom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Chop:</w:t>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Fonts w:ascii="sans-serif" w:hAnsi="sans-serif"/>
          <w:b/>
          <w:color w:val="000000"/>
          <w:sz w:val="22"/>
        </w:rPr>
        <w:t>Eluminex BioSciences (Suzhou) Limited</w:t>
      </w:r>
      <w:r>
        <w:rPr>
          <w:rFonts w:eastAsia="Times New Roman"/>
          <w:b/>
          <w:color w:val="000000"/>
          <w:sz w:val="22"/>
        </w:rPr>
        <w:t>典晶生物医药科技（苏州）有限公司</w:t>
      </w:r>
      <w:r>
        <w:rPr>
          <w:rFonts w:ascii="Times New Roman" w:hAnsi="Times New Roman"/>
          <w:b/>
          <w:color w:val="000000"/>
          <w:sz w:val="22"/>
        </w:rPr>
        <w:br/>
      </w:r>
      <w:r>
        <w:rPr>
          <w:rFonts w:ascii="Times New Roman" w:hAnsi="Times New Roman"/>
          <w:color w:val="000000"/>
          <w:sz w:val="20"/>
        </w:rPr>
        <w:t> </w:t>
      </w:r>
    </w:p>
    <w:tbl>
      <w:tblPr>
        <w:tblW w:w="2954" w:type="dxa"/>
        <w:jc w:val="left"/>
        <w:tblInd w:w="0" w:type="dxa"/>
        <w:tblLayout w:type="fixed"/>
        <w:tblCellMar>
          <w:top w:w="28" w:type="dxa"/>
          <w:left w:w="28" w:type="dxa"/>
          <w:bottom w:w="28" w:type="dxa"/>
          <w:right w:w="28" w:type="dxa"/>
        </w:tblCellMar>
      </w:tblPr>
      <w:tblGrid>
        <w:gridCol w:w="1546"/>
        <w:gridCol w:w="146"/>
        <w:gridCol w:w="466"/>
        <w:gridCol w:w="79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Aug 7, 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both"/>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120"/>
              <w:jc w:val="both"/>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/s/ [*]</w:t>
            </w:r>
          </w:p>
        </w:tc>
      </w:tr>
      <w:tr>
        <w:trPr/>
        <w:tc>
          <w:tcPr>
            <w:tcW w:w="1546" w:type="dxa"/>
            <w:tcBorders/>
            <w:tcMar>
              <w:top w:w="0" w:type="dxa"/>
              <w:left w:w="0" w:type="dxa"/>
              <w:bottom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Date</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466" w:type="dxa"/>
            <w:tcBorders/>
            <w:tcMar>
              <w:top w:w="0" w:type="dxa"/>
              <w:left w:w="0" w:type="dxa"/>
              <w:bottom w:w="0" w:type="dxa"/>
              <w:right w:w="0" w:type="dxa"/>
            </w:tcMar>
            <w:vAlign w:val="center"/>
          </w:tcPr>
          <w:p>
            <w:pPr>
              <w:pStyle w:val="TableContents"/>
              <w:bidi w:val="0"/>
              <w:spacing w:before="0" w:after="120"/>
              <w:jc w:val="both"/>
              <w:rPr>
                <w:rFonts w:ascii="sans-serif" w:hAnsi="sans-serif"/>
                <w:color w:val="000000"/>
                <w:sz w:val="22"/>
              </w:rPr>
            </w:pPr>
            <w:r>
              <w:rPr>
                <w:rFonts w:ascii="sans-serif" w:hAnsi="sans-serif"/>
                <w:color w:val="000000"/>
                <w:sz w:val="22"/>
              </w:rPr>
              <w:t>By:</w:t>
            </w:r>
          </w:p>
        </w:tc>
        <w:tc>
          <w:tcPr>
            <w:tcW w:w="796" w:type="dxa"/>
            <w:tcBorders/>
            <w:tcMar>
              <w:top w:w="0" w:type="dxa"/>
              <w:left w:w="0" w:type="dxa"/>
              <w:bottom w:w="0" w:type="dxa"/>
              <w:right w:w="0" w:type="dxa"/>
            </w:tcMar>
            <w:vAlign w:val="center"/>
          </w:tcPr>
          <w:p>
            <w:pPr>
              <w:pStyle w:val="TableContents"/>
              <w:bidi w:val="0"/>
              <w:jc w:val="both"/>
              <w:rPr>
                <w:rFonts w:ascii="sans-serif" w:hAnsi="sans-serif"/>
                <w:color w:val="000000"/>
                <w:sz w:val="22"/>
              </w:rPr>
            </w:pPr>
            <w:r>
              <w:rPr>
                <w:rFonts w:ascii="sans-serif" w:hAnsi="sans-serif"/>
                <w:color w:val="000000"/>
                <w:sz w:val="22"/>
              </w:rPr>
              <w:t>[*]</w:t>
            </w:r>
          </w:p>
          <w:p>
            <w:pPr>
              <w:pStyle w:val="TableContents"/>
              <w:bidi w:val="0"/>
              <w:spacing w:before="0" w:after="283"/>
              <w:jc w:val="both"/>
              <w:rPr>
                <w:rFonts w:ascii="sans-serif" w:hAnsi="sans-serif"/>
                <w:color w:val="000000"/>
                <w:sz w:val="22"/>
              </w:rPr>
            </w:pPr>
            <w:r>
              <w:rPr>
                <w:rFonts w:ascii="sans-serif" w:hAnsi="sans-serif"/>
                <w:color w:val="000000"/>
                <w:sz w:val="22"/>
              </w:rPr>
              <w:t>[*]</w:t>
            </w:r>
          </w:p>
        </w:tc>
      </w:tr>
    </w:tbl>
    <w:p>
      <w:pPr>
        <w:pStyle w:val="TextBody"/>
        <w:bidi w:val="0"/>
        <w:jc w:val="left"/>
        <w:rPr/>
      </w:pPr>
      <w:r>
        <w:rPr/>
        <w:t> </w:t>
      </w:r>
    </w:p>
    <w:p>
      <w:pPr>
        <w:pStyle w:val="TextBody"/>
        <w:bidi w:val="0"/>
        <w:jc w:val="center"/>
        <w:rPr>
          <w:rFonts w:ascii="Times New Roman" w:hAnsi="Times New Roman"/>
          <w:sz w:val="20"/>
        </w:rPr>
      </w:pPr>
      <w:r>
        <w:rPr>
          <w:rFonts w:ascii="sans-serif" w:hAnsi="sans-serif"/>
          <w:color w:val="000000"/>
          <w:sz w:val="18"/>
        </w:rPr>
        <w:t xml:space="preserve">Page </w:t>
      </w:r>
      <w:r>
        <w:rPr>
          <w:rFonts w:ascii="sans-serif" w:hAnsi="sans-serif"/>
          <w:b/>
          <w:color w:val="000000"/>
          <w:sz w:val="18"/>
        </w:rPr>
        <w:t>4</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bookmarkStart w:id="25" w:name="fgen-ex10_2.htm"/>
      <w:bookmarkStart w:id="26" w:name="ksfgenex10_2"/>
      <w:bookmarkEnd w:id="25"/>
      <w:bookmarkEnd w:id="26"/>
      <w:r>
        <w:rPr>
          <w:rFonts w:ascii="Times New Roman" w:hAnsi="Times New Roman"/>
          <w:b/>
          <w:i/>
          <w:color w:val="000000"/>
          <w:sz w:val="24"/>
        </w:rPr>
        <w:t>Execution Version</w:t>
      </w:r>
      <w:r>
        <w:br w:type="page"/>
      </w:r>
    </w:p>
    <w:p>
      <w:pPr>
        <w:pStyle w:val="TextBody"/>
        <w:bidi w:val="0"/>
        <w:spacing w:before="0" w:after="480"/>
        <w:jc w:val="both"/>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it is both (i) not material and (ii) would likely cause competitive harm to the company if publicly disclosed.</w:t>
      </w:r>
    </w:p>
    <w:p>
      <w:pPr>
        <w:pStyle w:val="TextBody"/>
        <w:bidi w:val="0"/>
        <w:jc w:val="right"/>
        <w:rPr>
          <w:rFonts w:ascii="Times New Roman" w:hAnsi="Times New Roman"/>
          <w:b/>
          <w:color w:val="000000"/>
          <w:sz w:val="22"/>
        </w:rPr>
      </w:pPr>
      <w:r>
        <w:rPr>
          <w:rFonts w:ascii="Times New Roman" w:hAnsi="Times New Roman"/>
          <w:b/>
          <w:color w:val="000000"/>
          <w:sz w:val="22"/>
        </w:rPr>
        <w:t>Exhibit 10.2</w:t>
      </w:r>
    </w:p>
    <w:p>
      <w:pPr>
        <w:pStyle w:val="TextBody"/>
        <w:bidi w:val="0"/>
        <w:jc w:val="right"/>
        <w:rPr/>
      </w:pPr>
      <w:r>
        <w:rPr/>
        <w:t> </w:t>
      </w:r>
    </w:p>
    <w:p>
      <w:pPr>
        <w:pStyle w:val="TextBody"/>
        <w:bidi w:val="0"/>
        <w:spacing w:before="720" w:after="480"/>
        <w:jc w:val="center"/>
        <w:rPr>
          <w:rFonts w:ascii="Times New Roman" w:hAnsi="Times New Roman"/>
          <w:b/>
          <w:color w:val="000000"/>
          <w:sz w:val="24"/>
        </w:rPr>
      </w:pPr>
      <w:r>
        <w:rPr>
          <w:rFonts w:ascii="Times New Roman" w:hAnsi="Times New Roman"/>
          <w:b/>
          <w:color w:val="000000"/>
          <w:sz w:val="24"/>
        </w:rPr>
        <w:t>TERMINATION AGREEMENT</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by and between</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FIBROGEN, INC.</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720"/>
        <w:jc w:val="center"/>
        <w:rPr>
          <w:rFonts w:ascii="Times New Roman" w:hAnsi="Times New Roman"/>
          <w:b/>
          <w:color w:val="000000"/>
          <w:sz w:val="24"/>
        </w:rPr>
      </w:pPr>
      <w:r>
        <w:rPr>
          <w:rFonts w:ascii="Times New Roman" w:hAnsi="Times New Roman"/>
          <w:b/>
          <w:color w:val="000000"/>
          <w:sz w:val="24"/>
        </w:rPr>
        <w:t>ASTRAZENECA AB</w:t>
      </w:r>
    </w:p>
    <w:p>
      <w:pPr>
        <w:pStyle w:val="TextBody"/>
        <w:bidi w:val="0"/>
        <w:jc w:val="center"/>
        <w:rPr>
          <w:rFonts w:ascii="Times New Roman" w:hAnsi="Times New Roman"/>
          <w:b/>
          <w:color w:val="000000"/>
          <w:sz w:val="24"/>
        </w:rPr>
      </w:pPr>
      <w:r>
        <w:rPr>
          <w:rFonts w:ascii="Times New Roman" w:hAnsi="Times New Roman"/>
          <w:b/>
          <w:color w:val="000000"/>
          <w:sz w:val="24"/>
        </w:rPr>
        <w:t xml:space="preserve">Dated as of February 25, 2024, </w:t>
        <w:br/>
        <w:t>as amended and restated on August 29, 2025</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1353"/>
        <w:gridCol w:w="8400"/>
        <w:gridCol w:w="452"/>
      </w:tblGrid>
      <w:tr>
        <w:trPr/>
        <w:tc>
          <w:tcPr>
            <w:tcW w:w="1353" w:type="dxa"/>
            <w:tcBorders/>
            <w:vAlign w:val="center"/>
          </w:tcPr>
          <w:p>
            <w:pPr>
              <w:pStyle w:val="TableContents"/>
              <w:bidi w:val="0"/>
              <w:spacing w:before="0" w:after="283"/>
              <w:jc w:val="left"/>
              <w:rPr>
                <w:sz w:val="4"/>
                <w:szCs w:val="4"/>
              </w:rPr>
            </w:pPr>
            <w:r>
              <w:rPr>
                <w:sz w:val="4"/>
                <w:szCs w:val="4"/>
              </w:rPr>
            </w:r>
          </w:p>
        </w:tc>
        <w:tc>
          <w:tcPr>
            <w:tcW w:w="840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ARTICLE 1</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DEFINITIONS</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2</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ARTICLE 2</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TERMINATION OF AGREEMENTS</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6</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ARTICLE 3</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TRANSITION ACTIVITIES, TRANSFER OF ASSETS AND ONGOING RESPONSIBILITIES</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9</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ARTICLE 4</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REVERSION RIGHTS</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13</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ARTICLE 5</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PROSECUTION, MAINTENANCE AND ENFORCEMENT OF PATENTS</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13</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ARTICLE 6</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FINANCIAL TERMS; SETTLEMENT AND RELEASE; COVENANT NOT TO SUE</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13</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ARTICLE 7</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INDEMNITY</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21</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ARTICLE 8</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CONFIDENTIALITY</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23</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ARTICLE 9</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REPRESENTATIONS AND WARRANTIES</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23</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ARTICLE 10</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MISCELLANEOUS</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24</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Exhibit 1</w:t>
            </w:r>
            <w:r>
              <w:rPr>
                <w:rFonts w:ascii="Times New Roman" w:hAnsi="Times New Roman"/>
                <w:color w:val="000000"/>
                <w:sz w:val="22"/>
              </w:rPr>
              <w:t xml:space="preserve"> </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27</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Exhibit 2</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31</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Exhibit 3</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0</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Exhibit 4</w:t>
            </w:r>
            <w:r>
              <w:rPr>
                <w:rFonts w:ascii="Times New Roman" w:hAnsi="Times New Roman"/>
                <w:color w:val="000000"/>
                <w:sz w:val="22"/>
              </w:rPr>
              <w:t xml:space="preserve"> </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0</w:t>
            </w:r>
          </w:p>
        </w:tc>
      </w:tr>
      <w:tr>
        <w:trPr/>
        <w:tc>
          <w:tcPr>
            <w:tcW w:w="135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000000"/>
                <w:sz w:val="22"/>
              </w:rPr>
              <w:t>Exhibit 5</w:t>
            </w:r>
            <w:r>
              <w:rPr>
                <w:rFonts w:ascii="Times New Roman" w:hAnsi="Times New Roman"/>
                <w:color w:val="000000"/>
                <w:sz w:val="22"/>
              </w:rPr>
              <w:t xml:space="preserve"> </w:t>
            </w:r>
          </w:p>
        </w:tc>
        <w:tc>
          <w:tcPr>
            <w:tcW w:w="8400"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t>
            </w:r>
          </w:p>
        </w:tc>
        <w:tc>
          <w:tcPr>
            <w:tcW w:w="45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0</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TERMINATION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Termination Agreement (this “</w:t>
      </w:r>
      <w:r>
        <w:rPr>
          <w:rFonts w:ascii="Times New Roman" w:hAnsi="Times New Roman"/>
          <w:b/>
          <w:color w:val="000000"/>
          <w:sz w:val="24"/>
        </w:rPr>
        <w:t>Termination Agreement</w:t>
      </w:r>
      <w:r>
        <w:rPr>
          <w:rFonts w:ascii="Times New Roman" w:hAnsi="Times New Roman"/>
          <w:color w:val="000000"/>
          <w:sz w:val="20"/>
        </w:rPr>
        <w:t>”</w:t>
      </w:r>
      <w:r>
        <w:rPr>
          <w:rFonts w:ascii="Times New Roman" w:hAnsi="Times New Roman"/>
          <w:color w:val="000000"/>
          <w:sz w:val="24"/>
        </w:rPr>
        <w:t>) is made and effective as of February 25, 2024, as amended and restated on</w:t>
      </w:r>
      <w:r>
        <w:rPr>
          <w:rFonts w:ascii="Times New Roman" w:hAnsi="Times New Roman"/>
          <w:color w:val="000000"/>
          <w:sz w:val="20"/>
        </w:rPr>
        <w:t xml:space="preserve"> </w:t>
      </w:r>
      <w:r>
        <w:rPr>
          <w:rFonts w:ascii="Times New Roman" w:hAnsi="Times New Roman"/>
          <w:b/>
          <w:color w:val="000000"/>
          <w:sz w:val="24"/>
        </w:rPr>
        <w:t xml:space="preserve">August 29, 2025 </w:t>
      </w:r>
      <w:r>
        <w:rPr>
          <w:rFonts w:ascii="Times New Roman" w:hAnsi="Times New Roman"/>
          <w:color w:val="000000"/>
          <w:sz w:val="24"/>
        </w:rPr>
        <w:t>(the “</w:t>
      </w:r>
      <w:r>
        <w:rPr>
          <w:rFonts w:ascii="Times New Roman" w:hAnsi="Times New Roman"/>
          <w:b/>
          <w:color w:val="000000"/>
          <w:sz w:val="24"/>
        </w:rPr>
        <w:t>A&amp;R Termination Agreement Effective Date</w:t>
      </w:r>
      <w:r>
        <w:rPr>
          <w:rFonts w:ascii="Times New Roman" w:hAnsi="Times New Roman"/>
          <w:color w:val="000000"/>
          <w:sz w:val="20"/>
        </w:rPr>
        <w:t>”</w:t>
      </w:r>
      <w:r>
        <w:rPr>
          <w:rFonts w:ascii="Times New Roman" w:hAnsi="Times New Roman"/>
          <w:color w:val="000000"/>
          <w:sz w:val="24"/>
        </w:rPr>
        <w:t>) by and between AstraZeneca AB, a company incorporated in Sweden under no. 556011-7482 with offices at Pepparedsleden 1, SE-431 83 Mölndal, Sweden (“</w:t>
      </w:r>
      <w:r>
        <w:rPr>
          <w:rFonts w:ascii="Times New Roman" w:hAnsi="Times New Roman"/>
          <w:b/>
          <w:color w:val="000000"/>
          <w:sz w:val="24"/>
        </w:rPr>
        <w:t>AstraZeneca</w:t>
      </w:r>
      <w:r>
        <w:rPr>
          <w:rFonts w:ascii="Times New Roman" w:hAnsi="Times New Roman"/>
          <w:color w:val="000000"/>
          <w:sz w:val="20"/>
        </w:rPr>
        <w:t>”</w:t>
      </w:r>
      <w:r>
        <w:rPr>
          <w:rFonts w:ascii="Times New Roman" w:hAnsi="Times New Roman"/>
          <w:color w:val="000000"/>
          <w:sz w:val="24"/>
        </w:rPr>
        <w:t>); and FibroGen, Inc., a Delaware corporation having its principal place of business at 350 Bay St., Suite 100 #6009, San Francisco, California 94133, United States (“</w:t>
      </w:r>
      <w:r>
        <w:rPr>
          <w:rFonts w:ascii="Times New Roman" w:hAnsi="Times New Roman"/>
          <w:b/>
          <w:color w:val="000000"/>
          <w:sz w:val="24"/>
        </w:rPr>
        <w:t>FibroGen</w:t>
      </w:r>
      <w:r>
        <w:rPr>
          <w:rFonts w:ascii="Times New Roman" w:hAnsi="Times New Roman"/>
          <w:color w:val="000000"/>
          <w:sz w:val="20"/>
        </w:rPr>
        <w:t>”</w:t>
      </w:r>
      <w:r>
        <w:rPr>
          <w:rFonts w:ascii="Times New Roman" w:hAnsi="Times New Roman"/>
          <w:color w:val="000000"/>
          <w:sz w:val="24"/>
        </w:rPr>
        <w:t>) (each of AstraZeneca and FibroGen, a “</w:t>
      </w:r>
      <w:r>
        <w:rPr>
          <w:rFonts w:ascii="Times New Roman" w:hAnsi="Times New Roman"/>
          <w:b/>
          <w:color w:val="000000"/>
          <w:sz w:val="24"/>
        </w:rPr>
        <w:t>Party</w:t>
      </w:r>
      <w:r>
        <w:rPr>
          <w:rFonts w:ascii="Times New Roman" w:hAnsi="Times New Roman"/>
          <w:color w:val="000000"/>
          <w:sz w:val="20"/>
        </w:rPr>
        <w:t>”</w:t>
      </w:r>
      <w:r>
        <w:rPr>
          <w:rFonts w:ascii="Times New Roman" w:hAnsi="Times New Roman"/>
          <w:color w:val="000000"/>
          <w:sz w:val="24"/>
        </w:rPr>
        <w:t>, and collectively, the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AstraZeneca and FibroGen are parties to that certain Amended and Restated License, Development and Commercialization Agreement, entered into as of October 16, 2014 and effective as of July 30, 2013, and amended as of July 1, 2020, under which FibroGen granted AstraZeneca certain rights in respect of the development and commercialization of roxadustat in the Territory (as defined therein) (the “</w:t>
      </w:r>
      <w:r>
        <w:rPr>
          <w:rFonts w:ascii="Times New Roman" w:hAnsi="Times New Roman"/>
          <w:b/>
          <w:color w:val="000000"/>
          <w:sz w:val="24"/>
        </w:rPr>
        <w:t>Collaboration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as contemplated in the Collaboration Agreement, AstraZeneca UK Limited and FibroGen are parties to a master supply agreement entered into as of September 10, 2020, under which FibroGen agreed to supply Product (as defined therein) to AstraZeneca UK Limited for AstraZeneca’s (and its Affiliates) use in commercialization on the terms set forth therein (the “</w:t>
      </w:r>
      <w:r>
        <w:rPr>
          <w:rFonts w:ascii="Times New Roman" w:hAnsi="Times New Roman"/>
          <w:b/>
          <w:color w:val="000000"/>
          <w:sz w:val="24"/>
        </w:rPr>
        <w:t>Supply Agreement</w:t>
      </w:r>
      <w:r>
        <w:rPr>
          <w:rFonts w:ascii="Times New Roman" w:hAnsi="Times New Roman"/>
          <w:color w:val="000000"/>
          <w:sz w:val="20"/>
        </w:rPr>
        <w:t>”</w:t>
      </w:r>
      <w:r>
        <w:rPr>
          <w:rFonts w:ascii="Times New Roman" w:hAnsi="Times New Roman"/>
          <w:color w:val="000000"/>
          <w:sz w:val="24"/>
        </w:rPr>
        <w:t>), and as contemplated in and pursuant to the requirements set out in the Collaboration Agreement and the Supply Agreement, AstraZeneca UK Limited and FibroGen entered into a quality assurance agreement effective as of September 9, 2022, setting out the responsibilities of the parties with respect to quality assurance, document retention, notification obligations, audit and inspection rights, and similar matters with respect to the manufacture of Product and Finished Product (the “</w:t>
      </w:r>
      <w:r>
        <w:rPr>
          <w:rFonts w:ascii="Times New Roman" w:hAnsi="Times New Roman"/>
          <w:b/>
          <w:color w:val="000000"/>
          <w:sz w:val="24"/>
        </w:rPr>
        <w:t>Quality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with respect to the collaboration between the Parties and their Affiliates in China, the development and commercialization activities are governed by, among other agreements, that certain Second Amended and Restated License, Development and Commercialization Agreement (China) by and between FibroGen China Anemia Holdings, Ltd. (“</w:t>
      </w:r>
      <w:r>
        <w:rPr>
          <w:rFonts w:ascii="Times New Roman" w:hAnsi="Times New Roman"/>
          <w:b/>
          <w:color w:val="000000"/>
          <w:sz w:val="24"/>
        </w:rPr>
        <w:t>Cayman II</w:t>
      </w:r>
      <w:r>
        <w:rPr>
          <w:rFonts w:ascii="Times New Roman" w:hAnsi="Times New Roman"/>
          <w:color w:val="000000"/>
          <w:sz w:val="20"/>
        </w:rPr>
        <w:t>”</w:t>
      </w:r>
      <w:r>
        <w:rPr>
          <w:rFonts w:ascii="Times New Roman" w:hAnsi="Times New Roman"/>
          <w:color w:val="000000"/>
          <w:sz w:val="24"/>
        </w:rPr>
        <w:t>), FibroGen (China) Medical Technology Development Co., Ltd., and FibroGen International (Hong Kong) Limited (“</w:t>
      </w:r>
      <w:r>
        <w:rPr>
          <w:rFonts w:ascii="Times New Roman" w:hAnsi="Times New Roman"/>
          <w:b/>
          <w:color w:val="000000"/>
          <w:sz w:val="24"/>
        </w:rPr>
        <w:t>FibroGen HK</w:t>
      </w:r>
      <w:r>
        <w:rPr>
          <w:rFonts w:ascii="Times New Roman" w:hAnsi="Times New Roman"/>
          <w:color w:val="000000"/>
          <w:sz w:val="20"/>
        </w:rPr>
        <w:t>”</w:t>
      </w:r>
      <w:r>
        <w:rPr>
          <w:rFonts w:ascii="Times New Roman" w:hAnsi="Times New Roman"/>
          <w:color w:val="000000"/>
          <w:sz w:val="24"/>
        </w:rPr>
        <w:t>) (each Affiliates of FibroGen), and AstraZeneca, amended and restated with effect on July 1, 2020 (the “</w:t>
      </w:r>
      <w:r>
        <w:rPr>
          <w:rFonts w:ascii="Times New Roman" w:hAnsi="Times New Roman"/>
          <w:b/>
          <w:color w:val="000000"/>
          <w:sz w:val="24"/>
        </w:rPr>
        <w:t>China Agreement</w:t>
      </w:r>
      <w:r>
        <w:rPr>
          <w:rFonts w:ascii="Times New Roman" w:hAnsi="Times New Roman"/>
          <w:color w:val="000000"/>
          <w:sz w:val="20"/>
        </w:rPr>
        <w:t>”</w:t>
      </w:r>
      <w:r>
        <w:rPr>
          <w:rFonts w:ascii="Times New Roman" w:hAnsi="Times New Roman"/>
          <w:color w:val="000000"/>
          <w:sz w:val="24"/>
        </w:rPr>
        <w:t>), save that certain aspects of the governance structure for China are set out in the Collaboration Agreement;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FibroGen has developed certain small molecule prolyl hydroxylase inhibitors that modulate hypoxia-inducible factor for the treatment of anemia in collaboration with Astellas Pharma Inc. (“</w:t>
      </w:r>
      <w:r>
        <w:rPr>
          <w:rFonts w:ascii="Times New Roman" w:hAnsi="Times New Roman"/>
          <w:b/>
          <w:color w:val="000000"/>
          <w:sz w:val="24"/>
        </w:rPr>
        <w:t>Astellas</w:t>
      </w:r>
      <w:r>
        <w:rPr>
          <w:rFonts w:ascii="Times New Roman" w:hAnsi="Times New Roman"/>
          <w:color w:val="000000"/>
          <w:sz w:val="20"/>
        </w:rPr>
        <w:t>”</w:t>
      </w:r>
      <w:r>
        <w:rPr>
          <w:rFonts w:ascii="Times New Roman" w:hAnsi="Times New Roman"/>
          <w:color w:val="000000"/>
          <w:sz w:val="24"/>
        </w:rPr>
        <w:t>), its exclusive licensee for Japan, Europe, the Commonwealth of Independent States (CIS), the Middle East and South Africa pursuant to the Astellas Agreements (as defined in the Collaboration Agreement) (collectively, the “</w:t>
      </w:r>
      <w:r>
        <w:rPr>
          <w:rFonts w:ascii="Times New Roman" w:hAnsi="Times New Roman"/>
          <w:b/>
          <w:color w:val="000000"/>
          <w:sz w:val="24"/>
        </w:rPr>
        <w:t>Astellas Collaboration</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FibroGen and FibroGen (China) Medical Technology Development Co., Ltd., AstraZeneca and Astellas entered into a Tripartite Pharmacovigilance Agreement effective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13 November 2020 (the “</w:t>
      </w:r>
      <w:r>
        <w:rPr>
          <w:rFonts w:ascii="Times New Roman" w:hAnsi="Times New Roman"/>
          <w:b/>
          <w:color w:val="000000"/>
          <w:sz w:val="24"/>
        </w:rPr>
        <w:t>PV Agreement</w:t>
      </w:r>
      <w:r>
        <w:rPr>
          <w:rFonts w:ascii="Times New Roman" w:hAnsi="Times New Roman"/>
          <w:color w:val="000000"/>
          <w:sz w:val="20"/>
        </w:rPr>
        <w:t>”</w:t>
      </w:r>
      <w:r>
        <w:rPr>
          <w:rFonts w:ascii="Times New Roman" w:hAnsi="Times New Roman"/>
          <w:color w:val="000000"/>
          <w:sz w:val="24"/>
        </w:rPr>
        <w:t>) to govern the responsibilities of each of the parties thereto in respect of pharmacovigilance activities for the Product globally, both in respect of clinical development and post-marketing PV activities.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have mutually agreed to terminate the Collaboration Agreement with respect to all countries in the Territory (except for South Korea), with corresponding termination of the Agreements (as defined below) as contemplated therein, in each case on the terms and conditions set forth herein and to establish certain terms and conditions governing the Parties’ respective rights and obligations [*] (the “</w:t>
      </w:r>
      <w:r>
        <w:rPr>
          <w:rFonts w:ascii="Times New Roman" w:hAnsi="Times New Roman"/>
          <w:b/>
          <w:color w:val="000000"/>
          <w:sz w:val="24"/>
        </w:rPr>
        <w:t>Original Termination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certain Affiliates of the Parties have entered into a Share Purchase Agreement dated February 20, 2025 pursuant to which Cayman II has agreed to sell to AstraZeneca Treasury Limited (an Affiliate of AstraZeneca), and AstraZeneca Treasury Limited has agreed to purchase, the entire issued share capital of FibroGen Hong Kong (“</w:t>
      </w:r>
      <w:r>
        <w:rPr>
          <w:rFonts w:ascii="Times New Roman" w:hAnsi="Times New Roman"/>
          <w:b/>
          <w:color w:val="000000"/>
          <w:sz w:val="24"/>
        </w:rPr>
        <w:t>SPA</w:t>
      </w:r>
      <w:r>
        <w:rPr>
          <w:rFonts w:ascii="Times New Roman" w:hAnsi="Times New Roman"/>
          <w:color w:val="000000"/>
          <w:sz w:val="20"/>
        </w:rPr>
        <w:t>”</w:t>
      </w:r>
      <w:r>
        <w:rPr>
          <w:rFonts w:ascii="Times New Roman" w:hAnsi="Times New Roman"/>
          <w:color w:val="000000"/>
          <w:sz w:val="24"/>
        </w:rPr>
        <w:t>). Subject to the occurrence of the A&amp;R Termination Agreement Effective Date (as defined below), the collaboration between the Parties under and pursuant to the China Agreement will terminate and the Parties now desire to amend and restate the Original Termination Agreement effective as of the A&amp;R Termination Agreement Effective Date on the terms and subject to the conditions of this A&amp;R Termination Agreement.</w:t>
      </w:r>
    </w:p>
    <w:p>
      <w:pPr>
        <w:pStyle w:val="TextBody"/>
        <w:bidi w:val="0"/>
        <w:spacing w:before="0" w:after="240"/>
        <w:jc w:val="both"/>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Agreement</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covenants contained in this Termination Agreement, and other good and valuable consideration, the receipt and sufficiency of which are hereby acknowledged, the Parties, intending to be legally bound, agree as follows: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specifically provided herein, (a) subject to clause (b), capitalized terms have the meanings ascribed thereto in the Collaboration Agreement and (b) the following terms, when used with a capital letter at the beginning, have the following meanings: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color w:val="000000"/>
        </w:rPr>
        <w:t>“</w:t>
      </w:r>
      <w:r>
        <w:rPr>
          <w:rFonts w:ascii="Times New Roman" w:hAnsi="Times New Roman"/>
          <w:b/>
          <w:color w:val="000000"/>
          <w:sz w:val="24"/>
        </w:rPr>
        <w:t>A&amp;R Termination Agreement Effective Date</w:t>
      </w:r>
      <w:r>
        <w:rPr>
          <w:color w:val="000000"/>
        </w:rPr>
        <w:t xml:space="preserve">” </w:t>
      </w:r>
      <w:r>
        <w:rPr>
          <w:rFonts w:ascii="Times New Roman" w:hAnsi="Times New Roman"/>
          <w:color w:val="000000"/>
          <w:sz w:val="24"/>
        </w:rPr>
        <w:t>means the date on which Closing, as defined in the SPA, occurs.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color w:val="000000"/>
        </w:rPr>
        <w:t>“</w:t>
      </w:r>
      <w:r>
        <w:rPr>
          <w:rFonts w:ascii="Times New Roman" w:hAnsi="Times New Roman"/>
          <w:b/>
          <w:color w:val="000000"/>
          <w:sz w:val="24"/>
        </w:rPr>
        <w:t>Accountants</w:t>
      </w:r>
      <w:r>
        <w:rPr>
          <w:color w:val="000000"/>
        </w:rPr>
        <w:t xml:space="preserve">” </w:t>
      </w:r>
      <w:r>
        <w:rPr>
          <w:rFonts w:ascii="Times New Roman" w:hAnsi="Times New Roman"/>
          <w:color w:val="000000"/>
          <w:sz w:val="24"/>
        </w:rPr>
        <w:t xml:space="preserve">means an accounting or valuation firm of national reputation in the United States (excluding each of FibroGen’s and its Affiliates’ and AstraZeneca’s and its Affiliates’ respective regular outside accounting or valuation firms or auditors) that is mutually acceptable to FibroGen and AstraZeneca; </w:t>
      </w:r>
      <w:r>
        <w:rPr>
          <w:rFonts w:ascii="Times New Roman" w:hAnsi="Times New Roman"/>
          <w:i/>
          <w:color w:val="000000"/>
          <w:sz w:val="24"/>
        </w:rPr>
        <w:t>provided</w:t>
      </w:r>
      <w:r>
        <w:rPr>
          <w:rFonts w:ascii="Times New Roman" w:hAnsi="Times New Roman"/>
          <w:color w:val="000000"/>
          <w:sz w:val="24"/>
        </w:rPr>
        <w:t>,</w:t>
      </w:r>
      <w:r>
        <w:rPr>
          <w:color w:val="000000"/>
        </w:rPr>
        <w:t xml:space="preserve"> </w:t>
      </w:r>
      <w:r>
        <w:rPr>
          <w:rFonts w:ascii="Times New Roman" w:hAnsi="Times New Roman"/>
          <w:i/>
          <w:color w:val="000000"/>
          <w:sz w:val="24"/>
        </w:rPr>
        <w:t>however</w:t>
      </w:r>
      <w:r>
        <w:rPr>
          <w:rFonts w:ascii="Times New Roman" w:hAnsi="Times New Roman"/>
          <w:color w:val="000000"/>
          <w:sz w:val="24"/>
        </w:rPr>
        <w:t>, if FibroGen and AstraZeneca are unable to agree on such accounting or valuation firm [*] or any such mutually selected accounting or valuation firm is unwilling or unable to serve, then AstraZeneca shall deliver to FibroGen [*] of national reputation in the United States that have not performed services for FibroGen or its Affiliates or AstraZeneca or its Affiliates in [*], and FibroGen shall select [*] accounting or valuation firms.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color w:val="000000"/>
        </w:rPr>
        <w:t>“</w:t>
      </w:r>
      <w:r>
        <w:rPr>
          <w:rFonts w:ascii="Times New Roman" w:hAnsi="Times New Roman"/>
          <w:b/>
          <w:color w:val="000000"/>
          <w:sz w:val="24"/>
        </w:rPr>
        <w:t>Agreements</w:t>
      </w:r>
      <w:r>
        <w:rPr>
          <w:color w:val="000000"/>
        </w:rPr>
        <w:t xml:space="preserve">” </w:t>
      </w:r>
      <w:r>
        <w:rPr>
          <w:rFonts w:ascii="Times New Roman" w:hAnsi="Times New Roman"/>
          <w:color w:val="000000"/>
          <w:sz w:val="24"/>
        </w:rPr>
        <w:t>means collectively the Collaboration Agreement, the Supply Agreement and the Quality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color w:val="000000"/>
        </w:rPr>
        <w:t>“</w:t>
      </w:r>
      <w:r>
        <w:rPr>
          <w:rFonts w:ascii="Times New Roman" w:hAnsi="Times New Roman"/>
          <w:b/>
          <w:color w:val="000000"/>
          <w:sz w:val="24"/>
        </w:rPr>
        <w:t>Allocated Value</w:t>
      </w:r>
      <w:r>
        <w:rPr>
          <w:color w:val="000000"/>
        </w:rPr>
        <w:t xml:space="preserve">” </w:t>
      </w:r>
      <w:r>
        <w:rPr>
          <w:rFonts w:ascii="Times New Roman" w:hAnsi="Times New Roman"/>
          <w:color w:val="000000"/>
          <w:sz w:val="24"/>
        </w:rPr>
        <w:t>has the meaning given in Section 7.4.2.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color w:val="000000"/>
        </w:rPr>
        <w:t>“</w:t>
      </w:r>
      <w:r>
        <w:rPr>
          <w:rFonts w:ascii="Times New Roman" w:hAnsi="Times New Roman"/>
          <w:b/>
          <w:color w:val="000000"/>
          <w:sz w:val="24"/>
        </w:rPr>
        <w:t>Applicable Regulatory Approvals</w:t>
      </w:r>
      <w:r>
        <w:rPr>
          <w:color w:val="000000"/>
        </w:rPr>
        <w:t xml:space="preserve">” </w:t>
      </w:r>
      <w:r>
        <w:rPr>
          <w:rFonts w:ascii="Times New Roman" w:hAnsi="Times New Roman"/>
          <w:color w:val="000000"/>
          <w:sz w:val="24"/>
        </w:rPr>
        <w:t>means the Held Regulatory Approvals, the Withdrawn/Rejected Regulatory Approvals and the Regulatory Approvals Under Review. For clarity, Applicable Regulatory Approvals does not include the Retained Regulatory Approval.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color w:val="000000"/>
        </w:rPr>
        <w:t>“</w:t>
      </w:r>
      <w:r>
        <w:rPr>
          <w:rFonts w:ascii="Times New Roman" w:hAnsi="Times New Roman"/>
          <w:b/>
          <w:color w:val="000000"/>
          <w:sz w:val="24"/>
        </w:rPr>
        <w:t>Assigned Marks</w:t>
      </w:r>
      <w:r>
        <w:rPr>
          <w:color w:val="000000"/>
        </w:rPr>
        <w:t xml:space="preserve">” </w:t>
      </w:r>
      <w:r>
        <w:rPr>
          <w:rFonts w:ascii="Times New Roman" w:hAnsi="Times New Roman"/>
          <w:color w:val="000000"/>
          <w:sz w:val="24"/>
        </w:rPr>
        <w:t>has meaning set forth in Section 4.2.3.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color w:val="000000"/>
        </w:rPr>
        <w:t>“</w:t>
      </w:r>
      <w:r>
        <w:rPr>
          <w:rFonts w:ascii="Times New Roman" w:hAnsi="Times New Roman"/>
          <w:b/>
          <w:color w:val="000000"/>
          <w:sz w:val="24"/>
        </w:rPr>
        <w:t>Astellas Business Sale Revenue</w:t>
      </w:r>
      <w:r>
        <w:rPr>
          <w:color w:val="000000"/>
        </w:rPr>
        <w:t xml:space="preserve">” </w:t>
      </w:r>
      <w:r>
        <w:rPr>
          <w:rFonts w:ascii="Times New Roman" w:hAnsi="Times New Roman"/>
          <w:color w:val="000000"/>
          <w:sz w:val="24"/>
        </w:rPr>
        <w:t>has the meaning set forth in Section 7.2.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color w:val="000000"/>
        </w:rPr>
        <w:t>“</w:t>
      </w:r>
      <w:r>
        <w:rPr>
          <w:rFonts w:ascii="Times New Roman" w:hAnsi="Times New Roman"/>
          <w:b/>
          <w:color w:val="000000"/>
          <w:sz w:val="24"/>
        </w:rPr>
        <w:t>Astellas Revenues</w:t>
      </w:r>
      <w:r>
        <w:rPr>
          <w:color w:val="000000"/>
        </w:rPr>
        <w:t xml:space="preserve">” </w:t>
      </w:r>
      <w:r>
        <w:rPr>
          <w:rFonts w:ascii="Times New Roman" w:hAnsi="Times New Roman"/>
          <w:color w:val="000000"/>
          <w:sz w:val="24"/>
        </w:rPr>
        <w:t>has meaning set forth in Section 7.2.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color w:val="000000"/>
        </w:rPr>
        <w:t>“</w:t>
      </w:r>
      <w:r>
        <w:rPr>
          <w:rFonts w:ascii="Times New Roman" w:hAnsi="Times New Roman"/>
          <w:b/>
          <w:color w:val="000000"/>
          <w:sz w:val="24"/>
        </w:rPr>
        <w:t>AstraZeneca</w:t>
      </w:r>
      <w:r>
        <w:rPr>
          <w:color w:val="000000"/>
        </w:rPr>
        <w:t xml:space="preserve">” </w:t>
      </w:r>
      <w:r>
        <w:rPr>
          <w:rFonts w:ascii="Times New Roman" w:hAnsi="Times New Roman"/>
          <w:color w:val="000000"/>
          <w:sz w:val="24"/>
        </w:rPr>
        <w:t>has the meaning set forth in the preamble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w:t>
      </w:r>
    </w:p>
    <w:p>
      <w:pPr>
        <w:pStyle w:val="TextBody"/>
        <w:bidi w:val="0"/>
        <w:spacing w:before="0" w:after="240"/>
        <w:jc w:val="both"/>
        <w:rPr/>
      </w:pPr>
      <w:r>
        <w:rPr>
          <w:color w:val="000000"/>
        </w:rPr>
        <w:t>“</w:t>
      </w:r>
      <w:r>
        <w:rPr>
          <w:rFonts w:ascii="Times New Roman" w:hAnsi="Times New Roman"/>
          <w:b/>
          <w:color w:val="000000"/>
          <w:sz w:val="24"/>
        </w:rPr>
        <w:t>AstraZeneca Product</w:t>
      </w:r>
      <w:r>
        <w:rPr>
          <w:color w:val="000000"/>
        </w:rPr>
        <w:t xml:space="preserve"> </w:t>
      </w:r>
      <w:r>
        <w:rPr>
          <w:rFonts w:ascii="Times New Roman" w:hAnsi="Times New Roman"/>
          <w:b/>
          <w:color w:val="000000"/>
          <w:sz w:val="24"/>
        </w:rPr>
        <w:t>Payment Amount</w:t>
      </w:r>
      <w:r>
        <w:rPr>
          <w:color w:val="000000"/>
        </w:rPr>
        <w:t xml:space="preserve">” </w:t>
      </w:r>
      <w:r>
        <w:rPr>
          <w:rFonts w:ascii="Times New Roman" w:hAnsi="Times New Roman"/>
          <w:color w:val="000000"/>
          <w:sz w:val="24"/>
        </w:rPr>
        <w:t>has the meaning set forth in Section 7.7.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0" w:after="240"/>
        <w:jc w:val="both"/>
        <w:rPr/>
      </w:pPr>
      <w:r>
        <w:rPr>
          <w:color w:val="000000"/>
        </w:rPr>
        <w:t>“</w:t>
      </w:r>
      <w:r>
        <w:rPr>
          <w:rFonts w:ascii="Times New Roman" w:hAnsi="Times New Roman"/>
          <w:b/>
          <w:color w:val="000000"/>
          <w:sz w:val="24"/>
        </w:rPr>
        <w:t>AstraZeneca Indemnitees</w:t>
      </w:r>
      <w:r>
        <w:rPr>
          <w:color w:val="000000"/>
        </w:rPr>
        <w:t xml:space="preserve">” </w:t>
      </w:r>
      <w:r>
        <w:rPr>
          <w:rFonts w:ascii="Times New Roman" w:hAnsi="Times New Roman"/>
          <w:color w:val="000000"/>
          <w:sz w:val="24"/>
        </w:rPr>
        <w:t>has the meaning set forth in Section 8.1.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0" w:after="240"/>
        <w:jc w:val="both"/>
        <w:rPr/>
      </w:pPr>
      <w:r>
        <w:rPr>
          <w:color w:val="000000"/>
        </w:rPr>
        <w:t>“</w:t>
      </w:r>
      <w:r>
        <w:rPr>
          <w:rFonts w:ascii="Times New Roman" w:hAnsi="Times New Roman"/>
          <w:b/>
          <w:color w:val="000000"/>
          <w:sz w:val="24"/>
        </w:rPr>
        <w:t>AstraZeneca’s Knowledge</w:t>
      </w:r>
      <w:r>
        <w:rPr>
          <w:color w:val="00000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w:t>
      </w:r>
    </w:p>
    <w:p>
      <w:pPr>
        <w:pStyle w:val="TextBody"/>
        <w:bidi w:val="0"/>
        <w:spacing w:before="0" w:after="240"/>
        <w:jc w:val="both"/>
        <w:rPr/>
      </w:pPr>
      <w:r>
        <w:rPr>
          <w:color w:val="000000"/>
        </w:rPr>
        <w:t>“</w:t>
      </w:r>
      <w:r>
        <w:rPr>
          <w:rFonts w:ascii="Times New Roman" w:hAnsi="Times New Roman"/>
          <w:b/>
          <w:color w:val="000000"/>
          <w:sz w:val="24"/>
        </w:rPr>
        <w:t>Change of Control</w:t>
      </w:r>
      <w:r>
        <w:rPr>
          <w:color w:val="00000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0" w:after="240"/>
        <w:jc w:val="both"/>
        <w:rPr/>
      </w:pPr>
      <w:r>
        <w:rPr>
          <w:color w:val="000000"/>
        </w:rPr>
        <w:t>“</w:t>
      </w:r>
      <w:r>
        <w:rPr>
          <w:rFonts w:ascii="Times New Roman" w:hAnsi="Times New Roman"/>
          <w:b/>
          <w:color w:val="000000"/>
          <w:sz w:val="24"/>
        </w:rPr>
        <w:t>Claims</w:t>
      </w:r>
      <w:r>
        <w:rPr>
          <w:color w:val="000000"/>
        </w:rPr>
        <w:t xml:space="preserve">” </w:t>
      </w:r>
      <w:r>
        <w:rPr>
          <w:rFonts w:ascii="Times New Roman" w:hAnsi="Times New Roman"/>
          <w:color w:val="000000"/>
          <w:sz w:val="24"/>
        </w:rPr>
        <w:t>has the meaning set forth in Section 7.10.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w:t>
      </w:r>
    </w:p>
    <w:p>
      <w:pPr>
        <w:pStyle w:val="TextBody"/>
        <w:bidi w:val="0"/>
        <w:spacing w:before="0" w:after="240"/>
        <w:jc w:val="both"/>
        <w:rPr/>
      </w:pPr>
      <w:r>
        <w:rPr>
          <w:color w:val="000000"/>
        </w:rPr>
        <w:t>“</w:t>
      </w:r>
      <w:r>
        <w:rPr>
          <w:rFonts w:ascii="Times New Roman" w:hAnsi="Times New Roman"/>
          <w:b/>
          <w:color w:val="000000"/>
          <w:sz w:val="24"/>
        </w:rPr>
        <w:t>Collaboration Agreement</w:t>
      </w:r>
      <w:r>
        <w:rPr>
          <w:color w:val="000000"/>
        </w:rPr>
        <w:t xml:space="preserve">” </w:t>
      </w:r>
      <w:r>
        <w:rPr>
          <w:rFonts w:ascii="Times New Roman" w:hAnsi="Times New Roman"/>
          <w:color w:val="000000"/>
          <w:sz w:val="24"/>
        </w:rPr>
        <w:t>has the meaning set forth in the preamble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w:t>
      </w:r>
    </w:p>
    <w:p>
      <w:pPr>
        <w:pStyle w:val="TextBody"/>
        <w:bidi w:val="0"/>
        <w:spacing w:before="0" w:after="240"/>
        <w:jc w:val="both"/>
        <w:rPr/>
      </w:pPr>
      <w:r>
        <w:rPr>
          <w:color w:val="000000"/>
        </w:rPr>
        <w:t>“</w:t>
      </w:r>
      <w:r>
        <w:rPr>
          <w:rFonts w:ascii="Times New Roman" w:hAnsi="Times New Roman"/>
          <w:b/>
          <w:color w:val="000000"/>
          <w:sz w:val="24"/>
        </w:rPr>
        <w:t>Expenses</w:t>
      </w:r>
      <w:r>
        <w:rPr>
          <w:color w:val="000000"/>
        </w:rPr>
        <w:t xml:space="preserve">” </w:t>
      </w:r>
      <w:r>
        <w:rPr>
          <w:rFonts w:ascii="Times New Roman" w:hAnsi="Times New Roman"/>
          <w:color w:val="000000"/>
          <w:sz w:val="24"/>
        </w:rPr>
        <w:t>means any and all actual and documented out-of-pocket or Third Party costs and expenses incurred by AstraZeneca or its Affiliates in the performance of the transition services set out in Sections 4.1.1 and 4.1.2.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w:t>
      </w:r>
    </w:p>
    <w:p>
      <w:pPr>
        <w:pStyle w:val="TextBody"/>
        <w:bidi w:val="0"/>
        <w:spacing w:before="0" w:after="240"/>
        <w:jc w:val="both"/>
        <w:rPr/>
      </w:pPr>
      <w:r>
        <w:rPr>
          <w:color w:val="000000"/>
        </w:rPr>
        <w:t>“</w:t>
      </w:r>
      <w:r>
        <w:rPr>
          <w:rFonts w:ascii="Times New Roman" w:hAnsi="Times New Roman"/>
          <w:b/>
          <w:color w:val="000000"/>
          <w:sz w:val="24"/>
        </w:rPr>
        <w:t>Expert Notice</w:t>
      </w:r>
      <w:r>
        <w:rPr>
          <w:color w:val="000000"/>
        </w:rPr>
        <w:t xml:space="preserve">” </w:t>
      </w:r>
      <w:r>
        <w:rPr>
          <w:rFonts w:ascii="Times New Roman" w:hAnsi="Times New Roman"/>
          <w:color w:val="000000"/>
          <w:sz w:val="24"/>
        </w:rPr>
        <w:t>has the meaning given in Section 7.4.3.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w:t>
      </w:r>
    </w:p>
    <w:p>
      <w:pPr>
        <w:pStyle w:val="TextBody"/>
        <w:bidi w:val="0"/>
        <w:spacing w:before="0" w:after="240"/>
        <w:jc w:val="both"/>
        <w:rPr/>
      </w:pPr>
      <w:r>
        <w:rPr>
          <w:color w:val="000000"/>
        </w:rPr>
        <w:t>“</w:t>
      </w:r>
      <w:r>
        <w:rPr>
          <w:rFonts w:ascii="Times New Roman" w:hAnsi="Times New Roman"/>
          <w:b/>
          <w:color w:val="000000"/>
          <w:sz w:val="24"/>
        </w:rPr>
        <w:t>FibroGen</w:t>
      </w:r>
      <w:r>
        <w:rPr>
          <w:color w:val="000000"/>
        </w:rPr>
        <w:t xml:space="preserve">” </w:t>
      </w:r>
      <w:r>
        <w:rPr>
          <w:rFonts w:ascii="Times New Roman" w:hAnsi="Times New Roman"/>
          <w:color w:val="000000"/>
          <w:sz w:val="24"/>
        </w:rPr>
        <w:t>has the meaning set forth in the preamble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w:t>
      </w:r>
    </w:p>
    <w:p>
      <w:pPr>
        <w:pStyle w:val="TextBody"/>
        <w:bidi w:val="0"/>
        <w:spacing w:before="0" w:after="240"/>
        <w:jc w:val="both"/>
        <w:rPr/>
      </w:pPr>
      <w:r>
        <w:rPr>
          <w:color w:val="000000"/>
        </w:rPr>
        <w:t>“</w:t>
      </w:r>
      <w:r>
        <w:rPr>
          <w:rFonts w:ascii="Times New Roman" w:hAnsi="Times New Roman"/>
          <w:b/>
          <w:color w:val="000000"/>
          <w:sz w:val="24"/>
        </w:rPr>
        <w:t>FTE Rate</w:t>
      </w:r>
      <w:r>
        <w:rPr>
          <w:color w:val="000000"/>
        </w:rPr>
        <w:t xml:space="preserve">” </w:t>
      </w:r>
      <w:r>
        <w:rPr>
          <w:rFonts w:ascii="Times New Roman" w:hAnsi="Times New Roman"/>
          <w:color w:val="000000"/>
          <w:sz w:val="24"/>
        </w:rPr>
        <w:t xml:space="preserve">means, [*], which is the blended hourly fully burdened rate for AstraZeneca’s employees and agents conducting the transition services. The FTE Rate will be adjusted [*] to reflect the percentage increase or decrease (as the case may be) from the preceding year in the average consumer price, calculated as the average of (i) the annual percentage change of US CPI-U and (ii) the average of the annual percentage changes of HICP for the 5 major EU countries (UK, France, Germany, Italy, and Spain) for such annual period, except as otherwise mutually agreed by the Parties. The FTE Rate includes, without limitation, the following general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rFonts w:ascii="Times New Roman" w:hAnsi="Times New Roman"/>
          <w:color w:val="000000"/>
          <w:sz w:val="24"/>
        </w:rPr>
        <w:t>expense categories: salaries and wages (including bonuses, moving expenses, and payroll taxes), benefits provided (including health benefits, defined contribution, defined benefit plans, vacations, etc.), direct employee costs (including recruitment costs, internal and external training costs, computer charges, automobile leases, subscriptions and reference materials, telephone, fax, cellular phone, and copy machines and related costs), and allocation of other overhead costs (including rent, insurance, and utilities).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w:t>
      </w:r>
    </w:p>
    <w:p>
      <w:pPr>
        <w:pStyle w:val="TextBody"/>
        <w:bidi w:val="0"/>
        <w:spacing w:before="0" w:after="240"/>
        <w:jc w:val="both"/>
        <w:rPr/>
      </w:pPr>
      <w:r>
        <w:rPr>
          <w:color w:val="000000"/>
        </w:rPr>
        <w:t>“</w:t>
      </w:r>
      <w:r>
        <w:rPr>
          <w:rFonts w:ascii="Times New Roman" w:hAnsi="Times New Roman"/>
          <w:b/>
          <w:color w:val="000000"/>
          <w:sz w:val="24"/>
        </w:rPr>
        <w:t>Held Regulatory Approvals</w:t>
      </w:r>
      <w:r>
        <w:rPr>
          <w:color w:val="000000"/>
        </w:rPr>
        <w:t xml:space="preserve">” </w:t>
      </w:r>
      <w:r>
        <w:rPr>
          <w:rFonts w:ascii="Times New Roman" w:hAnsi="Times New Roman"/>
          <w:color w:val="000000"/>
          <w:sz w:val="24"/>
        </w:rPr>
        <w:t>means the Regulatory Approvals for the following countries of the Territory, which have been obtained by and are held by AstraZeneca or its Affiliates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w:t>
      </w:r>
    </w:p>
    <w:p>
      <w:pPr>
        <w:pStyle w:val="TextBody"/>
        <w:bidi w:val="0"/>
        <w:spacing w:before="0" w:after="240"/>
        <w:jc w:val="both"/>
        <w:rPr/>
      </w:pPr>
      <w:r>
        <w:rPr>
          <w:color w:val="000000"/>
        </w:rPr>
        <w:t>“</w:t>
      </w:r>
      <w:r>
        <w:rPr>
          <w:rFonts w:ascii="Times New Roman" w:hAnsi="Times New Roman"/>
          <w:b/>
          <w:color w:val="000000"/>
          <w:sz w:val="24"/>
        </w:rPr>
        <w:t>Manufacturing Services</w:t>
      </w:r>
      <w:r>
        <w:rPr>
          <w:color w:val="000000"/>
        </w:rPr>
        <w:t xml:space="preserve">” </w:t>
      </w:r>
      <w:r>
        <w:rPr>
          <w:rFonts w:ascii="Times New Roman" w:hAnsi="Times New Roman"/>
          <w:color w:val="000000"/>
          <w:sz w:val="24"/>
        </w:rPr>
        <w:t>has the meaning ascribed thereto in the Supply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w:t>
      </w:r>
    </w:p>
    <w:p>
      <w:pPr>
        <w:pStyle w:val="TextBody"/>
        <w:bidi w:val="0"/>
        <w:spacing w:before="0" w:after="240"/>
        <w:jc w:val="both"/>
        <w:rPr/>
      </w:pPr>
      <w:r>
        <w:rPr>
          <w:color w:val="000000"/>
        </w:rPr>
        <w:t>“</w:t>
      </w:r>
      <w:r>
        <w:rPr>
          <w:rFonts w:ascii="Times New Roman" w:hAnsi="Times New Roman"/>
          <w:b/>
          <w:color w:val="000000"/>
          <w:sz w:val="24"/>
        </w:rPr>
        <w:t>Partnering Revenues</w:t>
      </w:r>
      <w:r>
        <w:rPr>
          <w:color w:val="000000"/>
        </w:rPr>
        <w:t xml:space="preserve">” </w:t>
      </w:r>
      <w:r>
        <w:rPr>
          <w:rFonts w:ascii="Times New Roman" w:hAnsi="Times New Roman"/>
          <w:color w:val="000000"/>
          <w:sz w:val="24"/>
        </w:rPr>
        <w:t>has the meaning set forth in Section 7.3.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1.25</w:t>
      </w:r>
    </w:p>
    <w:p>
      <w:pPr>
        <w:pStyle w:val="TextBody"/>
        <w:bidi w:val="0"/>
        <w:spacing w:before="0" w:after="240"/>
        <w:jc w:val="both"/>
        <w:rPr/>
      </w:pPr>
      <w:r>
        <w:rPr>
          <w:color w:val="000000"/>
        </w:rPr>
        <w:t>“</w:t>
      </w:r>
      <w:r>
        <w:rPr>
          <w:rFonts w:ascii="Times New Roman" w:hAnsi="Times New Roman"/>
          <w:b/>
          <w:color w:val="000000"/>
          <w:sz w:val="24"/>
        </w:rPr>
        <w:t>Party</w:t>
      </w:r>
      <w:r>
        <w:rPr>
          <w:color w:val="000000"/>
        </w:rPr>
        <w:t xml:space="preserve">” </w:t>
      </w:r>
      <w:r>
        <w:rPr>
          <w:rFonts w:ascii="Times New Roman" w:hAnsi="Times New Roman"/>
          <w:color w:val="000000"/>
          <w:sz w:val="24"/>
        </w:rPr>
        <w:t>and “</w:t>
      </w:r>
      <w:r>
        <w:rPr>
          <w:rFonts w:ascii="Times New Roman" w:hAnsi="Times New Roman"/>
          <w:b/>
          <w:color w:val="000000"/>
          <w:sz w:val="24"/>
        </w:rPr>
        <w:t>Parties</w:t>
      </w:r>
      <w:r>
        <w:rPr>
          <w:color w:val="000000"/>
        </w:rPr>
        <w:t xml:space="preserve">” </w:t>
      </w:r>
      <w:r>
        <w:rPr>
          <w:rFonts w:ascii="Times New Roman" w:hAnsi="Times New Roman"/>
          <w:color w:val="000000"/>
          <w:sz w:val="24"/>
        </w:rPr>
        <w:t xml:space="preserve">each has the meaning set forth in the preamble hereto.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w:t>
      </w:r>
    </w:p>
    <w:p>
      <w:pPr>
        <w:pStyle w:val="TextBody"/>
        <w:bidi w:val="0"/>
        <w:spacing w:before="0" w:after="240"/>
        <w:jc w:val="both"/>
        <w:rPr/>
      </w:pPr>
      <w:r>
        <w:rPr>
          <w:color w:val="000000"/>
        </w:rPr>
        <w:t>“</w:t>
      </w:r>
      <w:r>
        <w:rPr>
          <w:rFonts w:ascii="Times New Roman" w:hAnsi="Times New Roman"/>
          <w:b/>
          <w:color w:val="000000"/>
          <w:sz w:val="24"/>
        </w:rPr>
        <w:t>Purchase Orders</w:t>
      </w:r>
      <w:r>
        <w:rPr>
          <w:color w:val="000000"/>
        </w:rPr>
        <w:t xml:space="preserve">” </w:t>
      </w:r>
      <w:r>
        <w:rPr>
          <w:rFonts w:ascii="Times New Roman" w:hAnsi="Times New Roman"/>
          <w:color w:val="000000"/>
          <w:sz w:val="24"/>
        </w:rPr>
        <w:t>has the meaning ascribed thereto in the Supply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w:t>
      </w:r>
    </w:p>
    <w:p>
      <w:pPr>
        <w:pStyle w:val="TextBody"/>
        <w:bidi w:val="0"/>
        <w:spacing w:before="0" w:after="240"/>
        <w:jc w:val="both"/>
        <w:rPr/>
      </w:pPr>
      <w:r>
        <w:rPr>
          <w:color w:val="000000"/>
        </w:rPr>
        <w:t>“</w:t>
      </w:r>
      <w:r>
        <w:rPr>
          <w:rFonts w:ascii="Times New Roman" w:hAnsi="Times New Roman"/>
          <w:b/>
          <w:color w:val="000000"/>
          <w:sz w:val="24"/>
        </w:rPr>
        <w:t>PV Agreement</w:t>
      </w:r>
      <w:r>
        <w:rPr>
          <w:color w:val="000000"/>
        </w:rPr>
        <w:t xml:space="preserve">” </w:t>
      </w:r>
      <w:r>
        <w:rPr>
          <w:rFonts w:ascii="Times New Roman" w:hAnsi="Times New Roman"/>
          <w:color w:val="000000"/>
          <w:sz w:val="24"/>
        </w:rPr>
        <w:t>has the meaning set forth in the preamble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1.28</w:t>
      </w:r>
    </w:p>
    <w:p>
      <w:pPr>
        <w:pStyle w:val="TextBody"/>
        <w:bidi w:val="0"/>
        <w:spacing w:before="0" w:after="240"/>
        <w:jc w:val="both"/>
        <w:rPr/>
      </w:pPr>
      <w:r>
        <w:rPr>
          <w:color w:val="000000"/>
        </w:rPr>
        <w:t>“</w:t>
      </w:r>
      <w:r>
        <w:rPr>
          <w:rFonts w:ascii="Times New Roman" w:hAnsi="Times New Roman"/>
          <w:b/>
          <w:color w:val="000000"/>
          <w:sz w:val="24"/>
        </w:rPr>
        <w:t>PV Costs</w:t>
      </w:r>
      <w:r>
        <w:rPr>
          <w:color w:val="00000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1.29</w:t>
      </w:r>
    </w:p>
    <w:p>
      <w:pPr>
        <w:pStyle w:val="TextBody"/>
        <w:bidi w:val="0"/>
        <w:spacing w:before="0" w:after="240"/>
        <w:jc w:val="both"/>
        <w:rPr/>
      </w:pPr>
      <w:r>
        <w:rPr>
          <w:color w:val="000000"/>
        </w:rPr>
        <w:t>“</w:t>
      </w:r>
      <w:r>
        <w:rPr>
          <w:rFonts w:ascii="Times New Roman" w:hAnsi="Times New Roman"/>
          <w:b/>
          <w:color w:val="000000"/>
          <w:sz w:val="24"/>
        </w:rPr>
        <w:t>Quality Agreement</w:t>
      </w:r>
      <w:r>
        <w:rPr>
          <w:color w:val="000000"/>
        </w:rPr>
        <w:t xml:space="preserve">” </w:t>
      </w:r>
      <w:r>
        <w:rPr>
          <w:rFonts w:ascii="Times New Roman" w:hAnsi="Times New Roman"/>
          <w:color w:val="000000"/>
          <w:sz w:val="24"/>
        </w:rPr>
        <w:t xml:space="preserve">has the meaning set forth in the preamble hereto.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1.30</w:t>
      </w:r>
    </w:p>
    <w:p>
      <w:pPr>
        <w:pStyle w:val="TextBody"/>
        <w:bidi w:val="0"/>
        <w:spacing w:before="0" w:after="240"/>
        <w:jc w:val="both"/>
        <w:rPr/>
      </w:pPr>
      <w:r>
        <w:rPr>
          <w:color w:val="000000"/>
        </w:rPr>
        <w:t>“</w:t>
      </w:r>
      <w:r>
        <w:rPr>
          <w:rFonts w:ascii="Times New Roman" w:hAnsi="Times New Roman"/>
          <w:b/>
          <w:color w:val="000000"/>
          <w:sz w:val="24"/>
        </w:rPr>
        <w:t>Regulatory Approvals Under Review</w:t>
      </w:r>
      <w:r>
        <w:rPr>
          <w:color w:val="00000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w:t>
      </w:r>
    </w:p>
    <w:p>
      <w:pPr>
        <w:pStyle w:val="TextBody"/>
        <w:bidi w:val="0"/>
        <w:spacing w:before="0" w:after="240"/>
        <w:jc w:val="both"/>
        <w:rPr/>
      </w:pPr>
      <w:r>
        <w:rPr>
          <w:color w:val="000000"/>
        </w:rPr>
        <w:t>“</w:t>
      </w:r>
      <w:r>
        <w:rPr>
          <w:rFonts w:ascii="Times New Roman" w:hAnsi="Times New Roman"/>
          <w:b/>
          <w:color w:val="000000"/>
          <w:sz w:val="24"/>
        </w:rPr>
        <w:t>Released Parties</w:t>
      </w:r>
      <w:r>
        <w:rPr>
          <w:color w:val="000000"/>
        </w:rPr>
        <w:t xml:space="preserve">” </w:t>
      </w:r>
      <w:r>
        <w:rPr>
          <w:rFonts w:ascii="Times New Roman" w:hAnsi="Times New Roman"/>
          <w:color w:val="000000"/>
          <w:sz w:val="24"/>
        </w:rPr>
        <w:t xml:space="preserve">has the meaning set forth in Section 7.10.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1.32</w:t>
      </w:r>
    </w:p>
    <w:p>
      <w:pPr>
        <w:pStyle w:val="TextBody"/>
        <w:bidi w:val="0"/>
        <w:spacing w:before="0" w:after="240"/>
        <w:jc w:val="both"/>
        <w:rPr/>
      </w:pPr>
      <w:r>
        <w:rPr>
          <w:color w:val="000000"/>
        </w:rPr>
        <w:t>“</w:t>
      </w:r>
      <w:r>
        <w:rPr>
          <w:rFonts w:ascii="Times New Roman" w:hAnsi="Times New Roman"/>
          <w:b/>
          <w:color w:val="000000"/>
          <w:sz w:val="24"/>
        </w:rPr>
        <w:t>Releasing Parties</w:t>
      </w:r>
      <w:r>
        <w:rPr>
          <w:color w:val="000000"/>
        </w:rPr>
        <w:t xml:space="preserve">” </w:t>
      </w:r>
      <w:r>
        <w:rPr>
          <w:rFonts w:ascii="Times New Roman" w:hAnsi="Times New Roman"/>
          <w:color w:val="000000"/>
          <w:sz w:val="24"/>
        </w:rPr>
        <w:t>has the meaning set forth in Section 7.10.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1.33</w:t>
      </w:r>
    </w:p>
    <w:p>
      <w:pPr>
        <w:pStyle w:val="TextBody"/>
        <w:bidi w:val="0"/>
        <w:spacing w:before="0" w:after="240"/>
        <w:jc w:val="both"/>
        <w:rPr/>
      </w:pPr>
      <w:r>
        <w:rPr>
          <w:color w:val="000000"/>
        </w:rPr>
        <w:t>“</w:t>
      </w:r>
      <w:r>
        <w:rPr>
          <w:rFonts w:ascii="Times New Roman" w:hAnsi="Times New Roman"/>
          <w:b/>
          <w:color w:val="000000"/>
          <w:sz w:val="24"/>
        </w:rPr>
        <w:t>Retained Regulatory Approval</w:t>
      </w:r>
      <w:r>
        <w:rPr>
          <w:color w:val="000000"/>
        </w:rPr>
        <w:t xml:space="preserve">” </w:t>
      </w:r>
      <w:r>
        <w:rPr>
          <w:rFonts w:ascii="Times New Roman" w:hAnsi="Times New Roman"/>
          <w:color w:val="000000"/>
          <w:sz w:val="24"/>
        </w:rPr>
        <w:t>means the Regulatory Approvals for the Republic of South Korea (“</w:t>
      </w:r>
      <w:r>
        <w:rPr>
          <w:rFonts w:ascii="Times New Roman" w:hAnsi="Times New Roman"/>
          <w:b/>
          <w:color w:val="000000"/>
          <w:sz w:val="24"/>
        </w:rPr>
        <w:t>South Korea</w:t>
      </w:r>
      <w:r>
        <w:rPr>
          <w:color w:val="000000"/>
        </w:rPr>
        <w:t>”</w:t>
      </w:r>
      <w:r>
        <w:rPr>
          <w:rFonts w:ascii="Times New Roman" w:hAnsi="Times New Roman"/>
          <w:color w:val="000000"/>
          <w:sz w:val="24"/>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1.34</w:t>
      </w:r>
    </w:p>
    <w:p>
      <w:pPr>
        <w:pStyle w:val="TextBody"/>
        <w:bidi w:val="0"/>
        <w:spacing w:before="0" w:after="240"/>
        <w:jc w:val="both"/>
        <w:rPr/>
      </w:pPr>
      <w:r>
        <w:rPr>
          <w:color w:val="000000"/>
        </w:rPr>
        <w:t>“</w:t>
      </w:r>
      <w:r>
        <w:rPr>
          <w:rFonts w:ascii="Times New Roman" w:hAnsi="Times New Roman"/>
          <w:b/>
          <w:color w:val="000000"/>
          <w:sz w:val="24"/>
        </w:rPr>
        <w:t>Reversion Sublicensee</w:t>
      </w:r>
      <w:r>
        <w:rPr>
          <w:color w:val="000000"/>
        </w:rPr>
        <w:t xml:space="preserve">” </w:t>
      </w:r>
      <w:r>
        <w:rPr>
          <w:rFonts w:ascii="Times New Roman" w:hAnsi="Times New Roman"/>
          <w:color w:val="000000"/>
          <w:sz w:val="24"/>
        </w:rPr>
        <w:t>has the meaning set forth in Section 5.2.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1.35</w:t>
      </w:r>
    </w:p>
    <w:p>
      <w:pPr>
        <w:pStyle w:val="TextBody"/>
        <w:bidi w:val="0"/>
        <w:spacing w:before="0" w:after="240"/>
        <w:jc w:val="both"/>
        <w:rPr/>
      </w:pPr>
      <w:r>
        <w:rPr>
          <w:color w:val="000000"/>
        </w:rPr>
        <w:t>“</w:t>
      </w:r>
      <w:r>
        <w:rPr>
          <w:rFonts w:ascii="Times New Roman" w:hAnsi="Times New Roman"/>
          <w:b/>
          <w:color w:val="000000"/>
          <w:sz w:val="24"/>
        </w:rPr>
        <w:t>ROW FibroGen Commercialization Revenues</w:t>
      </w:r>
      <w:r>
        <w:rPr>
          <w:color w:val="000000"/>
        </w:rPr>
        <w:t xml:space="preserve">” </w:t>
      </w:r>
      <w:r>
        <w:rPr>
          <w:rFonts w:ascii="Times New Roman" w:hAnsi="Times New Roman"/>
          <w:color w:val="000000"/>
          <w:sz w:val="24"/>
        </w:rPr>
        <w:t>has the meaning set forth in Section 7.5.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1.36</w:t>
      </w:r>
    </w:p>
    <w:p>
      <w:pPr>
        <w:pStyle w:val="TextBody"/>
        <w:bidi w:val="0"/>
        <w:spacing w:before="0" w:after="240"/>
        <w:jc w:val="both"/>
        <w:rPr/>
      </w:pPr>
      <w:r>
        <w:rPr>
          <w:color w:val="000000"/>
        </w:rPr>
        <w:t>“</w:t>
      </w:r>
      <w:r>
        <w:rPr>
          <w:rFonts w:ascii="Times New Roman" w:hAnsi="Times New Roman"/>
          <w:b/>
          <w:color w:val="000000"/>
          <w:sz w:val="24"/>
        </w:rPr>
        <w:t>SPA</w:t>
      </w:r>
      <w:r>
        <w:rPr>
          <w:color w:val="000000"/>
        </w:rPr>
        <w:t xml:space="preserve">” </w:t>
      </w:r>
      <w:r>
        <w:rPr>
          <w:rFonts w:ascii="Times New Roman" w:hAnsi="Times New Roman"/>
          <w:color w:val="000000"/>
          <w:sz w:val="24"/>
        </w:rPr>
        <w:t>has the meaning set forth in the preamble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1.37</w:t>
      </w:r>
    </w:p>
    <w:p>
      <w:pPr>
        <w:pStyle w:val="TextBody"/>
        <w:bidi w:val="0"/>
        <w:spacing w:before="0" w:after="240"/>
        <w:jc w:val="both"/>
        <w:rPr/>
      </w:pPr>
      <w:r>
        <w:rPr>
          <w:color w:val="000000"/>
        </w:rPr>
        <w:t>“</w:t>
      </w:r>
      <w:r>
        <w:rPr>
          <w:rFonts w:ascii="Times New Roman" w:hAnsi="Times New Roman"/>
          <w:b/>
          <w:color w:val="000000"/>
          <w:sz w:val="24"/>
        </w:rPr>
        <w:t>Supply Agreement</w:t>
      </w:r>
      <w:r>
        <w:rPr>
          <w:color w:val="000000"/>
        </w:rPr>
        <w:t xml:space="preserve">” </w:t>
      </w:r>
      <w:r>
        <w:rPr>
          <w:rFonts w:ascii="Times New Roman" w:hAnsi="Times New Roman"/>
          <w:color w:val="000000"/>
          <w:sz w:val="24"/>
        </w:rPr>
        <w:t>has the meaning set forth in the preamble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1.38</w:t>
      </w:r>
    </w:p>
    <w:p>
      <w:pPr>
        <w:pStyle w:val="TextBody"/>
        <w:bidi w:val="0"/>
        <w:spacing w:before="0" w:after="240"/>
        <w:jc w:val="both"/>
        <w:rPr/>
      </w:pPr>
      <w:r>
        <w:rPr>
          <w:color w:val="000000"/>
        </w:rPr>
        <w:t>“</w:t>
      </w:r>
      <w:r>
        <w:rPr>
          <w:rFonts w:ascii="Times New Roman" w:hAnsi="Times New Roman"/>
          <w:b/>
          <w:color w:val="000000"/>
          <w:sz w:val="24"/>
        </w:rPr>
        <w:t>Terminated Territory</w:t>
      </w:r>
      <w:r>
        <w:rPr>
          <w:color w:val="000000"/>
        </w:rPr>
        <w:t xml:space="preserve">” </w:t>
      </w:r>
      <w:r>
        <w:rPr>
          <w:rFonts w:ascii="Times New Roman" w:hAnsi="Times New Roman"/>
          <w:color w:val="000000"/>
          <w:sz w:val="24"/>
        </w:rPr>
        <w:t>means the Territory, other than (subject to Section 4.1.2(b)) South Korea.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1.39</w:t>
      </w:r>
    </w:p>
    <w:p>
      <w:pPr>
        <w:pStyle w:val="TextBody"/>
        <w:bidi w:val="0"/>
        <w:spacing w:before="0" w:after="240"/>
        <w:jc w:val="both"/>
        <w:rPr/>
      </w:pPr>
      <w:r>
        <w:rPr>
          <w:color w:val="000000"/>
        </w:rPr>
        <w:t>“</w:t>
      </w:r>
      <w:r>
        <w:rPr>
          <w:rFonts w:ascii="Times New Roman" w:hAnsi="Times New Roman"/>
          <w:b/>
          <w:color w:val="000000"/>
          <w:sz w:val="24"/>
        </w:rPr>
        <w:t>Termination</w:t>
      </w:r>
      <w:r>
        <w:rPr>
          <w:color w:val="000000"/>
        </w:rPr>
        <w:t xml:space="preserve">” </w:t>
      </w:r>
      <w:r>
        <w:rPr>
          <w:rFonts w:ascii="Times New Roman" w:hAnsi="Times New Roman"/>
          <w:color w:val="000000"/>
          <w:sz w:val="24"/>
        </w:rPr>
        <w:t>has the meaning set forth in Section 3.1.</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1.40</w:t>
      </w:r>
    </w:p>
    <w:p>
      <w:pPr>
        <w:pStyle w:val="TextBody"/>
        <w:bidi w:val="0"/>
        <w:spacing w:before="0" w:after="240"/>
        <w:jc w:val="both"/>
        <w:rPr/>
      </w:pPr>
      <w:r>
        <w:rPr>
          <w:color w:val="000000"/>
        </w:rPr>
        <w:t>“</w:t>
      </w:r>
      <w:r>
        <w:rPr>
          <w:rFonts w:ascii="Times New Roman" w:hAnsi="Times New Roman"/>
          <w:b/>
          <w:color w:val="000000"/>
          <w:sz w:val="24"/>
        </w:rPr>
        <w:t>Termination Agreement</w:t>
      </w:r>
      <w:r>
        <w:rPr>
          <w:color w:val="000000"/>
        </w:rPr>
        <w:t xml:space="preserve">” </w:t>
      </w:r>
      <w:r>
        <w:rPr>
          <w:rFonts w:ascii="Times New Roman" w:hAnsi="Times New Roman"/>
          <w:color w:val="000000"/>
          <w:sz w:val="24"/>
        </w:rPr>
        <w:t>has the meaning set forth in the preamble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color w:val="000000"/>
        </w:rPr>
        <w:t>“</w:t>
      </w:r>
      <w:r>
        <w:rPr>
          <w:rFonts w:ascii="Times New Roman" w:hAnsi="Times New Roman"/>
          <w:b/>
          <w:color w:val="000000"/>
          <w:sz w:val="24"/>
        </w:rPr>
        <w:t>Termination Agreement Effective Date</w:t>
      </w:r>
      <w:r>
        <w:rPr>
          <w:color w:val="000000"/>
        </w:rPr>
        <w:t xml:space="preserve">” </w:t>
      </w:r>
      <w:r>
        <w:rPr>
          <w:rFonts w:ascii="Times New Roman" w:hAnsi="Times New Roman"/>
          <w:color w:val="000000"/>
          <w:sz w:val="24"/>
        </w:rPr>
        <w:t>means February 25, 2024.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color w:val="000000"/>
        </w:rPr>
        <w:t>“</w:t>
      </w:r>
      <w:r>
        <w:rPr>
          <w:rFonts w:ascii="Times New Roman" w:hAnsi="Times New Roman"/>
          <w:b/>
          <w:color w:val="000000"/>
          <w:sz w:val="24"/>
        </w:rPr>
        <w:t>Third Party</w:t>
      </w:r>
      <w:r>
        <w:rPr>
          <w:color w:val="000000"/>
        </w:rPr>
        <w:t xml:space="preserve">” </w:t>
      </w:r>
      <w:r>
        <w:rPr>
          <w:rFonts w:ascii="Times New Roman" w:hAnsi="Times New Roman"/>
          <w:color w:val="000000"/>
          <w:sz w:val="24"/>
        </w:rPr>
        <w:t>means any entity other than FibroGen or AstraZeneca or an Affiliate of either of them.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color w:val="000000"/>
        </w:rPr>
        <w:t>“</w:t>
      </w:r>
      <w:r>
        <w:rPr>
          <w:rFonts w:ascii="Times New Roman" w:hAnsi="Times New Roman"/>
          <w:b/>
          <w:color w:val="000000"/>
          <w:sz w:val="24"/>
        </w:rPr>
        <w:t>Third Party Business Sale Revenue</w:t>
      </w:r>
      <w:r>
        <w:rPr>
          <w:color w:val="000000"/>
        </w:rPr>
        <w:t xml:space="preserve">” </w:t>
      </w:r>
      <w:r>
        <w:rPr>
          <w:rFonts w:ascii="Times New Roman" w:hAnsi="Times New Roman"/>
          <w:color w:val="000000"/>
          <w:sz w:val="24"/>
        </w:rPr>
        <w:t>has the meaning set forth in Section 7.3.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color w:val="000000"/>
        </w:rPr>
        <w:t>“</w:t>
      </w:r>
      <w:r>
        <w:rPr>
          <w:rFonts w:ascii="Times New Roman" w:hAnsi="Times New Roman"/>
          <w:b/>
          <w:color w:val="000000"/>
          <w:sz w:val="24"/>
        </w:rPr>
        <w:t>Trade Mark Assignment Agreements</w:t>
      </w:r>
      <w:r>
        <w:rPr>
          <w:color w:val="000000"/>
        </w:rPr>
        <w:t xml:space="preserve">” </w:t>
      </w:r>
      <w:r>
        <w:rPr>
          <w:rFonts w:ascii="Times New Roman" w:hAnsi="Times New Roman"/>
          <w:color w:val="000000"/>
          <w:sz w:val="24"/>
        </w:rPr>
        <w:t>means the agreements entered into between FibroGen (or a FibroGen Affiliate) and AstraZeneca (or an AstraZeneca Affiliate) pursuant to Section 4.2.3 and pursuant to which AstraZeneca (or its Affiliates) will confirm its assignment and transfer of the Assigned Marks to FibroGen (or its Affiliates).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1.45</w:t>
      </w:r>
    </w:p>
    <w:p>
      <w:pPr>
        <w:pStyle w:val="TextBody"/>
        <w:bidi w:val="0"/>
        <w:spacing w:before="0" w:after="240"/>
        <w:jc w:val="both"/>
        <w:rPr/>
      </w:pPr>
      <w:r>
        <w:rPr>
          <w:color w:val="000000"/>
        </w:rPr>
        <w:t>“</w:t>
      </w:r>
      <w:r>
        <w:rPr>
          <w:rFonts w:ascii="Times New Roman" w:hAnsi="Times New Roman"/>
          <w:b/>
          <w:color w:val="000000"/>
          <w:sz w:val="24"/>
        </w:rPr>
        <w:t>Transfer Date</w:t>
      </w:r>
      <w:r>
        <w:rPr>
          <w:color w:val="000000"/>
        </w:rPr>
        <w:t xml:space="preserve">” </w:t>
      </w:r>
      <w:r>
        <w:rPr>
          <w:rFonts w:ascii="Times New Roman" w:hAnsi="Times New Roman"/>
          <w:color w:val="000000"/>
          <w:sz w:val="24"/>
        </w:rPr>
        <w:t>means, in respect of a Held Regulatory Approval, such date when such Held Regulatory Approval is transferred to FibroGen, as notified by AstraZeneca to the applicable Regulatory Authority.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1.46</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color w:val="000000"/>
          <w:sz w:val="24"/>
        </w:rPr>
        <w:t>Transition Period”</w:t>
      </w:r>
      <w:r>
        <w:rPr>
          <w:color w:val="000000"/>
        </w:rPr>
        <w:t xml:space="preserve"> </w:t>
      </w:r>
      <w:r>
        <w:rPr>
          <w:rFonts w:ascii="Times New Roman" w:hAnsi="Times New Roman"/>
          <w:color w:val="000000"/>
          <w:sz w:val="24"/>
        </w:rPr>
        <w:t xml:space="preserve">means, [*] and (ii) </w:t>
      </w:r>
      <w:bookmarkStart w:id="27" w:name="x_____"/>
      <w:bookmarkEnd w:id="27"/>
      <w:r>
        <w:rPr>
          <w:rFonts w:ascii="Times New Roman" w:hAnsi="Times New Roman"/>
          <w:color w:val="000000"/>
          <w:sz w:val="24"/>
        </w:rPr>
        <w:t xml:space="preserve">one hundred eighty (180) days following the Termination Agreement Effective Date.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1.47</w:t>
      </w:r>
    </w:p>
    <w:p>
      <w:pPr>
        <w:pStyle w:val="TextBody"/>
        <w:bidi w:val="0"/>
        <w:spacing w:before="0" w:after="240"/>
        <w:jc w:val="both"/>
        <w:rPr/>
      </w:pPr>
      <w:r>
        <w:rPr>
          <w:color w:val="000000"/>
        </w:rPr>
        <w:t>“</w:t>
      </w:r>
      <w:r>
        <w:rPr>
          <w:rFonts w:ascii="Times New Roman" w:hAnsi="Times New Roman"/>
          <w:b/>
          <w:color w:val="000000"/>
          <w:sz w:val="24"/>
        </w:rPr>
        <w:t>Transition Services Fee”</w:t>
      </w:r>
      <w:r>
        <w:rPr>
          <w:color w:val="000000"/>
        </w:rPr>
        <w:t xml:space="preserve"> </w:t>
      </w:r>
      <w:r>
        <w:rPr>
          <w:rFonts w:ascii="Times New Roman" w:hAnsi="Times New Roman"/>
          <w:color w:val="000000"/>
          <w:sz w:val="24"/>
        </w:rPr>
        <w:t>has the meaning set forth in Section 4.1.3.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1.48</w:t>
      </w:r>
    </w:p>
    <w:p>
      <w:pPr>
        <w:pStyle w:val="TextBody"/>
        <w:bidi w:val="0"/>
        <w:spacing w:before="0" w:after="240"/>
        <w:jc w:val="both"/>
        <w:rPr/>
      </w:pPr>
      <w:r>
        <w:rPr>
          <w:color w:val="000000"/>
        </w:rPr>
        <w:t>“</w:t>
      </w:r>
      <w:r>
        <w:rPr>
          <w:rFonts w:ascii="Times New Roman" w:hAnsi="Times New Roman"/>
          <w:b/>
          <w:color w:val="000000"/>
          <w:sz w:val="24"/>
        </w:rPr>
        <w:t>Value Notice</w:t>
      </w:r>
      <w:r>
        <w:rPr>
          <w:color w:val="000000"/>
        </w:rPr>
        <w:t xml:space="preserve">” </w:t>
      </w:r>
      <w:r>
        <w:rPr>
          <w:rFonts w:ascii="Times New Roman" w:hAnsi="Times New Roman"/>
          <w:color w:val="000000"/>
          <w:sz w:val="24"/>
        </w:rPr>
        <w:t>has the meaning set forth in Section 7.4.2.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1.49</w:t>
      </w:r>
    </w:p>
    <w:p>
      <w:pPr>
        <w:pStyle w:val="TextBody"/>
        <w:bidi w:val="0"/>
        <w:spacing w:before="0" w:after="240"/>
        <w:jc w:val="both"/>
        <w:rPr/>
      </w:pPr>
      <w:r>
        <w:rPr>
          <w:color w:val="000000"/>
        </w:rPr>
        <w:t>“</w:t>
      </w:r>
      <w:r>
        <w:rPr>
          <w:rFonts w:ascii="Times New Roman" w:hAnsi="Times New Roman"/>
          <w:b/>
          <w:color w:val="000000"/>
          <w:sz w:val="24"/>
        </w:rPr>
        <w:t>Wind-Down Asset Sale</w:t>
      </w:r>
      <w:r>
        <w:rPr>
          <w:color w:val="00000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1.49.1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1.49.2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1.50</w:t>
      </w:r>
    </w:p>
    <w:p>
      <w:pPr>
        <w:pStyle w:val="TextBody"/>
        <w:bidi w:val="0"/>
        <w:spacing w:before="0" w:after="240"/>
        <w:jc w:val="both"/>
        <w:rPr/>
      </w:pPr>
      <w:r>
        <w:rPr>
          <w:color w:val="000000"/>
        </w:rPr>
        <w:t>“</w:t>
      </w:r>
      <w:r>
        <w:rPr>
          <w:rFonts w:ascii="Times New Roman" w:hAnsi="Times New Roman"/>
          <w:b/>
          <w:color w:val="000000"/>
          <w:sz w:val="24"/>
        </w:rPr>
        <w:t>Withdrawal Date</w:t>
      </w:r>
      <w:r>
        <w:rPr>
          <w:color w:val="000000"/>
        </w:rPr>
        <w:t xml:space="preserve">” </w:t>
      </w:r>
      <w:r>
        <w:rPr>
          <w:rFonts w:ascii="Times New Roman" w:hAnsi="Times New Roman"/>
          <w:color w:val="000000"/>
          <w:sz w:val="24"/>
        </w:rPr>
        <w:t>means in respect of a country in which there is a Held Regulatory Approval or a Regulatory Approval Under Review, the date on which such Regulatory Approval is withdrawn, as notified by or to the applicable Regulatory Authority in the applicable country.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1.51</w:t>
      </w:r>
    </w:p>
    <w:p>
      <w:pPr>
        <w:pStyle w:val="TextBody"/>
        <w:bidi w:val="0"/>
        <w:spacing w:before="0" w:after="240"/>
        <w:jc w:val="both"/>
        <w:rPr/>
      </w:pPr>
      <w:r>
        <w:rPr>
          <w:color w:val="000000"/>
        </w:rPr>
        <w:t>“</w:t>
      </w:r>
      <w:r>
        <w:rPr>
          <w:rFonts w:ascii="Times New Roman" w:hAnsi="Times New Roman"/>
          <w:b/>
          <w:color w:val="000000"/>
          <w:sz w:val="24"/>
        </w:rPr>
        <w:t>Withdrawn/Rejected Regulatory Approvals</w:t>
      </w:r>
      <w:r>
        <w:rPr>
          <w:color w:val="000000"/>
        </w:rPr>
        <w:t xml:space="preserve">” </w:t>
      </w:r>
      <w:r>
        <w:rPr>
          <w:rFonts w:ascii="Times New Roman" w:hAnsi="Times New Roman"/>
          <w:color w:val="000000"/>
          <w:sz w:val="24"/>
        </w:rPr>
        <w:t>means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2</w:t>
      </w:r>
    </w:p>
    <w:p>
      <w:pPr>
        <w:pStyle w:val="TextBody"/>
        <w:bidi w:val="0"/>
        <w:spacing w:before="0" w:after="240"/>
        <w:jc w:val="center"/>
        <w:rPr/>
      </w:pPr>
      <w:r>
        <w:rPr>
          <w:rFonts w:ascii="Times New Roman" w:hAnsi="Times New Roman"/>
          <w:b/>
          <w:color w:val="000000"/>
          <w:sz w:val="24"/>
        </w:rPr>
        <w:br/>
        <w:t>AMENDMENT AND RESTATEMENT OF THE ORIGINAL TERMINATION AGREEMENT[</w:t>
      </w:r>
      <w:r>
        <w:rPr>
          <w:rFonts w:ascii="Times New Roman" w:hAnsi="Times New Roman"/>
          <w:b/>
          <w:color w:val="000000"/>
          <w:sz w:val="16"/>
        </w:rPr>
        <w:t>*</w:t>
      </w:r>
      <w:r>
        <w:rPr>
          <w:rFonts w:ascii="Times New Roman" w:hAnsi="Times New Roman"/>
          <w:b/>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Amendment and Restatement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effect from the A&amp;R Termination Agreement Effective Date, and in accordance with the Original Termination Agreement, the Parties hereby agree that this document amends, restates and replaces the Original Termination Agreement in its entirety, on the terms set out in this document.</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both"/>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3</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TERMINATION OF AGREEMENTS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Termination.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Except with respect to South Korea, for which the Collaboration Agreement survives as further set out in and subject to Section 3.4 of this Termination Agreement, the Parties agreed to terminate the Collaboration Agreement effective as of the Termination Agreement Effective Date, and such termination was deemed a termination of the Collaboration Agreement at will by AstraZeneca pursuant to Section 13.2 of the Collaboration Agreement provided, that, (i) AstraZeneca was not required to provide one hundred and eighty (180) days’ prior written notice to FibroGen to terminate the Collaboration Agreement, and (ii) unless otherwise expressly set out in this Termination Agreement AstraZeneca’s only obligations to FibroGen, and FibroGen’s only obligations to AstraZeneca, under and with respect to the Collaboration Agreement following the Termination Agreement Effective Date are as expressly set forth in this Termination Agreement. For clarity, if there is a conflict between any provisions of this Termination Agreement and the Collaboration Agreement, the provisions of this Termination Agreement shall prevail.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3.1.2</w:t>
      </w:r>
    </w:p>
    <w:p>
      <w:pPr>
        <w:pStyle w:val="TextBody"/>
        <w:bidi w:val="0"/>
        <w:spacing w:before="0" w:after="240"/>
        <w:jc w:val="both"/>
        <w:rPr/>
      </w:pPr>
      <w:r>
        <w:rPr>
          <w:rFonts w:ascii="Times New Roman" w:hAnsi="Times New Roman"/>
          <w:color w:val="000000"/>
          <w:sz w:val="24"/>
        </w:rPr>
        <w:t>Pursuant to Section 17.2.1 of the Supply Agreement and Section 4.1 of the Quality Agreement, the Supply Agreement and the Quality Agreement, subject to the terms of this Termination Agreement, automatically terminated (including, for the avoidance of doubt, with respect to South Korea) upon termination of the Collaboration Agreement and the Supply Agreement respectively, and each Party hereby acknowledges and agrees, on behalf of itself and on behalf of its applicable Affiliates that are parties to the applicable Agreements, that the Supply Agreement (including, for the avoidance of doubt, with respect to South Korea) and the Quality Agreement terminated on the Termination Agreement Effective Date (the termination of the Agreements, the “</w:t>
      </w:r>
      <w:r>
        <w:rPr>
          <w:rFonts w:ascii="Times New Roman" w:hAnsi="Times New Roman"/>
          <w:b/>
          <w:color w:val="000000"/>
          <w:sz w:val="24"/>
        </w:rPr>
        <w:t>Termination</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 xml:space="preserve">Survival of Certain Provisions for the Terminated Territory. </w:t>
      </w:r>
      <w:r>
        <w:rPr>
          <w:rFonts w:ascii="Times New Roman" w:hAnsi="Times New Roman"/>
          <w:color w:val="000000"/>
          <w:sz w:val="24"/>
        </w:rPr>
        <w:t xml:space="preserve">Except as otherwise set out in this Termination Agreement, [*]. In addition, Article 1 of the Collaboration Agreement shall survive the Termination with respect to the Terminated Territory to the extent necessary to give effect to the preamble in Article 1 hereof and any surviving provisions of the Collaboration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0" w:after="240"/>
        <w:jc w:val="both"/>
        <w:rPr/>
      </w:pPr>
      <w:r>
        <w:rPr>
          <w:rFonts w:ascii="Times New Roman" w:hAnsi="Times New Roman"/>
          <w:b/>
          <w:color w:val="000000"/>
          <w:sz w:val="24"/>
        </w:rPr>
        <w:t>Non-survival of Certain Provisions</w:t>
      </w:r>
      <w:r>
        <w:rPr>
          <w:rFonts w:ascii="Times New Roman" w:hAnsi="Times New Roman"/>
          <w:color w:val="000000"/>
          <w:sz w:val="24"/>
        </w:rPr>
        <w:t>. Notwithstanding Section 3.2 of this Termination Agreement or Section 13.10 of the Collaboration Agreement, or any other provision of the Agreements, and subject to Section 3.4 of this Termination Agreement in respect of South Korea only: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3.11 of the Collaboration Agreement shall survive with respect to the Terminated Territory only with respect to the Parties’ recordkeeping obligations for the time period stated therein, and with respect to each Party’s right to review and copy such records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rFonts w:ascii="Times New Roman" w:hAnsi="Times New Roman"/>
          <w:color w:val="000000"/>
          <w:sz w:val="24"/>
        </w:rPr>
        <w:t>maintained by the other Party at reasonable times and to obtain access to originals to the extent needed for patent or regulatory purposes or for other legal proceedings.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agree that, with respect to the Terminated Territory,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agrees, on behalf of itself and on behalf of its applicable Affiliates that are parties to the applicable Agreements, that Sections 17.2.4 and 17.3 (except that upon termination, [*]. Notwithstanding the foregoing, in the event that AstraZeneca elects, either itself or through a Third Party (subject to Section 4.1.2(b) of this Termination Agreement), to commercialize the Product in South Korea and desires FibroGen to supply Product for such commercialization, then the Parties shall discuss such supply,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Survival in respect of South Korea.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As further set out in Section 4.1.2(b) of this Termination Agreement, as between the Parties AstraZeneca shall have the sole right to retain the Retained Regulatory Approval and Regulatory Materials with respect to South Korea and the Parties agree that the Collaboration Agreement shall survive in full force and effect with respect to and to the extent applicable to South Korea provided that: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3.4.1.1</w:t>
      </w:r>
    </w:p>
    <w:p>
      <w:pPr>
        <w:pStyle w:val="TextBody"/>
        <w:bidi w:val="0"/>
        <w:spacing w:before="0" w:after="240"/>
        <w:jc w:val="both"/>
        <w:rPr/>
      </w:pPr>
      <w:r>
        <w:rPr>
          <w:rFonts w:ascii="Times New Roman" w:hAnsi="Times New Roman"/>
          <w:color w:val="000000"/>
          <w:sz w:val="24"/>
        </w:rPr>
        <w:t>references to the Territory or to ROW in the surviving terms of the Collaboration Agreement shall be deemed to be references to South Korea only (</w:t>
      </w:r>
      <w:r>
        <w:rPr>
          <w:rFonts w:ascii="Times New Roman" w:hAnsi="Times New Roman"/>
          <w:i/>
          <w:color w:val="000000"/>
          <w:sz w:val="24"/>
        </w:rPr>
        <w:t>mutatis mutandis</w:t>
      </w:r>
      <w:r>
        <w:rPr>
          <w:rFonts w:ascii="Times New Roman" w:hAnsi="Times New Roman"/>
          <w:color w:val="000000"/>
          <w:sz w:val="24"/>
        </w:rPr>
        <w:t xml:space="preserve">), except with respect to any references to the Territory or ROW in those sections of the Collaboration Agreement that are stated to survive termination generally under Section 3.2 of this Termination Agreement with respect to the Terminated Territory (which shall continue to mean the Terminated Territory or ROW (other than South Korea, unless such sections also survive for South Korea, in which case, such references shall continue to mean the Territory or ROW as defined under the Collaboration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provisions of the Collaboration Agreement which are not applicable to South Korea, including any provisions which relate solely to the U.S., shall not survive termination under this Section 3.4 (but, for clarity, shall survive to the extent survival thereof is otherwise set forth in this Termination Agreement), which for clarity, is intended to provide for survival of the Collaboration Agreement only as it relates to South Korea;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notwithstanding Section 7.1(a) or Section 7.3 of the Collaboration Agreement, AstraZeneca shall have no right to grant sublicenses to a Third Party under the licenses granted to it under Section 7.1(a) of the Collaboration Agreement without FibroGen’s prior written consent;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necessary to reflect such survival with respect to South Korea, the Affiliates that are parties to the China Agreement will, promptly following the Termination Effective Date, enter into an amendment to the PV Agreement, or will otherwise include within any new global safety data exchange or pharmacovigilance agreement (which shall include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Astellas and any future parties to which FibroGen grants a reversion sublicense pursuant to Section 5.3 of this Termination Agreement), which includes applicable provisions with respect to pharmacovigilance responsibilities in South Korea.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4</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TRANSITION ACTIVITIES, TRANSFER OF ASSETS AND ONGOING RESPONSIBILITIES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0" w:after="240"/>
        <w:jc w:val="both"/>
        <w:rPr/>
      </w:pPr>
      <w:r>
        <w:rPr>
          <w:rFonts w:ascii="Times New Roman" w:hAnsi="Times New Roman"/>
          <w:b/>
          <w:color w:val="000000"/>
          <w:sz w:val="24"/>
        </w:rPr>
        <w:t>Transition Assistance.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4.1.1</w:t>
      </w:r>
    </w:p>
    <w:p>
      <w:pPr>
        <w:pStyle w:val="TextBody"/>
        <w:bidi w:val="0"/>
        <w:spacing w:before="0" w:after="240"/>
        <w:jc w:val="both"/>
        <w:rPr/>
      </w:pPr>
      <w:r>
        <w:rPr>
          <w:rFonts w:ascii="Times New Roman" w:hAnsi="Times New Roman"/>
          <w:b/>
          <w:color w:val="000000"/>
          <w:sz w:val="24"/>
        </w:rPr>
        <w:t>Generally.</w:t>
      </w:r>
      <w:r>
        <w:rPr>
          <w:color w:val="000000"/>
        </w:rPr>
        <w:t xml:space="preserve"> </w:t>
      </w:r>
      <w:r>
        <w:rPr>
          <w:rFonts w:ascii="Times New Roman" w:hAnsi="Times New Roman"/>
          <w:color w:val="000000"/>
          <w:sz w:val="24"/>
        </w:rPr>
        <w:t xml:space="preserve">During the Transition Period, AstraZeneca shall, itself or through its Affiliates, at no cost to FibroGen provide reasonable consultation and transition assistance for the purpose of transferring or transitioning to FibroGen, all AstraZeneca Know-How solely related to a Product not already in FibroGen’s possession, provided that (i) AstraZeneca may retain copies of any such AstraZeneca Know-How that is necessary or reasonably useful for the exploitation of the Product in South Korea; and (ii) FibroGen’s use of, and rights in respect of, such AstraZeneca Know-How in and for South Korea shall be subject to the restrictions on the scope of FibroGen’s license in respect of South Korea, as set forth in Section 5.1 of this Termination Agreement. For any data/documents that are transmitted to FibroGen, the data shall, to the extent required under applicable laws, be encrypted using AstraZeneca’s customary standards.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4.1.2</w:t>
      </w:r>
    </w:p>
    <w:p>
      <w:pPr>
        <w:pStyle w:val="TextBody"/>
        <w:bidi w:val="0"/>
        <w:spacing w:before="0" w:after="240"/>
        <w:jc w:val="both"/>
        <w:rPr/>
      </w:pPr>
      <w:r>
        <w:rPr>
          <w:rFonts w:ascii="Times New Roman" w:hAnsi="Times New Roman"/>
          <w:b/>
          <w:color w:val="000000"/>
          <w:sz w:val="24"/>
        </w:rPr>
        <w:t>Regulatory Activities. [</w:t>
      </w:r>
      <w:r>
        <w:rPr>
          <w:rFonts w:ascii="Times New Roman" w:hAnsi="Times New Roman"/>
          <w:color w:val="000000"/>
          <w:sz w:val="24"/>
        </w:rPr>
        <w:t>*], AstraZeneca shall, itself or through its Affiliates, [*] (i) comply with FibroGen’s reasonable and lawful requests for cooperation with respect to communications with the applicable Regulatory Authorities regarding the Development, manufacture, or Commercialization of Products in the Terminated Territory, and (ii) perform such other transitional services in respect of regulatory activities, the Applicable Regulatory Approvals, and pharmacovigilance activities in each case as [*]. [*], the Parties shall discuss in good faith the timing of AstraZeneca performing such activities (and the scope of such activities) and [*]. Additionally, with regard to</w:t>
      </w:r>
      <w:r>
        <w:rPr>
          <w:color w:val="000000"/>
        </w:rPr>
        <w:t xml:space="preserve"> </w:t>
      </w:r>
      <w:r>
        <w:rPr>
          <w:rFonts w:ascii="Times New Roman" w:hAnsi="Times New Roman"/>
          <w:color w:val="000000"/>
          <w:sz w:val="24"/>
        </w:rPr>
        <w:t xml:space="preserve">Applicable Regulatory Approvals, AstraZeneca shall transfer or withdraw licenses and provide documents, to the extent Controlled by AstraZeneca or its Affiliates or Sublicensees, as set out below: </w:t>
      </w:r>
    </w:p>
    <w:tbl>
      <w:tblPr>
        <w:tblW w:w="3964" w:type="dxa"/>
        <w:jc w:val="left"/>
        <w:tblInd w:w="0" w:type="dxa"/>
        <w:tblLayout w:type="fixed"/>
        <w:tblCellMar>
          <w:top w:w="28" w:type="dxa"/>
          <w:left w:w="28" w:type="dxa"/>
          <w:bottom w:w="28" w:type="dxa"/>
          <w:right w:w="28" w:type="dxa"/>
        </w:tblCellMar>
      </w:tblPr>
      <w:tblGrid>
        <w:gridCol w:w="886"/>
        <w:gridCol w:w="661"/>
        <w:gridCol w:w="826"/>
        <w:gridCol w:w="1591"/>
      </w:tblGrid>
      <w:tr>
        <w:trPr/>
        <w:tc>
          <w:tcPr>
            <w:tcW w:w="88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88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Country</w:t>
            </w:r>
          </w:p>
        </w:tc>
        <w:tc>
          <w:tcPr>
            <w:tcW w:w="6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Status</w:t>
            </w:r>
          </w:p>
        </w:tc>
        <w:tc>
          <w:tcPr>
            <w:tcW w:w="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License</w:t>
            </w:r>
          </w:p>
        </w:tc>
        <w:tc>
          <w:tcPr>
            <w:tcW w:w="15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Documentation</w:t>
            </w:r>
          </w:p>
        </w:tc>
      </w:tr>
      <w:tr>
        <w:trPr/>
        <w:tc>
          <w:tcPr>
            <w:tcW w:w="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w:t>
            </w:r>
          </w:p>
          <w:p>
            <w:pPr>
              <w:pStyle w:val="TableContents"/>
              <w:bidi w:val="0"/>
              <w:spacing w:before="0" w:after="283"/>
              <w:jc w:val="both"/>
              <w:rPr/>
            </w:pPr>
            <w:r>
              <w:rPr/>
              <w:t> </w:t>
            </w:r>
          </w:p>
        </w:tc>
        <w:tc>
          <w:tcPr>
            <w:tcW w:w="1591" w:type="dxa"/>
            <w:vMerge w:val="restart"/>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r>
      <w:tr>
        <w:trPr/>
        <w:tc>
          <w:tcPr>
            <w:tcW w:w="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w:t>
            </w:r>
          </w:p>
          <w:p>
            <w:pPr>
              <w:pStyle w:val="TableContents"/>
              <w:bidi w:val="0"/>
              <w:spacing w:before="0" w:after="283"/>
              <w:jc w:val="both"/>
              <w:rPr/>
            </w:pPr>
            <w:r>
              <w:rPr/>
              <w:t> </w:t>
            </w:r>
          </w:p>
        </w:tc>
        <w:tc>
          <w:tcPr>
            <w:tcW w:w="826" w:type="dxa"/>
            <w:vMerge w:val="restart"/>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c>
          <w:tcPr>
            <w:tcW w:w="1591"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r>
      <w:tr>
        <w:trPr/>
        <w:tc>
          <w:tcPr>
            <w:tcW w:w="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c>
          <w:tcPr>
            <w:tcW w:w="826"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c>
          <w:tcPr>
            <w:tcW w:w="1591"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r>
      <w:tr>
        <w:trPr/>
        <w:tc>
          <w:tcPr>
            <w:tcW w:w="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t>
            </w:r>
          </w:p>
        </w:tc>
        <w:tc>
          <w:tcPr>
            <w:tcW w:w="1591"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r>
    </w:tbl>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b/>
          <w:color w:val="000000"/>
          <w:sz w:val="24"/>
        </w:rPr>
        <w:t xml:space="preserve">South Korea. </w:t>
      </w:r>
      <w:r>
        <w:rPr>
          <w:rFonts w:ascii="Times New Roman" w:hAnsi="Times New Roman"/>
          <w:color w:val="000000"/>
          <w:sz w:val="24"/>
        </w:rPr>
        <w:t xml:space="preserve">As between the Parties AstraZeneca will have the sole right to retain, hold and maintain the Retained Regulatory Approval, the Regulatory Materials and any Marks for the Product for South Korea and such Retained Regulatory Approval, Regulatory Materials and Marks in respect of South Korea shall not transfer to FibroGen under this Termination Agreement (as amended and restated from time to time). As between the Parties, AstraZeneca shall have the right to make all determinations with respect to the maintenance or withdrawal of the Retained Regulatory Approval for South Korea. FibroGen shall provide such further information within FibroGen’s possession and control as reasonably requested by AstraZeneca, [*] to assist AstraZeneca in its maintenance of the Retained Regulatory Approval, provided that the foregoing shall not require FibroGen to generate any additional information or data or perform any activities or other obligations.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 xml:space="preserve">AstraZeneca shall not license, sublicense, sell, divest or otherwise grant or transfer, including by option, to any Third Party any rights (but excluding any such grant to subcontractors performing activities by or on behalf of AstraZeneca) to Commercialize the Product in South Korea without FibroGen’s prior written consent. </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4.1.3</w:t>
      </w:r>
    </w:p>
    <w:p>
      <w:pPr>
        <w:pStyle w:val="TextBody"/>
        <w:bidi w:val="0"/>
        <w:spacing w:before="0" w:after="240"/>
        <w:jc w:val="both"/>
        <w:rPr/>
      </w:pPr>
      <w:r>
        <w:rPr>
          <w:rFonts w:ascii="Times New Roman" w:hAnsi="Times New Roman"/>
          <w:b/>
          <w:color w:val="000000"/>
          <w:sz w:val="24"/>
        </w:rPr>
        <w:t xml:space="preserve">Transition Services Fee after the Transition Period. </w:t>
      </w:r>
      <w:r>
        <w:rPr>
          <w:rFonts w:ascii="Times New Roman" w:hAnsi="Times New Roman"/>
          <w:color w:val="000000"/>
          <w:sz w:val="24"/>
        </w:rPr>
        <w:t xml:space="preserve">AstraZeneca shall complete the activities in Sections 4.1.1, 4.1.2, and 4.2 of this Termination Agreement during the Transition Period, using such diligence standards as set forth in such Sections. [*]. AstraZeneca shall keep complete and accurate financial books and records documenting [*]. Such records shall be kept in compliance with Applicable Law.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Transfer of Regulatory Activities and Assets.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4.2.1</w:t>
      </w:r>
    </w:p>
    <w:p>
      <w:pPr>
        <w:pStyle w:val="TextBody"/>
        <w:bidi w:val="0"/>
        <w:spacing w:before="0" w:after="240"/>
        <w:jc w:val="both"/>
        <w:rPr/>
      </w:pPr>
      <w:r>
        <w:rPr>
          <w:rFonts w:ascii="Times New Roman" w:hAnsi="Times New Roman"/>
          <w:b/>
          <w:color w:val="000000"/>
          <w:sz w:val="24"/>
        </w:rPr>
        <w:t>Regulatory Communications.</w:t>
      </w:r>
      <w:r>
        <w:rPr>
          <w:color w:val="000000"/>
        </w:rPr>
        <w:t xml:space="preserve"> </w:t>
      </w:r>
      <w:r>
        <w:rPr>
          <w:rFonts w:ascii="Times New Roman" w:hAnsi="Times New Roman"/>
          <w:color w:val="000000"/>
          <w:sz w:val="24"/>
        </w:rPr>
        <w:t xml:space="preserve">Except as otherwise required by Applicable Law or as otherwise provided for in Sections 4.1.2 and 4.2.2 of this Termination Agreement, FibroGen shall, from the actual Transfer Date for each Applicable Regulatory Approval, have all rights and responsibilities with regard to regulatory communications with respect to the Development, manufacture, or Commercialization of Products in the Territory, excluding in South Korea (for which AstraZeneca shall retain such rights and responsibilities as set out in the Collaboration Agreement). For markets in which the license was withdrawn or terminated, all regulatory communications following withdrawal/termination shall be directed to FibroGen if the authority contacts AstraZeneca.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4.2.2</w:t>
      </w:r>
    </w:p>
    <w:p>
      <w:pPr>
        <w:pStyle w:val="TextBody"/>
        <w:bidi w:val="0"/>
        <w:spacing w:before="0" w:after="240"/>
        <w:jc w:val="both"/>
        <w:rPr/>
      </w:pPr>
      <w:r>
        <w:rPr>
          <w:rFonts w:ascii="Times New Roman" w:hAnsi="Times New Roman"/>
          <w:b/>
          <w:color w:val="000000"/>
          <w:sz w:val="24"/>
        </w:rPr>
        <w:t>Transfer of Regulatory Materials and Approvals.</w:t>
      </w:r>
      <w:r>
        <w:rPr>
          <w:color w:val="000000"/>
        </w:rPr>
        <w:t xml:space="preserve"> </w:t>
      </w:r>
      <w:r>
        <w:rPr>
          <w:rFonts w:ascii="Times New Roman" w:hAnsi="Times New Roman"/>
          <w:color w:val="000000"/>
          <w:sz w:val="24"/>
        </w:rPr>
        <w:t xml:space="preserve">Pursuant to Section 13.6(d) of the Collaboration Agreement, and subject to Section 4.1.2 of this Termination Agreement, unless FibroGen determines that a Held Regulatory Approval or any application in respect of the Regulatory Approvals Under Review are to be withdrawn in a particular country of the Terminated Territory, AstraZeneca shall transfer and assign to FibroGen all (i) Held Regulatory Approvals (which for clarity excludes the Regulatory Approvals for South Korea) and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rFonts w:ascii="Times New Roman" w:hAnsi="Times New Roman"/>
          <w:color w:val="000000"/>
          <w:sz w:val="24"/>
        </w:rPr>
        <w:t>all applications in respect of the Regulatory Approvals Under Review and (ii) all Regulatory Materials that relate solely and specifically to the Terminated Territory (which for clarity excludes any Regulatory Materials that solely relate to South Korea) (to the extent not transferred and assigned pursuant to (i)) in respect of the Applicable Regulatory Approvals for the Products, in each case (i) and (ii) that are Controlled at the Termination Agreement Effective Date by AstraZeneca or its Affiliates or Sublicensees. AstraZeneca may provide such Regulatory Materials in electronic form or, if such Regulatory Materials exist only in paper form, in either such paper form or as an electronic scan thereof. The Parties shall cooperate in good faith to effect the transfer of the Held Regulatory Approvals (which are not agreed to be withdrawn) [*]. During the Transition Period (or if shorter with respect to a Held Regulatory Approval, until the Transfer Date of such Held Regulatory Approval), at FibroGen’s written request, AstraZeneca, to the extent it remains the holder of the applicable Held Regulatory Approval, will provide FibroGen or one of its Affiliates with a power of attorney or delegation of authority in a form agreed by the Parties to permit FibroGen or one of its Affiliates to lawfully perform those Regulatory Approval holder related activities, as provided in the written request from FibroGen, on behalf of AstraZeneca, or its Affiliates, in order to permit FibroGen to maintain the applicable Held Regulatory Approval and to perform all such obligations as a holder of the Held Regulatory Approval as may be delegated under Applicable Law.</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4.2.3</w:t>
      </w:r>
    </w:p>
    <w:p>
      <w:pPr>
        <w:pStyle w:val="TextBody"/>
        <w:bidi w:val="0"/>
        <w:spacing w:before="0" w:after="240"/>
        <w:jc w:val="both"/>
        <w:rPr/>
      </w:pPr>
      <w:r>
        <w:rPr>
          <w:rFonts w:ascii="Times New Roman" w:hAnsi="Times New Roman"/>
          <w:b/>
          <w:color w:val="000000"/>
          <w:sz w:val="24"/>
        </w:rPr>
        <w:t xml:space="preserve">Marks. </w:t>
      </w:r>
      <w:r>
        <w:rPr>
          <w:rFonts w:ascii="Times New Roman" w:hAnsi="Times New Roman"/>
          <w:color w:val="000000"/>
          <w:sz w:val="24"/>
        </w:rPr>
        <w:t>Pursuant to Section 13.6(c) of the Collaboration Agreement, AstraZeneca hereby assigns to FibroGen all of its right, title and interest in and to the Marks [*] (such Marks the “</w:t>
      </w:r>
      <w:r>
        <w:rPr>
          <w:rFonts w:ascii="Times New Roman" w:hAnsi="Times New Roman"/>
          <w:b/>
          <w:color w:val="000000"/>
          <w:sz w:val="24"/>
        </w:rPr>
        <w:t>Assigned Marks</w:t>
      </w:r>
      <w:r>
        <w:rPr>
          <w:color w:val="000000"/>
        </w:rPr>
        <w:t>”</w:t>
      </w:r>
      <w:r>
        <w:rPr>
          <w:rFonts w:ascii="Times New Roman" w:hAnsi="Times New Roman"/>
          <w:color w:val="000000"/>
          <w:sz w:val="24"/>
        </w:rPr>
        <w:t xml:space="preserve">) and all goodwill associated therewith. The Parties shall use their respective commercially reasonable efforts to execute the Trade Mark Assignment Agreements with respect to the Assigned Marks within the Transition Period, and AstraZeneca shall perform such other legal acts and execute such other documents as reasonably requested by FibroGen to evidence, perfect and record such assignments.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5</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REVERSION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pPr>
      <w:r>
        <w:rPr>
          <w:rFonts w:ascii="Times New Roman" w:hAnsi="Times New Roman"/>
          <w:b/>
          <w:color w:val="000000"/>
          <w:sz w:val="24"/>
        </w:rPr>
        <w:t>License Grants to FibroGen.</w:t>
      </w:r>
      <w:r>
        <w:rPr>
          <w:color w:val="000000"/>
        </w:rPr>
        <w:t xml:space="preserve"> </w:t>
      </w:r>
      <w:r>
        <w:rPr>
          <w:rFonts w:ascii="Times New Roman" w:hAnsi="Times New Roman"/>
          <w:color w:val="000000"/>
          <w:sz w:val="24"/>
        </w:rPr>
        <w:t xml:space="preserve">For clarity, Section 13.6(b) of the Collaboration Agreement shall survive termination and shall apply, provided that such license grant to FibroGen shall not grant rights under the AstraZeneca Technology to (i) conduct clinical trials of, offer for sale, and sell Products in or for South Korea; or (ii) research, develop, make, have made, use or import Products in South Korea for the commercialization or other exploitation of Products in South Korea. Notwithstanding the foregoing, AstraZeneca represents and warrants that there are no AstraZeneca Patents, no Joint Patents and no Joint Inventions, and that the scope of the AstraZeneca Technology which FibroGen is granted a license pursuant to Section 13.6(b) of the Collaboration Agreement and this Section 5.1 is limited to AstraZeneca Know-How.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pPr>
      <w:r>
        <w:rPr>
          <w:rFonts w:ascii="Times New Roman" w:hAnsi="Times New Roman"/>
          <w:b/>
          <w:color w:val="000000"/>
          <w:sz w:val="24"/>
        </w:rPr>
        <w:t xml:space="preserve">Sublicenses. </w:t>
      </w:r>
      <w:r>
        <w:rPr>
          <w:rFonts w:ascii="Times New Roman" w:hAnsi="Times New Roman"/>
          <w:color w:val="000000"/>
          <w:sz w:val="24"/>
        </w:rPr>
        <w:t>Subject to the terms and conditions of this Termination Agreement and any surviving terms of the Collaboration Agreement, FibroGen shall have the right to grant sublicenses through multiple tiers of sublicenses under the license pursuant to Section 5.1 hereof. If FibroGen grants a (sub)license to an entity that is not an Affiliate of FibroGen, such entity (and any other entity to which such first entity grants a further sublicense, directly or indirectly, through all tiers of sublicenses) shall be a “Reversion Sublicensee” for the purposes of this Termination Agreement.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pPr>
      <w:r>
        <w:rPr>
          <w:rFonts w:ascii="Times New Roman" w:hAnsi="Times New Roman"/>
          <w:b/>
          <w:color w:val="000000"/>
          <w:sz w:val="24"/>
        </w:rPr>
        <w:t>Grant Back Rights</w:t>
      </w:r>
      <w:r>
        <w:rPr>
          <w:rFonts w:ascii="Times New Roman" w:hAnsi="Times New Roman"/>
          <w:color w:val="000000"/>
          <w:sz w:val="24"/>
        </w:rPr>
        <w:t xml:space="preserve">.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5.4</w:t>
      </w:r>
    </w:p>
    <w:p>
      <w:pPr>
        <w:pStyle w:val="TextBody"/>
        <w:bidi w:val="0"/>
        <w:spacing w:before="0" w:after="240"/>
        <w:jc w:val="both"/>
        <w:rPr/>
      </w:pPr>
      <w:r>
        <w:rPr>
          <w:rFonts w:ascii="Times New Roman" w:hAnsi="Times New Roman"/>
          <w:b/>
          <w:color w:val="000000"/>
          <w:sz w:val="24"/>
        </w:rPr>
        <w:t>Further Assistance</w:t>
      </w:r>
      <w:r>
        <w:rPr>
          <w:rFonts w:ascii="Times New Roman" w:hAnsi="Times New Roman"/>
          <w:color w:val="000000"/>
          <w:sz w:val="24"/>
        </w:rPr>
        <w:t>. [*], the Parties agree to work in good faith to provide assistance as may be requested from time to time by the other Party with respect to any regulatory activities or communications with the applicable Regulatory Authorities regarding the manufacture of Products in the Terminated Territory or in the AZ Territory, respectively, as well as access to and/or reference to Regulatory Documentation, as defined in the SPA.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PROSECUTION, MAINTENANCE AND ENFORCEMENT OF PATENTS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b/>
          <w:color w:val="000000"/>
          <w:sz w:val="24"/>
        </w:rPr>
        <w:t>Licensed Patents and Joint Patents.</w:t>
      </w:r>
      <w:r>
        <w:rPr>
          <w:color w:val="000000"/>
        </w:rPr>
        <w:t xml:space="preserve"> </w:t>
      </w:r>
      <w:r>
        <w:rPr>
          <w:rFonts w:ascii="Times New Roman" w:hAnsi="Times New Roman"/>
          <w:color w:val="000000"/>
          <w:sz w:val="24"/>
        </w:rPr>
        <w:t>Subject to Section 6.2 of this Termination Agreement, the Parties acknowledge and agree that, from and after the Termination Agreement Effective Date, AstraZeneca’s rights and obligations with respect to obtaining, prosecuting, maintaining, enforcing and defending the FibroGen Patents and Joint Patents in the Field in the Terminated Territory and costs incurred with respect thereafter hereby terminate.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rPr>
        <w:t>Licensed Patents and Joint Patents in South Korea.</w:t>
      </w:r>
      <w:r>
        <w:rPr>
          <w:color w:val="000000"/>
        </w:rPr>
        <w:t xml:space="preserve"> </w:t>
      </w:r>
      <w:r>
        <w:rPr>
          <w:rFonts w:ascii="Times New Roman" w:hAnsi="Times New Roman"/>
          <w:color w:val="000000"/>
          <w:sz w:val="24"/>
        </w:rPr>
        <w:t>Notwithstanding Section 6.1 of this Termination Agreement, each Party’s respective rights and obligations with respect to obtaining, prosecuting, maintaining, enforcing and defending the FibroGen Patents and Joint Patents in the Field in South Korea as set forth in Section 9.4, Section 9.5 and Section 9.6 of the Collaboration Agreement shall continue to apply and shall not be terminated hereunder.</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7</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 xml:space="preserve">FINANCIAL TERMS; SETTLEMENT AND RELEASE; COVENANT NOT TO SUE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pPr>
      <w:r>
        <w:rPr>
          <w:rFonts w:ascii="Times New Roman" w:hAnsi="Times New Roman"/>
          <w:b/>
          <w:color w:val="000000"/>
          <w:sz w:val="24"/>
        </w:rPr>
        <w:t>Astellas Revenues.</w:t>
      </w:r>
      <w:r>
        <w:rPr>
          <w:color w:val="000000"/>
        </w:rPr>
        <w:t xml:space="preserve"> </w:t>
      </w:r>
      <w:r>
        <w:rPr>
          <w:rFonts w:ascii="Times New Roman" w:hAnsi="Times New Roman"/>
          <w:color w:val="000000"/>
          <w:sz w:val="24"/>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0" w:after="240"/>
        <w:jc w:val="both"/>
        <w:rPr/>
      </w:pPr>
      <w:r>
        <w:rPr>
          <w:rFonts w:ascii="Times New Roman" w:hAnsi="Times New Roman"/>
          <w:b/>
          <w:color w:val="000000"/>
          <w:sz w:val="24"/>
        </w:rPr>
        <w:t>Other Partnering Revenue. [</w:t>
      </w:r>
      <w:r>
        <w:rPr>
          <w:rFonts w:ascii="Times New Roman" w:hAnsi="Times New Roman"/>
          <w:color w:val="000000"/>
          <w:sz w:val="24"/>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Revenue Share in the Event FibroGen Sells Business or Assets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w:t>
      </w:r>
    </w:p>
    <w:p>
      <w:pPr>
        <w:pStyle w:val="TextBody"/>
        <w:bidi w:val="0"/>
        <w:spacing w:before="0" w:after="240"/>
        <w:jc w:val="both"/>
        <w:rPr/>
      </w:pPr>
      <w:r>
        <w:rPr>
          <w:rFonts w:ascii="Times New Roman" w:hAnsi="Times New Roman"/>
          <w:b/>
          <w:color w:val="000000"/>
          <w:sz w:val="24"/>
        </w:rPr>
        <w:t xml:space="preserve">Royalty in the Event FibroGen Commercializes the Product Itself in the Terminated Territory. </w:t>
      </w:r>
      <w:r>
        <w:rPr>
          <w:rFonts w:ascii="Times New Roman" w:hAnsi="Times New Roman"/>
          <w:color w:val="000000"/>
          <w:sz w:val="24"/>
        </w:rPr>
        <w:t>[*]</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7.7</w:t>
      </w:r>
    </w:p>
    <w:p>
      <w:pPr>
        <w:pStyle w:val="TextBody"/>
        <w:bidi w:val="0"/>
        <w:spacing w:before="0" w:after="240"/>
        <w:jc w:val="both"/>
        <w:rPr/>
      </w:pPr>
      <w:r>
        <w:rPr>
          <w:rFonts w:ascii="Times New Roman" w:hAnsi="Times New Roman"/>
          <w:b/>
          <w:color w:val="000000"/>
          <w:sz w:val="24"/>
        </w:rPr>
        <w:t>AstraZeneca Product Payment Amount.</w:t>
      </w:r>
      <w:r>
        <w:rPr>
          <w:color w:val="000000"/>
        </w:rPr>
        <w:t xml:space="preserve"> </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7.9</w:t>
      </w:r>
    </w:p>
    <w:p>
      <w:pPr>
        <w:pStyle w:val="TextBody"/>
        <w:bidi w:val="0"/>
        <w:spacing w:before="0" w:after="240"/>
        <w:jc w:val="both"/>
        <w:rPr/>
      </w:pPr>
      <w:r>
        <w:rPr>
          <w:rFonts w:ascii="Times New Roman" w:hAnsi="Times New Roman"/>
          <w:b/>
          <w:color w:val="000000"/>
          <w:sz w:val="24"/>
        </w:rPr>
        <w:t xml:space="preserve">Payment Procedures. </w:t>
      </w:r>
      <w:r>
        <w:rPr>
          <w:rFonts w:ascii="Times New Roman" w:hAnsi="Times New Roman"/>
          <w:color w:val="000000"/>
          <w:sz w:val="24"/>
        </w:rPr>
        <w:t xml:space="preserve">The provisions set out in Sections 8.9-8.15 of the Collaboration Agreement (which for the avoidance of doubt shall survive Termination) shall apply </w:t>
      </w:r>
      <w:r>
        <w:rPr>
          <w:rFonts w:ascii="Times New Roman" w:hAnsi="Times New Roman"/>
          <w:i/>
          <w:color w:val="000000"/>
          <w:sz w:val="24"/>
        </w:rPr>
        <w:t>mutatis mutandis</w:t>
      </w:r>
      <w:r>
        <w:rPr>
          <w:color w:val="000000"/>
        </w:rPr>
        <w:t xml:space="preserve"> </w:t>
      </w:r>
      <w:r>
        <w:rPr>
          <w:rFonts w:ascii="Times New Roman" w:hAnsi="Times New Roman"/>
          <w:color w:val="000000"/>
          <w:sz w:val="24"/>
        </w:rPr>
        <w:t>to the calculation, payment, recording, and auditing of each Party’s obligations to pay the other Party under this Termination Agreement as they apply to AstraZeneca and, solely for such purpose in respect of the FibroGen Reimbursement Amount, the Astellas Revenues, the Partnering Revenues, the Astellas Business Sale Revenue, the Third Party Business Sale Revenue, any royalties due under Section 7.5 of this Termination Agreement and any amounts due under Section 7.1 of this Termination Agreement each reference in each such Section of this Termination Agreement (and any related definitions) to AstraZeneca shall be deemed to be a reference to FibroGen. Other than the AstraZeneca Product Payment Amount due under Section 7.7 hereof or the FibroGen Reimbursement Amount due under Section 7.8 hereof,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7.10</w:t>
      </w:r>
    </w:p>
    <w:p>
      <w:pPr>
        <w:pStyle w:val="TextBody"/>
        <w:bidi w:val="0"/>
        <w:spacing w:before="0" w:after="240"/>
        <w:jc w:val="both"/>
        <w:rPr/>
      </w:pPr>
      <w:r>
        <w:rPr>
          <w:rFonts w:ascii="Times New Roman" w:hAnsi="Times New Roman"/>
          <w:b/>
          <w:color w:val="000000"/>
          <w:sz w:val="24"/>
        </w:rPr>
        <w:t>Settlement and Release.</w:t>
      </w:r>
      <w:r>
        <w:rPr>
          <w:color w:val="000000"/>
        </w:rPr>
        <w:t xml:space="preserve"> </w:t>
      </w:r>
      <w:r>
        <w:rPr>
          <w:rFonts w:ascii="Times New Roman" w:hAnsi="Times New Roman"/>
          <w:color w:val="000000"/>
          <w:sz w:val="24"/>
        </w:rPr>
        <w:t>Except in respect of any claims under ARTICLE 8 of this Termination Agreement, each Party, on behalf of itself, its Affiliates, each and all of its and their respective past, present and future officers, directors, shareholders, interest holders, members, partners, attorneys, consultants, advisors, agents, employees, managers and representatives, and each and all of its and their respective predecessors, successors in interest, assigns, personal representatives, heirs, executors, estates, administrators, trusts and beneficiaries, and all persons acting by, through, under, or in concert with any of them, and each of them (collectively, the “</w:t>
      </w:r>
      <w:r>
        <w:rPr>
          <w:rFonts w:ascii="Times New Roman" w:hAnsi="Times New Roman"/>
          <w:b/>
          <w:color w:val="000000"/>
          <w:sz w:val="24"/>
        </w:rPr>
        <w:t>Releasing Parties</w:t>
      </w:r>
      <w:r>
        <w:rPr>
          <w:color w:val="000000"/>
        </w:rPr>
        <w:t>”</w:t>
      </w:r>
      <w:r>
        <w:rPr>
          <w:rFonts w:ascii="Times New Roman" w:hAnsi="Times New Roman"/>
          <w:color w:val="000000"/>
          <w:sz w:val="24"/>
        </w:rPr>
        <w:t>), hereby releases the other Party, its Affiliates, its predecessors, successors, assigns, each and all of its and their respective past, present and future officers, directors, shareholders, interest holders, members, partners, attorneys, consultants, advisors, agents, employees, managers and representatives, and each and all of its and their respective predecessors, successors in interest, assigns, personal representatives, heirs, executors, estates, administrators, trusts and beneficiaries, and all persons acting by, through, under, or in concert with any of them, and each of them (the “</w:t>
      </w:r>
      <w:r>
        <w:rPr>
          <w:rFonts w:ascii="Times New Roman" w:hAnsi="Times New Roman"/>
          <w:b/>
          <w:color w:val="000000"/>
          <w:sz w:val="24"/>
        </w:rPr>
        <w:t>Released Parties</w:t>
      </w:r>
      <w:r>
        <w:rPr>
          <w:color w:val="000000"/>
        </w:rPr>
        <w:t>”</w:t>
      </w:r>
      <w:r>
        <w:rPr>
          <w:rFonts w:ascii="Times New Roman" w:hAnsi="Times New Roman"/>
          <w:color w:val="000000"/>
          <w:sz w:val="24"/>
        </w:rPr>
        <w:t>) from any and all past, present and future claims, demands, rights, actions or causes of action, liabilities, charges, complaints, grievances, obligations, promises, controversies, debts, costs, penalties, fees, damages, losses, obligations, judgments, suits, matters, and issues of any kind or nature whatsoever, whether known or unknown, contingent or absolute, disclosed or undisclosed, material or immaterial, matured or unmatured, and that have been, could have been, or in the future could or might be asserted by or on behalf of any Releasing Party, whether individual, class, derivative, representative, legal, equitable, or any other type or in any other capacity under federal, state or local constitutions, laws, ordinances, regulations, orders or common law (“</w:t>
      </w:r>
      <w:r>
        <w:rPr>
          <w:rFonts w:ascii="Times New Roman" w:hAnsi="Times New Roman"/>
          <w:b/>
          <w:color w:val="000000"/>
          <w:sz w:val="24"/>
        </w:rPr>
        <w:t>Claims</w:t>
      </w:r>
      <w:r>
        <w:rPr>
          <w:color w:val="000000"/>
        </w:rPr>
        <w:t>”</w:t>
      </w:r>
      <w:r>
        <w:rPr>
          <w:rFonts w:ascii="Times New Roman" w:hAnsi="Times New Roman"/>
          <w:color w:val="000000"/>
          <w:sz w:val="24"/>
        </w:rPr>
        <w:t>) relating to or arising out of, under or in connection with the Agreements or their termination; [*]; and provided, that neither Party hereby releases the other from any Claims arising under this Termination Agreement or claims arising from events, acts or omissions in the future with respect to South Korea.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7.11</w:t>
      </w:r>
    </w:p>
    <w:p>
      <w:pPr>
        <w:pStyle w:val="TextBody"/>
        <w:bidi w:val="0"/>
        <w:spacing w:before="0" w:after="240"/>
        <w:jc w:val="both"/>
        <w:rPr/>
      </w:pPr>
      <w:r>
        <w:rPr>
          <w:rFonts w:ascii="Times New Roman" w:hAnsi="Times New Roman"/>
          <w:b/>
          <w:color w:val="000000"/>
          <w:sz w:val="24"/>
        </w:rPr>
        <w:t>Covenant Not to Sue.</w:t>
      </w:r>
      <w:r>
        <w:rPr>
          <w:color w:val="000000"/>
        </w:rPr>
        <w:t xml:space="preserve"> </w:t>
      </w:r>
      <w:r>
        <w:rPr>
          <w:rFonts w:ascii="Times New Roman" w:hAnsi="Times New Roman"/>
          <w:color w:val="000000"/>
          <w:sz w:val="24"/>
        </w:rPr>
        <w:t xml:space="preserve">Except in respect to indemnification rights under ARTICLE 8 of this Termination Agreement, each Party covenants and agrees not to commence, aid, prosecute, or cause to be commenced or prosecuted any action or other proceeding, based upon any Claims relating to, arising out of, under, or in connection with the matters subject to mutual release as set forth in Section 7.10 of this Termination Agreement, and each Party further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covenants and agrees to hold harmless and indemnify the other Party in respect of all such Claims (including all court costs and reasonable attorneys’ fees), suffered, sustained, incurred, or required to be paid by such other Party from or in connection with any such action or proceeding.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7.12</w:t>
      </w:r>
    </w:p>
    <w:p>
      <w:pPr>
        <w:pStyle w:val="TextBody"/>
        <w:bidi w:val="0"/>
        <w:spacing w:before="0" w:after="240"/>
        <w:jc w:val="both"/>
        <w:rPr/>
      </w:pPr>
      <w:r>
        <w:rPr>
          <w:rFonts w:ascii="Times New Roman" w:hAnsi="Times New Roman"/>
          <w:b/>
          <w:color w:val="000000"/>
          <w:sz w:val="24"/>
        </w:rPr>
        <w:t>No Outstanding or Known Future Claims/Causes of Action; Unknown Claims</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Party affirms that neither it nor any other of its respective Releasing Parties has filed with any governmental authority any type of action, suit, proceeding or report against any Released Party, and such Party currently knows of no existing act or omission, with respect to a Claim subject to mutual release as set forth in Section 7.10 hereof.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 respect to the releases set forth in Section 7.10 of this Termination Agreement, each Party, on behalf of itself and its respective Releasing Parties, (a) expressly understands, acknowledges, and assumes the risk that, with respect to the Claims subject to mutual release as set forth in Section 7.10 hereof, claims may exist [*] but currently be unknown, that claims may be suspected but currently be undetermined, that claims may not have been asserted, or that losses resulting from any such claims may be currently unknown or overestimated or underestimated in amount or severity, and each Party has taken the possibility of unknown, suspected, unasserted, underestimated, or overestimated claims into account in determining the consideration provided by the other Party in exchange for the releases provided herein; and (b) acknowledges that it may discover facts in addition to or different from those now known or believed to be true with respect to the settled Claims subject to mutual release as set forth in Section 7.10 hereof, but that it is such Party’s intention, on behalf of itself and its respective Releasing Parties, to hereby completely, fully, finally, and forever compromise, settle, release, discharge, and extinguish any and all claims known or unknown, suspected or unsuspected, which now exist, or heretofore existed, or may hereafter exist, and without regard to the subsequent discovery or existence of additional or different facts, in each case, with respect to the Claims subject to mutual release as set forth in Section 7.10 hereof.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generality of the foregoing, with respect to the releases set forth in Section 7.10 of this Termination Agreement, the Releasing Parties shall be deemed by operation of law to have relinquished to the full extent permitted by law, the provisions, rights, and benefits of any statutory provision or common law rule indicating that a general release does not extend to claims which a creditor does not know or suspect to exist in his or her favor at the time of executing the release and which, if known by him or her, must have materially affected his or her settlement with the debtor, including, to the extent it is applicable, and to the fullest extent permitted by law, the provisions, rights, and benefits of § 1542 of the California Civil Code which provides: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represents and warrants that it has read and understands §1542 of the California Civil Code and has had the opportunity to consult with and be advised by counsel regarding its meaning and effect.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7.13</w:t>
      </w:r>
    </w:p>
    <w:p>
      <w:pPr>
        <w:pStyle w:val="TextBody"/>
        <w:bidi w:val="0"/>
        <w:spacing w:before="0" w:after="240"/>
        <w:jc w:val="both"/>
        <w:rPr/>
      </w:pPr>
      <w:r>
        <w:rPr>
          <w:rFonts w:ascii="Times New Roman" w:hAnsi="Times New Roman"/>
          <w:b/>
          <w:color w:val="000000"/>
          <w:sz w:val="24"/>
        </w:rPr>
        <w:t>Compromise Agreement.</w:t>
      </w:r>
      <w:r>
        <w:rPr>
          <w:color w:val="000000"/>
        </w:rPr>
        <w:t xml:space="preserve"> </w:t>
      </w:r>
      <w:r>
        <w:rPr>
          <w:rFonts w:ascii="Times New Roman" w:hAnsi="Times New Roman"/>
          <w:color w:val="000000"/>
          <w:sz w:val="24"/>
        </w:rPr>
        <w:t xml:space="preserve">This Termination Agreement is, in part, a compromise and final settlement of disputed claims. This Termination Agreement and all negotiations, statements, and proceedings in connection therewith are not, will not be argued to be, and will not be deemed to be, a presumption, a concession, or an admission by either Party of any fault, liability, or wrongdoing, or lack thereof, as to any fact or claim alleged or asserted in or in connection with the Claims subject to mutual release as set forth in Section 7.10 of this Termination Agreement, and will not be interpreted, construed, deemed, invoked, offered, or received in evidence, or otherwise used by any Party or any other person in this or any other action, suit or proceeding, whether civil, criminal, or administrative, except in a proceeding to enforce the terms and conditions of this Termination Agreement.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8</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INDEMNITY</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w:t>
      </w:r>
    </w:p>
    <w:p>
      <w:pPr>
        <w:pStyle w:val="TextBody"/>
        <w:bidi w:val="0"/>
        <w:spacing w:before="0" w:after="240"/>
        <w:jc w:val="both"/>
        <w:rPr/>
      </w:pPr>
      <w:r>
        <w:rPr>
          <w:rFonts w:ascii="Times New Roman" w:hAnsi="Times New Roman"/>
          <w:b/>
          <w:color w:val="000000"/>
          <w:sz w:val="24"/>
        </w:rPr>
        <w:t>Indemnification of AstraZeneca.</w:t>
      </w:r>
      <w:r>
        <w:rPr>
          <w:color w:val="000000"/>
        </w:rPr>
        <w:t xml:space="preserve"> </w:t>
      </w:r>
      <w:r>
        <w:rPr>
          <w:rFonts w:ascii="Times New Roman" w:hAnsi="Times New Roman"/>
          <w:color w:val="000000"/>
          <w:sz w:val="24"/>
        </w:rPr>
        <w:t>In addition to any other remedy available to AstraZeneca, FibroGen shall indemnify, defend and hold harmless AstraZeneca, its Affiliates, and their respective officers, directors, employees, and agents (“</w:t>
      </w:r>
      <w:r>
        <w:rPr>
          <w:rFonts w:ascii="Times New Roman" w:hAnsi="Times New Roman"/>
          <w:b/>
          <w:color w:val="000000"/>
          <w:sz w:val="24"/>
        </w:rPr>
        <w:t>AstraZeneca Indemnitees</w:t>
      </w:r>
      <w:r>
        <w:rPr>
          <w:color w:val="000000"/>
        </w:rPr>
        <w:t>”</w:t>
      </w:r>
      <w:r>
        <w:rPr>
          <w:rFonts w:ascii="Times New Roman" w:hAnsi="Times New Roman"/>
          <w:color w:val="000000"/>
          <w:sz w:val="24"/>
        </w:rPr>
        <w:t>), from and against any and all damages or other amounts payable to a Third Party claimant, as well as any reasonable attorneys’ fees and costs of litigation incurred by such AstraZeneca Indemnitees (“</w:t>
      </w:r>
      <w:r>
        <w:rPr>
          <w:rFonts w:ascii="Times New Roman" w:hAnsi="Times New Roman"/>
          <w:b/>
          <w:color w:val="000000"/>
          <w:sz w:val="24"/>
        </w:rPr>
        <w:t>Losses</w:t>
      </w:r>
      <w:r>
        <w:rPr>
          <w:color w:val="000000"/>
        </w:rPr>
        <w:t>”</w:t>
      </w:r>
      <w:r>
        <w:rPr>
          <w:rFonts w:ascii="Times New Roman" w:hAnsi="Times New Roman"/>
          <w:color w:val="000000"/>
          <w:sz w:val="24"/>
        </w:rPr>
        <w:t>), all to the extent resulting from claims, suits, proceedings or causes of action brought by such Third Party (“</w:t>
      </w:r>
      <w:r>
        <w:rPr>
          <w:rFonts w:ascii="Times New Roman" w:hAnsi="Times New Roman"/>
          <w:b/>
          <w:color w:val="000000"/>
          <w:sz w:val="24"/>
        </w:rPr>
        <w:t>Claims</w:t>
      </w:r>
      <w:r>
        <w:rPr>
          <w:color w:val="000000"/>
        </w:rPr>
        <w:t>”</w:t>
      </w:r>
      <w:r>
        <w:rPr>
          <w:rFonts w:ascii="Times New Roman" w:hAnsi="Times New Roman"/>
          <w:color w:val="000000"/>
          <w:sz w:val="24"/>
        </w:rPr>
        <w:t xml:space="preserve">) against such AstraZeneca Indemnitee that arise from or are based on: (i) any breach by FibroGen of this Termination Agreement, or (ii) the negligence or willful misconduct on the part of any FibroGen Indemnitee in performing any activity contemplated by this Termination Agreement, or (iii) the Development, testing, manufacture, storage, handling, use, sale, offer for sale, distribution and importation of Products in each case, in the Terminated Territory (including South Korea in the event the Collaboration Agreement is terminated with respect to South Korea) [*]; except in each case to the extent that any such Claim, claim or suit is based on or alleges: (x) any breach by AstraZeneca of this Termination Agreement, or (y) the negligence or willful misconduct on the part of any AstraZeneca Indemnitee in performing any activity contemplated by this Termination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w:t>
      </w:r>
    </w:p>
    <w:p>
      <w:pPr>
        <w:pStyle w:val="TextBody"/>
        <w:bidi w:val="0"/>
        <w:spacing w:before="0" w:after="240"/>
        <w:jc w:val="both"/>
        <w:rPr/>
      </w:pPr>
      <w:r>
        <w:rPr>
          <w:rFonts w:ascii="Times New Roman" w:hAnsi="Times New Roman"/>
          <w:b/>
          <w:color w:val="000000"/>
          <w:sz w:val="24"/>
        </w:rPr>
        <w:t>Indemnification of FibroGen</w:t>
      </w:r>
      <w:r>
        <w:rPr>
          <w:rFonts w:ascii="Times New Roman" w:hAnsi="Times New Roman"/>
          <w:color w:val="000000"/>
          <w:sz w:val="24"/>
        </w:rPr>
        <w:t>. In addition to any other remedy available to FibroGen, AstraZeneca shall, indemnify, defend and hold harmless FibroGen, its Affiliates, and their respective officers, directors, employees, and agents (“</w:t>
      </w:r>
      <w:r>
        <w:rPr>
          <w:rFonts w:ascii="Times New Roman" w:hAnsi="Times New Roman"/>
          <w:b/>
          <w:color w:val="000000"/>
          <w:sz w:val="24"/>
        </w:rPr>
        <w:t>FibroGen Indemnitees</w:t>
      </w:r>
      <w:r>
        <w:rPr>
          <w:color w:val="000000"/>
        </w:rPr>
        <w:t>”</w:t>
      </w:r>
      <w:r>
        <w:rPr>
          <w:rFonts w:ascii="Times New Roman" w:hAnsi="Times New Roman"/>
          <w:color w:val="000000"/>
          <w:sz w:val="24"/>
        </w:rPr>
        <w:t xml:space="preserve">), from and against any and all Losses to the extent resulting from Claims against such FibroGen Indemnitee that arise from or are based on: (a) any breach by AstraZeneca of this Termination Agreement, (b) the negligence or willful misconduct on the part of any AstraZeneca Indemnitee in performing any activity contemplated by this Termination Agreement, or (c) the Development, testing, manufacture, storage, handling, use, sale, offer for sale, distribution and importation of Products in each case, in or for South Korea prior to termination of the Collaboration Agreement with respect to South Korea by or on behalf of AstraZeneca, any of its Affiliates or any of its licensees (except FibroGen or its Affiliates), except in each case to the extent that any such Claim is based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rFonts w:ascii="Times New Roman" w:hAnsi="Times New Roman"/>
          <w:color w:val="000000"/>
          <w:sz w:val="24"/>
        </w:rPr>
        <w:t>on or alleges: (i) any breach by FibroGen of this Termination Agreement, or (ii) the negligence or willful misconduct on the part of any FibroGen Indemnitee in performing any activity contemplated by this Termination Agreement.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w:t>
      </w:r>
    </w:p>
    <w:p>
      <w:pPr>
        <w:pStyle w:val="TextBody"/>
        <w:bidi w:val="0"/>
        <w:spacing w:before="0" w:after="240"/>
        <w:jc w:val="both"/>
        <w:rPr/>
      </w:pPr>
      <w:r>
        <w:rPr>
          <w:rFonts w:ascii="Times New Roman" w:hAnsi="Times New Roman"/>
          <w:b/>
          <w:color w:val="000000"/>
          <w:sz w:val="24"/>
        </w:rPr>
        <w:t>Indemnification Procedure.</w:t>
      </w:r>
      <w:r>
        <w:rPr>
          <w:color w:val="000000"/>
        </w:rPr>
        <w:t xml:space="preserve"> </w:t>
      </w:r>
      <w:r>
        <w:rPr>
          <w:rFonts w:ascii="Times New Roman" w:hAnsi="Times New Roman"/>
          <w:color w:val="000000"/>
          <w:sz w:val="24"/>
        </w:rPr>
        <w:t>The Party claiming indemnity under this Article 7 (the “</w:t>
      </w:r>
      <w:r>
        <w:rPr>
          <w:rFonts w:ascii="Times New Roman" w:hAnsi="Times New Roman"/>
          <w:b/>
          <w:color w:val="000000"/>
          <w:sz w:val="24"/>
        </w:rPr>
        <w:t>Indemnified Party</w:t>
      </w:r>
      <w:r>
        <w:rPr>
          <w:color w:val="000000"/>
        </w:rPr>
        <w:t>”</w:t>
      </w:r>
      <w:r>
        <w:rPr>
          <w:rFonts w:ascii="Times New Roman" w:hAnsi="Times New Roman"/>
          <w:color w:val="000000"/>
          <w:sz w:val="24"/>
        </w:rPr>
        <w:t>) shall give written notice to the Party from whom indemnity is being sought (the “</w:t>
      </w:r>
      <w:r>
        <w:rPr>
          <w:rFonts w:ascii="Times New Roman" w:hAnsi="Times New Roman"/>
          <w:b/>
          <w:color w:val="000000"/>
          <w:sz w:val="24"/>
        </w:rPr>
        <w:t>Indemnifying Party</w:t>
      </w:r>
      <w:r>
        <w:rPr>
          <w:color w:val="000000"/>
        </w:rPr>
        <w:t>”</w:t>
      </w:r>
      <w:r>
        <w:rPr>
          <w:rFonts w:ascii="Times New Roman" w:hAnsi="Times New Roman"/>
          <w:color w:val="000000"/>
          <w:sz w:val="24"/>
        </w:rPr>
        <w:t>) promptly after learning of the Claim for which indemnity is being sought. 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The Indemnifying Party shall not settle any Claim without the prior written consent of the Indemnified Party, not to be unreasonably withheld, unless the settlement involves only the payment of money. So long as the Indemnifying Party is actively defending the Claim in good faith, the Indemnified Party shall not settle any such Claim without the prior written consent of the Indemnifying Party. If the Indemnifying Party does not assume and conduct the defense of the Claim as provided above, (a)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(b) the Indemnifying Party will remain responsible to indemnify the Indemnified Party as provided in this Article 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8.4</w:t>
      </w:r>
    </w:p>
    <w:p>
      <w:pPr>
        <w:pStyle w:val="TextBody"/>
        <w:bidi w:val="0"/>
        <w:spacing w:before="0" w:after="240"/>
        <w:jc w:val="both"/>
        <w:rPr/>
      </w:pPr>
      <w:r>
        <w:rPr>
          <w:rFonts w:ascii="Times New Roman" w:hAnsi="Times New Roman"/>
          <w:b/>
          <w:color w:val="000000"/>
          <w:sz w:val="24"/>
        </w:rPr>
        <w:t xml:space="preserve">Limitation of Liability. </w:t>
      </w:r>
      <w:r>
        <w:rPr>
          <w:rFonts w:ascii="Times New Roman" w:hAnsi="Times New Roman"/>
          <w:color w:val="000000"/>
          <w:sz w:val="24"/>
        </w:rPr>
        <w:t xml:space="preserve">NEITHER PARTY SHALL BE LIABLE TO THE OTHER FOR ANY SPECIAL, CONSEQUENTIAL, INCIDENTAL, PUNITIVE, OR INDIRECT DAMAGES ARISING FROM OR RELATING TO ANY BREACH OF THIS TERMINATION AGREEMENT OR ANY TORT CLAIMS ARISING HEREUNDER, REGARDLESS OF ANY NOTICE OF THE POSSIBILITY OF SUCH DAMAGES. NOTWITHSTANDING THE FOREGOING, NOTHING IN THIS SECTION 8.4 OF THIS TERMINATION AGREEMENT IS INTENDED TO OR SHALL LIMIT OR RESTRICT THE INDEMNIFICATION RIGHTS OR OBLIGATIONS OF ANY PARTY UNDER SECTION 8.1 - 8.3 OF THIS TERMINATION AGREEMENT OR DAMAGES AVAILABLE FOR A PARTY’S BREACH OF ITS CONFIDENTIALITY OBLIGATIONS UNDER ARTICLE 8 OF THIS TERMINATION AGREEMENT, ARTICLE 12 OF THE COLLABORATION AGREEMENT OR 15.1 OF THE SUPPLY AGREEMENT.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CONFIDENTIALITY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information that is disclosed or provided by a Party to the other Party under this Termination Agreement shall be subject to the confidentiality provisions set forth in Article 12 of the Collaboration Agreement. Notwithstanding the foregoing, the content of all regulatory documentation, commercial licenses and other related documentation, data and information generated by or on behalf of AstraZeneca pursuant to the Collaboration Agreement and transferred to FibroGen or its designees under this Termination Agreement shall be deemed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Confidential Information of FibroGen and AstraZeneca shall ensure that confidential information, including trade secrets, are not made public.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w:t>
      </w:r>
    </w:p>
    <w:p>
      <w:pPr>
        <w:pStyle w:val="TextBody"/>
        <w:bidi w:val="0"/>
        <w:spacing w:before="0" w:after="240"/>
        <w:jc w:val="both"/>
        <w:rPr/>
      </w:pPr>
      <w:r>
        <w:rPr>
          <w:rFonts w:ascii="Times New Roman" w:hAnsi="Times New Roman"/>
          <w:b/>
          <w:color w:val="000000"/>
          <w:sz w:val="24"/>
        </w:rPr>
        <w:t>Press Release.</w:t>
      </w:r>
      <w:r>
        <w:rPr>
          <w:color w:val="000000"/>
        </w:rPr>
        <w:t xml:space="preserve"> </w:t>
      </w:r>
      <w:r>
        <w:rPr>
          <w:rFonts w:ascii="Times New Roman" w:hAnsi="Times New Roman"/>
          <w:color w:val="000000"/>
          <w:sz w:val="24"/>
        </w:rPr>
        <w:t>At any time after this Agreement becomes effective, either Party may issue a press release announcing the termination of the Agreement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10</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REPRESENTATIONS AND WARRANTIES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w:t>
      </w:r>
    </w:p>
    <w:p>
      <w:pPr>
        <w:pStyle w:val="TextBody"/>
        <w:bidi w:val="0"/>
        <w:spacing w:before="0" w:after="240"/>
        <w:jc w:val="both"/>
        <w:rPr/>
      </w:pPr>
      <w:r>
        <w:rPr>
          <w:rFonts w:ascii="Times New Roman" w:hAnsi="Times New Roman"/>
          <w:b/>
          <w:color w:val="000000"/>
          <w:sz w:val="24"/>
        </w:rPr>
        <w:t>Mutual Representations and Warranties of AstraZeneca and FibroGen.</w:t>
      </w:r>
      <w:r>
        <w:rPr>
          <w:color w:val="000000"/>
        </w:rPr>
        <w:t xml:space="preserve"> </w:t>
      </w:r>
      <w:r>
        <w:rPr>
          <w:rFonts w:ascii="Times New Roman" w:hAnsi="Times New Roman"/>
          <w:color w:val="000000"/>
          <w:sz w:val="24"/>
        </w:rPr>
        <w:t>Each Party hereby makes such representations and warranties contained in Section 10.1 and Section 10.3 of the Collaboration Agreement effective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w:t>
      </w:r>
    </w:p>
    <w:p>
      <w:pPr>
        <w:pStyle w:val="TextBody"/>
        <w:bidi w:val="0"/>
        <w:spacing w:before="0" w:after="240"/>
        <w:jc w:val="both"/>
        <w:rPr/>
      </w:pPr>
      <w:r>
        <w:rPr>
          <w:rFonts w:ascii="Times New Roman" w:hAnsi="Times New Roman"/>
          <w:b/>
          <w:color w:val="000000"/>
          <w:sz w:val="24"/>
        </w:rPr>
        <w:t>Additional Representations and Warranties</w:t>
      </w:r>
      <w:r>
        <w:rPr>
          <w:color w:val="000000"/>
        </w:rPr>
        <w:t xml:space="preserve"> </w:t>
      </w:r>
      <w:r>
        <w:rPr>
          <w:rFonts w:ascii="Times New Roman" w:hAnsi="Times New Roman"/>
          <w:b/>
          <w:color w:val="000000"/>
          <w:sz w:val="24"/>
        </w:rPr>
        <w:t>of AstraZeneca</w:t>
      </w:r>
      <w:r>
        <w:rPr>
          <w:rFonts w:ascii="Times New Roman" w:hAnsi="Times New Roman"/>
          <w:color w:val="000000"/>
          <w:sz w:val="24"/>
        </w:rPr>
        <w:t>. AstraZeneca represents and warrants to FibroGen that: (a) to AstraZeneca’s Knowledge, except pursuant to the China Agreement, [*] neither AstraZeneca nor any of its Affiliates is, and neither AstraZeneca nor any of its Affiliates have licensed or authorized any Third Party to, directly or indirectly researching, Developing or Commercializing any HIF Compound in the Field, (b) to AstraZeneca’s Knowledge, there are no contracts between AstraZeneca and Third Party vendors or suppliers that specifically cover the supply or sale of the Products in the Territory, and (c) to AstraZeneca’s Knowledge, the list of trademarks provided by AstraZeneca [*] contained all trademarks that, [*] are Controlled by AstraZeneca or its Affiliates for use in connection with the sale or marketing of the Product in the Field in the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w:t>
      </w:r>
    </w:p>
    <w:p>
      <w:pPr>
        <w:pStyle w:val="TextBody"/>
        <w:bidi w:val="0"/>
        <w:spacing w:before="0" w:after="240"/>
        <w:jc w:val="both"/>
        <w:rPr/>
      </w:pPr>
      <w:r>
        <w:rPr>
          <w:rFonts w:ascii="Times New Roman" w:hAnsi="Times New Roman"/>
          <w:b/>
          <w:color w:val="000000"/>
          <w:sz w:val="24"/>
        </w:rPr>
        <w:t xml:space="preserve">Disclaimer. </w:t>
      </w:r>
      <w:r>
        <w:rPr>
          <w:rFonts w:ascii="Times New Roman" w:hAnsi="Times New Roman"/>
          <w:color w:val="000000"/>
          <w:sz w:val="24"/>
        </w:rPr>
        <w:t>Each Party understands that the Collaboration Compounds and Products are the subject of ongoing clinical research and development and that the other Party cannot assure the safety or usefulness of the Collaboration Compounds or Products. In addition, AstraZeneca makes no warranties concerning the AstraZeneca Technology.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10.4</w:t>
      </w:r>
    </w:p>
    <w:p>
      <w:pPr>
        <w:pStyle w:val="TextBody"/>
        <w:bidi w:val="0"/>
        <w:spacing w:before="0" w:after="240"/>
        <w:jc w:val="both"/>
        <w:rPr/>
      </w:pPr>
      <w:r>
        <w:rPr>
          <w:rFonts w:ascii="Times New Roman" w:hAnsi="Times New Roman"/>
          <w:b/>
          <w:color w:val="000000"/>
          <w:sz w:val="24"/>
        </w:rPr>
        <w:t xml:space="preserve">No Other Representations or Warranties. </w:t>
      </w:r>
      <w:r>
        <w:rPr>
          <w:rFonts w:ascii="Times New Roman" w:hAnsi="Times New Roman"/>
          <w:color w:val="000000"/>
          <w:sz w:val="24"/>
        </w:rPr>
        <w:t>EXCEPT AS EXPRESSLY STATED IN SECTIONS 4.2.3, 5.1, 7.12.3, 10.1 OR 10.2 OF THIS TERMINATION AGREEMENT, NO REPRESENTATIONS OR WARRANTIES WHATSOEVER, WHETHER EXPRESS OR IMPLIED, INCLUDING, WITHOUT LIMITATION, WARRANTIES OF MERCHANTABILITY, FITNESS FOR A PARTICULAR PURPOSE, NON-INFRINGEMENT, OR NON-MISAPPROPRIATION OF THIRD PARTY INTELLECTUAL PROPERTY RIGHTS, IS MADE OR GIVEN BY OR ON BEHALF OF A PARTY. EXCEPT AS EXPRESSLY STATED IN THIS TERMINATION AGREEMENT, ALL REPRESENTATIONS AND WARRANTIES, WHETHER ARISING BY OPERATION OF LAW OR OTHERWISE, ARE HEREBY EXPRESSLY EXCLUDED.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11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MISCELLANEOUS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0" w:after="240"/>
        <w:jc w:val="both"/>
        <w:rPr/>
      </w:pPr>
      <w:r>
        <w:rPr>
          <w:rFonts w:ascii="Times New Roman" w:hAnsi="Times New Roman"/>
          <w:b/>
          <w:color w:val="000000"/>
          <w:sz w:val="24"/>
        </w:rPr>
        <w:t>General.</w:t>
      </w:r>
      <w:r>
        <w:rPr>
          <w:color w:val="000000"/>
        </w:rPr>
        <w:t xml:space="preserve"> </w:t>
      </w:r>
      <w:r>
        <w:rPr>
          <w:rFonts w:ascii="Times New Roman" w:hAnsi="Times New Roman"/>
          <w:color w:val="000000"/>
          <w:sz w:val="24"/>
        </w:rPr>
        <w:t xml:space="preserve">The provisions set forth in Article 15 of the Collaboration Agreement are incorporated herein by reference and made a part of this Termination Agreement, </w:t>
      </w:r>
      <w:r>
        <w:rPr>
          <w:rFonts w:ascii="Times New Roman" w:hAnsi="Times New Roman"/>
          <w:i/>
          <w:color w:val="000000"/>
          <w:sz w:val="24"/>
        </w:rPr>
        <w:t>mutatis mutandis</w:t>
      </w:r>
      <w:r>
        <w:rPr>
          <w:rFonts w:ascii="Times New Roman" w:hAnsi="Times New Roman"/>
          <w:color w:val="000000"/>
          <w:sz w:val="24"/>
        </w:rPr>
        <w:t>, except in respect of those provisions otherwise set out in this ARTICLE 110, which shall supersede the equivalent provision in Article 15 of the Collaboration Agreement.</w:t>
      </w:r>
      <w:r>
        <w:rPr>
          <w:color w:val="00000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References to a Section, Article or Exhibit is a reference to the applicable Section, Article or Exhibit of this Termination Agreement, unless specified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0" w:after="240"/>
        <w:jc w:val="both"/>
        <w:rPr/>
      </w:pPr>
      <w:r>
        <w:rPr>
          <w:rFonts w:ascii="Times New Roman" w:hAnsi="Times New Roman"/>
          <w:b/>
          <w:color w:val="000000"/>
          <w:sz w:val="24"/>
        </w:rPr>
        <w:t xml:space="preserve">Notices. </w:t>
      </w:r>
      <w:r>
        <w:rPr>
          <w:rFonts w:ascii="Times New Roman" w:hAnsi="Times New Roman"/>
          <w:color w:val="000000"/>
          <w:sz w:val="24"/>
        </w:rPr>
        <w:t>Any notice required or permitted to be given under this Termination Agreement shall be in writing, shall specifically refer to this Termination Agreement, and shall be addressed to the appropriate Party at the address specified below or such other address as may be specified by such Party in writing in accordance with this Section 11.2, and shall be deemed to have been given for all purposes (a) when received, if hand-delivered or sent by a reputable international expedited delivery service, (b) [*] after mailing, if mailed by first class certified or registered mail, postage prepaid, return receipt requested, or (c) when received, if sent by email (with acknowledgement of receipt from recipient).</w:t>
      </w:r>
    </w:p>
    <w:p>
      <w:pPr>
        <w:pStyle w:val="TextBody"/>
        <w:bidi w:val="0"/>
        <w:jc w:val="left"/>
        <w:rPr>
          <w:rFonts w:ascii="Times New Roman" w:hAnsi="Times New Roman"/>
          <w:color w:val="000000"/>
          <w:sz w:val="24"/>
        </w:rPr>
      </w:pPr>
      <w:r>
        <w:rPr>
          <w:rFonts w:ascii="Times New Roman" w:hAnsi="Times New Roman"/>
          <w:color w:val="000000"/>
          <w:sz w:val="24"/>
        </w:rPr>
        <w:t>If to FibroGen: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With a copy to: [*]</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If to AstraZeneca: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With a copy to: [*]</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(which shall not</w:t>
      </w:r>
    </w:p>
    <w:p>
      <w:pPr>
        <w:pStyle w:val="TextBody"/>
        <w:bidi w:val="0"/>
        <w:jc w:val="left"/>
        <w:rPr>
          <w:rFonts w:ascii="Times New Roman" w:hAnsi="Times New Roman"/>
          <w:color w:val="000000"/>
          <w:sz w:val="24"/>
        </w:rPr>
      </w:pPr>
      <w:r>
        <w:rPr>
          <w:rFonts w:ascii="Times New Roman" w:hAnsi="Times New Roman"/>
          <w:color w:val="000000"/>
          <w:sz w:val="24"/>
        </w:rPr>
        <w:t xml:space="preserve">constitute notice)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w:t>
      </w:r>
    </w:p>
    <w:p>
      <w:pPr>
        <w:pStyle w:val="TextBody"/>
        <w:bidi w:val="0"/>
        <w:spacing w:before="0" w:after="240"/>
        <w:jc w:val="both"/>
        <w:rPr/>
      </w:pPr>
      <w:r>
        <w:rPr>
          <w:rFonts w:ascii="Times New Roman" w:hAnsi="Times New Roman"/>
          <w:b/>
          <w:color w:val="000000"/>
          <w:sz w:val="24"/>
        </w:rPr>
        <w:t>Entire Agreement.</w:t>
      </w:r>
      <w:r>
        <w:rPr>
          <w:color w:val="000000"/>
        </w:rPr>
        <w:t xml:space="preserve"> </w:t>
      </w:r>
      <w:r>
        <w:rPr>
          <w:rFonts w:ascii="Times New Roman" w:hAnsi="Times New Roman"/>
          <w:color w:val="000000"/>
          <w:sz w:val="24"/>
        </w:rPr>
        <w:t xml:space="preserve">This Termination Agreement constitutes the entire, final and exclusive agreement between the Parties with respect to the subject matter of this Termination Agreement. This Termination Agreement supersedes all prior agreements, whether written or oral, with respect to the subject matter of this Termination Agreement; provided, however, that, except as otherwise expressly provided herein, the terms of the Agreements that survive its termination remain in effect by their terms; and, provided, further, that, notwithstanding the preceding proviso, with respect to any conflict between this Termination Agreement, on the one hand, and the surviving provisions of the Agreements, on the other hand, the terms and conditions of this Termination Agreement shall control. All Exhibits referred to in this Termination Agreement are intended to be and are hereby specifically incorporated into and made a part of this Termination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0" w:after="240"/>
        <w:jc w:val="both"/>
        <w:rPr/>
      </w:pPr>
      <w:r>
        <w:rPr>
          <w:rFonts w:ascii="Times New Roman" w:hAnsi="Times New Roman"/>
          <w:b/>
          <w:color w:val="000000"/>
          <w:sz w:val="24"/>
        </w:rPr>
        <w:t>Counterparts</w:t>
      </w:r>
      <w:r>
        <w:rPr>
          <w:rFonts w:ascii="Times New Roman" w:hAnsi="Times New Roman"/>
          <w:color w:val="000000"/>
          <w:sz w:val="24"/>
        </w:rPr>
        <w:t>. This Termination Agreement may be executed in two or more counterparts, each of which shall be deemed an original, but all of which together shall constitute one and the same instrument. This Termination Agreement may be executed by PDF format via email or other electronically transmitted signatures (including by DocuSign) and such signatures shall be deemed to bind each Party hereto as if they were original signatures.</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Signatures to follow</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Execution</w:t>
      </w:r>
    </w:p>
    <w:p>
      <w:pPr>
        <w:pStyle w:val="TextBody"/>
        <w:bidi w:val="0"/>
        <w:spacing w:before="0" w:after="240"/>
        <w:jc w:val="both"/>
        <w:rPr>
          <w:rFonts w:ascii="Times New Roman" w:hAnsi="Times New Roman"/>
          <w:sz w:val="20"/>
        </w:rPr>
      </w:pPr>
      <w:r>
        <w:rPr>
          <w:rFonts w:ascii="Times New Roman" w:hAnsi="Times New Roman"/>
          <w:b/>
          <w:color w:val="000000"/>
          <w:sz w:val="24"/>
        </w:rPr>
        <w:t>THIS TERMINATION AGREEMENT IS EXECUTED</w:t>
      </w:r>
      <w:r>
        <w:rPr>
          <w:rFonts w:ascii="Times New Roman" w:hAnsi="Times New Roman"/>
          <w:color w:val="000000"/>
          <w:sz w:val="20"/>
        </w:rPr>
        <w:t xml:space="preserve"> </w:t>
      </w:r>
      <w:r>
        <w:rPr>
          <w:rFonts w:ascii="Times New Roman" w:hAnsi="Times New Roman"/>
          <w:color w:val="000000"/>
          <w:sz w:val="24"/>
        </w:rPr>
        <w:t>by the authorized representatives of the Parties as of the A&amp;R Termination Agreement Effective Date.</w:t>
      </w:r>
    </w:p>
    <w:p>
      <w:pPr>
        <w:pStyle w:val="TextBody"/>
        <w:bidi w:val="0"/>
        <w:spacing w:before="0" w:after="720"/>
        <w:jc w:val="both"/>
        <w:rPr>
          <w:rFonts w:ascii="Times New Roman" w:hAnsi="Times New Roman"/>
          <w:b/>
          <w:color w:val="000000"/>
          <w:sz w:val="24"/>
        </w:rPr>
      </w:pPr>
      <w:r>
        <w:rPr>
          <w:rFonts w:ascii="Times New Roman" w:hAnsi="Times New Roman"/>
          <w:b/>
          <w:color w:val="000000"/>
          <w:sz w:val="24"/>
        </w:rPr>
        <w:t>ASTRAZENECA AB</w:t>
      </w:r>
    </w:p>
    <w:p>
      <w:pPr>
        <w:pStyle w:val="TextBody"/>
        <w:bidi w:val="0"/>
        <w:jc w:val="both"/>
        <w:rPr>
          <w:rFonts w:ascii="Times New Roman" w:hAnsi="Times New Roman"/>
          <w:color w:val="000000"/>
          <w:sz w:val="24"/>
        </w:rPr>
      </w:pPr>
      <w:r>
        <w:rPr>
          <w:rFonts w:ascii="Times New Roman" w:hAnsi="Times New Roman"/>
          <w:color w:val="000000"/>
          <w:sz w:val="24"/>
        </w:rPr>
        <w:t>By: /s/ [*]</w:t>
      </w:r>
    </w:p>
    <w:p>
      <w:pPr>
        <w:pStyle w:val="TextBody"/>
        <w:bidi w:val="0"/>
        <w:jc w:val="both"/>
        <w:rPr>
          <w:rFonts w:ascii="Times New Roman" w:hAnsi="Times New Roman"/>
          <w:color w:val="000000"/>
          <w:sz w:val="24"/>
        </w:rPr>
      </w:pPr>
      <w:r>
        <w:rPr>
          <w:rFonts w:ascii="Times New Roman" w:hAnsi="Times New Roman"/>
          <w:color w:val="000000"/>
          <w:sz w:val="24"/>
        </w:rPr>
        <w:t>Name: [*]</w:t>
      </w:r>
    </w:p>
    <w:p>
      <w:pPr>
        <w:pStyle w:val="TextBody"/>
        <w:bidi w:val="0"/>
        <w:jc w:val="both"/>
        <w:rPr>
          <w:rFonts w:ascii="Times New Roman" w:hAnsi="Times New Roman"/>
          <w:sz w:val="20"/>
        </w:rPr>
      </w:pPr>
      <w:r>
        <w:rPr>
          <w:rFonts w:ascii="Times New Roman" w:hAnsi="Times New Roman"/>
          <w:color w:val="000000"/>
          <w:sz w:val="24"/>
        </w:rPr>
        <w:t>Title:</w:t>
      </w:r>
      <w:r>
        <w:rPr>
          <w:rFonts w:ascii="Times New Roman" w:hAnsi="Times New Roman"/>
          <w:color w:val="262626"/>
          <w:sz w:val="20"/>
        </w:rPr>
        <w:t xml:space="preserve"> </w:t>
      </w:r>
      <w:r>
        <w:rPr>
          <w:rFonts w:ascii="Times New Roman" w:hAnsi="Times New Roman"/>
          <w:color w:val="000000"/>
          <w:sz w:val="24"/>
        </w:rPr>
        <w:t>[*]</w:t>
      </w:r>
    </w:p>
    <w:p>
      <w:pPr>
        <w:pStyle w:val="TextBody"/>
        <w:bidi w:val="0"/>
        <w:spacing w:before="720" w:after="720"/>
        <w:jc w:val="both"/>
        <w:rPr>
          <w:rFonts w:ascii="Times New Roman" w:hAnsi="Times New Roman"/>
          <w:b/>
          <w:color w:val="000000"/>
          <w:sz w:val="24"/>
        </w:rPr>
      </w:pPr>
      <w:r>
        <w:rPr>
          <w:rFonts w:ascii="Times New Roman" w:hAnsi="Times New Roman"/>
          <w:b/>
          <w:color w:val="000000"/>
          <w:sz w:val="24"/>
        </w:rPr>
        <w:t>FIBROGEN, INC.</w:t>
      </w:r>
    </w:p>
    <w:p>
      <w:pPr>
        <w:pStyle w:val="TextBody"/>
        <w:bidi w:val="0"/>
        <w:jc w:val="both"/>
        <w:rPr>
          <w:rFonts w:ascii="Times New Roman" w:hAnsi="Times New Roman"/>
          <w:color w:val="000000"/>
          <w:sz w:val="24"/>
        </w:rPr>
      </w:pPr>
      <w:r>
        <w:rPr>
          <w:rFonts w:ascii="Times New Roman" w:hAnsi="Times New Roman"/>
          <w:color w:val="000000"/>
          <w:sz w:val="24"/>
        </w:rPr>
        <w:t>By: /s/ [*]</w:t>
      </w:r>
    </w:p>
    <w:p>
      <w:pPr>
        <w:pStyle w:val="TextBody"/>
        <w:bidi w:val="0"/>
        <w:jc w:val="both"/>
        <w:rPr>
          <w:rFonts w:ascii="Times New Roman" w:hAnsi="Times New Roman"/>
          <w:color w:val="000000"/>
          <w:sz w:val="24"/>
        </w:rPr>
      </w:pPr>
      <w:r>
        <w:rPr>
          <w:rFonts w:ascii="Times New Roman" w:hAnsi="Times New Roman"/>
          <w:color w:val="000000"/>
          <w:sz w:val="24"/>
        </w:rPr>
        <w:t>Name: [*]</w:t>
      </w:r>
    </w:p>
    <w:p>
      <w:pPr>
        <w:pStyle w:val="TextBody"/>
        <w:bidi w:val="0"/>
        <w:jc w:val="both"/>
        <w:rPr>
          <w:rFonts w:ascii="Times New Roman" w:hAnsi="Times New Roman"/>
          <w:color w:val="000000"/>
          <w:sz w:val="24"/>
        </w:rPr>
      </w:pPr>
      <w:r>
        <w:rPr>
          <w:rFonts w:ascii="Times New Roman" w:hAnsi="Times New Roman"/>
          <w:color w:val="000000"/>
          <w:sz w:val="24"/>
        </w:rPr>
        <w:t>Title: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1</w:t>
      </w:r>
    </w:p>
    <w:p>
      <w:pPr>
        <w:pStyle w:val="TextBody"/>
        <w:bidi w:val="0"/>
        <w:spacing w:before="0" w:after="240"/>
        <w:jc w:val="center"/>
        <w:rPr>
          <w:rFonts w:ascii="Times New Roman" w:hAnsi="Times New Roman"/>
          <w:sz w:val="20"/>
        </w:rPr>
      </w:pPr>
      <w:r>
        <w:rPr>
          <w:rFonts w:ascii="Times New Roman" w:hAnsi="Times New Roman"/>
          <w:b/>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spacing w:before="0" w:after="16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2</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3</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0</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Exhibit 4</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0</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5</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 = Certain confidential information contained in this document, marked by brackets, has been omitted because it is both (i) not material and (ii) would likely cause competitive harm to the company if publicly disclosed.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2"/>
        </w:rPr>
      </w:pPr>
      <w:bookmarkStart w:id="28" w:name="fgen-ex10_3.htm"/>
      <w:bookmarkStart w:id="29" w:name="ksfgenex10_3"/>
      <w:bookmarkEnd w:id="28"/>
      <w:bookmarkEnd w:id="29"/>
      <w:r>
        <w:rPr>
          <w:rFonts w:ascii="Times New Roman" w:hAnsi="Times New Roman"/>
          <w:b/>
          <w:i/>
          <w:color w:val="000000"/>
          <w:sz w:val="22"/>
        </w:rPr>
        <w:t>Execution Version</w:t>
      </w:r>
      <w:r>
        <w:br w:type="page"/>
      </w:r>
    </w:p>
    <w:p>
      <w:pPr>
        <w:pStyle w:val="TextBody"/>
        <w:bidi w:val="0"/>
        <w:spacing w:before="0" w:after="480"/>
        <w:jc w:val="both"/>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it is both (i) not material and (ii) would likely cause competitive harm to the company if publicly disclosed.</w:t>
      </w:r>
    </w:p>
    <w:p>
      <w:pPr>
        <w:pStyle w:val="TextBody"/>
        <w:bidi w:val="0"/>
        <w:jc w:val="right"/>
        <w:rPr>
          <w:rFonts w:ascii="Times New Roman" w:hAnsi="Times New Roman"/>
          <w:b/>
          <w:color w:val="000000"/>
          <w:sz w:val="22"/>
        </w:rPr>
      </w:pPr>
      <w:r>
        <w:rPr>
          <w:rFonts w:ascii="Times New Roman" w:hAnsi="Times New Roman"/>
          <w:b/>
          <w:color w:val="000000"/>
          <w:sz w:val="22"/>
        </w:rPr>
        <w:t>Exhibit 10.3</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AMENDMENT TO THE SHARE PURCHASE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This amendment dated as of August 29, 2025 (this “</w:t>
      </w:r>
      <w:r>
        <w:rPr>
          <w:rFonts w:ascii="Times New Roman" w:hAnsi="Times New Roman"/>
          <w:b/>
          <w:color w:val="000000"/>
          <w:sz w:val="22"/>
        </w:rPr>
        <w:t>Amendment</w:t>
      </w:r>
      <w:r>
        <w:rPr>
          <w:rFonts w:ascii="Times New Roman" w:hAnsi="Times New Roman"/>
          <w:color w:val="000000"/>
          <w:sz w:val="20"/>
        </w:rPr>
        <w:t>”</w:t>
      </w:r>
      <w:r>
        <w:rPr>
          <w:rFonts w:ascii="Times New Roman" w:hAnsi="Times New Roman"/>
          <w:color w:val="000000"/>
          <w:sz w:val="22"/>
        </w:rPr>
        <w:t>), is entered into by and among AstraZeneca Treasury Limited, a company incorporated in England and Wales under no. 02910116 whose registered office is at 1 Francis Crick Avenue, Cambridge Biomedical Campus, Cambridge, United Kingdom, CB2 0AA (“</w:t>
      </w:r>
      <w:r>
        <w:rPr>
          <w:rFonts w:ascii="Times New Roman" w:hAnsi="Times New Roman"/>
          <w:b/>
          <w:color w:val="000000"/>
          <w:sz w:val="22"/>
        </w:rPr>
        <w:t>Purchaser</w:t>
      </w:r>
      <w:r>
        <w:rPr>
          <w:rFonts w:ascii="Times New Roman" w:hAnsi="Times New Roman"/>
          <w:color w:val="000000"/>
          <w:sz w:val="20"/>
        </w:rPr>
        <w:t>”</w:t>
      </w:r>
      <w:r>
        <w:rPr>
          <w:rFonts w:ascii="Times New Roman" w:hAnsi="Times New Roman"/>
          <w:color w:val="000000"/>
          <w:sz w:val="22"/>
        </w:rPr>
        <w:t>), FibroGen China Anemia Holdings, Ltd., an exempted company incorporated in the Cayman Islands with company number CT-269471 whose registered office is at the offices of Ogier Global (Cayman) Limited, 89 Nexus Way, Camana Bay, Grand Cayman, KY1-9009, Cayman Islands (the “</w:t>
      </w:r>
      <w:r>
        <w:rPr>
          <w:rFonts w:ascii="Times New Roman" w:hAnsi="Times New Roman"/>
          <w:b/>
          <w:color w:val="000000"/>
          <w:sz w:val="22"/>
        </w:rPr>
        <w:t>Seller</w:t>
      </w:r>
      <w:r>
        <w:rPr>
          <w:rFonts w:ascii="Times New Roman" w:hAnsi="Times New Roman"/>
          <w:color w:val="000000"/>
          <w:sz w:val="20"/>
        </w:rPr>
        <w:t>”</w:t>
      </w:r>
      <w:r>
        <w:rPr>
          <w:rFonts w:ascii="Times New Roman" w:hAnsi="Times New Roman"/>
          <w:color w:val="000000"/>
          <w:sz w:val="22"/>
        </w:rPr>
        <w:t>) and FibroGen, Inc., a company incorporated in Delaware with principal executive offices at 350 Bay St, Ste 100 # 6009 San Francisco, CA 94133 (the “</w:t>
      </w:r>
      <w:r>
        <w:rPr>
          <w:rFonts w:ascii="Times New Roman" w:hAnsi="Times New Roman"/>
          <w:b/>
          <w:color w:val="000000"/>
          <w:sz w:val="22"/>
        </w:rPr>
        <w:t>Parent</w:t>
      </w:r>
      <w:r>
        <w:rPr>
          <w:rFonts w:ascii="Times New Roman" w:hAnsi="Times New Roman"/>
          <w:color w:val="000000"/>
          <w:sz w:val="20"/>
        </w:rPr>
        <w:t>”</w:t>
      </w:r>
      <w:r>
        <w:rPr>
          <w:rFonts w:ascii="Times New Roman" w:hAnsi="Times New Roman"/>
          <w:color w:val="000000"/>
          <w:sz w:val="22"/>
        </w:rPr>
        <w:t>). Purchaser and the Seller are sometimes referred to individually as a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and collectively as the “</w:t>
      </w:r>
      <w:r>
        <w:rPr>
          <w:rFonts w:ascii="Times New Roman" w:hAnsi="Times New Roman"/>
          <w:b/>
          <w:color w:val="000000"/>
          <w:sz w:val="22"/>
        </w:rPr>
        <w:t>Parties</w:t>
      </w:r>
      <w:r>
        <w:rPr>
          <w:rFonts w:ascii="Times New Roman" w:hAnsi="Times New Roman"/>
          <w:color w:val="000000"/>
          <w:sz w:val="22"/>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WHEREAS, the Parties are party to that certain Share Purchase Agreement dated February 20, 2025 related to the sale and purchase of the Purchased Shares (the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the Parties wish to amend the Agreement in accordance with and subject to the terms and conditions of this Amendment;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in consideration of the respective covenants and promises contained herein and for other good and valuable consideration, the receipt and adequacy of which are hereby acknowledged, the Parties, intending to be legally bound, agree as follows:</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ARTICLE I – DEFINITIONS AND INTERPRETATION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w:t>
      </w:r>
    </w:p>
    <w:p>
      <w:pPr>
        <w:pStyle w:val="TextBody"/>
        <w:bidi w:val="0"/>
        <w:jc w:val="both"/>
        <w:rPr/>
      </w:pPr>
      <w:r>
        <w:rPr>
          <w:rFonts w:ascii="Times New Roman" w:hAnsi="Times New Roman"/>
          <w:color w:val="000000"/>
          <w:sz w:val="22"/>
          <w:u w:val="single"/>
        </w:rPr>
        <w:t>Defined Terms</w:t>
      </w:r>
      <w:r>
        <w:rPr>
          <w:rFonts w:ascii="Times New Roman" w:hAnsi="Times New Roman"/>
          <w:color w:val="000000"/>
          <w:sz w:val="22"/>
        </w:rPr>
        <w:t>. Capitalized terms used but not defined herein shall have the meanings given to such terms in the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w:t>
      </w:r>
    </w:p>
    <w:p>
      <w:pPr>
        <w:pStyle w:val="TextBody"/>
        <w:bidi w:val="0"/>
        <w:jc w:val="both"/>
        <w:rPr/>
      </w:pPr>
      <w:r>
        <w:rPr>
          <w:rFonts w:ascii="Times New Roman" w:hAnsi="Times New Roman"/>
          <w:color w:val="000000"/>
          <w:sz w:val="22"/>
          <w:u w:val="single"/>
        </w:rPr>
        <w:t>Interpretation</w:t>
      </w:r>
      <w:r>
        <w:rPr>
          <w:rFonts w:ascii="Times New Roman" w:hAnsi="Times New Roman"/>
          <w:color w:val="000000"/>
          <w:sz w:val="22"/>
        </w:rPr>
        <w:t xml:space="preserve">. Section 1.2 of the Agreement shall be deemed to be incorporated into this Amendment by reference </w:t>
      </w:r>
      <w:r>
        <w:rPr>
          <w:rFonts w:ascii="Times New Roman" w:hAnsi="Times New Roman"/>
          <w:i/>
          <w:color w:val="000000"/>
          <w:sz w:val="22"/>
        </w:rPr>
        <w:t>mutatis mutandis</w:t>
      </w:r>
      <w:r>
        <w:rPr>
          <w:rFonts w:ascii="Times New Roman" w:hAnsi="Times New Roman"/>
          <w:color w:val="000000"/>
          <w:sz w:val="22"/>
        </w:rPr>
        <w:t>, save that references to “this Agreement” shall be construed as references to “this Amendment”.</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ARTICLE II – AMENDMENTS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2.1</w:t>
      </w:r>
    </w:p>
    <w:p>
      <w:pPr>
        <w:pStyle w:val="TextBody"/>
        <w:bidi w:val="0"/>
        <w:jc w:val="both"/>
        <w:rPr/>
      </w:pPr>
      <w:r>
        <w:rPr>
          <w:rFonts w:ascii="Times New Roman" w:hAnsi="Times New Roman"/>
          <w:color w:val="000000"/>
          <w:sz w:val="22"/>
          <w:u w:val="single"/>
        </w:rPr>
        <w:t>[*]</w:t>
      </w:r>
      <w:r>
        <w:rPr>
          <w:rFonts w:ascii="Times New Roman" w:hAnsi="Times New Roman"/>
          <w:color w:val="000000"/>
          <w:sz w:val="22"/>
        </w:rPr>
        <w:t>. With effect from February 20, 2025 (the “</w:t>
      </w:r>
      <w:r>
        <w:rPr>
          <w:rFonts w:ascii="Times New Roman" w:hAnsi="Times New Roman"/>
          <w:color w:val="000000"/>
          <w:sz w:val="22"/>
          <w:u w:val="single"/>
        </w:rPr>
        <w:t>Effective Date</w:t>
      </w:r>
      <w:r>
        <w:rPr>
          <w:color w:val="000000"/>
        </w:rPr>
        <w:t>”</w:t>
      </w:r>
      <w:r>
        <w:rPr>
          <w:rFonts w:ascii="Times New Roman" w:hAnsi="Times New Roman"/>
          <w:color w:val="000000"/>
          <w:sz w:val="22"/>
        </w:rPr>
        <w:t>), the Parties agree as follows: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The definition of “[*]” in Section 1.1 of the Agreement shall be deleted in its entirety and replaced with the following:</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A new definition of “[*]” shall be inserted in Section 1.1 of the Agreement:</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0"/>
        </w:rPr>
      </w:pPr>
      <w:r>
        <w:rPr>
          <w:rFonts w:ascii="Times New Roman" w:hAnsi="Times New Roman"/>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A new definition of “[*]” shall be inserted in Section 1.1 of the Agreement:</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2"/>
        </w:rPr>
      </w:pPr>
      <w:r>
        <w:rPr>
          <w:rFonts w:ascii="Times New Roman" w:hAnsi="Times New Roman"/>
          <w:color w:val="000000"/>
          <w:sz w:val="22"/>
        </w:rPr>
        <w:t>The definition of “[*]” in Section 1.1 of the Agreement shall be deleted in its entirety;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rFonts w:ascii="Times New Roman" w:hAnsi="Times New Roman"/>
          <w:color w:val="000000"/>
          <w:sz w:val="22"/>
        </w:rPr>
      </w:pPr>
      <w:r>
        <w:rPr>
          <w:rFonts w:ascii="Times New Roman" w:hAnsi="Times New Roman"/>
          <w:color w:val="000000"/>
          <w:sz w:val="22"/>
        </w:rPr>
        <w:t xml:space="preserve">Schedule 7.2(c) to the Agreement shall be deleted in its entirety;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rFonts w:ascii="Times New Roman" w:hAnsi="Times New Roman"/>
          <w:color w:val="000000"/>
          <w:sz w:val="22"/>
        </w:rPr>
      </w:pPr>
      <w:r>
        <w:rPr>
          <w:rFonts w:ascii="Times New Roman" w:hAnsi="Times New Roman"/>
          <w:color w:val="000000"/>
          <w:sz w:val="22"/>
        </w:rPr>
        <w:t>Section 7.2(c) of the Agreement shall be deleted in its entirety and replaced with the following:</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2"/>
        </w:rPr>
        <w:t>(c) [*].</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2.2</w:t>
      </w:r>
    </w:p>
    <w:p>
      <w:pPr>
        <w:pStyle w:val="TextBody"/>
        <w:bidi w:val="0"/>
        <w:jc w:val="both"/>
        <w:rPr/>
      </w:pPr>
      <w:r>
        <w:rPr>
          <w:rFonts w:ascii="Times New Roman" w:hAnsi="Times New Roman"/>
          <w:color w:val="000000"/>
          <w:sz w:val="22"/>
          <w:u w:val="single"/>
        </w:rPr>
        <w:t>[*]</w:t>
      </w:r>
      <w:r>
        <w:rPr>
          <w:rFonts w:ascii="Times New Roman" w:hAnsi="Times New Roman"/>
          <w:color w:val="000000"/>
          <w:sz w:val="22"/>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rPr>
        <w:t xml:space="preserve">With effect from the Effective Date, the Parties agree that [*] set forth on Schedule 2.6(c)(xvi)[*] of the Agreement shall be amended to include [*] set forth in </w:t>
      </w:r>
      <w:r>
        <w:rPr>
          <w:rFonts w:ascii="Times New Roman" w:hAnsi="Times New Roman"/>
          <w:color w:val="000000"/>
          <w:sz w:val="22"/>
          <w:u w:val="single"/>
        </w:rPr>
        <w:t>Schedule 2.2(a)(i)</w:t>
      </w:r>
      <w:r>
        <w:rPr>
          <w:color w:val="000000"/>
        </w:rPr>
        <w:t xml:space="preserve"> </w:t>
      </w:r>
      <w:r>
        <w:rPr>
          <w:rFonts w:ascii="Times New Roman" w:hAnsi="Times New Roman"/>
          <w:color w:val="000000"/>
          <w:sz w:val="22"/>
        </w:rPr>
        <w:t xml:space="preserve">to this Amendment. For the avoidance of doubt, following the amendments contemplated by this </w:t>
      </w:r>
      <w:r>
        <w:rPr>
          <w:rFonts w:ascii="Times New Roman" w:hAnsi="Times New Roman"/>
          <w:color w:val="000000"/>
          <w:sz w:val="22"/>
          <w:u w:val="single"/>
        </w:rPr>
        <w:t>Section 2.2(a)</w:t>
      </w:r>
      <w:r>
        <w:rPr>
          <w:rFonts w:ascii="Times New Roman" w:hAnsi="Times New Roman"/>
          <w:color w:val="000000"/>
          <w:sz w:val="22"/>
        </w:rPr>
        <w:t xml:space="preserve">, [*], the Parties agree that [*] set forth on Schedule 2.6(c)(xvi)[*] of the Agreement shall be amended in its entirety as set forth on </w:t>
      </w:r>
      <w:r>
        <w:rPr>
          <w:rFonts w:ascii="Times New Roman" w:hAnsi="Times New Roman"/>
          <w:color w:val="000000"/>
          <w:sz w:val="22"/>
          <w:u w:val="single"/>
        </w:rPr>
        <w:t>Schedule 2.2(a)(ii)</w:t>
      </w:r>
      <w:r>
        <w:rPr>
          <w:color w:val="000000"/>
        </w:rPr>
        <w:t xml:space="preserve"> </w:t>
      </w:r>
      <w:r>
        <w:rPr>
          <w:rFonts w:ascii="Times New Roman" w:hAnsi="Times New Roman"/>
          <w:color w:val="000000"/>
          <w:sz w:val="22"/>
        </w:rPr>
        <w:t xml:space="preserve">to this Amendment. Furthermore, Parent shall assign [*] set out on </w:t>
      </w:r>
      <w:r>
        <w:rPr>
          <w:rFonts w:ascii="Times New Roman" w:hAnsi="Times New Roman"/>
          <w:color w:val="000000"/>
          <w:sz w:val="22"/>
          <w:u w:val="single"/>
        </w:rPr>
        <w:t>Schedule 2.2(a)(ii)</w:t>
      </w:r>
      <w:r>
        <w:rPr>
          <w:color w:val="000000"/>
        </w:rPr>
        <w:t xml:space="preserve"> </w:t>
      </w:r>
      <w:r>
        <w:rPr>
          <w:rFonts w:ascii="Times New Roman" w:hAnsi="Times New Roman"/>
          <w:color w:val="000000"/>
          <w:sz w:val="22"/>
        </w:rPr>
        <w:t>to this Amendment to AstraZeneca AB, a limited company incorporated in Sweden under no. 556011-7482 with registered address at 151 85 Södertälje, Sweden, rather than to the Company.</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 xml:space="preserve">Following the [*] anniversary of the Closing Date, [*] and wish to use [*] as may be approved by Purchaser, [*], Purchaser agrees to cooperate with Parent [*]. The Parties agree that such right shall be granted for [*]. Should Purchaser and the Company decide to cease all use of, and to abandon, [*], prior to ceasing all use of the [*] and allowing all then existing registrations and applications for [*] to be abandoned, Purchaser agrees to notify Parent in writing reasonably in advance of such abandonment and allow Parent to request assignment of such [*] to Parent. Purchaser, Company and Parent agree to discuss and negotiate in good faith whether additional terms and/or an agreement are needed to govern any assignment of the [*] back to Parent.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2.3</w:t>
      </w:r>
    </w:p>
    <w:p>
      <w:pPr>
        <w:pStyle w:val="TextBody"/>
        <w:bidi w:val="0"/>
        <w:jc w:val="both"/>
        <w:rPr/>
      </w:pPr>
      <w:r>
        <w:rPr>
          <w:rFonts w:ascii="Times New Roman" w:hAnsi="Times New Roman"/>
          <w:color w:val="000000"/>
          <w:sz w:val="22"/>
          <w:u w:val="single"/>
        </w:rPr>
        <w:t>[*]</w:t>
      </w:r>
      <w:r>
        <w:rPr>
          <w:rFonts w:ascii="Times New Roman" w:hAnsi="Times New Roman"/>
          <w:color w:val="000000"/>
          <w:sz w:val="22"/>
        </w:rPr>
        <w:t xml:space="preserve">. [*], the Parties agree that [*] set forth on Schedule 2.6(c)(xvi)[*] of the Agreement shall be amended in its entirety (a) to include the additional [*] set forth in </w:t>
      </w:r>
      <w:r>
        <w:rPr>
          <w:rFonts w:ascii="Times New Roman" w:hAnsi="Times New Roman"/>
          <w:color w:val="000000"/>
          <w:sz w:val="22"/>
          <w:u w:val="single"/>
        </w:rPr>
        <w:t>Schedule 2.3(a)</w:t>
      </w:r>
      <w:r>
        <w:rPr>
          <w:color w:val="000000"/>
        </w:rPr>
        <w:t xml:space="preserve"> </w:t>
      </w:r>
      <w:r>
        <w:rPr>
          <w:rFonts w:ascii="Times New Roman" w:hAnsi="Times New Roman"/>
          <w:color w:val="000000"/>
          <w:sz w:val="22"/>
        </w:rPr>
        <w:t xml:space="preserve">to this Amendment, and (b) to remove certain [*] set forth in </w:t>
      </w:r>
      <w:r>
        <w:rPr>
          <w:rFonts w:ascii="Times New Roman" w:hAnsi="Times New Roman"/>
          <w:color w:val="000000"/>
          <w:sz w:val="22"/>
          <w:u w:val="single"/>
        </w:rPr>
        <w:t>Schedule 2.3(b)</w:t>
      </w:r>
      <w:r>
        <w:rPr>
          <w:color w:val="000000"/>
        </w:rPr>
        <w:t xml:space="preserve"> </w:t>
      </w:r>
      <w:r>
        <w:rPr>
          <w:rFonts w:ascii="Times New Roman" w:hAnsi="Times New Roman"/>
          <w:color w:val="000000"/>
          <w:sz w:val="22"/>
        </w:rPr>
        <w:t xml:space="preserve">to this Amendment. [*]. For the avoidance of doubt, following the amendments contemplated by this </w:t>
      </w:r>
      <w:r>
        <w:rPr>
          <w:rFonts w:ascii="Times New Roman" w:hAnsi="Times New Roman"/>
          <w:color w:val="000000"/>
          <w:sz w:val="22"/>
          <w:u w:val="single"/>
        </w:rPr>
        <w:t>Section 2.3</w:t>
      </w:r>
      <w:r>
        <w:rPr>
          <w:rFonts w:ascii="Times New Roman" w:hAnsi="Times New Roman"/>
          <w:color w:val="000000"/>
          <w:sz w:val="22"/>
        </w:rPr>
        <w:t xml:space="preserve">, [*], the Parties agree that [*] set forth on Schedule 2.6(c)(xvi)[*] of the Agreement shall be amended in its entirety as set forth on </w:t>
      </w:r>
      <w:r>
        <w:rPr>
          <w:rFonts w:ascii="Times New Roman" w:hAnsi="Times New Roman"/>
          <w:color w:val="000000"/>
          <w:sz w:val="22"/>
          <w:u w:val="single"/>
        </w:rPr>
        <w:t>Schedule 2.3(c)</w:t>
      </w:r>
      <w:r>
        <w:rPr>
          <w:color w:val="000000"/>
        </w:rPr>
        <w:t xml:space="preserve"> </w:t>
      </w:r>
      <w:r>
        <w:rPr>
          <w:rFonts w:ascii="Times New Roman" w:hAnsi="Times New Roman"/>
          <w:color w:val="000000"/>
          <w:sz w:val="22"/>
        </w:rPr>
        <w:t xml:space="preserve">to this Amendment. Furthermore, Parent shall assign [*] set forth on </w:t>
      </w:r>
      <w:r>
        <w:rPr>
          <w:rFonts w:ascii="Times New Roman" w:hAnsi="Times New Roman"/>
          <w:color w:val="000000"/>
          <w:sz w:val="22"/>
          <w:u w:val="single"/>
        </w:rPr>
        <w:t>Schedule 2.3(c)</w:t>
      </w:r>
      <w:r>
        <w:rPr>
          <w:color w:val="000000"/>
        </w:rPr>
        <w:t xml:space="preserve"> </w:t>
      </w:r>
      <w:r>
        <w:rPr>
          <w:rFonts w:ascii="Times New Roman" w:hAnsi="Times New Roman"/>
          <w:color w:val="000000"/>
          <w:sz w:val="22"/>
        </w:rPr>
        <w:t>to this Amendment to AstraZeneca AB, a limited company incorporated in Sweden under no. 556011-7482 with registered address at 151 85 Södertälje, Sweden, rather than to the Company.</w:t>
      </w:r>
    </w:p>
    <w:p>
      <w:pPr>
        <w:pStyle w:val="TextBody"/>
        <w:bidi w:val="0"/>
        <w:jc w:val="both"/>
        <w:rPr/>
      </w:pPr>
      <w:r>
        <w:rPr/>
        <w:t>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2.4</w:t>
      </w:r>
    </w:p>
    <w:p>
      <w:pPr>
        <w:pStyle w:val="TextBody"/>
        <w:bidi w:val="0"/>
        <w:jc w:val="both"/>
        <w:rPr/>
      </w:pPr>
      <w:r>
        <w:rPr>
          <w:rFonts w:ascii="Times New Roman" w:hAnsi="Times New Roman"/>
          <w:color w:val="000000"/>
          <w:sz w:val="22"/>
          <w:u w:val="single"/>
        </w:rPr>
        <w:t>Employment Matters</w:t>
      </w:r>
      <w:r>
        <w:rPr>
          <w:rFonts w:ascii="Times New Roman" w:hAnsi="Times New Roman"/>
          <w:color w:val="000000"/>
          <w:sz w:val="22"/>
        </w:rPr>
        <w:t xml:space="preserve">. With effect from the Effective Date, </w:t>
      </w:r>
      <w:r>
        <w:rPr>
          <w:rFonts w:ascii="Times New Roman" w:hAnsi="Times New Roman"/>
          <w:color w:val="000000"/>
          <w:sz w:val="22"/>
          <w:u w:val="single"/>
        </w:rPr>
        <w:t>Section 6.11(a)</w:t>
      </w:r>
      <w:r>
        <w:rPr>
          <w:color w:val="000000"/>
        </w:rPr>
        <w:t xml:space="preserve"> </w:t>
      </w:r>
      <w:r>
        <w:rPr>
          <w:rFonts w:ascii="Times New Roman" w:hAnsi="Times New Roman"/>
          <w:color w:val="000000"/>
          <w:sz w:val="22"/>
        </w:rPr>
        <w:t>shall be deleted in its entirety and replaced with:</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2.5</w:t>
      </w:r>
    </w:p>
    <w:p>
      <w:pPr>
        <w:pStyle w:val="TextBody"/>
        <w:bidi w:val="0"/>
        <w:jc w:val="both"/>
        <w:rPr/>
      </w:pPr>
      <w:r>
        <w:rPr>
          <w:rFonts w:ascii="Times New Roman" w:hAnsi="Times New Roman"/>
          <w:color w:val="000000"/>
          <w:sz w:val="22"/>
          <w:u w:val="single"/>
        </w:rPr>
        <w:t>Calculation Time.</w:t>
      </w:r>
      <w:r>
        <w:rPr>
          <w:color w:val="000000"/>
        </w:rPr>
        <w:t xml:space="preserve"> </w:t>
      </w:r>
      <w:r>
        <w:rPr>
          <w:rFonts w:ascii="Times New Roman" w:hAnsi="Times New Roman"/>
          <w:color w:val="000000"/>
          <w:sz w:val="22"/>
        </w:rPr>
        <w:t>With effect from the Effective Date, the Parties agree that the definition of “Calculation Time” in Section 1.1 of the Agreement shall be deleted in its entirety and replaced with the following:</w:t>
      </w:r>
    </w:p>
    <w:p>
      <w:pPr>
        <w:pStyle w:val="TextBody"/>
        <w:bidi w:val="0"/>
        <w:jc w:val="both"/>
        <w:rPr/>
      </w:pPr>
      <w:r>
        <w:rPr/>
        <w:t> </w:t>
      </w:r>
    </w:p>
    <w:p>
      <w:pPr>
        <w:pStyle w:val="TextBody"/>
        <w:bidi w:val="0"/>
        <w:jc w:val="both"/>
        <w:rPr/>
      </w:pPr>
      <w:bookmarkStart w:id="30" w:name="docxtextref181"/>
      <w:bookmarkEnd w:id="30"/>
      <w:r>
        <w:rPr>
          <w:color w:val="000000"/>
        </w:rPr>
        <w:t>“</w:t>
      </w:r>
      <w:r>
        <w:rPr>
          <w:rFonts w:ascii="Times New Roman" w:hAnsi="Times New Roman"/>
          <w:b/>
          <w:i/>
          <w:color w:val="000000"/>
          <w:sz w:val="22"/>
        </w:rPr>
        <w:t>Calculation Time</w:t>
      </w:r>
      <w:r>
        <w:rPr>
          <w:rFonts w:ascii="Times New Roman" w:hAnsi="Times New Roman"/>
          <w:color w:val="000000"/>
          <w:sz w:val="20"/>
        </w:rPr>
        <w:t xml:space="preserve">” </w:t>
      </w:r>
      <w:r>
        <w:rPr>
          <w:rFonts w:ascii="Times New Roman" w:hAnsi="Times New Roman"/>
          <w:i/>
          <w:color w:val="000000"/>
          <w:sz w:val="22"/>
        </w:rPr>
        <w:t>means 12:01</w:t>
      </w:r>
      <w:r>
        <w:rPr>
          <w:rFonts w:ascii="Times New Roman" w:hAnsi="Times New Roman"/>
          <w:color w:val="000000"/>
          <w:sz w:val="20"/>
        </w:rPr>
        <w:t xml:space="preserve"> </w:t>
      </w:r>
      <w:r>
        <w:rPr>
          <w:rFonts w:ascii="Times New Roman" w:hAnsi="Times New Roman"/>
          <w:i/>
          <w:color w:val="000000"/>
          <w:sz w:val="22"/>
        </w:rPr>
        <w:t>a.m., People’s Republic of China time, on the Closing Date.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2.6</w:t>
      </w:r>
    </w:p>
    <w:p>
      <w:pPr>
        <w:pStyle w:val="TextBody"/>
        <w:bidi w:val="0"/>
        <w:jc w:val="both"/>
        <w:rPr/>
      </w:pPr>
      <w:r>
        <w:rPr>
          <w:rFonts w:ascii="Times New Roman" w:hAnsi="Times New Roman"/>
          <w:color w:val="000000"/>
          <w:sz w:val="22"/>
          <w:u w:val="single"/>
        </w:rPr>
        <w:t>No Other Amendments</w:t>
      </w:r>
      <w:r>
        <w:rPr>
          <w:rFonts w:ascii="Times New Roman" w:hAnsi="Times New Roman"/>
          <w:color w:val="000000"/>
          <w:sz w:val="22"/>
        </w:rPr>
        <w:t>. Except as set forth in this Amendment, no other amendments are made to the Agreement and the remainder of the Agreement shall remain unchanged. Any reference to the Agreement from and after the Effective Date shall be deemed and construed as meaning the Agreement as amended by this Amendment.</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ARTICLE III – WAIVER</w:t>
      </w:r>
    </w:p>
    <w:p>
      <w:pPr>
        <w:pStyle w:val="TextBody"/>
        <w:bidi w:val="0"/>
        <w:jc w:val="center"/>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3.1</w:t>
      </w:r>
    </w:p>
    <w:p>
      <w:pPr>
        <w:pStyle w:val="TextBody"/>
        <w:bidi w:val="0"/>
        <w:jc w:val="both"/>
        <w:rPr/>
      </w:pPr>
      <w:r>
        <w:rPr>
          <w:rFonts w:ascii="Times New Roman" w:hAnsi="Times New Roman"/>
          <w:color w:val="000000"/>
          <w:sz w:val="22"/>
          <w:u w:val="single"/>
        </w:rPr>
        <w:t>[*]</w:t>
      </w:r>
      <w:r>
        <w:rPr>
          <w:rFonts w:ascii="Times New Roman" w:hAnsi="Times New Roman"/>
          <w:color w:val="000000"/>
          <w:sz w:val="22"/>
        </w:rPr>
        <w:t>. Pursuant to Section 10.6 of the Agreement, Purchaser hereby irrevocably waives the requirement of Seller under Section 2.6(c)(xii)(B) and Section 7.2(e) of the Agreement to deliver to Purchaser the partial assignment, transfer or novation of the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ARTICLE IV – MISCELLANEOUS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4.1</w:t>
      </w:r>
    </w:p>
    <w:p>
      <w:pPr>
        <w:pStyle w:val="TextBody"/>
        <w:bidi w:val="0"/>
        <w:jc w:val="both"/>
        <w:rPr/>
      </w:pPr>
      <w:r>
        <w:rPr>
          <w:rFonts w:ascii="Times New Roman" w:hAnsi="Times New Roman"/>
          <w:color w:val="000000"/>
          <w:sz w:val="22"/>
          <w:u w:val="single"/>
        </w:rPr>
        <w:t>Confidentiality</w:t>
      </w:r>
      <w:r>
        <w:rPr>
          <w:rFonts w:ascii="Times New Roman" w:hAnsi="Times New Roman"/>
          <w:color w:val="000000"/>
          <w:sz w:val="22"/>
        </w:rPr>
        <w:t>. This Amendment and the matters set forth herein are strictly confidential and the provisions of Section 6.2(f) (</w:t>
      </w:r>
      <w:r>
        <w:rPr>
          <w:rFonts w:ascii="Times New Roman" w:hAnsi="Times New Roman"/>
          <w:i/>
          <w:color w:val="000000"/>
          <w:sz w:val="22"/>
        </w:rPr>
        <w:t>Confidentiality</w:t>
      </w:r>
      <w:r>
        <w:rPr>
          <w:rFonts w:ascii="Times New Roman" w:hAnsi="Times New Roman"/>
          <w:color w:val="000000"/>
          <w:sz w:val="22"/>
        </w:rPr>
        <w:t>) of the Agreement shall apply.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4.2</w:t>
      </w:r>
    </w:p>
    <w:p>
      <w:pPr>
        <w:pStyle w:val="TextBody"/>
        <w:bidi w:val="0"/>
        <w:jc w:val="both"/>
        <w:rPr/>
      </w:pPr>
      <w:r>
        <w:rPr>
          <w:rFonts w:ascii="Times New Roman" w:hAnsi="Times New Roman"/>
          <w:color w:val="000000"/>
          <w:sz w:val="22"/>
          <w:u w:val="single"/>
        </w:rPr>
        <w:t>Counterparts</w:t>
      </w:r>
      <w:r>
        <w:rPr>
          <w:rFonts w:ascii="Times New Roman" w:hAnsi="Times New Roman"/>
          <w:color w:val="000000"/>
          <w:sz w:val="22"/>
        </w:rPr>
        <w:t>. This Amendment may be executed in any number of counterparts, and each such counterpart hereof shall be deemed to be an original instrument, but all such counterparts together shall constitute but one agreement. Delivery of an executed counterpart of a signature page of this Amendment by electronic transmission shall be effective as delivery of a manually executed original counterpart of this Amendment.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4.1</w:t>
      </w:r>
    </w:p>
    <w:p>
      <w:pPr>
        <w:pStyle w:val="TextBody"/>
        <w:bidi w:val="0"/>
        <w:jc w:val="both"/>
        <w:rPr/>
      </w:pPr>
      <w:r>
        <w:rPr>
          <w:rFonts w:ascii="Times New Roman" w:hAnsi="Times New Roman"/>
          <w:color w:val="000000"/>
          <w:sz w:val="22"/>
          <w:u w:val="single"/>
        </w:rPr>
        <w:t>Governing Law and Jurisdiction</w:t>
      </w:r>
      <w:r>
        <w:rPr>
          <w:rFonts w:ascii="Times New Roman" w:hAnsi="Times New Roman"/>
          <w:color w:val="000000"/>
          <w:sz w:val="22"/>
        </w:rPr>
        <w:t>. The terms of Section 10.3 (</w:t>
      </w:r>
      <w:r>
        <w:rPr>
          <w:rFonts w:ascii="Times New Roman" w:hAnsi="Times New Roman"/>
          <w:i/>
          <w:color w:val="000000"/>
          <w:sz w:val="22"/>
        </w:rPr>
        <w:t>Governing Law</w:t>
      </w:r>
      <w:r>
        <w:rPr>
          <w:rFonts w:ascii="Times New Roman" w:hAnsi="Times New Roman"/>
          <w:color w:val="000000"/>
          <w:sz w:val="22"/>
        </w:rPr>
        <w:t>), Section 10.4 (</w:t>
      </w:r>
      <w:r>
        <w:rPr>
          <w:rFonts w:ascii="Times New Roman" w:hAnsi="Times New Roman"/>
          <w:i/>
          <w:color w:val="000000"/>
          <w:sz w:val="22"/>
        </w:rPr>
        <w:t>Jurisdiction and Waiver</w:t>
      </w:r>
      <w:r>
        <w:rPr>
          <w:rFonts w:ascii="Times New Roman" w:hAnsi="Times New Roman"/>
          <w:color w:val="000000"/>
          <w:sz w:val="22"/>
        </w:rPr>
        <w:t>), and Section 10.5 (</w:t>
      </w:r>
      <w:r>
        <w:rPr>
          <w:rFonts w:ascii="Times New Roman" w:hAnsi="Times New Roman"/>
          <w:i/>
          <w:color w:val="000000"/>
          <w:sz w:val="22"/>
        </w:rPr>
        <w:t>Waiver of Jury Trial</w:t>
      </w:r>
      <w:r>
        <w:rPr>
          <w:rFonts w:ascii="Times New Roman" w:hAnsi="Times New Roman"/>
          <w:color w:val="000000"/>
          <w:sz w:val="22"/>
        </w:rPr>
        <w:t xml:space="preserve">) of the Agreement are incorporated herein by reference as if set forth herein and shall apply to the terms and provisions of this letter agreement, </w:t>
      </w:r>
      <w:r>
        <w:rPr>
          <w:rFonts w:ascii="Times New Roman" w:hAnsi="Times New Roman"/>
          <w:i/>
          <w:color w:val="000000"/>
          <w:sz w:val="22"/>
        </w:rPr>
        <w:t>mutatis mutandis</w:t>
      </w:r>
      <w:r>
        <w:rPr>
          <w:rFonts w:ascii="Times New Roman" w:hAnsi="Times New Roman"/>
          <w:color w:val="000000"/>
          <w:sz w:val="22"/>
        </w:rPr>
        <w:t>, save that references to “this Agreement” shall be construed as references to “this Amendment”.</w:t>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Pages Follow</w:t>
      </w:r>
      <w:r>
        <w:rPr>
          <w:rFonts w:ascii="Times New Roman" w:hAnsi="Times New Roman"/>
          <w:color w:val="000000"/>
          <w:sz w:val="22"/>
        </w:rPr>
        <w: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IN WITNESS WHEREOF, the Parties have executed this Amendment or caused this Amendment to be duly executed by their respective officers thereunto duly authorized, all as of the date first above written.</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FIBROGEN CHINA ANEMIA HOLDINGS, LTD.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Name: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Title: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FIBROGEN, INC.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Name: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Title: [*]</w:t>
      </w:r>
    </w:p>
    <w:p>
      <w:pPr>
        <w:pStyle w:val="TextBody"/>
        <w:bidi w:val="0"/>
        <w:jc w:val="left"/>
        <w:rPr>
          <w:rFonts w:ascii="Times New Roman" w:hAnsi="Times New Roman"/>
          <w:color w:val="000000"/>
          <w:sz w:val="22"/>
        </w:rPr>
      </w:pPr>
      <w:r>
        <w:rPr>
          <w:rFonts w:ascii="Times New Roman" w:hAnsi="Times New Roman"/>
          <w:color w:val="000000"/>
          <w:sz w:val="22"/>
        </w:rPr>
        <w:t>FibroGen C:00056588.1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ASTRAZENECA TREASURY LIMITED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Name: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Title: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[Signature Page to the SPA Amendment]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2.2(a)(i)</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[Schedule 2.2(a)(i) to the SPA Amendment]</w:t>
      </w:r>
    </w:p>
    <w:p>
      <w:pPr>
        <w:pStyle w:val="TextBody"/>
        <w:bidi w:val="0"/>
        <w:jc w:val="left"/>
        <w:rPr>
          <w:rFonts w:ascii="Times New Roman" w:hAnsi="Times New Roman"/>
          <w:color w:val="000000"/>
          <w:sz w:val="20"/>
        </w:rPr>
      </w:pPr>
      <w:r>
        <w:rPr>
          <w:rFonts w:ascii="Times New Roman" w:hAnsi="Times New Roman"/>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2.2(a)(ii)</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[Schedule 2.2(a)(ii) to the SPA Amendment]</w:t>
      </w:r>
    </w:p>
    <w:p>
      <w:pPr>
        <w:pStyle w:val="TextBody"/>
        <w:bidi w:val="0"/>
        <w:jc w:val="left"/>
        <w:rPr>
          <w:rFonts w:ascii="Times New Roman" w:hAnsi="Times New Roman"/>
          <w:color w:val="000000"/>
          <w:sz w:val="20"/>
        </w:rPr>
      </w:pPr>
      <w:r>
        <w:rPr>
          <w:rFonts w:ascii="Times New Roman" w:hAnsi="Times New Roman"/>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2.3(a)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[Schedule 2.3(a) to the SPA Amendment]</w:t>
      </w:r>
    </w:p>
    <w:p>
      <w:pPr>
        <w:pStyle w:val="TextBody"/>
        <w:bidi w:val="0"/>
        <w:jc w:val="left"/>
        <w:rPr>
          <w:rFonts w:ascii="Times New Roman" w:hAnsi="Times New Roman"/>
          <w:color w:val="000000"/>
          <w:sz w:val="20"/>
        </w:rPr>
      </w:pPr>
      <w:r>
        <w:rPr>
          <w:rFonts w:ascii="Times New Roman" w:hAnsi="Times New Roman"/>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2.3(b)</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[Schedule 2.3(b) to the SPA Amendment]</w:t>
      </w:r>
    </w:p>
    <w:p>
      <w:pPr>
        <w:pStyle w:val="TextBody"/>
        <w:bidi w:val="0"/>
        <w:jc w:val="left"/>
        <w:rPr>
          <w:rFonts w:ascii="Times New Roman" w:hAnsi="Times New Roman"/>
          <w:color w:val="000000"/>
          <w:sz w:val="20"/>
        </w:rPr>
      </w:pPr>
      <w:r>
        <w:rPr>
          <w:rFonts w:ascii="Times New Roman" w:hAnsi="Times New Roman"/>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2.3(c)</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[Schedule 2.3(c) to the SPA Amendment]</w:t>
      </w:r>
    </w:p>
    <w:p>
      <w:pPr>
        <w:pStyle w:val="TextBody"/>
        <w:bidi w:val="0"/>
        <w:jc w:val="left"/>
        <w:rPr>
          <w:rFonts w:ascii="Times New Roman" w:hAnsi="Times New Roman"/>
          <w:color w:val="000000"/>
          <w:sz w:val="20"/>
        </w:rPr>
      </w:pPr>
      <w:r>
        <w:rPr>
          <w:rFonts w:ascii="Times New Roman" w:hAnsi="Times New Roman"/>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 D</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[Exhibit D to the SPA]</w:t>
      </w:r>
    </w:p>
    <w:p>
      <w:pPr>
        <w:pStyle w:val="TextBody"/>
        <w:bidi w:val="0"/>
        <w:jc w:val="left"/>
        <w:rPr>
          <w:rFonts w:ascii="Times New Roman" w:hAnsi="Times New Roman"/>
          <w:color w:val="000000"/>
          <w:sz w:val="20"/>
        </w:rPr>
      </w:pPr>
      <w:r>
        <w:rPr>
          <w:rFonts w:ascii="Times New Roman" w:hAnsi="Times New Roman"/>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fgen-ex31_1.htm"/>
      <w:bookmarkStart w:id="32" w:name="ksfgenex31_1"/>
      <w:bookmarkEnd w:id="31"/>
      <w:bookmarkEnd w:id="32"/>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Thane Wettig,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Form 10-Q of FibroGen,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727" w:type="dxa"/>
        <w:jc w:val="left"/>
        <w:tblInd w:w="0" w:type="dxa"/>
        <w:tblLayout w:type="fixed"/>
        <w:tblCellMar>
          <w:top w:w="28" w:type="dxa"/>
          <w:left w:w="28" w:type="dxa"/>
          <w:bottom w:w="28" w:type="dxa"/>
          <w:right w:w="28" w:type="dxa"/>
        </w:tblCellMar>
      </w:tblPr>
      <w:tblGrid>
        <w:gridCol w:w="2206"/>
        <w:gridCol w:w="2521"/>
      </w:tblGrid>
      <w:tr>
        <w:trPr/>
        <w:tc>
          <w:tcPr>
            <w:tcW w:w="22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Thane Wettig</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3" w:name="fgen-ex31_2.htm"/>
      <w:bookmarkStart w:id="34" w:name="ksfgenex31_2"/>
      <w:bookmarkEnd w:id="33"/>
      <w:bookmarkEnd w:id="34"/>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DeLucia,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Form 10-Q of FibroGen,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392" w:type="dxa"/>
        <w:jc w:val="left"/>
        <w:tblInd w:w="0" w:type="dxa"/>
        <w:tblLayout w:type="fixed"/>
        <w:tblCellMar>
          <w:top w:w="28" w:type="dxa"/>
          <w:left w:w="28" w:type="dxa"/>
          <w:bottom w:w="28" w:type="dxa"/>
          <w:right w:w="28" w:type="dxa"/>
        </w:tblCellMar>
      </w:tblPr>
      <w:tblGrid>
        <w:gridCol w:w="2206"/>
        <w:gridCol w:w="4186"/>
      </w:tblGrid>
      <w:tr>
        <w:trPr/>
        <w:tc>
          <w:tcPr>
            <w:tcW w:w="22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41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DeLucia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DeLucia</w:t>
            </w:r>
          </w:p>
          <w:p>
            <w:pPr>
              <w:pStyle w:val="TableContents"/>
              <w:bidi w:val="0"/>
              <w:jc w:val="left"/>
              <w:rPr>
                <w:rFonts w:ascii="Times New Roman" w:hAnsi="Times New Roman"/>
                <w:color w:val="000000"/>
                <w:sz w:val="20"/>
              </w:rPr>
            </w:pPr>
            <w:r>
              <w:rPr>
                <w:rFonts w:ascii="Times New Roman" w:hAnsi="Times New Roman"/>
                <w:color w:val="000000"/>
                <w:sz w:val="20"/>
              </w:rPr>
              <w:t xml:space="preserve">Senior Vice President and 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fgen-ex32_1.htm"/>
      <w:bookmarkStart w:id="36" w:name="ksfgenex32_1"/>
      <w:bookmarkEnd w:id="35"/>
      <w:bookmarkEnd w:id="36"/>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Thane Wettig, Chief Executive Officer of FibroGen, Inc. (the “Company”), and David DeLucia, Chief Financial Officer of the Company, each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September 30, 2025, to which this Certification is attached as Exhibit 32.1 (the “Periodic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November 10, 2025</w:t>
      </w:r>
    </w:p>
    <w:p>
      <w:pPr>
        <w:pStyle w:val="TextBody"/>
        <w:bidi w:val="0"/>
        <w:spacing w:before="360" w:after="24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the 10</w:t>
      </w:r>
      <w:r>
        <w:rPr>
          <w:rFonts w:ascii="Times New Roman" w:hAnsi="Times New Roman"/>
          <w:color w:val="000000"/>
          <w:sz w:val="13"/>
        </w:rPr>
        <w:t>th</w:t>
      </w:r>
      <w:r>
        <w:rPr>
          <w:rFonts w:ascii="Times New Roman" w:hAnsi="Times New Roman"/>
          <w:color w:val="000000"/>
          <w:sz w:val="20"/>
        </w:rPr>
        <w:t xml:space="preserve"> day of November, 2025.</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513" w:type="dxa"/>
        <w:jc w:val="left"/>
        <w:tblInd w:w="0" w:type="dxa"/>
        <w:tblLayout w:type="fixed"/>
        <w:tblCellMar>
          <w:top w:w="28" w:type="dxa"/>
          <w:left w:w="28" w:type="dxa"/>
          <w:bottom w:w="28" w:type="dxa"/>
          <w:right w:w="28" w:type="dxa"/>
        </w:tblCellMar>
      </w:tblPr>
      <w:tblGrid>
        <w:gridCol w:w="2086"/>
        <w:gridCol w:w="146"/>
        <w:gridCol w:w="228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DeLucia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Thane Wettig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DeLucia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Senior Vice President and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299/000119312514420380/d824859dex31.htm" TargetMode="External"/><Relationship Id="rId3" Type="http://schemas.openxmlformats.org/officeDocument/2006/relationships/hyperlink" Target="https://www.sec.gov/Archives/edgar/data/921299/000095017025051219/fgen-ex3_1.htm" TargetMode="External"/><Relationship Id="rId4" Type="http://schemas.openxmlformats.org/officeDocument/2006/relationships/hyperlink" Target="https://www.sec.gov/Archives/edgar/data/921299/000095017025051219/fgen-ex3_1.htm" TargetMode="External"/><Relationship Id="rId5" Type="http://schemas.openxmlformats.org/officeDocument/2006/relationships/hyperlink" Target="https://www.sec.gov/Archives/edgar/data/921299/000095017025085439/fgen-ex3_1.htm" TargetMode="External"/><Relationship Id="rId6" Type="http://schemas.openxmlformats.org/officeDocument/2006/relationships/hyperlink" Target="https://www.sec.gov/Archives/edgar/data/921299/000119312514420380/d824859dex41.htm" TargetMode="External"/><Relationship Id="rId7" Type="http://schemas.openxmlformats.org/officeDocument/2006/relationships/hyperlink" Target="https://www.sec.gov/Archives/edgar/data/0000921299/000119312514381669/d720189dex417.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59092</Words>
  <Characters>333412</Characters>
  <CharactersWithSpaces>393124</CharactersWithSpaces>
  <Paragraphs>7913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