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453"/>
        </w:trPr>
        <w:tc>
          <w:tcPr>
            <w:tcW w:w="442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001-36740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right"/>
              <w:ind w:right="61"/>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438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0"/>
              </w:rPr>
              <w:t>409 Illinois Street</w:t>
            </w:r>
          </w:p>
        </w:tc>
        <w:tc>
          <w:tcPr>
            <w:tcW w:w="3140" w:type="dxa"/>
            <w:vAlign w:val="bottom"/>
          </w:tcPr>
          <w:p>
            <w:pPr>
              <w:spacing w:after="0"/>
              <w:rPr>
                <w:sz w:val="24"/>
                <w:szCs w:val="24"/>
                <w:color w:val="auto"/>
              </w:rPr>
            </w:pPr>
          </w:p>
        </w:tc>
      </w:tr>
      <w:tr>
        <w:trPr>
          <w:trHeight w:val="225"/>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San Francisco, CA</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94158</w:t>
            </w:r>
          </w:p>
        </w:tc>
      </w:tr>
      <w:tr>
        <w:trPr>
          <w:trHeight w:val="186"/>
        </w:trPr>
        <w:tc>
          <w:tcPr>
            <w:tcW w:w="4380" w:type="dxa"/>
            <w:vAlign w:val="bottom"/>
          </w:tcPr>
          <w:p>
            <w:pPr>
              <w:jc w:val="center"/>
              <w:ind w:right="1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2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978-1200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Exchange Act Rule 12b-2).</w:t>
            </w:r>
          </w:p>
        </w:tc>
        <w:tc>
          <w:tcPr>
            <w:tcW w:w="27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ind w:left="460"/>
              <w:spacing w:after="0"/>
              <w:rPr>
                <w:sz w:val="20"/>
                <w:szCs w:val="20"/>
                <w:color w:val="auto"/>
              </w:rPr>
            </w:pPr>
            <w:r>
              <w:rPr>
                <w:rFonts w:ascii="Arial" w:cs="Arial" w:eastAsia="Arial" w:hAnsi="Arial"/>
                <w:sz w:val="18"/>
                <w:szCs w:val="18"/>
                <w:color w:val="auto"/>
              </w:rPr>
              <w:t>The number of shares of common stock outstanding as of July 31, 2015 was 60,564,900.</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960" w:type="dxa"/>
            <w:vAlign w:val="bottom"/>
            <w:gridSpan w:val="12"/>
            <w:vMerge w:val="restart"/>
          </w:tcPr>
          <w:p>
            <w:pPr>
              <w:jc w:val="center"/>
              <w:ind w:right="3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96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21"/>
          </w:tcPr>
          <w:p>
            <w:pPr>
              <w:spacing w:after="0"/>
              <w:rPr>
                <w:sz w:val="20"/>
                <w:szCs w:val="20"/>
                <w:color w:val="auto"/>
              </w:rPr>
            </w:pPr>
            <w:r>
              <w:rPr>
                <w:rFonts w:ascii="Arial" w:cs="Arial" w:eastAsia="Arial" w:hAnsi="Arial"/>
                <w:sz w:val="18"/>
                <w:szCs w:val="18"/>
                <w:color w:val="auto"/>
              </w:rPr>
              <w:t>Condensed Consolidated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614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2015 and December 31, 2014</w:t>
              </w:r>
            </w:hyperlink>
          </w:p>
        </w:tc>
        <w:tc>
          <w:tcPr>
            <w:tcW w:w="4040" w:type="dxa"/>
            <w:vAlign w:val="bottom"/>
            <w:gridSpan w:val="7"/>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1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quarter and six months ended June 30, 2015 and 2014</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1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for the quarter and six months ended June 30, 2015 and 2014</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2015 and 2014</w:t>
              </w:r>
            </w:hyperlink>
          </w:p>
        </w:tc>
        <w:tc>
          <w:tcPr>
            <w:tcW w:w="1720" w:type="dxa"/>
            <w:vAlign w:val="bottom"/>
            <w:tcBorders>
              <w:top w:val="single" w:sz="8" w:color="0000EE"/>
            </w:tcBorders>
            <w:gridSpan w:val="2"/>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59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7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82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8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II—OTHER INFORMATION</w:t>
              </w:r>
            </w:hyperlink>
          </w:p>
        </w:tc>
        <w:tc>
          <w:tcPr>
            <w:tcW w:w="394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8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18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8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58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7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4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95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94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18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Exhibit Index</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980" w:type="dxa"/>
            <w:vAlign w:val="bottom"/>
            <w:tcBorders>
              <w:top w:val="single" w:sz="8" w:color="0000EE"/>
            </w:tcBorders>
            <w:gridSpan w:val="4"/>
          </w:tcPr>
          <w:p>
            <w:pPr>
              <w:spacing w:after="0"/>
              <w:rPr>
                <w:sz w:val="24"/>
                <w:szCs w:val="24"/>
                <w:color w:val="auto"/>
              </w:rPr>
            </w:pPr>
          </w:p>
        </w:tc>
        <w:tc>
          <w:tcPr>
            <w:tcW w:w="5160" w:type="dxa"/>
            <w:vAlign w:val="bottom"/>
            <w:gridSpan w:val="10"/>
          </w:tcPr>
          <w:p>
            <w:pPr>
              <w:jc w:val="right"/>
              <w:ind w:right="1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2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236,536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12,129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($10,331 and $5,033 from a related party)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2,731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198,238</w:t>
            </w:r>
          </w:p>
        </w:tc>
        <w:tc>
          <w:tcPr>
            <w:tcW w:w="0" w:type="dxa"/>
            <w:vAlign w:val="bottom"/>
          </w:tcPr>
          <w:p>
            <w:pPr>
              <w:spacing w:after="0"/>
              <w:rPr>
                <w:sz w:val="1"/>
                <w:szCs w:val="1"/>
                <w:color w:val="auto"/>
              </w:rPr>
            </w:pPr>
          </w:p>
        </w:tc>
      </w:tr>
      <w:tr>
        <w:trPr>
          <w:trHeight w:val="324"/>
        </w:trPr>
        <w:tc>
          <w:tcPr>
            <w:tcW w:w="85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7,254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138,310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130,451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541,395</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Accrued liabilities ($5,817 and $4,594 to related parties)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46,240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63,502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62,754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lease financing obligations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15,186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87,273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268,509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242,852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5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Preferred stock, $0.01 par value; 125,000 shares authorized at June 30, 2015 and December 31, 2014; no</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issued and outstanding at June 30, 2015 and December 31, 2014</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$0.01 par value; 225,000 shares authorized at June 30, 2015 and December 31, 2014; 60,370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and 59,046 shares issued and outstanding at June 30, 2015 and December 31, 2014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565,229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(311,595)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(322,283)</w:t>
            </w: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253,615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19,271</w:t>
            </w: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272,886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240,676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541,395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Quarter Ended June 30,</w:t>
            </w:r>
          </w:p>
        </w:tc>
        <w:tc>
          <w:tcPr>
            <w:tcW w:w="140" w:type="dxa"/>
            <w:vAlign w:val="bottom"/>
          </w:tcPr>
          <w:p>
            <w:pPr>
              <w:spacing w:after="0"/>
              <w:rPr>
                <w:sz w:val="14"/>
                <w:szCs w:val="14"/>
                <w:color w:val="auto"/>
              </w:rPr>
            </w:pPr>
          </w:p>
        </w:tc>
        <w:tc>
          <w:tcPr>
            <w:tcW w:w="19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340"/>
              <w:spacing w:after="0" w:line="201" w:lineRule="exact"/>
              <w:rPr>
                <w:sz w:val="20"/>
                <w:szCs w:val="20"/>
                <w:color w:val="auto"/>
              </w:rPr>
            </w:pPr>
            <w:r>
              <w:rPr>
                <w:rFonts w:ascii="Arial" w:cs="Arial" w:eastAsia="Arial" w:hAnsi="Arial"/>
                <w:sz w:val="18"/>
                <w:szCs w:val="18"/>
                <w:color w:val="auto"/>
                <w:w w:val="94"/>
              </w:rPr>
              <w:t>License and milestone revenue (includes $4,860, $3,718, $9,552 and $6,460 from a related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520"/>
              <w:spacing w:after="0"/>
              <w:rPr>
                <w:sz w:val="20"/>
                <w:szCs w:val="20"/>
                <w:color w:val="auto"/>
              </w:rPr>
            </w:pPr>
            <w:r>
              <w:rPr>
                <w:rFonts w:ascii="Arial" w:cs="Arial" w:eastAsia="Arial" w:hAnsi="Arial"/>
                <w:sz w:val="18"/>
                <w:szCs w:val="18"/>
                <w:color w:val="auto"/>
              </w:rPr>
              <w:t>party)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106,879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82,463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118,385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Collaboration services and other revenue (includes $719, $866, $1,353 and $1,617 from a related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120,550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89,958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136,848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51,555</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33,269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102,094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61,235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40,785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122,256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72,867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59,315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49,173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57,260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46,831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57,055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46,831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Weighted average number of common shares used to calculate net income per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59,798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13,347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68,752</w:t>
            </w: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37,106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69,354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9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Quarter Ended June 30,</w:t>
            </w:r>
          </w:p>
        </w:tc>
        <w:tc>
          <w:tcPr>
            <w:tcW w:w="19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$ 57,055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Available-for-sale investments: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gain (loss) on investments, net of tax effect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Reclassification from accumulated other comprehensive loss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gain (loss) on available-for-sale investments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2,526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$ 57,170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46,736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13,214</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10,688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premium on investments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Tax benefit on unrealized gain on available-for-sale securities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Lease financing liability</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58,857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77,238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Repayments of lease liability</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Payments of equity issuance costs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60" w:type="dxa"/>
            <w:vAlign w:val="bottom"/>
            <w:gridSpan w:val="2"/>
          </w:tcPr>
          <w:p>
            <w:pPr>
              <w:spacing w:after="0"/>
              <w:rPr>
                <w:sz w:val="20"/>
                <w:szCs w:val="20"/>
                <w:color w:val="auto"/>
              </w:rPr>
            </w:pPr>
            <w:r>
              <w:rPr>
                <w:rFonts w:ascii="Arial" w:cs="Arial" w:eastAsia="Arial" w:hAnsi="Arial"/>
                <w:sz w:val="18"/>
                <w:szCs w:val="18"/>
                <w:color w:val="auto"/>
              </w:rPr>
              <w:t>Effect of exchange rate change on cash and cash equivalents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165,455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236,536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182,662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Operations</w:t>
      </w:r>
    </w:p>
    <w:p>
      <w:pPr>
        <w:spacing w:after="0" w:line="11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FibroGen, Inc. (“FibroGen,” the “Company,” or “we” and other similar pronouns) was incorporated in 1993 in Delaware and is a research-based biopharmaceutical company focused on the discovery, development and commercialization of novel therapeutics to treat serious unmet medical needs. Our focus in the areas of fibrosis and hypoxia-inducible factor (“HIF”) biology has generated multiple programs targeting various therapeutic areas. Our most advanced product candidate,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and liver fibrosis. We have taken a global approach with respect to the development and future commercialization of our product candidates, and this includes development and commercialization in the People’s Republic of China (“China”).</w:t>
      </w:r>
    </w:p>
    <w:p>
      <w:pPr>
        <w:spacing w:after="0" w:line="16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On November 10, 2014, we effected a 1-for-2.5 reverse split of our common stock. Upon the effectiveness of the reverse stock split, (i) every 2.5 shares of outstanding common stock were combined into one share of common stock, (ii) the number of shares of common stock for which each outstanding option or warrant to purchase common stock is exercisable was proportionally decreased on a 1-for-2.5 basis, (iii) the exercise price of each outstanding option or warrant to purchase common stock was proportionately increased on a 1-for- 2.5 basis, (iv) the exchange ratio for each share of outstanding FibroGen Europe Oy (“FibroGen Europe”) share of stock which is exchangeable into our common stock was proportionately reduced on a 1-for-2.5 basis, and (v) the conversion ratio for each share of outstanding preferred stock which is convertible into our common stock was proportionately reduced on a 1-for-2.5 basis. All of the outstanding common stock share numbers (including shares of common stock which our outstanding preferred stock shares were convertible into), common stock warrants, share prices, exercise prices and per share amounts have been adjusted in these condensed consolidated financial statements, on a retroactive basis, to reflect this 1-for-2.5 reverse stock split for all periods presented. The par value per share and the authorized number of shares of common stock and preferred stock were not adjusted as a result of the reverse stock split.</w:t>
      </w:r>
    </w:p>
    <w:p>
      <w:pPr>
        <w:spacing w:after="0" w:line="16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November 19, 2014, we closed the initial public offering (“IPO”) of our common stock. In our IPO, we sold 9,315,000 shares of our common stock at a public offering price of $18.00 per share. Net proceeds from our IPO and concurrent private placement were $171.8 million, after deducting underwriting discounts and commissions of $11.7 million and offering expenses of $4.1 million. AstraZeneca AB (“AstraZeneca”), one of our collaboration partners, agreed to purchase from us concurrently with the closing of our IPO in a private placement shares of our common stock with an aggregate purchase price of $20.0 million at a price per share equal to the IPO price. Upon the closing of our IPO, all outstanding shares of our convertible preferred stock automatically converted into 33,919,954 shares of common stock and 958,996 shares of FibroGen Europe convertible preferred stock were converted into shares of our common stock. Our proceeds from the sale of the common stock sold in the concurrent private placement were $20.0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and FibroGen China Anemia Holdings, Ltd. All inter-company transactions and balances have been eliminated in consolidation. We operate in one segment—the discovery, development and commercialization of novel therapeutics to treat serious unmet medical needs.</w:t>
      </w:r>
    </w:p>
    <w:p>
      <w:pPr>
        <w:spacing w:after="0" w:line="14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generally accepted in the United States of America (“GAAP”) for interim financial reporting and the rules and regulations of the U.S. Securities and Exchange Commission (“SEC”) and, therefore, do not include all information and footnote disclosures normally included in the annual consolidated financial statements. The December 31, 2014 condensed consolidated balance sheet data contained within this Form 10-Q was derived from audited consolidated financial statements included in our Form 10-K for the year ended December 31, 2014, but does not include all disclosures required by accounting principles generally accepted in the United States.</w:t>
      </w:r>
    </w:p>
    <w:p>
      <w:pPr>
        <w:spacing w:after="0" w:line="15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 In our opinion, the accompanying unaudited condensed consolidated financial statements include all normal recurring adjustments necessary for a fair presentation of our financial position, results of operations and cash flows for the interim periods presented.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We define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Our valuation techniques are based on observable and unobservable inputs. Observable inputs reflect readily obtainable data from independent sources, while unobservable inputs reflect our market assumptions. We classify these inputs into the following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for identical instruments in active markets.</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and little, if any, market activity for the assets.</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7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Carrying amounts of certain of our financial instruments including cash equivalents, investments, receivables, accounts payable and accrued liabilities approximate fair value due to their short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Our collaboration agreements include multiple deliverables, and we, therefore, follow the guidance in Accounting Standards Codification (“ASC”) Topic 605-25, “Revenue Recognition–Multiple-Element Arrangements” (“ASC 605-25”). ASC 605-25:</w:t>
      </w:r>
    </w:p>
    <w:p>
      <w:pPr>
        <w:spacing w:after="0" w:line="76" w:lineRule="exact"/>
        <w:rPr>
          <w:sz w:val="20"/>
          <w:szCs w:val="20"/>
          <w:color w:val="auto"/>
        </w:rPr>
      </w:pPr>
    </w:p>
    <w:p>
      <w:pPr>
        <w:ind w:left="1460" w:right="12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guidance on how revenue arrangements with multiple deliverables should be separated and how the arrangement consideration should be allocated among the separate units of accounting;</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right="400" w:firstLine="913"/>
        <w:spacing w:after="0" w:line="257" w:lineRule="auto"/>
        <w:rPr>
          <w:sz w:val="20"/>
          <w:szCs w:val="20"/>
          <w:color w:val="auto"/>
        </w:rPr>
      </w:pPr>
      <w:r>
        <w:rPr>
          <w:rFonts w:ascii="Arial" w:cs="Arial" w:eastAsia="Arial" w:hAnsi="Arial"/>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typically used as the measurement of performance. Revenue may be recognized using a straight line method when performance is expected to occur roughly consistently over a period of time.</w:t>
      </w:r>
    </w:p>
    <w:p>
      <w:pPr>
        <w:spacing w:after="0" w:line="18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the collaboration partners pursuant to research and development efforts, those costs are charged to research and development using the guidance pursuant to ASC Topic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is (i)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Immediately prior to the IPO, the Company had authorized 125,000,000 shares of Preferred Stock with a par value of $0.01 per share. The Series A Preferred Stock, Series B Preferred Stock, Series C Preferred Stock, Series D Preferred Stock, Royalty Acquisition Preferred Stock and Series G-1 Preferred Stock are collectively referred to as the “Junior Preferred Stock”. The Series E Redeemable Convertible Preferred Stock and Series F Redeemable Convertible Preferred Stock are collectively referred to as the “Senior Preferred Stock”. As of December 31, 2014, there was no outstanding convertible preferred stock as all issued and outstanding preferred stock were converted to common stock at the closing of the Company’s IPO in November 2014.</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Prior to the IPO, we applied the two-class method to calculate basic and diluted net income per share of common stock. The two-class method is an earnings allocation method under which earnings per share is calculated for common stock considering a participating security’s rights to undistributed earnings as if all such earnings had been distributed during the period. The Junior Preferred Stock were participating securities due to their dividend rights and the Senior Preferred Stock had stated dividend rates. During periods of net income, the calculation of basic net income per share was reclassified to exclude the income attributable to all participating securities from the numerator and exclude the dilutive impact of those shares from the denominator. During periods of net loss, all participating securities were not included in the calculation of net loss per share because the preferred stockholders had no contractual obligation to participate in losses.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is a reconciliation of the basic and diluted net income per share calculation for the periods presented (in thousands, except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Quarter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57,055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Less: Undistributed earnings allocated to Junior Preferred stockholders</w:t>
            </w:r>
          </w:p>
        </w:tc>
        <w:tc>
          <w:tcPr>
            <w:tcW w:w="1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Senior Preferred and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57,055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Less: Undistributed earnings allocated to Senior Preferred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57,055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324"/>
        </w:trPr>
        <w:tc>
          <w:tcPr>
            <w:tcW w:w="6200" w:type="dxa"/>
            <w:vAlign w:val="bottom"/>
            <w:gridSpan w:val="2"/>
          </w:tcPr>
          <w:p>
            <w:pPr>
              <w:spacing w:after="0"/>
              <w:rPr>
                <w:sz w:val="20"/>
                <w:szCs w:val="20"/>
                <w:color w:val="auto"/>
              </w:rPr>
            </w:pPr>
            <w:r>
              <w:rPr>
                <w:rFonts w:ascii="Arial" w:cs="Arial" w:eastAsia="Arial" w:hAnsi="Arial"/>
                <w:sz w:val="18"/>
                <w:szCs w:val="18"/>
                <w:color w:val="auto"/>
              </w:rPr>
              <w:t>Weighted average shares used to compute net income per share: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59,798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Dilutive effect of Senior Preferred stock</w:t>
            </w:r>
          </w:p>
        </w:tc>
        <w:tc>
          <w:tcPr>
            <w:tcW w:w="1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Dilutive effect of potential common shares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80" w:type="dxa"/>
            <w:vAlign w:val="bottom"/>
          </w:tcPr>
          <w:p>
            <w:pPr>
              <w:ind w:left="10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68,752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37,106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69,354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Diluted net income per share does not include the effect of 3.8 million and 18.6 million securities for the quarters ended June 30, 2015 and 2014 and 1.8 million and 33.9 million securities for the six months ended June 30,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(Topic 606), which supersedes the revenue recognition requirements in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for ASU 2014-09was initially for fiscal years beginning after December 15, 2016. In July 2015, the FASB approved a one year deferral of this standard with a new effective date for fiscal years beginning after December 15, 2017. The new guidelines can be implemented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We are currently evaluating the impact of this guidance on our consolidated financial statements.</w:t>
      </w:r>
    </w:p>
    <w:p>
      <w:pPr>
        <w:spacing w:after="0" w:line="3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In June 2005, we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We evaluated the criteria under ASC 605-28 (as disclosed in Note 1) and concluded that the aforementioned milestone was substantive.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April 2006, we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We evaluated the criteria under ASC 605-28 (as disclosed in Note 1)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Agreement</w:t>
      </w:r>
    </w:p>
    <w:p>
      <w:pPr>
        <w:spacing w:after="0" w:line="117"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Effective July 30, 2013, we entered into a collaboration agreement with AstraZeneca for the development and commercialization of roxadustat for the treatment of anemia in the United States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 expect to receive in various amounts through June 2016, of which $312.0 million was received as of June 30, 2015.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we received a $15.0 million development milestone payment as a result of the finalization of our two audited pre-clinical carcinogenicity study reports. We evaluated the criteria under ASC 605-28 (as disclosed in Note 1) and concluded that each of those milestones was substantive.</w:t>
      </w:r>
    </w:p>
    <w:p>
      <w:pPr>
        <w:spacing w:after="0" w:line="16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Under the U.S./RoW Agreement, we and AstraZeneca will share equally in the development costs of roxadustat not already paid for by Astellas, up to a total of $233.0 million. Any additional development costs incurred by us during the development period in excess of the $233.0 million (aggregated spend) will be fully reimbursed by AstraZeneca. AstraZeneca will pay us tiered royalty payments on AstraZeneca’s future net sales (as defined in the agreement) of roxadustat in the low 20% range. In addition we will receive a transfer price for delivery of commercial product based on a percentage of AstraZeneca’s net sales (as defined in the agreement) in the low- to mid-single digit range.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Effective July 30, 2013, we (through our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as of March 31,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Astellas Agreements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each of the Astellas agreements, we evaluated the deliverables within the respective arrangements and separated them into various units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accounting.</w:t>
      </w:r>
    </w:p>
    <w:p>
      <w:pPr>
        <w:spacing w:after="0" w:line="21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Astellas agreements.</w:t>
      </w:r>
    </w:p>
    <w:p>
      <w:pPr>
        <w:spacing w:after="0" w:line="18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For the Astellas agreements, we allocated arrangement consideration to various units of accounting based on BESP of each deliverable within each unit of accounting using the relative selling price method as we did not have VSOE or TPE of selling price for such deliverables. Arrangement consideration includes non-contingent upfront payments of $360.1 million and cumulative co-development billings of $114.5 million (for the Europe Agreement) as of June 30, 2015.</w:t>
      </w:r>
    </w:p>
    <w:p>
      <w:pPr>
        <w:spacing w:after="0" w:line="18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For the technology license under the Japan Agreement and Europe Agreement, BESP was determined primarily by using the discounted cash flow (“DCF”) method, which aggregates the present value of future cash flows to determine the valuation as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Our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BESP also considered certain future royalty payments associated with commercial performance of our compounds, transfer prices and expected gross margins.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72" w:lineRule="exact"/>
        <w:rPr>
          <w:sz w:val="20"/>
          <w:szCs w:val="20"/>
          <w:color w:val="auto"/>
        </w:rPr>
      </w:pPr>
    </w:p>
    <w:p>
      <w:pPr>
        <w:ind w:left="1460" w:hanging="547"/>
        <w:spacing w:after="0" w:line="291"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License to our technology existing at the effective date of the agreements. </w:t>
      </w:r>
      <w:r>
        <w:rPr>
          <w:rFonts w:ascii="Arial" w:cs="Arial" w:eastAsia="Arial" w:hAnsi="Arial"/>
          <w:sz w:val="16"/>
          <w:szCs w:val="16"/>
          <w:color w:val="auto"/>
        </w:rPr>
        <w:t>For both of the Astellas agreements, the license was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at the beginning of the agreement terms, or when the agreements were signed, and any contingencies had been removed. In both cases, we concluded at the time of the agreement that our collaboration partner, Astellas, would have the knowledge and capabilities to exploit the licenses without our further involvement. However, the Japan Agreement with Astellas has contractual limitations that might affect Astellas’ ability to exploit the license and therefore, potentially, the conclusion as to whether the license provides stand-alone value. In the Japan agreement, Astellas does not have the right to manufacture commercial supplies of the drug. In order to determine whether this characteristic of the agreement should lead to a conclusion that the license did not have stand-alone value, we considered the intent of the parties and the substantive reasons that led to that feature of the agreement.</w:t>
      </w:r>
    </w:p>
    <w:p>
      <w:pPr>
        <w:spacing w:after="0" w:line="65" w:lineRule="exact"/>
        <w:rPr>
          <w:rFonts w:ascii="Arial" w:cs="Arial" w:eastAsia="Arial" w:hAnsi="Arial"/>
          <w:sz w:val="16"/>
          <w:szCs w:val="16"/>
          <w:color w:val="auto"/>
        </w:rPr>
      </w:pPr>
    </w:p>
    <w:p>
      <w:pPr>
        <w:ind w:left="1460" w:right="40" w:hanging="547"/>
        <w:spacing w:after="0" w:line="274"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Manufacturing rights. </w:t>
      </w:r>
      <w:r>
        <w:rPr>
          <w:rFonts w:ascii="Arial" w:cs="Arial" w:eastAsia="Arial" w:hAnsi="Arial"/>
          <w:sz w:val="17"/>
          <w:szCs w:val="17"/>
          <w:color w:val="auto"/>
        </w:rPr>
        <w:t>In the case of the Japan Agreement, we retained manufacturing rights largely because of the way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chose for FibroGen to be compensated under the agreement. At the time the agreement was signed, we believed that it was more advantageous upon commercialization to have a transfer price revenue model in place as opposed to a traditional sales-based model. We and Astellas could have structured the arrangement with a transfer of manufacturing rights and compensated us through a royalty or other feature without significantly diminishing the prospects of the drug product. Therefore, we determined that the license in Japan provides stand-alone value to the customer despite the lack of manufacturing rights.</w:t>
      </w:r>
    </w:p>
    <w:p>
      <w:pPr>
        <w:spacing w:after="0" w:line="79" w:lineRule="exact"/>
        <w:rPr>
          <w:rFonts w:ascii="Arial" w:cs="Arial" w:eastAsia="Arial" w:hAnsi="Arial"/>
          <w:sz w:val="17"/>
          <w:szCs w:val="17"/>
          <w:color w:val="auto"/>
        </w:rPr>
      </w:pPr>
    </w:p>
    <w:p>
      <w:pPr>
        <w:jc w:val="both"/>
        <w:ind w:left="1460" w:right="100" w:hanging="547"/>
        <w:spacing w:after="0" w:line="266"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License to our technology developed during the term of the agreement and development (referred to as “when and if available”) and information sharing services</w:t>
      </w:r>
      <w:r>
        <w:rPr>
          <w:rFonts w:ascii="Arial" w:cs="Arial" w:eastAsia="Arial" w:hAnsi="Arial"/>
          <w:sz w:val="18"/>
          <w:szCs w:val="18"/>
          <w:color w:val="auto"/>
        </w:rPr>
        <w:t>. These deliverables are generally delivered throughout the term of the agreements and are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as revenue as the services are provided.</w:t>
      </w:r>
    </w:p>
    <w:p>
      <w:pPr>
        <w:spacing w:after="0" w:line="81" w:lineRule="exact"/>
        <w:rPr>
          <w:rFonts w:ascii="Arial" w:cs="Arial" w:eastAsia="Arial" w:hAnsi="Arial"/>
          <w:sz w:val="18"/>
          <w:szCs w:val="18"/>
          <w:color w:val="auto"/>
        </w:rPr>
      </w:pPr>
    </w:p>
    <w:p>
      <w:pPr>
        <w:ind w:left="1460" w:right="20" w:hanging="547"/>
        <w:spacing w:after="0" w:line="25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Co-development services (Europe Agreement). </w:t>
      </w:r>
      <w:r>
        <w:rPr>
          <w:rFonts w:ascii="Arial" w:cs="Arial" w:eastAsia="Arial" w:hAnsi="Arial"/>
          <w:sz w:val="18"/>
          <w:szCs w:val="18"/>
          <w:color w:val="auto"/>
        </w:rPr>
        <w:t>This deliverable relates to co-development services that were reasonably expected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us at the time the collaboration agreement was signed. Revenue is recognized as reimbursements for such co-development services are earned. The period related to this deliverable represented our determination of the non-contingent performance period, which was estimated to be 36 months for the Europe Agreement from the signing of the agreement. There was no provision for co-development services in the Japan agreement.</w:t>
      </w:r>
    </w:p>
    <w:p>
      <w:pPr>
        <w:spacing w:after="0" w:line="89" w:lineRule="exact"/>
        <w:rPr>
          <w:rFonts w:ascii="Arial" w:cs="Arial" w:eastAsia="Arial" w:hAnsi="Arial"/>
          <w:sz w:val="18"/>
          <w:szCs w:val="18"/>
          <w:color w:val="auto"/>
        </w:rPr>
      </w:pPr>
    </w:p>
    <w:p>
      <w:pPr>
        <w:ind w:left="1460" w:right="100" w:hanging="547"/>
        <w:spacing w:after="0" w:line="298"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Manufacturing of clinical supplies of products. </w:t>
      </w:r>
      <w:r>
        <w:rPr>
          <w:rFonts w:ascii="Arial" w:cs="Arial" w:eastAsia="Arial" w:hAnsi="Arial"/>
          <w:sz w:val="16"/>
          <w:szCs w:val="16"/>
          <w:color w:val="auto"/>
        </w:rPr>
        <w:t>This deliverable is satisfied as supplies for clinical product are delivered for use in our</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terms of both agreements. As new information related to these estimates becomes available, we may adjust the timing of revenue recognition related to this unit of accounting.</w:t>
      </w:r>
    </w:p>
    <w:p>
      <w:pPr>
        <w:spacing w:after="0" w:line="59" w:lineRule="exact"/>
        <w:rPr>
          <w:rFonts w:ascii="Arial" w:cs="Arial" w:eastAsia="Arial" w:hAnsi="Arial"/>
          <w:sz w:val="16"/>
          <w:szCs w:val="16"/>
          <w:color w:val="auto"/>
        </w:rPr>
      </w:pPr>
    </w:p>
    <w:p>
      <w:pPr>
        <w:ind w:left="1460" w:right="120" w:hanging="547"/>
        <w:spacing w:after="0" w:line="266"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use during the commercialization period. As this deliverable is considered a contingent deliverable, it is outside the scope of the initial allocation of upfront and other consideration.</w:t>
      </w:r>
    </w:p>
    <w:p>
      <w:pPr>
        <w:spacing w:after="0" w:line="81" w:lineRule="exact"/>
        <w:rPr>
          <w:rFonts w:ascii="Arial" w:cs="Arial" w:eastAsia="Arial" w:hAnsi="Arial"/>
          <w:sz w:val="18"/>
          <w:szCs w:val="18"/>
          <w:color w:val="auto"/>
        </w:rPr>
      </w:pPr>
    </w:p>
    <w:p>
      <w:pPr>
        <w:ind w:left="1460" w:right="140" w:hanging="547"/>
        <w:spacing w:after="0" w:line="282"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Committee service. </w:t>
      </w:r>
      <w:r>
        <w:rPr>
          <w:rFonts w:ascii="Arial" w:cs="Arial" w:eastAsia="Arial" w:hAnsi="Arial"/>
          <w:sz w:val="18"/>
          <w:szCs w:val="18"/>
          <w:color w:val="auto"/>
        </w:rPr>
        <w:t>This deliverable is satisfied and revenue is recognized throughout the course of the various agreements as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are attended.</w:t>
      </w:r>
    </w:p>
    <w:p>
      <w:pPr>
        <w:spacing w:after="0" w:line="166"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Any consideration received for each Astellas agreement after the initial proceeds on the agreement signing date were also (and will be also) allocated to the various units of accounting above per agreement using the relative selling price method under ASC 605-25-30-2 and 30-5.</w:t>
      </w:r>
    </w:p>
    <w:p>
      <w:pPr>
        <w:spacing w:after="0" w:line="124"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Under the Japan Agreement, we are also eligible to receive from Astellas an aggregate of approximately $132.5 million in potential milestone payments, comprised of (i) up to $22.5 million in substantive milestone payments upon achievement of specified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clinical and development milestone events, (ii) up to $95.0 million in substantive milestone payments upon achievement of specified regulatory milestone events, and (iii) up to approximately $15.0 million in milestone payments upon the achievement of specified commercial sales milestone.</w:t>
      </w:r>
    </w:p>
    <w:p>
      <w:pPr>
        <w:spacing w:after="0" w:line="147" w:lineRule="exact"/>
        <w:rPr>
          <w:sz w:val="20"/>
          <w:szCs w:val="20"/>
          <w:color w:val="auto"/>
        </w:rPr>
      </w:pPr>
    </w:p>
    <w:p>
      <w:pPr>
        <w:jc w:val="both"/>
        <w:ind w:right="100" w:firstLine="913"/>
        <w:spacing w:after="0" w:line="291" w:lineRule="auto"/>
        <w:rPr>
          <w:sz w:val="20"/>
          <w:szCs w:val="20"/>
          <w:color w:val="auto"/>
        </w:rPr>
      </w:pPr>
      <w:r>
        <w:rPr>
          <w:rFonts w:ascii="Arial" w:cs="Arial" w:eastAsia="Arial" w:hAnsi="Arial"/>
          <w:sz w:val="16"/>
          <w:szCs w:val="16"/>
          <w:color w:val="auto"/>
        </w:rPr>
        <w:t>Under the Europe Agreement, we are also eligible to receive from Astellas an aggregate of approximately $425.0 million in potential milestone payments, comprised of (i) up to $90.0 million in substantive milestone payments upon achievement of specified clinical and development milestone events,</w:t>
      </w:r>
    </w:p>
    <w:p>
      <w:pPr>
        <w:ind w:right="480" w:firstLine="8"/>
        <w:spacing w:after="0" w:line="261"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$335.0 million in substantive milestone payments upon achievement of specified regulatory milestone events, including up to $25.0 million in milestone payments in connection with receipt of marketing approval in Russia.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AstraZeneca Agreements</w:t>
      </w:r>
    </w:p>
    <w:p>
      <w:pPr>
        <w:spacing w:after="0" w:line="11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We evaluated whether or not the U.S./RoW and China Agreements should be accounted for as a single arrangement and concluded that the agreements should be accounted for as a single arrangement with the presumption that two or more agreements executed with a single customer at or around the same time are a single arrangement. Accordingly, upfront and other non-contingent arrangement consideration received and to be received has been and will be pooled together and allocated to each of the units of accounting in both the U.S./RoW and China Agreements based on their relative fair values.</w:t>
      </w:r>
    </w:p>
    <w:p>
      <w:pPr>
        <w:spacing w:after="0" w:line="154"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evaluated the deliverables within the arrangement and separated them into various units of accounting. 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agreements.</w:t>
      </w:r>
    </w:p>
    <w:p>
      <w:pPr>
        <w:spacing w:after="0" w:line="187"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For the technology license under the AstraZeneca U.S./RoW Agreement, BESP was determined based on a two-step process. The first step involved determining an implied royalty rate that would result in the net present value of future cash flows to equal to zero (i.e. where the IRR on the transaction would equal the target return for the investment). This results in an upper bound estimation of the magnitude of royalties that a hypothetical acquirer would reasonably pay for the forecasted cash flow stream. Our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72" w:lineRule="exact"/>
        <w:rPr>
          <w:sz w:val="20"/>
          <w:szCs w:val="20"/>
          <w:color w:val="auto"/>
        </w:rPr>
      </w:pPr>
    </w:p>
    <w:p>
      <w:pPr>
        <w:ind w:left="1460" w:right="80" w:hanging="547"/>
        <w:spacing w:after="0" w:line="266"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License to our technology existing at the effective date of the agreements. </w:t>
      </w:r>
      <w:r>
        <w:rPr>
          <w:rFonts w:ascii="Arial" w:cs="Arial" w:eastAsia="Arial" w:hAnsi="Arial"/>
          <w:sz w:val="18"/>
          <w:szCs w:val="18"/>
          <w:color w:val="auto"/>
        </w:rPr>
        <w:t>For the U.S./RoW Agreement, the license was delivered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beginning of the agreement terms as all contingencies had been removed. We concluded that AstraZeneca has the knowledge and capabilities to exploit the U.S./RoW license without our further involvement.</w:t>
      </w:r>
    </w:p>
    <w:p>
      <w:pPr>
        <w:spacing w:after="0" w:line="81" w:lineRule="exact"/>
        <w:rPr>
          <w:rFonts w:ascii="Arial" w:cs="Arial" w:eastAsia="Arial" w:hAnsi="Arial"/>
          <w:sz w:val="18"/>
          <w:szCs w:val="18"/>
          <w:color w:val="auto"/>
        </w:rPr>
      </w:pPr>
    </w:p>
    <w:p>
      <w:pPr>
        <w:ind w:left="1460" w:right="40" w:hanging="547"/>
        <w:spacing w:after="0" w:line="261"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Co-development services. </w:t>
      </w:r>
      <w:r>
        <w:rPr>
          <w:rFonts w:ascii="Arial" w:cs="Arial" w:eastAsia="Arial" w:hAnsi="Arial"/>
          <w:sz w:val="18"/>
          <w:szCs w:val="18"/>
          <w:color w:val="auto"/>
        </w:rPr>
        <w:t>This deliverable relates to co-development services which were reasonably expected to be performed by us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the U.S./RoW Agreement was signed. Revenue is recognized as reimbursements for such co-development services are earned. The period related to this deliverable represented our determination of the non-contingent performance period, which was estimated to be 65 months from the signing of the U.S./RoW Agreement.</w:t>
      </w:r>
    </w:p>
    <w:p>
      <w:pPr>
        <w:spacing w:after="0" w:line="8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Manufacturing of clinical supplies of products. </w:t>
      </w:r>
      <w:r>
        <w:rPr>
          <w:rFonts w:ascii="Arial" w:cs="Arial" w:eastAsia="Arial" w:hAnsi="Arial"/>
          <w:sz w:val="17"/>
          <w:szCs w:val="17"/>
          <w:color w:val="auto"/>
        </w:rPr>
        <w:t>This deliverable is satisfied as supplies for clinical product are delivered for use in our</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agreements. As new information related to these estimates becomes available, we may adjust the timing of revenue recognition related to this unit of accounting.</w:t>
      </w:r>
    </w:p>
    <w:p>
      <w:pPr>
        <w:spacing w:after="0" w:line="73" w:lineRule="exact"/>
        <w:rPr>
          <w:rFonts w:ascii="Arial" w:cs="Arial" w:eastAsia="Arial" w:hAnsi="Arial"/>
          <w:sz w:val="17"/>
          <w:szCs w:val="17"/>
          <w:color w:val="auto"/>
        </w:rPr>
      </w:pPr>
    </w:p>
    <w:p>
      <w:pPr>
        <w:ind w:left="1460" w:right="100" w:hanging="547"/>
        <w:spacing w:after="0" w:line="266"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use during the commercialization period. As this deliverable is considered a contingent deliverable, it is outside the scope of the initial allocation of upfront and other consideration.</w:t>
      </w:r>
    </w:p>
    <w:p>
      <w:pPr>
        <w:spacing w:after="0" w:line="81" w:lineRule="exact"/>
        <w:rPr>
          <w:rFonts w:ascii="Arial" w:cs="Arial" w:eastAsia="Arial" w:hAnsi="Arial"/>
          <w:sz w:val="18"/>
          <w:szCs w:val="18"/>
          <w:color w:val="auto"/>
        </w:rPr>
      </w:pPr>
    </w:p>
    <w:p>
      <w:pPr>
        <w:ind w:left="1460" w:right="120" w:hanging="547"/>
        <w:spacing w:after="0" w:line="282"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Committee service. </w:t>
      </w:r>
      <w:r>
        <w:rPr>
          <w:rFonts w:ascii="Arial" w:cs="Arial" w:eastAsia="Arial" w:hAnsi="Arial"/>
          <w:sz w:val="18"/>
          <w:szCs w:val="18"/>
          <w:color w:val="auto"/>
        </w:rPr>
        <w:t>This deliverable is satisfied and revenue is recognized throughout the course of the various agreements as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are attended.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Under the terms of the U.S./RoW Agreement, AstraZeneca has agreed to pay upfront, non-contingent and time-based payments totaling $374.0 million, which we expect to receive in various amounts through June 2016, of which $82.0 million was received as of December 31, 2013 and was determined to be fixed and determinable upon the execution of the collaboration agreement. Out of the remaining payments of $292.0 million, which are contractually due, $230.0 million have extended payment terms and, accordingly, were not considered to be fixed or determinable upon the execution of the agreement. As such, for these remaining payments, the amount of revenue recognized is limited to the amount of cash consideration received; additionally, for each of the amounts received, the amount of revenue recognized is determined on the basis of applying the relative selling price method to each of the units of accounting underlying the agreement. Further, $62.0 million of the remaining payment is contingent upon the occurrence of a specified event and accordingly is also not considered fixed or determinable.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Under the U.S./RoW Agreement, we are also eligible to receive from AstraZeneca an aggregate of approximately $875.0 million in potential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comprised of (i) up to $65.0 million in substantive milestone payments upon achievement of specified clinical and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milestone events, (ii) up to $325.0 million in substantive milestone payments upon achievement of specified regulatory milestone events, (iii)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 million in a non-substantive deferred approval milestone, which would be paid if certain competitors do not launch a HIF compound in the U.S. 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before January 1, 2023, and (iv) up to approximately $325.0 million in milestone payments upon the achievement of specified commercial sales events.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72" w:lineRule="exact"/>
        <w:rPr>
          <w:sz w:val="20"/>
          <w:szCs w:val="20"/>
          <w:color w:val="auto"/>
        </w:rPr>
      </w:pPr>
    </w:p>
    <w:p>
      <w:pPr>
        <w:ind w:left="1460" w:right="60" w:hanging="547"/>
        <w:spacing w:after="0" w:line="295"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License to our technology existing at the effective date of the agreement. </w:t>
      </w:r>
      <w:r>
        <w:rPr>
          <w:rFonts w:ascii="Arial" w:cs="Arial" w:eastAsia="Arial" w:hAnsi="Arial"/>
          <w:sz w:val="16"/>
          <w:szCs w:val="16"/>
          <w:color w:val="auto"/>
        </w:rPr>
        <w:t>The license was delivered at the beginning of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term as all contingencies had been removed. However, the China Agreement with AstraZeneca has contractual limitations that might affect AstraZeneca’s ability to exploit the license and therefore, potentially, the conclusion as to whether the license provides stand-alone value. In the China Agreement, AstraZeneca does not have the right to manufacture commercial supplies of the drug. In order to determine whether this characteristic of the arrangement should lead to a conclusion that the license did not have stand-alone value, we considered the intent of the parties and the substantive reasons that led to that feature of the agreement.</w:t>
      </w:r>
    </w:p>
    <w:p>
      <w:pPr>
        <w:spacing w:after="0" w:line="52" w:lineRule="exact"/>
        <w:rPr>
          <w:sz w:val="20"/>
          <w:szCs w:val="20"/>
          <w:color w:val="auto"/>
        </w:rPr>
      </w:pPr>
    </w:p>
    <w:p>
      <w:pPr>
        <w:ind w:left="1500" w:right="40"/>
        <w:spacing w:after="0" w:line="270" w:lineRule="auto"/>
        <w:rPr>
          <w:sz w:val="20"/>
          <w:szCs w:val="20"/>
          <w:color w:val="auto"/>
        </w:rPr>
      </w:pPr>
      <w:r>
        <w:rPr>
          <w:rFonts w:ascii="Arial" w:cs="Arial" w:eastAsia="Arial" w:hAnsi="Arial"/>
          <w:sz w:val="17"/>
          <w:szCs w:val="17"/>
          <w:color w:val="auto"/>
        </w:rPr>
        <w:t>For the China Agreement, we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Because the retention of manufacturing rights by us was a significant factor in the collaboration strategy, rather than simply a mechanism to properly compensate us, we concluded that the license and development services do not have stand-alone value apart from the manufacturing rights. Accordingly, all the deliverables identified, including co-development services, under the China Agreement have been treated as a single unit of account and all revenue allocable to this unit of account is deferred until delivery of commercial drug product has begun. Upon commencement of delivery of commercial drug product, revenue would be recognized in a pattern consistent with estimated deliveries of the commercial drug product.</w:t>
      </w:r>
    </w:p>
    <w:p>
      <w:pPr>
        <w:spacing w:after="0" w:line="18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Under the terms of the China Agreement, AstraZeneca agreed to pay upfront consideration totaling $28.2 million, of which $16.2 million was received as of December 31, 2013 and was determined to be fixed and determinable upon the execution of the collaboration agreement. The remainder of the upfront payments of $12.0 million had extended payment terms and, accordingly, is not considered to be fixed or determinable upon the execution of the agreement. This payment of $12.0 million was received as of March 31, 2014.</w:t>
      </w:r>
    </w:p>
    <w:p>
      <w:pPr>
        <w:spacing w:after="0" w:line="187" w:lineRule="exact"/>
        <w:rPr>
          <w:sz w:val="20"/>
          <w:szCs w:val="20"/>
          <w:color w:val="auto"/>
        </w:rPr>
      </w:pPr>
    </w:p>
    <w:p>
      <w:pPr>
        <w:ind w:right="500" w:firstLine="913"/>
        <w:spacing w:after="0" w:line="279" w:lineRule="auto"/>
        <w:rPr>
          <w:sz w:val="20"/>
          <w:szCs w:val="20"/>
          <w:color w:val="auto"/>
        </w:rPr>
      </w:pPr>
      <w:r>
        <w:rPr>
          <w:rFonts w:ascii="Arial" w:cs="Arial" w:eastAsia="Arial" w:hAnsi="Arial"/>
          <w:sz w:val="17"/>
          <w:szCs w:val="17"/>
          <w:color w:val="auto"/>
        </w:rPr>
        <w:t>Under the China Agreement, we are also eligible to receive from AstraZeneca an aggregate of approximately $328.5 million in potential milestone payments, comprised of (i) up to $15.0 million in substantive milestone payments upon achievement of specified clinical and development milestone events, (ii) up to $146.0 million in substantive milestone payments upon achievement of specified regulatory milestone events, and (iii) up to approximately $167.5 million in milestone payments upon the achievement of specified commercial sales events.</w:t>
      </w:r>
    </w:p>
    <w:p>
      <w:pPr>
        <w:spacing w:after="0" w:line="17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As we are accounting for both the U.S./RoW and China Agreements as one arrangement, any consideration received after the initial proceeds on the agreement signing date were also (and will be also) allocated to the various units of accounting above using the relative selling price method under ASC 605-25-30-2 and 30-5.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revenue recognized under the collaboration agreements</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Deliverable</w:t>
            </w:r>
          </w:p>
        </w:tc>
        <w:tc>
          <w:tcPr>
            <w:tcW w:w="120" w:type="dxa"/>
            <w:vAlign w:val="bottom"/>
          </w:tcPr>
          <w:p>
            <w:pPr>
              <w:spacing w:after="0"/>
              <w:rPr>
                <w:sz w:val="14"/>
                <w:szCs w:val="1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Quarter Ended June 30,</w:t>
            </w:r>
          </w:p>
        </w:tc>
        <w:tc>
          <w:tcPr>
            <w:tcW w:w="120" w:type="dxa"/>
            <w:vAlign w:val="bottom"/>
          </w:tcPr>
          <w:p>
            <w:pPr>
              <w:spacing w:after="0"/>
              <w:rPr>
                <w:sz w:val="14"/>
                <w:szCs w:val="14"/>
                <w:color w:val="auto"/>
              </w:rPr>
            </w:pPr>
          </w:p>
        </w:tc>
        <w:tc>
          <w:tcPr>
            <w:tcW w:w="196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528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Milestones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license and milestone revenue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Collaboration services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of June 30, 2015, the total arrangement consideration has been allocated to each of the following deliverables under the Japan Agreement, along with any associated deferred revenue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Cumulative Revenue</w:t>
            </w:r>
          </w:p>
        </w:tc>
        <w:tc>
          <w:tcPr>
            <w:tcW w:w="340" w:type="dxa"/>
            <w:vAlign w:val="bottom"/>
          </w:tcPr>
          <w:p>
            <w:pPr>
              <w:spacing w:after="0"/>
              <w:rPr>
                <w:sz w:val="14"/>
                <w:szCs w:val="14"/>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8"/>
              </w:rPr>
              <w:t>Total Consideration</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Through June 30, 2015</w:t>
            </w:r>
          </w:p>
        </w:tc>
        <w:tc>
          <w:tcPr>
            <w:tcW w:w="3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June 30, 2015</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Manufacturing—clinical supplies</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Committee services</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3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license and collaboration services</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43,647</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0" w:hanging="212"/>
        <w:spacing w:after="0" w:line="264"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and if available compounds, manufacturing—clinical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9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Deliverable</w:t>
            </w:r>
          </w:p>
        </w:tc>
        <w:tc>
          <w:tcPr>
            <w:tcW w:w="1940" w:type="dxa"/>
            <w:vAlign w:val="bottom"/>
          </w:tcPr>
          <w:p>
            <w:pPr>
              <w:spacing w:after="0"/>
              <w:rPr>
                <w:sz w:val="14"/>
                <w:szCs w:val="14"/>
                <w:color w:val="auto"/>
              </w:rPr>
            </w:pP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rPr>
              <w:t>Quarter Ended June 30,</w:t>
            </w: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780" w:type="dxa"/>
            <w:vAlign w:val="bottom"/>
            <w:gridSpan w:val="2"/>
            <w:vMerge w:val="continue"/>
          </w:tcPr>
          <w:p>
            <w:pPr>
              <w:spacing w:after="0"/>
              <w:rPr>
                <w:sz w:val="12"/>
                <w:szCs w:val="12"/>
                <w:color w:val="auto"/>
              </w:rPr>
            </w:pPr>
          </w:p>
        </w:tc>
        <w:tc>
          <w:tcPr>
            <w:tcW w:w="4980" w:type="dxa"/>
            <w:vAlign w:val="bottom"/>
            <w:gridSpan w:val="3"/>
            <w:vMerge w:val="continue"/>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4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gridSpan w:val="3"/>
          </w:tcPr>
          <w:p>
            <w:pPr>
              <w:ind w:left="100"/>
              <w:spacing w:after="0"/>
              <w:rPr>
                <w:sz w:val="20"/>
                <w:szCs w:val="20"/>
                <w:color w:val="auto"/>
              </w:rPr>
            </w:pPr>
            <w:r>
              <w:rPr>
                <w:rFonts w:ascii="Arial" w:cs="Arial" w:eastAsia="Arial" w:hAnsi="Arial"/>
                <w:sz w:val="18"/>
                <w:szCs w:val="18"/>
                <w:color w:val="auto"/>
              </w:rPr>
              <w:t>Milestones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license and milestone revenue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9,024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3"/>
          </w:tcPr>
          <w:p>
            <w:pPr>
              <w:ind w:left="100"/>
              <w:spacing w:after="0"/>
              <w:rPr>
                <w:sz w:val="20"/>
                <w:szCs w:val="20"/>
                <w:color w:val="auto"/>
              </w:rPr>
            </w:pPr>
            <w:r>
              <w:rPr>
                <w:rFonts w:ascii="Arial" w:cs="Arial" w:eastAsia="Arial" w:hAnsi="Arial"/>
                <w:sz w:val="18"/>
                <w:szCs w:val="18"/>
                <w:color w:val="auto"/>
              </w:rPr>
              <w:t>Collaboration services revenue*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1,253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0" w:firstLine="913"/>
        <w:spacing w:after="0" w:line="277" w:lineRule="auto"/>
        <w:rPr>
          <w:sz w:val="20"/>
          <w:szCs w:val="20"/>
          <w:color w:val="auto"/>
        </w:rPr>
      </w:pPr>
      <w:r>
        <w:rPr>
          <w:rFonts w:ascii="Arial" w:cs="Arial" w:eastAsia="Arial" w:hAnsi="Arial"/>
          <w:sz w:val="18"/>
          <w:szCs w:val="18"/>
          <w:color w:val="auto"/>
        </w:rPr>
        <w:t>As of June 30, 2015, the total arrangement consideration has been allocated to each of the following deliverables under the Europe Agreement, along with any associated deferred revenue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7"/>
              </w:rPr>
              <w:t>Cumulative Revenue</w:t>
            </w:r>
          </w:p>
        </w:tc>
        <w:tc>
          <w:tcPr>
            <w:tcW w:w="32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3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8"/>
              </w:rPr>
              <w:t>Total Consideration</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Through June 30, 2015</w:t>
            </w:r>
          </w:p>
        </w:tc>
        <w:tc>
          <w:tcPr>
            <w:tcW w:w="32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June 30, 2015</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392,663</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Manufacturing—clinical supplies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8,911</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31,460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31,460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Committee services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40" w:type="dxa"/>
            <w:vAlign w:val="bottom"/>
          </w:tcPr>
          <w:p>
            <w:pPr>
              <w:ind w:left="360"/>
              <w:spacing w:after="0"/>
              <w:rPr>
                <w:sz w:val="20"/>
                <w:szCs w:val="20"/>
                <w:color w:val="auto"/>
              </w:rPr>
            </w:pPr>
            <w:r>
              <w:rPr>
                <w:rFonts w:ascii="Arial" w:cs="Arial" w:eastAsia="Arial" w:hAnsi="Arial"/>
                <w:sz w:val="18"/>
                <w:szCs w:val="18"/>
                <w:color w:val="auto"/>
                <w:w w:val="97"/>
              </w:rPr>
              <w:t>Total license and collaboration services revenue</w:t>
            </w:r>
          </w:p>
        </w:tc>
        <w:tc>
          <w:tcPr>
            <w:tcW w:w="3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433,595</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952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434,547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460" w:hanging="212"/>
        <w:spacing w:after="0" w:line="25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and if available compounds, manufacturing—clinical supplies, development services—in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66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Deliverable</w:t>
            </w:r>
          </w:p>
        </w:tc>
        <w:tc>
          <w:tcPr>
            <w:tcW w:w="18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6"/>
              </w:rPr>
              <w:t>Quarter Ended June 30,</w:t>
            </w:r>
          </w:p>
        </w:tc>
        <w:tc>
          <w:tcPr>
            <w:tcW w:w="18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1020" w:type="dxa"/>
            <w:vAlign w:val="bottom"/>
            <w:gridSpan w:val="2"/>
            <w:vMerge w:val="continue"/>
          </w:tcPr>
          <w:p>
            <w:pPr>
              <w:spacing w:after="0"/>
              <w:rPr>
                <w:sz w:val="12"/>
                <w:szCs w:val="12"/>
                <w:color w:val="auto"/>
              </w:rPr>
            </w:pPr>
          </w:p>
        </w:tc>
        <w:tc>
          <w:tcPr>
            <w:tcW w:w="664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 RoW</w:t>
            </w:r>
          </w:p>
        </w:tc>
        <w:tc>
          <w:tcPr>
            <w:tcW w:w="2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5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87,019</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78,745</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93,833</w:t>
            </w:r>
          </w:p>
        </w:tc>
        <w:tc>
          <w:tcPr>
            <w:tcW w:w="1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90,688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gridSpan w:val="3"/>
          </w:tcPr>
          <w:p>
            <w:pPr>
              <w:ind w:left="200"/>
              <w:spacing w:after="0"/>
              <w:rPr>
                <w:sz w:val="20"/>
                <w:szCs w:val="20"/>
                <w:color w:val="auto"/>
              </w:rPr>
            </w:pPr>
            <w:r>
              <w:rPr>
                <w:rFonts w:ascii="Arial" w:cs="Arial" w:eastAsia="Arial" w:hAnsi="Arial"/>
                <w:sz w:val="18"/>
                <w:szCs w:val="18"/>
                <w:color w:val="auto"/>
              </w:rPr>
              <w:t>Milestones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7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license and milestone revenue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102,019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78,745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90,688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gridSpan w:val="3"/>
          </w:tcPr>
          <w:p>
            <w:pPr>
              <w:ind w:left="200"/>
              <w:spacing w:after="0"/>
              <w:rPr>
                <w:sz w:val="20"/>
                <w:szCs w:val="20"/>
                <w:color w:val="auto"/>
              </w:rPr>
            </w:pPr>
            <w:r>
              <w:rPr>
                <w:rFonts w:ascii="Arial" w:cs="Arial" w:eastAsia="Arial" w:hAnsi="Arial"/>
                <w:sz w:val="18"/>
                <w:szCs w:val="18"/>
                <w:color w:val="auto"/>
              </w:rPr>
              <w:t>Collaboration services revenue*</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17,080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China single unit of accounting**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As of June 30, 2015, the total arrangement consideration has been allocated to each of the following deliverables under the U.S./RoW Agreement, along with any associated deferred revenue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7"/>
              </w:rPr>
              <w:t>Cumulative Revenue</w:t>
            </w:r>
          </w:p>
        </w:tc>
        <w:tc>
          <w:tcPr>
            <w:tcW w:w="420" w:type="dxa"/>
            <w:vAlign w:val="bottom"/>
          </w:tcPr>
          <w:p>
            <w:pPr>
              <w:spacing w:after="0"/>
              <w:rPr>
                <w:sz w:val="14"/>
                <w:szCs w:val="14"/>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4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8"/>
              </w:rPr>
              <w:t>Total Consideration</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Through June 30, 2015</w:t>
            </w:r>
          </w:p>
        </w:tc>
        <w:tc>
          <w:tcPr>
            <w:tcW w:w="420" w:type="dxa"/>
            <w:vAlign w:val="bottom"/>
          </w:tcPr>
          <w:p>
            <w:pPr>
              <w:spacing w:after="0"/>
              <w:rPr>
                <w:sz w:val="14"/>
                <w:szCs w:val="14"/>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at June 30, 2015</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June 30, 2015</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269,207</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Co-development, information sharing &amp;</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committee services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37,589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44,259</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81,848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Manufacturing—clinical supplies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China-single unit of accounting</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55,180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55,180</w:t>
            </w:r>
          </w:p>
        </w:tc>
        <w:tc>
          <w:tcPr>
            <w:tcW w:w="0" w:type="dxa"/>
            <w:vAlign w:val="bottom"/>
          </w:tcPr>
          <w:p>
            <w:pPr>
              <w:spacing w:after="0"/>
              <w:rPr>
                <w:sz w:val="1"/>
                <w:szCs w:val="1"/>
                <w:color w:val="auto"/>
              </w:rPr>
            </w:pPr>
          </w:p>
        </w:tc>
      </w:tr>
      <w:tr>
        <w:trPr>
          <w:trHeight w:val="75"/>
        </w:trPr>
        <w:tc>
          <w:tcPr>
            <w:tcW w:w="3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license and collaboration services</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306,950</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99,565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406,515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180" w:hanging="452"/>
        <w:spacing w:after="0" w:line="29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w:t>
      </w:r>
    </w:p>
    <w:p>
      <w:pPr>
        <w:ind w:left="460" w:right="40"/>
        <w:spacing w:after="0" w:line="250" w:lineRule="auto"/>
        <w:rPr>
          <w:sz w:val="20"/>
          <w:szCs w:val="20"/>
          <w:color w:val="auto"/>
        </w:rPr>
      </w:pPr>
      <w:r>
        <w:rPr>
          <w:rFonts w:ascii="Arial" w:cs="Arial" w:eastAsia="Arial" w:hAnsi="Arial"/>
          <w:sz w:val="18"/>
          <w:szCs w:val="18"/>
          <w:color w:val="auto"/>
        </w:rPr>
        <w:t>same period while manufacturing—clinical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1" w:lineRule="exact"/>
        <w:rPr>
          <w:sz w:val="20"/>
          <w:szCs w:val="20"/>
          <w:color w:val="auto"/>
        </w:rPr>
      </w:pPr>
    </w:p>
    <w:p>
      <w:pPr>
        <w:ind w:left="460" w:right="2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Other revenues consist of royalty payments received, which are recorded on a monthly basis as they are reported to us, and collagen feasibility sales. Other revenues were immaterial for all periods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Deferred revenue represents amounts billed to our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fair values of our financial assets that are measured on a recurring basis are as follows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June 30, 2015</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1</w:t>
            </w:r>
          </w:p>
        </w:tc>
        <w:tc>
          <w:tcPr>
            <w:tcW w:w="10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$150,240</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r>
      <w:tr>
        <w:trPr>
          <w:trHeight w:val="75"/>
        </w:trPr>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150,240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150,439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127,643</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127,643</w:t>
            </w:r>
          </w:p>
        </w:tc>
      </w:tr>
      <w:tr>
        <w:trPr>
          <w:trHeight w:val="75"/>
        </w:trPr>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127,842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150,240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278,082</w:t>
            </w: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1</w:t>
            </w:r>
          </w:p>
        </w:tc>
        <w:tc>
          <w:tcPr>
            <w:tcW w:w="10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$158,432</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201</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r>
      <w:tr>
        <w:trPr>
          <w:trHeight w:val="75"/>
        </w:trPr>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158,432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158,633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13,802</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13,802</w:t>
            </w:r>
          </w:p>
        </w:tc>
      </w:tr>
      <w:tr>
        <w:trPr>
          <w:trHeight w:val="75"/>
        </w:trPr>
        <w:tc>
          <w:tcPr>
            <w:tcW w:w="6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14,003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158,432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172,435</w:t>
            </w: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fair values of our financial liabilities that are carried at historical cost are as follows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Level 2</w:t>
            </w:r>
          </w:p>
        </w:tc>
        <w:tc>
          <w:tcPr>
            <w:tcW w:w="380" w:type="dxa"/>
            <w:vAlign w:val="bottom"/>
          </w:tcPr>
          <w:p>
            <w:pPr>
              <w:spacing w:after="0"/>
              <w:rPr>
                <w:sz w:val="12"/>
                <w:szCs w:val="12"/>
                <w:color w:val="auto"/>
              </w:rPr>
            </w:pPr>
          </w:p>
        </w:tc>
        <w:tc>
          <w:tcPr>
            <w:tcW w:w="80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financing obligations</w:t>
            </w: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6"/>
              </w:rPr>
              <w:t>$ —</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97,332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4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Level 2</w:t>
            </w:r>
          </w:p>
        </w:tc>
        <w:tc>
          <w:tcPr>
            <w:tcW w:w="380" w:type="dxa"/>
            <w:vAlign w:val="bottom"/>
          </w:tcPr>
          <w:p>
            <w:pPr>
              <w:spacing w:after="0"/>
              <w:rPr>
                <w:sz w:val="12"/>
                <w:szCs w:val="12"/>
                <w:color w:val="auto"/>
              </w:rPr>
            </w:pPr>
          </w:p>
        </w:tc>
        <w:tc>
          <w:tcPr>
            <w:tcW w:w="80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Cease-use liability</w:t>
            </w: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6"/>
              </w:rPr>
              <w:t>$ —</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Lease financing obligations</w:t>
            </w:r>
          </w:p>
        </w:tc>
        <w:tc>
          <w:tcPr>
            <w:tcW w:w="258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97,221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97,221</w:t>
            </w:r>
          </w:p>
        </w:tc>
      </w:tr>
      <w:tr>
        <w:trPr>
          <w:trHeight w:val="75"/>
        </w:trPr>
        <w:tc>
          <w:tcPr>
            <w:tcW w:w="45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97,405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97,405</w:t>
            </w:r>
          </w:p>
        </w:tc>
      </w:tr>
      <w:tr>
        <w:trPr>
          <w:trHeight w:val="20"/>
        </w:trPr>
        <w:tc>
          <w:tcPr>
            <w:tcW w:w="4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fair values of our financial liabilities were derived by using an income approach, which required Level 3 inputs such as discounted estimated future cash flows.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7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2020" w:type="dxa"/>
            <w:vAlign w:val="bottom"/>
            <w:gridSpan w:val="4"/>
          </w:tcPr>
          <w:p>
            <w:pPr>
              <w:ind w:left="760"/>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108,893</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Money market funds</w:t>
            </w:r>
          </w:p>
        </w:tc>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127,643</w:t>
            </w:r>
          </w:p>
        </w:tc>
        <w:tc>
          <w:tcPr>
            <w:tcW w:w="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2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236,536</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380" w:type="dxa"/>
            <w:vAlign w:val="bottom"/>
            <w:vMerge w:val="restart"/>
          </w:tcPr>
          <w:p>
            <w:pPr>
              <w:jc w:val="right"/>
              <w:ind w:right="1316"/>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our available-for-sale investments by major investments type are summarized in the tables below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354"/>
              <w:spacing w:after="0"/>
              <w:rPr>
                <w:sz w:val="20"/>
                <w:szCs w:val="20"/>
                <w:color w:val="auto"/>
              </w:rPr>
            </w:pPr>
            <w:r>
              <w:rPr>
                <w:rFonts w:ascii="Arial" w:cs="Arial" w:eastAsia="Arial" w:hAnsi="Arial"/>
                <w:sz w:val="14"/>
                <w:szCs w:val="14"/>
                <w:b w:val="1"/>
                <w:bCs w:val="1"/>
                <w:color w:val="auto"/>
                <w:w w:val="90"/>
              </w:rPr>
              <w:t>June 30, 2015</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0"/>
                <w:szCs w:val="10"/>
                <w:color w:val="auto"/>
              </w:rPr>
            </w:pPr>
          </w:p>
        </w:tc>
        <w:tc>
          <w:tcPr>
            <w:tcW w:w="1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2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280" w:type="dxa"/>
            <w:vAlign w:val="bottom"/>
          </w:tcPr>
          <w:p>
            <w:pPr>
              <w:spacing w:after="0"/>
              <w:rPr>
                <w:sz w:val="10"/>
                <w:szCs w:val="10"/>
                <w:color w:val="auto"/>
              </w:rPr>
            </w:pPr>
          </w:p>
        </w:tc>
        <w:tc>
          <w:tcPr>
            <w:tcW w:w="68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Holding Gains</w:t>
            </w:r>
          </w:p>
        </w:tc>
        <w:tc>
          <w:tcPr>
            <w:tcW w:w="2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Holding Losses</w:t>
            </w:r>
          </w:p>
        </w:tc>
        <w:tc>
          <w:tcPr>
            <w:tcW w:w="2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1"/>
              </w:rPr>
              <w:t>(166)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75"/>
        </w:trPr>
        <w:tc>
          <w:tcPr>
            <w:tcW w:w="3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8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150,243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150,439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2014</w:t>
            </w: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0"/>
                <w:szCs w:val="10"/>
                <w:color w:val="auto"/>
              </w:rPr>
            </w:pPr>
          </w:p>
        </w:tc>
        <w:tc>
          <w:tcPr>
            <w:tcW w:w="1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2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280" w:type="dxa"/>
            <w:vAlign w:val="bottom"/>
          </w:tcPr>
          <w:p>
            <w:pPr>
              <w:spacing w:after="0"/>
              <w:rPr>
                <w:sz w:val="10"/>
                <w:szCs w:val="10"/>
                <w:color w:val="auto"/>
              </w:rPr>
            </w:pPr>
          </w:p>
        </w:tc>
        <w:tc>
          <w:tcPr>
            <w:tcW w:w="68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Holding Gains</w:t>
            </w:r>
          </w:p>
        </w:tc>
        <w:tc>
          <w:tcPr>
            <w:tcW w:w="2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Holding Losses</w:t>
            </w:r>
          </w:p>
        </w:tc>
        <w:tc>
          <w:tcPr>
            <w:tcW w:w="2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158,692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1"/>
              </w:rPr>
              <w:t>(514)</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75"/>
        </w:trPr>
        <w:tc>
          <w:tcPr>
            <w:tcW w:w="3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8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158,816</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158,633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At June 30, 2015 all of the available-for-sale investments had contractual maturities within four years. We periodically review our available-for-sale investments for other-than-temporary impairment. We consider factors such as the duration, severity and the reason for the decline in value, the potential recovery period and our intent to sell. For debt securities, we also consider whether (i) it is more likely than not that we will be required to sell the debt securities before recovery of their amortized cost basis, and (ii) the amortized cost basis cannot be recovered as a result of credit losses. During the quarters and six months ended June 30, 2015 and 2014, we did not recognize any other-than-temporary impairment loss.</w:t>
      </w:r>
    </w:p>
    <w:p>
      <w:pPr>
        <w:spacing w:after="0" w:line="173"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At June 30, 2015, a total of $30.9 million of our cash and cash equivalents were held outside of the U.S. in our foreign subsidiaries to be used primarily for our China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2080" w:type="dxa"/>
            <w:vAlign w:val="bottom"/>
            <w:gridSpan w:val="4"/>
          </w:tcPr>
          <w:p>
            <w:pPr>
              <w:ind w:left="820"/>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Preclinical and clinical trial accruals</w:t>
            </w:r>
          </w:p>
        </w:tc>
        <w:tc>
          <w:tcPr>
            <w:tcW w:w="2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32,251</w:t>
            </w:r>
          </w:p>
        </w:tc>
        <w:tc>
          <w:tcPr>
            <w:tcW w:w="8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9,625</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2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46,240</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320" w:type="dxa"/>
            <w:vAlign w:val="bottom"/>
            <w:vMerge w:val="restart"/>
          </w:tcPr>
          <w:p>
            <w:pPr>
              <w:jc w:val="right"/>
              <w:ind w:right="1256"/>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Stock-based compensation expense was allocated to research and development and general and administrative expense for the periods presented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rPr>
              <w:t>Quarter Ended June 30,</w:t>
            </w:r>
          </w:p>
        </w:tc>
        <w:tc>
          <w:tcPr>
            <w:tcW w:w="180" w:type="dxa"/>
            <w:vAlign w:val="bottom"/>
          </w:tcPr>
          <w:p>
            <w:pPr>
              <w:spacing w:after="0"/>
              <w:rPr>
                <w:sz w:val="14"/>
                <w:szCs w:val="14"/>
                <w:color w:val="auto"/>
              </w:rPr>
            </w:pPr>
          </w:p>
        </w:tc>
        <w:tc>
          <w:tcPr>
            <w:tcW w:w="19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49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r>
      <w:tr>
        <w:trPr>
          <w:trHeight w:val="75"/>
        </w:trPr>
        <w:tc>
          <w:tcPr>
            <w:tcW w:w="4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r>
      <w:tr>
        <w:trPr>
          <w:trHeight w:val="20"/>
        </w:trPr>
        <w:tc>
          <w:tcPr>
            <w:tcW w:w="4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and the resulting weighted average fair value of stock options granted during the periods presented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Stock Options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16.68</w:t>
            </w:r>
          </w:p>
        </w:tc>
        <w:tc>
          <w:tcPr>
            <w:tcW w:w="7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Employee Stock Purchase Plans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9.75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9.75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recorded a provision for income taxes for the quarter ended June 30, 2015 due to the discrete tax effect arising from a change in the valuation of our available-for-sale securities portfolio. We recorded a benefit for income taxes for the six months ended June 30, 2015 due to the discrete tax effect arising from other comprehensive income related to available-for-sale securities. We did not record a provision for income taxes for the quarter and six months ended June 30, 2014 as we generated a net operating loss for the year ended December 31, 2014.</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3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260" w:firstLine="913"/>
        <w:spacing w:after="0" w:line="279" w:lineRule="auto"/>
        <w:rPr>
          <w:sz w:val="20"/>
          <w:szCs w:val="20"/>
          <w:color w:val="auto"/>
        </w:rPr>
      </w:pPr>
      <w:r>
        <w:rPr>
          <w:rFonts w:ascii="Arial" w:cs="Arial" w:eastAsia="Arial" w:hAnsi="Arial"/>
          <w:sz w:val="17"/>
          <w:szCs w:val="17"/>
          <w:color w:val="auto"/>
        </w:rPr>
        <w:t>Astellas is an equity investor of ours and, therefore, considered a related party. We recorded revenue related to collaboration agreements with Astellas of $5.6 million and $4.6 million during the quarter ended June 30, 2015 and 2014 and $10.9 million and $8.1 million during the six months ended June 30, 2015 and 2014. We recorded expense related to collaboration agreements with Astellas of $1.3 million and $2.4 million during the quarter ended June 30, 2015 and 2014 and $4.4 million and $4.5 million during the six months ended June 30, 2015 and 2014.</w:t>
      </w:r>
    </w:p>
    <w:p>
      <w:pPr>
        <w:spacing w:after="0" w:line="17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As of June 30, 2015 and December 31, 2014, accounts receivable from Astellas were $10.3 million and $5.0 million and amounts due to Astellas were $5.8 million and $4.3 million.</w:t>
      </w:r>
    </w:p>
    <w:p>
      <w:pPr>
        <w:spacing w:after="0" w:line="17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Julian N. Stern, a director of ours since November 1996, is of counsel to the law firm of Goodwin Procter LLP, which he joined in 2008. He has received, and continues to receive, no compensation from Goodwin Procter LLP since joining it as of counsel. We retain Goodwin Procter LLP as legal counsel for various matters, primarily consisting of intellectual property. During the quarter and six months ended June 30, 2015 and 2014, the payments made by us to Goodwin Procter LLP were not material. As of June 30, 2015 and December 31, 2014, amounts due to Goodwin Proctor LLP were not material.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 filings, including our Annual Report on Form 10-K for the year ended December 31, 2014 filed with the SEC on March 26,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(the “Exchange Act”), Section 27A of the Securities Act of 1933, as amended (the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were incorporated in 1993 in Delaware and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and liver fibrosis. We have taken a global approach with respect to our product candidates, and this includes development and commercialization of product candidates in the People’s Republic of China (“China”).</w:t>
      </w:r>
    </w:p>
    <w:p>
      <w:pPr>
        <w:spacing w:after="0" w:line="189"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On November 10, 2014, we effected a 1-for-2.5 reverse split of our common stock. Upon the effectiveness of the reverse stock split, (i) every 2.5 shares of outstanding common stock were combined into one share of common stock, (ii) the number of shares of common stock for which each outstanding option or warrant to purchase common stock is exercisable was proportionally decreased on a 1-for-2.5 basis, (iii) the exercise price of each outstanding option or warrant to purchase common stock was proportionately increased on a 1-for- 2.5 basis, (iv) the exchange ratio for each share of outstanding FibroGen Europe Oy (“FibroGen Europe”) share of stock which is exchangeable into our common stock was proportionately reduced on a 1-for-2.5 basis, and (v) the conversion ratio for each share of outstanding preferred stock which is convertible into our common stock was proportionately reduced on a 1-for-2.5 basis. All of the outstanding common stock share numbers (including shares of common stock which our outstanding preferred stock shares were convertible into), common stock warrants, share prices, exercise prices and per share amounts have been adjusted in these condensed consolidated financial statements, on a retroactive basis, to reflect this 1-for-2.5 reverse stock split for all periods presented. The par value per share and the authorized number of shares of common stock and preferred stock were not adjusted as a result of the reverse stock split.</w:t>
      </w:r>
    </w:p>
    <w:p>
      <w:pPr>
        <w:spacing w:after="0" w:line="16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On November 19, 2014, we closed the initial public offering (“IPO”) of our common stock. In our IPO, we sold 9,315,000 shares of our common stock at a public offering price of $18.00 per share. Net proceeds from our IPO and concurrent private placement were $171.8 million, after deducting underwriting discounts and commissions of $11.7 million and offering expenses of $4.1 million. AstraZeneca AB (“AstraZeneca”), one of our collaboration partners, agreed to purchase from us concurrently with the closing of our IPO in a private placement shares of our common stock with an aggregate purchase price of $20.0 million at a price per share equal to the IPO price. Upon the closing of our IPO, all outstanding shares of our convertible preferred stock automatically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converted into 33,919,954 shares of common stock and 958,996 shares of FibroGen Europe convertible preferred stock were converted into shares of our common stock. Our proceeds from the sale of the common stock sold in the concurrent private placement were $20.0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During the quarter and six months ended June 30, 2015, we had net income of $57.1 million and $10.7 million, or net income per diluted share of $0.83 and $0.15. The increase in net income and net income per diluted share for the quarter ended June 30, 2015 compared to the same period a year ago is primarily due to an increase in revenue, partially offset by an increase in operating expenses. The decrease in net income and net income per diluted share for the six months ended June 30, 2015 is primarily due to an increase in operating expenses, partially offset by an increase in revenue. The increase in revenue is primarily due to an upfront payment of $120.0 million and a development milestone payment of $15.0 million received in the second quarter of 2015 under the collaboration agreements with AstraZeneca. The increase in operating expenses resulted primarily from the progression of our clinical trials and expenses to support our new requirements as a public company.</w:t>
      </w:r>
    </w:p>
    <w:p>
      <w:pPr>
        <w:spacing w:after="0" w:line="178" w:lineRule="exact"/>
        <w:rPr>
          <w:sz w:val="20"/>
          <w:szCs w:val="20"/>
          <w:color w:val="auto"/>
        </w:rPr>
      </w:pPr>
    </w:p>
    <w:p>
      <w:pPr>
        <w:ind w:right="880" w:firstLine="913"/>
        <w:spacing w:after="0" w:line="342" w:lineRule="auto"/>
        <w:rPr>
          <w:sz w:val="20"/>
          <w:szCs w:val="20"/>
          <w:color w:val="auto"/>
        </w:rPr>
      </w:pPr>
      <w:r>
        <w:rPr>
          <w:rFonts w:ascii="Arial" w:cs="Arial" w:eastAsia="Arial" w:hAnsi="Arial"/>
          <w:sz w:val="16"/>
          <w:szCs w:val="16"/>
          <w:color w:val="auto"/>
        </w:rPr>
        <w:t>Cash, cash equivalents, investments and receivables, excluding restricted cash, totaled $399.2 million at June 30, 2015, an increase of $61.6 million from December 31, 2014, primarily due to payments received from AstraZeneca, partially offset by cash used in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first half of 2015, we continued to make progress in the development of our major programs.</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Roxadustat is the first HIF-PH inhibitor to enter Phase 3 clinical development and acts by stimulating the body’s natural pathway of erythropoiesis, or red blood cell production. We, along with our collaboration partners Astellas Pharma Inc. (“Astellas”) and AstraZeneca, continue to advance roxadustat through our global Phase 3 program to support regulatory approval of roxadustat in both dialysis-dependent CKD (“DD-CKD”) patients and CKD patients who are not dialysis-dependent (“NDD-CKD”) in multiple geographies. For the three FibroGen roxadustat Phase 3 studies we have reached approximately two-thirds of our cumulative target enrollment. Our base plan is to meet target enrollment for these studies in March to April 2016, and we believe the third study could reach target enrollment by year end 2015. We currently anticipate submitting a New Drug Application (“NDA”) for roxadustat in the United States in 2018 and in China in 2016. In China, we completed manufacture of our NDA registration campaign for drug substance and finished drug product for roxadustat at our Beijing manufacturing facility in the second quarter of 2015. We have been informed that technical review of our Phase 3 clinical trial application has been completed by the CDE, and we believe the remaining steps in the Clinical Trial Application approval are largely perfunctory. We plan to begin opening study sites and enrolling patients in two Phase 3 studies in China in the fourth quarter of 2015.</w:t>
      </w:r>
    </w:p>
    <w:p>
      <w:pPr>
        <w:spacing w:after="0" w:line="169"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FG-3019 is our fully-human monoclonal antibody that inhibits the activity of connective tissue growth factor (“CTGF”), a critical common element in the progression of fibrosis and associated serious diseases. We continue to conduct an open-label Phase 2 extension study in IPF and continue to enroll patients in a randomized, double-blind placebo-controlled Phase 2 trial in patients with IPF. The presence of approved therapies in IPF, such as Roche’s pirfenidone, which is approved for marketing in Europe, Canada, Japan and the United States, and Boehringer Ingelheim’s nintedanib, which has been approved in the United States and EU, has made enrollment in our placebo-controlled Phase 2 IPF trial more challenging. Our ability to complete enrollment of this IPF trial in the expected timeframe is dependent on opening additional clinical sites outside of the United States in the third quarter of 2015. In addition, we are evaluating expanding this IPF trial to include one or more comparator arms with approved therapy, which may increase the patient number in our trial to approximately 250 subjects.</w:t>
      </w:r>
    </w:p>
    <w:p>
      <w:pPr>
        <w:spacing w:after="0" w:line="19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We also continue to enroll an open-label Phase 2 trial in pancreatic cancer to determine whether the FG-3019, in combination with gemcitabine and nab-paclitaxel, can convert inoperable pancreatic cancer to operable cancer. Patients with inoperable Stage 3 pancreatic cancer have survival similar to patients with metastatic cancer with studies showing only half of these patients survive approximately 8 to 12 months after diagnosis and few studies even report 5 year survival. Outlook for patients with resectable pancreatic cancer is considerably better with studies showing half survive between 17 to 27 months after diagnosis and 20% alive at 5 years. We expect to review the preliminary data from this pancreatic cancer study when we have sufficient data to detect substantial differences in the context of assessing whether to expand the program, or continue or stop the study. We plan to submit an abstract of the initial study results for presentation at the American Society of Clinical Oncology Gastrointestinal meeting, which will be held in January of 2016. We plan to open a trial, for which we recently received Food and Drug Administration (“FDA”) clearance for our Investigational New Drug (“IND”) application, to study FG-3019 in Duchenne Muscular Dystrophy (“DMD”) in the second half of 2015. In addition, in the second quarter of 2015 we closed a trial in subjects with liver fibrosis due to the hepatitis B virus. To date, we have retained exclusive worldwide rights for FG-3019.</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are also currently pursuing our corneal implant FG-5200 for treatment of corneal blindness resulting from partial thickness corneal damage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right="700" w:firstLine="913"/>
        <w:spacing w:after="0" w:line="264"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United States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June 30, 2015 totals $462.6 million.</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as of June 30, 2015 Astellas has separately invested $80.5 million in the equity of FibroGen,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360" w:firstLine="913"/>
        <w:spacing w:after="0" w:line="286" w:lineRule="auto"/>
        <w:rPr>
          <w:sz w:val="20"/>
          <w:szCs w:val="20"/>
          <w:color w:val="auto"/>
        </w:rPr>
      </w:pPr>
      <w:r>
        <w:rPr>
          <w:rFonts w:ascii="Arial" w:cs="Arial" w:eastAsia="Arial" w:hAnsi="Arial"/>
          <w:sz w:val="17"/>
          <w:szCs w:val="17"/>
          <w:color w:val="auto"/>
        </w:rPr>
        <w:t>We also have two agreements with AstraZeneca for the development and commercialization of roxadustat for anemia, one for China (“China Agreement”) and one for the United States and all other countries (“RoW”) not previously licensed to Astellas (“U.S./RoW Agreement”). Under these agreements we provided AstraZeneca the right to develop and commercialize roxadustat for anemia in these territories.</w:t>
      </w:r>
    </w:p>
    <w:p>
      <w:pPr>
        <w:spacing w:after="0" w:line="166"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6"/>
          <w:szCs w:val="16"/>
          <w:color w:val="auto"/>
        </w:rPr>
        <w:t>We will share responsibility with AstraZeneca for clinical development activities required for United States regulatory approval of roxadustat. AstraZeneca will be responsible for all of our development costs incurred under the agreed development plan for roxadustat in the United States and EU, to the extent those costs are not covered by Astellas, after an initial 50% development cost sharing period in which our funding obligations are limited to a total of $116.5 million. Thereafter, AstraZeneca will be solely responsible for additional development costs. In China, FibroGen China Anemia Holdings, Ltd.</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(“FibroGen China”) will conduct the development work for CKD anemia and its subsidiary, FibroGen (China) Medical Technology Development Co., Ltd. (“FibroGen Beijing”), will hold all of the regulatory licenses issued by China regulatory authorities and FibroGen China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7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Under the AstraZeneca agreements, we will receive upfront and subsequent non-contingent payments totaling $402.2 million, a portion of which we have received and the remainder of which we expect to receive in various amounts through 2016, including a $62.0 million time based development milestone, which became non-contingent as of July 30, 2014.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June 30, 2015 totals $355.2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During the second quarter of 2015, we received an upfront payment of $120.0 million and a development milestone payment of $15.0 million under the under the U.S./RoW Agreement. The development milestone payment resulted from the finalization of our two audited pre-clinical carcinogenicity study reports.</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AstraZeneca purchased 1,111,111 shares of our common stock at the IPO price for an aggregate purchase price of $20.0 million in a private placement concurrent with our IPO.</w:t>
      </w:r>
    </w:p>
    <w:p>
      <w:pPr>
        <w:spacing w:after="0" w:line="170"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Under the U.S./RoW Agreement, AstraZeneca will pay for all commercialization costs in the U.S. and RoW and AstraZeneca will be responsible for the United States commercialization of roxadustat, with FibroGen undertaking specified promotional activities in the end stage renal disease (“ESRD”) segment in the United States.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Our revenue to date has been generated primarily from our collaboration agreements with Astellas and AstraZeneca. The sources of our revenue for the periods presented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License and milestone revenue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$106,879</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$ 82,463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$24,416</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30%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$ 118,385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97,148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$21,237</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22%</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Collaboration services and other revenue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6,176</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18,463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7,777</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w:t>
            </w:r>
          </w:p>
        </w:tc>
      </w:tr>
      <w:tr>
        <w:trPr>
          <w:trHeight w:val="20"/>
        </w:trPr>
        <w:tc>
          <w:tcPr>
            <w:tcW w:w="5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52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120,550</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89,958</w:t>
            </w:r>
          </w:p>
        </w:tc>
        <w:tc>
          <w:tcPr>
            <w:tcW w:w="10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30,592</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34%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$ 136,848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107,834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29,014</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27%</w:t>
            </w:r>
          </w:p>
        </w:tc>
      </w:tr>
      <w:tr>
        <w:trPr>
          <w:trHeight w:val="20"/>
        </w:trPr>
        <w:tc>
          <w:tcPr>
            <w:tcW w:w="5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89% and 92% of total revenue for the quarter ended June 30, 2015 and 2014 and 87% and 90% of total revenue for the six months ended June 30, 2015 and 2014.</w:t>
      </w:r>
    </w:p>
    <w:p>
      <w:pPr>
        <w:spacing w:after="0" w:line="158"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65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periods presented. Collaboration services and other revenues represented 11% and 8% of total revenue for the quarter ended June 30, 2015 and 2014 and 13% and 10% of total revenue for the six months ended June 30, 2015 and 2014.</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increase in total revenue for the quarter and six months ended June 30, 2015 compared to the same periods a year ago is more fully discussed in the sections below.</w:t>
      </w:r>
    </w:p>
    <w:p>
      <w:pPr>
        <w:spacing w:after="0" w:line="17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Total cash consideration received through June 30, 2015 and potential cash consideration, other than development cost reimbursement, transfer price payments, royalties and profit share, pursuant to our existing collaboration agreements are as follows (in thousands):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Cash Received Through</w:t>
            </w:r>
          </w:p>
        </w:tc>
        <w:tc>
          <w:tcPr>
            <w:tcW w:w="3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Additional Potential</w:t>
            </w:r>
          </w:p>
        </w:tc>
        <w:tc>
          <w:tcPr>
            <w:tcW w:w="38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Total Potential Cash</w:t>
            </w:r>
          </w:p>
        </w:tc>
      </w:tr>
      <w:tr>
        <w:trPr>
          <w:trHeight w:val="171"/>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2015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Payments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Payments</w:t>
            </w: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Astellas—related-party:</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Japan Agreement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52,593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120,000</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172,593</w:t>
            </w: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 Agreement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335,000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745,000</w:t>
            </w:r>
          </w:p>
        </w:tc>
      </w:tr>
      <w:tr>
        <w:trPr>
          <w:trHeight w:val="20"/>
        </w:trPr>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980" w:type="dxa"/>
            <w:vAlign w:val="bottom"/>
          </w:tcPr>
          <w:p>
            <w:pPr>
              <w:ind w:left="720"/>
              <w:spacing w:after="0"/>
              <w:rPr>
                <w:sz w:val="20"/>
                <w:szCs w:val="20"/>
                <w:color w:val="auto"/>
              </w:rPr>
            </w:pPr>
            <w:r>
              <w:rPr>
                <w:rFonts w:ascii="Arial" w:cs="Arial" w:eastAsia="Arial" w:hAnsi="Arial"/>
                <w:sz w:val="18"/>
                <w:szCs w:val="18"/>
                <w:color w:val="auto"/>
              </w:rPr>
              <w:t>Total Astellas</w:t>
            </w:r>
          </w:p>
        </w:tc>
        <w:tc>
          <w:tcPr>
            <w:tcW w:w="200" w:type="dxa"/>
            <w:vAlign w:val="bottom"/>
          </w:tcPr>
          <w:p>
            <w:pPr>
              <w:spacing w:after="0"/>
              <w:rPr>
                <w:sz w:val="24"/>
                <w:szCs w:val="24"/>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462,593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455,000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917,593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AstraZeneca: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U.S. / RoW Agreement</w:t>
            </w:r>
          </w:p>
        </w:tc>
        <w:tc>
          <w:tcPr>
            <w:tcW w:w="2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327,000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922,000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 Agreement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348,500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376,700</w:t>
            </w:r>
          </w:p>
        </w:tc>
      </w:tr>
      <w:tr>
        <w:trPr>
          <w:trHeight w:val="20"/>
        </w:trPr>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980" w:type="dxa"/>
            <w:vAlign w:val="bottom"/>
          </w:tcPr>
          <w:p>
            <w:pPr>
              <w:ind w:left="720"/>
              <w:spacing w:after="0"/>
              <w:rPr>
                <w:sz w:val="20"/>
                <w:szCs w:val="20"/>
                <w:color w:val="auto"/>
              </w:rPr>
            </w:pPr>
            <w:r>
              <w:rPr>
                <w:rFonts w:ascii="Arial" w:cs="Arial" w:eastAsia="Arial" w:hAnsi="Arial"/>
                <w:sz w:val="18"/>
                <w:szCs w:val="18"/>
                <w:color w:val="auto"/>
              </w:rPr>
              <w:t>Total AstraZeneca</w:t>
            </w:r>
          </w:p>
        </w:tc>
        <w:tc>
          <w:tcPr>
            <w:tcW w:w="200" w:type="dxa"/>
            <w:vAlign w:val="bottom"/>
          </w:tcPr>
          <w:p>
            <w:pPr>
              <w:spacing w:after="0"/>
              <w:rPr>
                <w:sz w:val="24"/>
                <w:szCs w:val="24"/>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355,200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1,270,500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Pr>
          <w:p>
            <w:pPr>
              <w:spacing w:after="0"/>
              <w:rPr>
                <w:sz w:val="24"/>
                <w:szCs w:val="24"/>
                <w:color w:val="auto"/>
              </w:rPr>
            </w:pPr>
          </w:p>
        </w:tc>
      </w:tr>
      <w:tr>
        <w:trPr>
          <w:trHeight w:val="75"/>
        </w:trPr>
        <w:tc>
          <w:tcPr>
            <w:tcW w:w="39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817,793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1,725,500</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Milestone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 Ended June 30,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License and milestone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Astellas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3,718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$ 1,142</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6,460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$ 3,092</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48%</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AstraZeneca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78,745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23,274</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108,833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90,688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18,145</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5240" w:type="dxa"/>
            <w:vAlign w:val="bottom"/>
          </w:tcPr>
          <w:p>
            <w:pPr>
              <w:ind w:left="720"/>
              <w:spacing w:after="0"/>
              <w:rPr>
                <w:sz w:val="20"/>
                <w:szCs w:val="20"/>
                <w:color w:val="auto"/>
              </w:rPr>
            </w:pPr>
            <w:r>
              <w:rPr>
                <w:rFonts w:ascii="Arial" w:cs="Arial" w:eastAsia="Arial" w:hAnsi="Arial"/>
                <w:sz w:val="18"/>
                <w:szCs w:val="18"/>
                <w:color w:val="auto"/>
              </w:rPr>
              <w:t>Total license and milestone revenue</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106,879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82,463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24,416</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118,385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97,148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21,237</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22%</w:t>
            </w: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License and milestone revenue recognized under our collaboration agreements with AstraZeneca increased primarily due to an upfront payment of $120.0 million and a development milestone payment of $15.0 million received during the second quarter of 2015 compared to an upfront payment of $110.0 million received during the second quarter of 2014. A portion of each of the upfront payments received under the collaboration agreements with AstraZeneca were deferred as a result of applying the relative selling price method and assessing the timing of the provision of various deliverables. The milestone payment was recognized in its entirety upon receipt. In addition, license and milestone revenue recognized under our collaboration agreements with both Astellas and Astra Zeneca increased due to an increase in reimbursable co-development costs allocated to license and milestone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Services and Other Revenue</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Collaboration services revenue increased $6.2 million and $7.8 million for the quarter and six months ended June 30, 2015 compared to the same periods a year ago primarily due to the allocation of the upfront payment of $120.0 million received during the second quarter of 2015 and an increase in reimbursable co-development costs under our collaboration agreements with AstraZeneca and Astellas.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Quarter Ended June 30,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$ 51,555</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$ 33,269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$18,286</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102,094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58,919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$43,175</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73%</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13,948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6,214</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w:t>
            </w: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5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$ 61,235</w:t>
            </w:r>
          </w:p>
        </w:tc>
        <w:tc>
          <w:tcPr>
            <w:tcW w:w="2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$ 40,785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20,450</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122,256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72,867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49,389</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68%</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Research and development expenses incurred by program for the periods presented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3"/>
              </w:rPr>
              <w:t>Product Candidate</w:t>
            </w:r>
          </w:p>
        </w:tc>
        <w:tc>
          <w:tcPr>
            <w:tcW w:w="220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w w:val="90"/>
              </w:rPr>
              <w:t>Phase of Development</w:t>
            </w:r>
          </w:p>
        </w:tc>
        <w:tc>
          <w:tcPr>
            <w:tcW w:w="4280" w:type="dxa"/>
            <w:vAlign w:val="bottom"/>
          </w:tcPr>
          <w:p>
            <w:pPr>
              <w:spacing w:after="0"/>
              <w:rPr>
                <w:sz w:val="14"/>
                <w:szCs w:val="14"/>
                <w:color w:val="auto"/>
              </w:rPr>
            </w:pPr>
          </w:p>
        </w:tc>
        <w:tc>
          <w:tcPr>
            <w:tcW w:w="2020" w:type="dxa"/>
            <w:vAlign w:val="bottom"/>
            <w:gridSpan w:val="7"/>
          </w:tcPr>
          <w:p>
            <w:pPr>
              <w:spacing w:after="0"/>
              <w:rPr>
                <w:sz w:val="20"/>
                <w:szCs w:val="20"/>
                <w:color w:val="auto"/>
              </w:rPr>
            </w:pPr>
            <w:r>
              <w:rPr>
                <w:rFonts w:ascii="Arial" w:cs="Arial" w:eastAsia="Arial" w:hAnsi="Arial"/>
                <w:sz w:val="14"/>
                <w:szCs w:val="14"/>
                <w:b w:val="1"/>
                <w:bCs w:val="1"/>
                <w:color w:val="auto"/>
              </w:rPr>
              <w:t>Quarter Ended June 30, 2015</w:t>
            </w:r>
          </w:p>
        </w:tc>
        <w:tc>
          <w:tcPr>
            <w:tcW w:w="1740" w:type="dxa"/>
            <w:vAlign w:val="bottom"/>
            <w:gridSpan w:val="7"/>
          </w:tcPr>
          <w:p>
            <w:pPr>
              <w:spacing w:after="0"/>
              <w:rPr>
                <w:sz w:val="20"/>
                <w:szCs w:val="20"/>
                <w:color w:val="auto"/>
              </w:rPr>
            </w:pPr>
            <w:r>
              <w:rPr>
                <w:rFonts w:ascii="Arial" w:cs="Arial" w:eastAsia="Arial" w:hAnsi="Arial"/>
                <w:sz w:val="14"/>
                <w:szCs w:val="14"/>
                <w:b w:val="1"/>
                <w:bCs w:val="1"/>
                <w:color w:val="auto"/>
                <w:w w:val="99"/>
              </w:rPr>
              <w:t>Six Month Ended June 30,</w:t>
            </w:r>
          </w:p>
        </w:tc>
        <w:tc>
          <w:tcPr>
            <w:tcW w:w="0" w:type="dxa"/>
            <w:vAlign w:val="bottom"/>
          </w:tcPr>
          <w:p>
            <w:pPr>
              <w:spacing w:after="0"/>
              <w:rPr>
                <w:sz w:val="1"/>
                <w:szCs w:val="1"/>
                <w:color w:val="auto"/>
              </w:rPr>
            </w:pPr>
          </w:p>
        </w:tc>
      </w:tr>
      <w:tr>
        <w:trPr>
          <w:trHeight w:val="142"/>
        </w:trPr>
        <w:tc>
          <w:tcPr>
            <w:tcW w:w="1180" w:type="dxa"/>
            <w:vAlign w:val="bottom"/>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Roxadustat</w:t>
            </w:r>
          </w:p>
        </w:tc>
        <w:tc>
          <w:tcPr>
            <w:tcW w:w="8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3</w:t>
            </w:r>
          </w:p>
        </w:tc>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FG-3019</w:t>
            </w:r>
          </w:p>
        </w:tc>
        <w:tc>
          <w:tcPr>
            <w:tcW w:w="2200" w:type="dxa"/>
            <w:vAlign w:val="bottom"/>
            <w:gridSpan w:val="2"/>
          </w:tcPr>
          <w:p>
            <w:pPr>
              <w:ind w:left="820"/>
              <w:spacing w:after="0"/>
              <w:rPr>
                <w:sz w:val="20"/>
                <w:szCs w:val="20"/>
                <w:color w:val="auto"/>
              </w:rPr>
            </w:pPr>
            <w:r>
              <w:rPr>
                <w:rFonts w:ascii="Arial" w:cs="Arial" w:eastAsia="Arial" w:hAnsi="Arial"/>
                <w:sz w:val="18"/>
                <w:szCs w:val="18"/>
                <w:color w:val="auto"/>
              </w:rPr>
              <w:t>Phase 2</w:t>
            </w: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10,286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FG-6874</w:t>
            </w:r>
          </w:p>
        </w:tc>
        <w:tc>
          <w:tcPr>
            <w:tcW w:w="2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Phase 1</w:t>
            </w:r>
          </w:p>
        </w:tc>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FG-5200</w:t>
            </w:r>
          </w:p>
        </w:tc>
        <w:tc>
          <w:tcPr>
            <w:tcW w:w="2200" w:type="dxa"/>
            <w:vAlign w:val="bottom"/>
            <w:gridSpan w:val="2"/>
          </w:tcPr>
          <w:p>
            <w:pPr>
              <w:ind w:left="820"/>
              <w:spacing w:after="0"/>
              <w:rPr>
                <w:sz w:val="20"/>
                <w:szCs w:val="20"/>
                <w:color w:val="auto"/>
              </w:rPr>
            </w:pPr>
            <w:r>
              <w:rPr>
                <w:rFonts w:ascii="Arial" w:cs="Arial" w:eastAsia="Arial" w:hAnsi="Arial"/>
                <w:sz w:val="18"/>
                <w:szCs w:val="18"/>
                <w:color w:val="auto"/>
              </w:rPr>
              <w:t>Preclinical</w:t>
            </w: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Other research and development expenses</w:t>
            </w:r>
          </w:p>
        </w:tc>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10,384</w:t>
            </w:r>
          </w:p>
        </w:tc>
        <w:tc>
          <w:tcPr>
            <w:tcW w:w="0" w:type="dxa"/>
            <w:vAlign w:val="bottom"/>
          </w:tcPr>
          <w:p>
            <w:pPr>
              <w:spacing w:after="0"/>
              <w:rPr>
                <w:sz w:val="1"/>
                <w:szCs w:val="1"/>
                <w:color w:val="auto"/>
              </w:rPr>
            </w:pPr>
          </w:p>
        </w:tc>
      </w:tr>
      <w:tr>
        <w:trPr>
          <w:trHeight w:val="20"/>
        </w:trPr>
        <w:tc>
          <w:tcPr>
            <w:tcW w:w="3380" w:type="dxa"/>
            <w:vAlign w:val="bottom"/>
            <w:gridSpan w:val="3"/>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80" w:type="dxa"/>
            <w:vAlign w:val="bottom"/>
            <w:gridSpan w:val="3"/>
          </w:tcPr>
          <w:p>
            <w:pPr>
              <w:ind w:left="360"/>
              <w:spacing w:after="0"/>
              <w:rPr>
                <w:sz w:val="20"/>
                <w:szCs w:val="20"/>
                <w:color w:val="auto"/>
              </w:rPr>
            </w:pPr>
            <w:r>
              <w:rPr>
                <w:rFonts w:ascii="Arial" w:cs="Arial" w:eastAsia="Arial" w:hAnsi="Arial"/>
                <w:sz w:val="18"/>
                <w:szCs w:val="18"/>
                <w:color w:val="auto"/>
                <w:w w:val="88"/>
              </w:rPr>
              <w:t>Total research and development expenses</w:t>
            </w:r>
          </w:p>
        </w:tc>
        <w:tc>
          <w:tcPr>
            <w:tcW w:w="42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51,555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33,269</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102,094</w:t>
            </w:r>
          </w:p>
        </w:tc>
        <w:tc>
          <w:tcPr>
            <w:tcW w:w="1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58,919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8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Research and development expenses increased for the quarter and six months ended June 30, 2015 compared to the same periods a year ago. The increase for the quarter ended June 30, 2015 was primarily due to an increase in clinical trial, outside services and drug development related costs of $12.2 million, stock-based compensation expense of $4.0 million and employee-related costs of $1.9 million. The increase for the six months ended June 30, 2015 was primarily due to an increase in clinical trial, outside services and drug development related costs of $29.7 million, stock-based compensation expense of $7.8 million and employee-related costs of $4.6 million. Clinical trial, outside services and drug development related costs increased as a result of the progression of the Phase 3 trials for FG-4592 and the ongoing Phase 2 trials for FG-3019. Stock-based compensation expense increased primarily due to a higher valuation for stock option grants and expense related to the Employee Share Purchase Program (“ESPP”), which we implemented in November 2014. Employee-related costs increased as a result of additional headcount to support our clinical trials.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General and administrative expenses increased for the quarter and six months ended June 30, 2015 compared to the same periods a year ago. The increase for the quarter ended June 30, 2015 was primarily due to an increase in stock-based compensation expense of $2.2 million. The increase for the six months ended June 30, 2015 was primarily due to an increase in stock-based compensation expense of $4.2 million, legal fees of $1.2 million and employee-related costs of $1.0 million. Stock-based compensation expenses increased primarily due to a higher valuation of stock option grants and expense related to the ESPP. Legal fees increased for the six months ended June 30, 2015 compared to the same period a year ago primarily as a result of incremental maintenance costs associated with our intellectual property portfolio. Employee-related costs increased primarily as a result of additional headcount to support being a public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for Roxadustat Covered Under Collaboration Agreements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We share responsibility with AstraZeneca for clinical development activities required for United States regulatory approval of roxadustat. AstraZeneca is responsible for all of our development costs incurred under the agreed development plan for roxadustat in the United States, Europe, Japan and all other markets outside of China, to the extent those costs are not covered by Astellas, after an initial 50% development cost sharing period in which our funding obligations are limited to a total of $116.5 million, of which $83.4 million has been incurred as of June 30, 2015. We expect to reach this $116.5 million cap in late 2015. After we have reached the $116.5 million cap, AstraZeneca will be solely responsible for all future development costs. In China, our subsidiary FibroGen China will conduct the development work for CKD anemia and its subsidiary, FibroGen Beijing, will hold all of the regulatory licenses issued by China regulatory authorities and FibroGen China will be primarily responsible for regulatory, clinical and manufacturing. All development and commercialization costs for roxadustat in China will be shared equally with AstraZeneca.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640" w:type="dxa"/>
            <w:vAlign w:val="bottom"/>
            <w:gridSpan w:val="7"/>
          </w:tcPr>
          <w:p>
            <w:pPr>
              <w:ind w:left="20"/>
              <w:spacing w:after="0"/>
              <w:rPr>
                <w:sz w:val="20"/>
                <w:szCs w:val="20"/>
                <w:color w:val="auto"/>
              </w:rPr>
            </w:pPr>
            <w:r>
              <w:rPr>
                <w:rFonts w:ascii="Arial" w:cs="Arial" w:eastAsia="Arial" w:hAnsi="Arial"/>
                <w:sz w:val="14"/>
                <w:szCs w:val="14"/>
                <w:b w:val="1"/>
                <w:bCs w:val="1"/>
                <w:color w:val="auto"/>
              </w:rPr>
              <w:t>Quarter Ended June 30,</w:t>
            </w:r>
          </w:p>
        </w:tc>
        <w:tc>
          <w:tcPr>
            <w:tcW w:w="80" w:type="dxa"/>
            <w:vAlign w:val="bottom"/>
          </w:tcPr>
          <w:p>
            <w:pPr>
              <w:spacing w:after="0"/>
              <w:rPr>
                <w:sz w:val="14"/>
                <w:szCs w:val="14"/>
                <w:color w:val="auto"/>
              </w:rPr>
            </w:pPr>
          </w:p>
        </w:tc>
        <w:tc>
          <w:tcPr>
            <w:tcW w:w="1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86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14"/>
                <w:szCs w:val="14"/>
                <w:color w:val="auto"/>
              </w:rPr>
            </w:pPr>
          </w:p>
        </w:tc>
        <w:tc>
          <w:tcPr>
            <w:tcW w:w="1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(2,762)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(2,725)</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 (37)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(5,520)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(5,451)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(69)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net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r>
      <w:tr>
        <w:trPr>
          <w:trHeight w:val="20"/>
        </w:trPr>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1"/>
        </w:trPr>
        <w:tc>
          <w:tcPr>
            <w:tcW w:w="5500" w:type="dxa"/>
            <w:vAlign w:val="bottom"/>
          </w:tcPr>
          <w:p>
            <w:pPr>
              <w:ind w:left="720"/>
              <w:spacing w:after="0"/>
              <w:rPr>
                <w:sz w:val="20"/>
                <w:szCs w:val="20"/>
                <w:color w:val="auto"/>
              </w:rPr>
            </w:pPr>
            <w:r>
              <w:rPr>
                <w:rFonts w:ascii="Arial" w:cs="Arial" w:eastAsia="Arial" w:hAnsi="Arial"/>
                <w:sz w:val="18"/>
                <w:szCs w:val="18"/>
                <w:color w:val="auto"/>
              </w:rPr>
              <w:t>Total interest and other income (expense), net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(2,055)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(2,342)</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287</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(4,376)</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406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Interest expense approximated the same periods a year ago and includes payments made for imputed interest related to the facility lease financing obligations for our leased facilities in San Francisco and China as well as interest related to the TEKES product development obligations.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and other income, net increased primarily due to higher average balances of cash equivalents and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from Income Taxes</w:t>
      </w:r>
    </w:p>
    <w:p>
      <w:pPr>
        <w:spacing w:after="0" w:line="11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We recorded a provision for income taxes for the quarter ended June 30, 2015 due to the discrete tax effect arising from a change in the valuation of our available-for-sale securities portfolio. We recorded a benefit for income taxes for the six months ended June 30, 2015 primarily due to the discrete tax effect arising from other comprehensive income related to available-for-sale securities. We did not record a provision for income taxes for the quarter and six months ended June 30, 2014 as we generated a net operating loss for the year ended December 31, 2014.</w:t>
      </w:r>
    </w:p>
    <w:p>
      <w:pPr>
        <w:spacing w:after="0" w:line="17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 w:firstLine="913"/>
        <w:spacing w:after="0" w:line="255" w:lineRule="auto"/>
        <w:rPr>
          <w:sz w:val="20"/>
          <w:szCs w:val="20"/>
          <w:color w:val="auto"/>
        </w:rPr>
      </w:pPr>
      <w:r>
        <w:rPr>
          <w:rFonts w:ascii="Arial" w:cs="Arial" w:eastAsia="Arial" w:hAnsi="Arial"/>
          <w:sz w:val="18"/>
          <w:szCs w:val="18"/>
          <w:color w:val="auto"/>
        </w:rPr>
        <w:t>We have historically funded our operations principally from the sale of convertible preferred stock and common stock and from the execution of certain collaboration agreements involving license payments, milestones and reimbursement for development services. On November 19, 2014, we closed our IPO and concurrent private placement in which we issued and sold a total of 10,426,111 shares of common stock, resulting in net proceeds of $171.8 million, after deducting underwriting discounts and commissions of $11.7 million and offering expenses of $4.1 million for our IPO. Upon the closing of our IPO, all of our outstanding convertible preferred stock automatically converted into 33,919,954 shares of common stock, based on the shares of convertible preferred stock outstanding as of November 18, 2014.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During the second quarter of 2015, we received a $120.0 million upfront payment and a $15.0 million development milestone payment under the U.S./RoW Agreement. The development milestone payment was related to the finalization of our two audited pre-clinical carcinogenicity study reports.</w:t>
      </w:r>
    </w:p>
    <w:p>
      <w:pPr>
        <w:spacing w:after="0" w:line="124"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6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As of June 30, 2015, we had cash and cash equivalents of $236.5 million. Cash is invested in accordance with our investment policy, primarily to provide liquidity and preserve capital. Investments, consisting principally of corporate debt securities stated at fair value, are also available as a source of liquidity. As of June 30, 2015, we had short- and long-term investments of $12.1 million and $138.3 million. As of June 30, 2015, a total of $30.9 million of our cash and cash equivalents was held outside of the U.S. in our foreign subsidiaries to be used primarily for our China operations.</w:t>
      </w:r>
    </w:p>
    <w:p>
      <w:pPr>
        <w:spacing w:after="0" w:line="17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believe our existing cash and cash equivalents, investments and payments due under our license and collaboration agreements will be sufficient to meet our working capital and capital expenditure needs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 Item 1A: “Risk Factors”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primary sources and uses of cash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58,857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77,238</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29,594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(23,548)</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420" w:type="dxa"/>
            <w:vAlign w:val="bottom"/>
          </w:tcPr>
          <w:p>
            <w:pPr>
              <w:ind w:left="72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71,081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106,330</w:t>
            </w:r>
          </w:p>
        </w:tc>
        <w:tc>
          <w:tcPr>
            <w:tcW w:w="26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(35,249)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Net cash provided by operating activities was $58.9 million for the six months ended June 30, 2015 and consisted primarily of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 million adjusted for non-cash items of $17.8 million, which includes stock-based compensation expense of $13.4 million, depreciation expense of $2.8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amortization of the premium on investments of $1.5 million, and a net increase in operating assets and liabilities of $30.4 million. The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items in the change in operating assets and liabilities include an increase in deferred revenue of $30.4 million, an increase in prepaid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assets of $2.2 million, an increase in accounts receivable of $1.3 million, a decrease in accrued liabilities of $3.1 million and a decrease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of $0.6 million. The change in deferred revenue relate to the timing of the receipt of upfront payments and recognition of revenues under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collaboration agreements with Astellas and AstraZeneca. The change in accounts receivable and prepaid expenses and other current assets relates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timing of payments. The changes in accounts payable and accrued liabilities is driven by clinical trial activity related to upcoming Phase 3 trials for roxadustat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timing of payments.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provided by operating activities was $77.2 million for the six months ended June 30, 2014, and consisted primarily of net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$30.6 million adjusted for non-cash items including stock-based compensation expense of $1.5 million, depreciation expense of $1.8 million,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 premium/discount of $0.3 million and a net increase in operating assets and liabilities of $43.0 million. The significant items in the change in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include an increase in deferred revenue of $36.3 million and an increase in accounts payable and accrued expenses of $5.0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deferred revenue relates to the timing of upfront payments and recognition of revenues under our collaboration agreements with Astellas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AstraZeneca. The increase in accrued expenses is driven by the increase in clinical trial activity related to upcoming Phase 3 trials for roxadustat.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Investing activities consist primarily of purchases of property and equipment and proceeds from the maturities of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repayments of our lease liability and payments of equity issuance costs associated with the planned public offering of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During the quarter and six months ended June 30, 2015,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material changes in our critical accounting policies, estimates and judgments during the quarter ended June 30, 2015 compared with the disclosures in Part II, Item 7 of our Annual Report on Form 10-K for the year ended December 31, 2014. We believe that the accounting policies discussed below are critical to understanding our historical and future performance, as these policies relate to the more significant areas involving management’s judgments and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Our collaboration agreements include multiple deliverables, and we follow the guidance in Accounting Standards Codification (“ASC”) Topic 605-25, “Revenue Recognition—Multiple-Element Arrangements,” (“ASC 605-25”). ASC 605-25:</w:t>
      </w:r>
    </w:p>
    <w:p>
      <w:pPr>
        <w:spacing w:after="0" w:line="76" w:lineRule="exact"/>
        <w:rPr>
          <w:sz w:val="20"/>
          <w:szCs w:val="20"/>
          <w:color w:val="auto"/>
        </w:rPr>
      </w:pPr>
    </w:p>
    <w:p>
      <w:pPr>
        <w:ind w:left="1460" w:right="10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guidance on how revenue arrangements with multiple deliverables should be separated and how the arrangement consideration should be allocated among the separate units of accounting;</w:t>
      </w:r>
    </w:p>
    <w:p>
      <w:pPr>
        <w:spacing w:after="0" w:line="75"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913"/>
        <w:spacing w:after="0" w:line="257" w:lineRule="auto"/>
        <w:rPr>
          <w:sz w:val="20"/>
          <w:szCs w:val="20"/>
          <w:color w:val="auto"/>
        </w:rPr>
      </w:pPr>
      <w:r>
        <w:rPr>
          <w:rFonts w:ascii="Arial" w:cs="Arial" w:eastAsia="Arial" w:hAnsi="Arial"/>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5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used as the measurement of performance. Revenue may be recognized using a straight line method when performance is expected to occur consistently over a period of time.</w:t>
      </w:r>
    </w:p>
    <w:p>
      <w:pPr>
        <w:spacing w:after="0" w:line="18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our collaboration partners pursuant to research and development efforts, those costs are charged to research and development using the guidance pursuant to ASC Topic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 is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(Topic 606), which supersedes the revenue recognition requirements in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for ASU 2014-09was initially for fiscal years beginning after December 15, 2016. In July 2015, the FASB approved a one year deferral of this standard with a new effective date for fiscal years beginning after December 15, 2017. The new guidelines can be implemented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We are currently evaluating the impact of this guidance on our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June 30, 2015,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2015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marked with an asterisk (*) those risks described below that reflect substantive changes from the risks described under Part I, Item 1A “Risk Factors” included in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or FG-4592 in anemia in chronic kidney disease (“CKD”), and FG-3019 in idiopathic pulmonary fibrosis (“IPF”), pancreatic cancer and liver fibrosis. Pharmaceutical product development is a highly risky undertaking. To date, we have focused our efforts and most of our resources on hypoxia-inducible factor, or HIF, and fibrosis biology research, as well as developing our lead product candidates. We are not profitable and, other than in 2006 and 2007 due to income received from our Astellas collaboration, have incurred losses in each year since our inception. We have not generated any significant revenue based on product sales to date. We continue to incur significant research and development and other expenses related to our ongoing operations. Although we had net income of $10.7 million for the six months ended June 30, 2015, our net loss for the years ended December 31, 2013 and 2014 was $14.9 million and $59.5 million. As of June 30, 2015, we had an accumulated deficit of $311.6 million. As of June 30, 2015, we had capital resources consisting of cash, cash equivalents and short-term investments of $248.7 million plus $138.3 million of long-term investments classified as available for sale securities. Despite contractual development and cost coverage commitments from our collaboration partners, AstraZeneca AB (“AstraZeneca”) and Astellas Pharma Inc.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FG-3019,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cash equivalents and short-term investments and expected third party collaboration revenues will allow us to fund our operating plans through at least the next 12 months. Our operating plans or third party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FG-3019, that are not subject to reimbursement from our collaboration partners;</w:t>
      </w:r>
    </w:p>
    <w:p>
      <w:pPr>
        <w:spacing w:after="0" w:line="75"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our product candidates in the United States, China and other jurisdictions, and the costs of post-marketing studies that could be required by regulatory authorities in jurisdictions where approval is obtained;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time and unreimbursed costs necessary to commercialize products in territories in which our product candidates are approved for sale;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we incur in the filing, prosecution, maintenance and defense of our extensive patent portfolio and other intellectual property rights.</w:t>
      </w:r>
    </w:p>
    <w:p>
      <w:pPr>
        <w:spacing w:after="0" w:line="2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2014, 2013 and 2012, 100%, 100% and 99% of our revenues recognized were from our collaboration partners.</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FG-3019.</w:t>
      </w:r>
    </w:p>
    <w:p>
      <w:pPr>
        <w:spacing w:after="0" w:line="24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the United States Food and Drug Administration (“FDA”) we believe that we have an acceptable plan for the conduct of our Phase 3 clinical trial program. We have also had discussions with China regulatory authorities regarding the conduct of Phase 3 clinical trials in China, which are part of our global Phase 3 clinical trial program for safety data. We have also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other lead product candidate, FG-3019, is currently in clinical development for IPF, pancreatic cancer and liver fibrosis. FG-3019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FG-3019 may be appropriate. Accordingly, the costs and time to complete development and related risks are currently unknown. Moreover, FG-3019 is a monoclonal antibody, which may require experience and expertise that we may not currently possess as well as financial resources that are potentially greater than those required for our small molecule lead compound, roxadustat.</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FG-3019 will depend on a number of factors, many of which are beyond our control, and we may be unable to complete the development or commercialization of roxadustat or FG-3019.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FG-3019 will depend on a number of factors, including the following:</w:t>
      </w:r>
    </w:p>
    <w:p>
      <w:pPr>
        <w:spacing w:after="0" w:line="131" w:lineRule="exact"/>
        <w:rPr>
          <w:sz w:val="20"/>
          <w:szCs w:val="20"/>
          <w:color w:val="auto"/>
        </w:rPr>
      </w:pPr>
    </w:p>
    <w:p>
      <w:pPr>
        <w:ind w:left="900" w:right="8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initiation, continuation and completion of our Phase 3 clinical trials for roxadustat, which will depend substantially upon requirements for such trials imposed by the FDA and other regulatory agencies and bodies and the continued commitment and coordinated and timely performance by our third party collaboration partners, AstraZeneca and Astellas;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initiation and completion of our Phase 2 clinical trials for FG-3019, including in IPF and pancreatic cancer;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the safety and efficacy of our product candidates to the satisfaction of the relevant regulatory authorities;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75"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29" w:lineRule="exact"/>
        <w:rPr>
          <w:rFonts w:ascii="Arial" w:cs="Arial" w:eastAsia="Arial" w:hAnsi="Arial"/>
          <w:sz w:val="16"/>
          <w:szCs w:val="16"/>
          <w:color w:val="auto"/>
        </w:rPr>
      </w:pPr>
    </w:p>
    <w:p>
      <w:pPr>
        <w:ind w:left="900" w:right="7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United States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FG-3019 or any of our other product candidates.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FG-3019 will never receive regulatory approval in any country. Regulatory authorities may take actions or impose requirements that delay, limit or deny approval of roxadustat or FG-3019 for many reasons, including, among others:</w:t>
      </w:r>
    </w:p>
    <w:p>
      <w:pPr>
        <w:spacing w:after="0" w:line="87" w:lineRule="exact"/>
        <w:rPr>
          <w:sz w:val="20"/>
          <w:szCs w:val="20"/>
          <w:color w:val="auto"/>
        </w:rPr>
      </w:pPr>
    </w:p>
    <w:p>
      <w:pPr>
        <w:ind w:left="900" w:right="2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FG-3019 is safe and effective in treating IPF, pancreatic cancer or liver fibrosis;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FG-3019, or that ongoing clinical trials need to be modified in design, size, conduct or implementation;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53" w:lineRule="exact"/>
        <w:rPr>
          <w:rFonts w:ascii="Arial" w:cs="Arial" w:eastAsia="Arial" w:hAnsi="Arial"/>
          <w:sz w:val="16"/>
          <w:szCs w:val="16"/>
          <w:color w:val="auto"/>
        </w:rPr>
      </w:pPr>
    </w:p>
    <w:p>
      <w:pPr>
        <w:ind w:left="900" w:right="4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contract research organizations (“CROs”) that conduct clinical trials on our behalf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30"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in both the United States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Phase 2 clinical trial results to date for roxadustat may not be indicative of the results that may be obtained in larger, controlled Phase 3 clinical trials required for approval.</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may not be predictive of similar results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we may not be able to refer to any such benefits in the labeling. While the data from our Phase 2 trials suggests roxadustat may reduce LDL, or low-density lipoprotein, and reduce the ratio of LDL to HDL, or high-density lipoprotein,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Phase 2 results to date for FG-3019 may not be indicative of the results that may be obtained in larger, controlled Phase 2 clinical trials or Phase 3 clinical trials required for approval.</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conducted only a limited number of Phase 2 clinical trials with FG-3019. We have conducted an open-label Phase 2 dose escalation study of FG-3019 for IPF in 89 patients and a Phase 2 dose finding trial of FG-3019 combined with gemcitabine plus erlotinib in 75 patients with pancreatic cancer. We cannot be sure that the results of these trials will be substantiated in double-blinded trials with larger numbers of patients, that larger trials will demonstrate the efficacy of FG-3019 for these or other indications or that safety issues will not be uncovered in further trials. In the Phase 2 clinical trial for IPF, we used quantitative high resolution computed tomography, or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demonstrate that FG-3019 has the potential to arrest or reverse fibrosis and reduce tumor mass, we cannot be sure that these results will be indicative of the effects of FG-3019 in human trials. In addition, the IPF and pancreatic cancer patient populations are extremely ill and routinely experience SAEs, including death, which may be attributed to FG-3019 in a manner that negatively impacts the safety profile of our product candidate. If the additional Phase 2 clinical trials that we are planning for FG-3019 in IPF and pancreatic cancer do not show favorable efficacy results or result in safety concerns, or if we do not meet our clinical endpoints with statistical significance, or demonstrate an acceptable risk-benefit profile, we may be prevented from or delayed in obtaining marketing approval for FG-3019 in one or both of these indications.</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FG-3019 will need to be redesigned based on interim results, be able to achieve sufficient enrollment or be completed on schedule,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6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“Business—Our Development Program for Roxadustat” and “Business—FG-3019 for the Treatment of Fibrosis and Cancer” in our Annual Report on Form 10-K for the year ended December 31, 2014 for a discussion of the adverse events and serious adverse events that have emerged in clinical trials of roxadustat and FG-3019.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our product candidates being studied in relation to available therapies or other products under development;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our CRO’s, and our trial sites’ efforts to facilitate timely enrollment in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our product candidates and/or products at sufficient yields, we may experience delays in development, regulatory approval and commercialization.</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are expected to be necessary to support large-scale clinical trials and sales. Our efforts to establish these capabilities may not meet our requirements as to scale-up, yield, cost, potency or quality in compliance with cGMP. Our clinical trials must be conducted with product produced under applicable cGMP regulations. Failure to comply with these regulations may require us to repeat clinical trials, which would delay the regulatory approval process. Even an experienced third party manufacturer may encounter difficulties in production, which difficulties may include:</w:t>
      </w:r>
    </w:p>
    <w:p>
      <w:pPr>
        <w:spacing w:after="0" w:line="70" w:lineRule="exact"/>
        <w:rPr>
          <w:sz w:val="20"/>
          <w:szCs w:val="20"/>
          <w:color w:val="auto"/>
        </w:rPr>
      </w:pPr>
    </w:p>
    <w:p>
      <w:pPr>
        <w:ind w:left="900" w:right="1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FG-3019, which is a monoclonal antibody;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chain issues, including the timely availability and shelf life requirements of raw materials and supplies;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capacity limitations and scheduling availability in contracted facilities;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that affect facilities and possibly limit production.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example, we have a limited amount of FG-3019 in storage and there are long lead times required to manufacture and scale-up the manufacture of additional supply. If we are unable to manufacture sufficient quantities of FG-3019 on a timely basis, it may limit our ability to replenish inventory or delay our development of FG-3019 in some or all indications. Any delay or interruption in the supply of our product candidates or products could have a material adverse effect on our business and operations.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“Business—Roxadustat For the Treatment of Anemia in Chronic Kidney Disease—Limitations of the Current Standard of Care for Anemia in CKD” in our Annual Report on Form 10-K for the year ended December 31, 2014.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are currently conducting Phase 2 clinical trials for FG-3019 and we may need to conduct additional Phase 2 clinical trials before initiating our Phase 3 clinical trials for FG-3019. We have initiated Phase 3 clinical trials of roxadustat, and if our Phase 2 clinical trials are successful for FG-3019, we intend to conduct Phase 3 clinical trials for FG-3019.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169"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14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roxadustat is approved and launched commercially, competing drugs are expected to include ESAs such as EPOGEN</w:t>
      </w:r>
      <w:r>
        <w:rPr>
          <w:rFonts w:ascii="Arial" w:cs="Arial" w:eastAsia="Arial" w:hAnsi="Arial"/>
          <w:sz w:val="13"/>
          <w:szCs w:val="13"/>
          <w:color w:val="auto"/>
        </w:rPr>
        <w:t>®</w:t>
      </w:r>
      <w:r>
        <w:rPr>
          <w:rFonts w:ascii="Arial" w:cs="Arial" w:eastAsia="Arial" w:hAnsi="Arial"/>
          <w:sz w:val="16"/>
          <w:szCs w:val="16"/>
          <w:color w:val="auto"/>
        </w:rPr>
        <w:t xml:space="preserve"> and Aranesp</w:t>
      </w:r>
      <w:r>
        <w:rPr>
          <w:rFonts w:ascii="Arial" w:cs="Arial" w:eastAsia="Arial" w:hAnsi="Arial"/>
          <w:sz w:val="13"/>
          <w:szCs w:val="13"/>
          <w:color w:val="auto"/>
        </w:rPr>
        <w:t>®</w:t>
      </w:r>
      <w:r>
        <w:rPr>
          <w:rFonts w:ascii="Arial" w:cs="Arial" w:eastAsia="Arial" w:hAnsi="Arial"/>
          <w:sz w:val="16"/>
          <w:szCs w:val="16"/>
          <w:color w:val="auto"/>
        </w:rPr>
        <w:t>, commercialized by Amgen Inc., Procrit</w:t>
      </w:r>
      <w:r>
        <w:rPr>
          <w:rFonts w:ascii="Arial" w:cs="Arial" w:eastAsia="Arial" w:hAnsi="Arial"/>
          <w:sz w:val="13"/>
          <w:szCs w:val="13"/>
          <w:color w:val="auto"/>
        </w:rPr>
        <w:t>®</w:t>
      </w:r>
      <w:r>
        <w:rPr>
          <w:rFonts w:ascii="Arial" w:cs="Arial" w:eastAsia="Arial" w:hAnsi="Arial"/>
          <w:sz w:val="16"/>
          <w:szCs w:val="16"/>
          <w:color w:val="auto"/>
        </w:rPr>
        <w:t xml:space="preserve"> and Eprex</w:t>
      </w:r>
      <w:r>
        <w:rPr>
          <w:rFonts w:ascii="Arial" w:cs="Arial" w:eastAsia="Arial" w:hAnsi="Arial"/>
          <w:sz w:val="13"/>
          <w:szCs w:val="13"/>
          <w:color w:val="auto"/>
        </w:rPr>
        <w:t>®</w:t>
      </w:r>
      <w:r>
        <w:rPr>
          <w:rFonts w:ascii="Arial" w:cs="Arial" w:eastAsia="Arial" w:hAnsi="Arial"/>
          <w:sz w:val="16"/>
          <w:szCs w:val="16"/>
          <w:color w:val="auto"/>
        </w:rPr>
        <w:t>, commercialized by Johnson &amp; Johnson Inc., and Mircera</w:t>
      </w:r>
      <w:r>
        <w:rPr>
          <w:rFonts w:ascii="Arial" w:cs="Arial" w:eastAsia="Arial" w:hAnsi="Arial"/>
          <w:sz w:val="13"/>
          <w:szCs w:val="13"/>
          <w:color w:val="auto"/>
        </w:rPr>
        <w:t>®</w:t>
      </w:r>
      <w:r>
        <w:rPr>
          <w:rFonts w:ascii="Arial" w:cs="Arial" w:eastAsia="Arial" w:hAnsi="Arial"/>
          <w:sz w:val="16"/>
          <w:szCs w:val="16"/>
          <w:color w:val="auto"/>
        </w:rPr>
        <w:t>, commercialized by Hoffmann-La Roche (“Roche”) outside of the United States, and by Galenica, a Roche licensee in the United States and Puerto Rico. ESAs have been used in the treatment of anemia in CKD for over 20 years, serving a significant majority of dialysis-dependent CKD (“DD-CKD”) patients on Medicare. It may be difficult to encourage treatment providers and patients to switch from products with which they have become familiar to roxadustat. In addition, the introduction of safer or more effective complement therapies to ESAs, such as safer iron supplementation therapies, may enhance the competitiveness of ESA therapy.</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For example, there are several other HIF product candidates in various stages of active development for anemia indications that may be in competition with roxadustat for patient recruitment and enrollment for clinical trials and may be in direct competition with roxadustat if and when it is approved and launched commercially. These candidates are being developed by such companies as Akebia Pharmaceuticals, Inc. (“Akebia”), Bayer Corporation, GlaxoSmithKline plc and Japan Tobacco Inc.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introduction of biosimilar ESAs into the market in the United States may occur by the time roxadustat enters the market and may increase the competition for roxadustat and alter the competitive and pricing landscape. A biosimilar product is a follow-on version of an existing, branded biologic product. Under current laws, an application for a biosimilar product should not be approved by the FDA until 12 years after the existing, patent-protected product was approved under a Biologics License Application (“BLA”). The patents for the existing, branded product must expire in a given market before biosimilars may enter that market with limited or no risk of being sued for patent infringement. The patents for epoetin alfa, a version of EPOGEN, expired in 2004 in the European Union, and the final material patents in the United States expired in May 2015 in the United States. Several biosimilar versions of currently marketed ESAs are available for sale in the EU, China and other territories. In the United States, a few ESA biosimilars are currently under development or regulatory review, including Hospira’s Retacrit™, an EPOGEN and Procrit biosimilar which has been marketed in Europe, and for which Hospira’s BLA was filed with the FDA in February 2015.</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Furthermore, in the case of roxadustat, many of our existing and potential competitors have distribution relationships with leading dialysis providers and customers as well as brand recognition and reimbursement. Two of the largest operators of dialysis clinics in the United States, DaVita Healthcare Partners Inc. (“DaVita”) and Fresenius SE &amp; Co. KGaA (“Fresenius”) represent more than 60% of the dialysis market in the United States and have entered into long-term sales agreements with Amgen that began in January 2012, which in the case of Fresenius, includes an exclusive relationship. Fresenius also entered into an agreement with Galenica regarding supply of Mircera for use in Fresenius dialysis centers. As a result, successful penetration of this market would require AstraZeneca to reach a significant agreement with Fresenius or DaVita, the two largest dialysis clinics in the United States, on favorable terms and on a timely basis.</w:t>
      </w:r>
    </w:p>
    <w:p>
      <w:pPr>
        <w:spacing w:after="0" w:line="18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If FG-3019 is approved and launched commercially to treat IPF, competing drugs are expected to include Roche’s pirfenidone, which is approved for marketing in Europe, Canada, Japan and the United States, and Boehringer Ingelheim’s nintedanib which has been approved in the United States and EU. Nintedanib is also in development for non-small cell lung cancer and ovarian cancer. Other potential competitive product candidates in various stages of Phase 2 development for IPF include Gilead Sciences, Inc.’s simtuzumab, Bristol-Myers Squibb’s BMS-986020, and Biogen Idec’s STX-100.</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FG-3019 is approved and launched commercially to treat pancreatic cancer, we expect it to be used in combination instead of as monotherapy, and, likely competition for FG-3019 would be from other agents also seeking approval in combination with gemcitibine and nab-paclitaxel from companies such as NewLink Genetics Corporation, Merrimack Pharmaceuticals, Inc., Oncomed Pharmaceuticals, Inc, Momenta Pharmaceuticals Inc., Gilead Sciences Inc., Threshold Pharmaceuticals, Inc., and Halozyme Therapeutics, Inc. Gemcitabine and/or nab-paclitaxel are the current standard of care in the first-line treatment of metastatic pancreatic cancer. Celgene Corporation’s Abraxane</w:t>
      </w:r>
      <w:r>
        <w:rPr>
          <w:rFonts w:ascii="Arial" w:cs="Arial" w:eastAsia="Arial" w:hAnsi="Arial"/>
          <w:sz w:val="14"/>
          <w:szCs w:val="14"/>
          <w:color w:val="auto"/>
        </w:rPr>
        <w:t>®</w:t>
      </w:r>
      <w:r>
        <w:rPr>
          <w:rFonts w:ascii="Arial" w:cs="Arial" w:eastAsia="Arial" w:hAnsi="Arial"/>
          <w:sz w:val="17"/>
          <w:szCs w:val="17"/>
          <w:color w:val="auto"/>
        </w:rPr>
        <w:t xml:space="preserve"> (nab-paclitaxel) was launched in the U.S. and Europe in 2013 and 2014, and was the first drug approved in this disease in nearly a decade. Merrimack Pharmaceuticals, Inc. has completed a pivotal Phase 3 clinical trial of MM-398 for the treatment of patients with metastatic pancreatic cancer who have previously failed treatment with gemcitabine. In November 2014, Merrimack announced that it had received Fast Track designation from the FDA and intended to start the NDA submission process in December 2014 with the goal of completing the NDA submission in the first quarter, or early in the second quarter, of 2015.</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FG-3019 is approved and launched commercially to treat Duchenne muscular dystrophy (“DMD”), FG-3019 may face competition for some patients from Sarepta Therapeutics, Inc, as well as BioMarin, and PTC Therapeutics, Santhera Pharmaceuticals, Pfizer,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Summit plc and Tivorsan Pharmaceuticals. BioMarin recently completed its acquisition of Prosensa Holding, N.V. Prosensa, along with Sarepta, have entered clinical development with therapeutics based on exon-skipping technology which seeks to help patients produce functioning forms of the dystrophin protein. PTC Therapeutics’ product ataluren (Translarna</w:t>
      </w:r>
      <w:r>
        <w:rPr>
          <w:rFonts w:ascii="Arial" w:cs="Arial" w:eastAsia="Arial" w:hAnsi="Arial"/>
          <w:sz w:val="13"/>
          <w:szCs w:val="13"/>
          <w:color w:val="auto"/>
        </w:rPr>
        <w:t>TM</w:t>
      </w:r>
      <w:r>
        <w:rPr>
          <w:rFonts w:ascii="Arial" w:cs="Arial" w:eastAsia="Arial" w:hAnsi="Arial"/>
          <w:sz w:val="16"/>
          <w:szCs w:val="16"/>
          <w:color w:val="auto"/>
        </w:rPr>
        <w:t>) received conditional approval in Europe in 2014. Translarna targets a different set of DMD patients from those being targeted by Prosensa’s and Sarepta’s existing exon-skipping therapeutics (which skip exon-51); however it is also limited to a subset of patients who carry a specific mutation. Conversely, FG-3019 is intended to treat DMD patients without limitation to type of mutation. Santhera Pharmaceuticals recently reported positive Phase 3 data with its drug idebenone (Raxone</w:t>
      </w:r>
      <w:r>
        <w:rPr>
          <w:rFonts w:ascii="Arial" w:cs="Arial" w:eastAsia="Arial" w:hAnsi="Arial"/>
          <w:sz w:val="13"/>
          <w:szCs w:val="13"/>
          <w:color w:val="auto"/>
        </w:rPr>
        <w:t>®</w:t>
      </w:r>
      <w:r>
        <w:rPr>
          <w:rFonts w:ascii="Arial" w:cs="Arial" w:eastAsia="Arial" w:hAnsi="Arial"/>
          <w:sz w:val="16"/>
          <w:szCs w:val="16"/>
          <w:color w:val="auto"/>
        </w:rPr>
        <w:t>/Catena</w:t>
      </w:r>
      <w:r>
        <w:rPr>
          <w:rFonts w:ascii="Arial" w:cs="Arial" w:eastAsia="Arial" w:hAnsi="Arial"/>
          <w:sz w:val="13"/>
          <w:szCs w:val="13"/>
          <w:color w:val="auto"/>
        </w:rPr>
        <w:t>®</w:t>
      </w:r>
      <w:r>
        <w:rPr>
          <w:rFonts w:ascii="Arial" w:cs="Arial" w:eastAsia="Arial" w:hAnsi="Arial"/>
          <w:sz w:val="16"/>
          <w:szCs w:val="16"/>
          <w:color w:val="auto"/>
        </w:rPr>
        <w:t>) in a trial measuring changes in lung function for DMD patients. Idebenone is a synthetic short-chain benzoquinone and a cofactor for the enzyme NAD(P)H:quinone oxidoreductase (NQO1).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Summit is conducting a Phase 1b trial and Tivorsan is conducting preclinical work.</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FG-3019. In addition, any competitive products that are on the market or in development may compete with FG-3019 for patient recruitment and enrollment for clinical trials or may force us to change our clinical trial comparators, whether placebo or active, in order to compare FG-3019 against another drug, which may be the new standard of care.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Even if we obtain marketing approval for roxadustat, FG-3019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87" w:lineRule="exact"/>
        <w:rPr>
          <w:sz w:val="20"/>
          <w:szCs w:val="20"/>
          <w:color w:val="auto"/>
        </w:rPr>
      </w:pPr>
    </w:p>
    <w:p>
      <w:pPr>
        <w:ind w:left="900" w:right="2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example, in the case of roxadustat, two of the largest operators of dialysis clinics in the United States, DaVita and Fresenius, represent more than 60% of the dialysis market in the United States and have entered into long-term sales agreements with Amgen that began in January 2012, which in the case of Fresenius, includes an exclusive relationship.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countries outside of the United States, price controls may limit the price at which products such as roxadustat, if approved, are sold. For example, reference pricing is used by various European Union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18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23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GCP requirements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CROs and other third parties do not successfully carry out their duties under their agreements with us, if the quality or accuracy of the data they obtain is be compromised due to their failure to adhere to trial protocols or to regulatory requirements, or if they otherwise fail to comply with regulations and trial protocols or meet expected standards or deadlines, the trials of our product candidates may not meet regulatory requirements. If trials do not meet regulatory requirements or if these third parties need to be replaced, the development of our product candidates may be delayed, suspended or terminated, or the results may not be acceptable. If any of these events occur, we may not be able to obtain regulatory approval of our product candidates on a timely basis, at a reasonable cost, or at all.</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77" w:lineRule="exact"/>
        <w:rPr>
          <w:sz w:val="20"/>
          <w:szCs w:val="20"/>
          <w:color w:val="auto"/>
        </w:rPr>
      </w:pPr>
    </w:p>
    <w:p>
      <w:pPr>
        <w:ind w:left="900" w:right="4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of our third party manufacturers may terminate their engagement with us at any time and we have not yet entered into any commercial supply agreements for the manufacture of active pharmaceutical ingredients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6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On March 4, 2015, Patheon, a business unit of DPx Holdings B.V. announced that it had entered into a definitive agreement to acquire IRIX within sixty days of the announcement.</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active pharmaceutical ingredient (“API”), and drug product to meet our and our collaboration partners’ needs for roxadustat to date, the lead time and regulatory approvals required to source from and into countries outside of the United States increase the risk of delay and potential shortages of supply.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and which have been, are or could be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United States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United States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26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FG-3019.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FG-3019.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or the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While we believe the ‘823 patent will be upheld in its entirety, the ultimate outcome of the opposition remains uncertain, and ultimate resolution of the proceeding may take a number of years and result in substantial costs to us.</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4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9" w:lineRule="exact"/>
        <w:rPr>
          <w:sz w:val="20"/>
          <w:szCs w:val="20"/>
          <w:color w:val="auto"/>
        </w:rPr>
      </w:pPr>
    </w:p>
    <w:p>
      <w:pPr>
        <w:ind w:left="900" w:right="1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42"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75" w:lineRule="exact"/>
        <w:rPr>
          <w:rFonts w:ascii="Arial" w:cs="Arial" w:eastAsia="Arial" w:hAnsi="Arial"/>
          <w:sz w:val="18"/>
          <w:szCs w:val="18"/>
          <w:color w:val="auto"/>
        </w:rPr>
      </w:pPr>
    </w:p>
    <w:p>
      <w:pPr>
        <w:ind w:left="900" w:right="340" w:hanging="446"/>
        <w:spacing w:after="0" w:line="31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Counterfeit products, including counterfeit pharmaceutical products, are a significant problem, particularly in China. Counterfeit pharmaceuticals are products sold under the same or very similar brand names and/or having a similar appearance to genuine products,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but which are sold without proper licenses or approvals.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under our brand name result in adverse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FG-3019,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United States include:</w:t>
      </w:r>
    </w:p>
    <w:p>
      <w:pPr>
        <w:spacing w:after="0" w:line="52" w:lineRule="exact"/>
        <w:rPr>
          <w:sz w:val="20"/>
          <w:szCs w:val="20"/>
          <w:color w:val="auto"/>
        </w:rPr>
      </w:pPr>
    </w:p>
    <w:p>
      <w:pPr>
        <w:ind w:left="900" w:right="4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86" w:lineRule="exact"/>
        <w:rPr>
          <w:rFonts w:ascii="Arial" w:cs="Arial" w:eastAsia="Arial" w:hAnsi="Arial"/>
          <w:sz w:val="18"/>
          <w:szCs w:val="18"/>
          <w:color w:val="auto"/>
        </w:rPr>
      </w:pPr>
    </w:p>
    <w:p>
      <w:pPr>
        <w:jc w:val="both"/>
        <w:ind w:left="900" w:right="42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86"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1" w:lineRule="exact"/>
        <w:rPr>
          <w:rFonts w:ascii="Arial" w:cs="Arial" w:eastAsia="Arial" w:hAnsi="Arial"/>
          <w:sz w:val="17"/>
          <w:szCs w:val="17"/>
          <w:color w:val="auto"/>
        </w:rPr>
      </w:pPr>
    </w:p>
    <w:p>
      <w:pPr>
        <w:ind w:left="900" w:right="52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(“HITECH”), and its implementing regulations, which imposes certain requirements relating to the privacy, security, and transmission of individually identifiable health information;</w:t>
      </w:r>
    </w:p>
    <w:p>
      <w:pPr>
        <w:spacing w:after="0" w:line="51" w:lineRule="exact"/>
        <w:rPr>
          <w:rFonts w:ascii="Arial" w:cs="Arial" w:eastAsia="Arial" w:hAnsi="Arial"/>
          <w:sz w:val="17"/>
          <w:szCs w:val="17"/>
          <w:color w:val="auto"/>
        </w:rPr>
      </w:pPr>
    </w:p>
    <w:p>
      <w:pPr>
        <w:ind w:left="900" w:right="4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(collectively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3" w:lineRule="exact"/>
        <w:rPr>
          <w:rFonts w:ascii="Arial" w:cs="Arial" w:eastAsia="Arial" w:hAnsi="Arial"/>
          <w:sz w:val="18"/>
          <w:szCs w:val="18"/>
          <w:color w:val="auto"/>
        </w:rPr>
      </w:pPr>
    </w:p>
    <w:p>
      <w:pPr>
        <w:ind w:left="900" w:right="140" w:hanging="446"/>
        <w:spacing w:after="0" w:line="29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6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impact of recent United States healthcare reform and other changes in the healthcare industry and in healthcare spending is currently unknown, and may adversely affect our business model.*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United States, the Medicare Prescription Drug, Improvement, and Modernization Act of 2003 (the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9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conduct, or contract others to conduct, animal testing in the future, which could harm our research and development activities.</w:t>
      </w:r>
    </w:p>
    <w:p>
      <w:pPr>
        <w:spacing w:after="0" w:line="26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3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(“Code of Business Conduct and Ethics”),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United States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United States, in particular in China, and a number of risks associated with international operations could materially and adversely affect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risks related with our international operations, many of which may be beyond our control. These risks include:</w:t>
      </w:r>
    </w:p>
    <w:p>
      <w:pPr>
        <w:spacing w:after="0" w:line="14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United States and foreign drug import and export rules;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“Business—Government Regulation—Regulation in China” in our Annual Report on Form 10-K for the year ended December 31, 2014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Patients’ use of traditional Chinese medicine in violation of study protocols in our China studies may lead the CFDA and regulators in other jurisdictions in which we are seeking approval to suspend our studies, reject our study data and withhold approval for roxadustat.</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China Food and Drug Administration (“CFDA”) and regulators in other jurisdictions in which we are seeking approval to, among other things, suspend our studies, reject our study data and withhold approval for roxadustat.</w:t>
      </w:r>
    </w:p>
    <w:p>
      <w:pPr>
        <w:spacing w:after="0" w:line="1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are building our own manufacturing facility in China to produce roxadustat and clinical trial material for our corneal implant program. As an organization, we have limited experience in the construction or operation of a manufacturing plant, and, accordingly we cannot assure you we will be able to meet regulatory requirements to operate our plant and to sell our products.*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2014, we received a Pharmaceutical Production Permit for our facility in China in which we intend to manufacture roxadustat. The Pharmaceutical Production Permit allowed us to produce the NDA registration campaign of roxadustat according to 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United States or Europe is largely unprecedented and could be subject to significant risk, delay and expense.*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Chinese subsidiary, FibroGen (China) Medical Technology Development Co., Ltd. (“FibroGen Beijing”), plans to seek approval for roxadustat in China as a Domestic Class 1.1 Drug which we believe, if approved, would be the first CFDA approval of a first in class drug candidate while Phase 3 trials are ongoing in the United States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data currently required for approval, the regulatory authorities may later determine that changes are required in the drug approval process, that additional or different clinical data must be generated, any of which could significantly delay approval of roxadustat or any of our other product candidates, and materially and adversely affect our plans and operations in China. For example, the recent backlog of CFDA review of clinical trial applications has delayed the start of our Phase 3 clinical trials in China and potentially could delay market approval of roxadustat in China. It is also possible that other unforeseen delays in the China regulatory process could have a material adverse effect on our development and commercialization of roxadustat in China.</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Even if roxadustat is approved in China, it will face intense competition in the market for treatments of anemia in CKD. Roxadustat would compete with ESAs, which are offered by established multinational pharmaceutical companies such as Kyowa Hakko Kirin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“Business—Government Regulation—Regulation in China” in our Annual Report on Form 10-K for the year ended December 31, 2014. We believe that the inclusion of a drug in the Medical Insurance Catalogs can substantially improve the sales of a drug. The Ministry of Labor and Social Security in China (the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18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plan to seek approval for FG-5200 as a medical device, with respect to which we have no development and manufacturing experience. Even if FG-5200 can be manufactured successfully and achieve regulatory approval, we may not achieve commercial success.</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plan to seek regulatory approval for FG-5200 as a medical device, with which we have no development and manufacturing experience. There can be no assurance that we will achieve medical device designation or receive approval for FG-5200. In addition, we have not yet used the material planned for our clinical trials of FG-5200 in any previous clinical trials and because we have not yet received a license to manufacture FG-5200 in our China manufacturing facility or at scale,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structure.</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variable interest entity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under increasing scrutiny from accounting firms and the Securities and Exchange Commission (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conduct all of our business in China through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2015, approximately $4.0 million of our cash and cash equivalents is held in China.</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tax regulations of the United States and other jurisdictions in which we operate are extremely complex and subject to change. New laws, new interpretations of existing laws, or limitations on our ability to structure our operations and intercompany transactions may lead to inefficient tax treatment of our revenue, profits, royalties and distributions, if any are achieved. For example, under the Internal Revenue Code, certain types of income derived by our foreign subsidiaries that are controlled foreign corporations could give rise to a current inclusion of income to FibroGen, Inc., for U.S. tax purposes.</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r>
        <w:rPr>
          <w:rFonts w:ascii="Arial" w:cs="Arial" w:eastAsia="Arial" w:hAnsi="Arial"/>
          <w:sz w:val="18"/>
          <w:szCs w:val="18"/>
          <w:i w:val="1"/>
          <w:iCs w:val="1"/>
          <w:color w:val="auto"/>
        </w:rPr>
        <w:t>.</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current Administration has proposed, and Congress has introduced, legislation to reform the U.S. taxation of international business activities, including, but not limited to, limiting the ability of taxpayers to claim and utilize foreign tax credits, limiting the check-the-box regime, revising the rules applicable to transfers of intangible property, and deferring certain tax deductions until non-U.S. earnings are repatriated to the United States. The current Administration has made public statements indicating that it has made the issue a priority, and key members of the U.S. Congress have conducted hearings and proposed legislation. Accordingly, depending on the final form of legislation enacted, if any, the consequences of changes to the U.S. taxation of international business activities may be significant for our China business and other offshore activities. If any of these proposals are enacted into legislation, they could have material adverse consequences on our effective tax rate, the amount of tax we pay, our financial position and results of operations.</w:t>
      </w:r>
    </w:p>
    <w:p>
      <w:pPr>
        <w:spacing w:after="0" w:line="167"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implemented a corporate structure taking into consideration our international operations and potentially applicable tax impact on our worldwide operations, and any changes in applicable tax laws and regulations may negatively impact our financial condition and operating results.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developed our corporate structure to be closely aligned with the international nature of our business. There can be no assurance that the applicable tax laws and regulations will continue in effect or that the taxing authorities in any or all of the applicable jurisdictions will not challenge one or more aspects or characterizations of our corporate structure and the treatment of transactions or agreements within our corporate structure, or determine that the manner in which we operate our business is not consistent with our corporate structure. Any unfavorable changes in laws and regulations or positions by tax authorities could harm our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seek to protect the products and technology that we consider important to our business by filing patent applications in China and other countries, relying on trade secrets or pharmaceutical regulatory protection or employing a combination of these methods. We currently have 3 granted patents and 15 pending patent applications relating to roxadustat in China. Refer to “Business—Intellectual Property” in our Annual Report on Form 10-K for the year ended December 31, 2014. However,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United States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23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(“DOJ”). The SEC is involved with enforcement of the books and records provisions of the FCPA.</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United States and China.</w:t>
      </w:r>
    </w:p>
    <w:p>
      <w:pPr>
        <w:spacing w:after="0" w:line="18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26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are subject to various Chinese labor laws, such as the Labor Contract Law, which, among others, limits the circumstances under which we may terminate labor contracts or hire contingent workers, and requires severance pay upon the termination of an employment contract. In addition, companies operating in China are generally required to contribute to labor union funds,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17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8"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FG-3019;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of other United States publicly traded companies with significant operations in China;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July 31, 2015, our executive officers, directors and principal stockholders, together with their respective affiliates, owned approximately 24.2% of our common stock, including shares subject to outstanding options that are exercisable within 60 days after such date and shares issuable upon settlement of restricted stock units that will vest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as defined in the Jumpstart Our Business Startups Act of 2012, and we cannot be certain if the reduced disclosure requirements applicable to emerging growth companies will make our common stock less attractive to investors. We will lose our status as an “emerging growth company” at the end of 2015.*</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for so long as we continue to be an emerging growth company, we may take advantage of exemptions from various reporting requirements that are applicable to other public companies that are not emerging growth companies. Specifically, the JOBS Act:</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eliminates the requirement to comply with the auditor attestation requirements in the assessment of our internal control over financial reporting;</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disclosure obligations regarding executive compensation;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exempts us from the requirements of holding a non-binding stockholder advisory vote on executive compensation and stockholder approval of any golden parachute payments not previously approved.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Based on the market value of our common stock held by non-affiliates as of June 30, 2015, we will cease to be an “emerging growth company” at the end of our 2015 fiscal year. We cannot predict if investors will find our common stock less attractive given that we have chosen to rely on the exemptions available to “emerging growth companies,” and may continue to do so until we cease to be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“emerging growth company” at the end of 2015, or through a permitted transition period thereafter with regard to certain disclosures. If any investors find our common stock less attractive as a result, there may be a less active market for our common stock and our stock price may be more volatile.</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However, we chose to “opt out” of such extended transition period, and as a result, we will comply with new or revised accounting standards on the relevant dates that adoption of such standards is required for non-emerging growth companies. Our decision to opt out of the extended transition period for complying with new or revised accounting standards is irrevocable.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We will be required to comply with certain of these rules, including the requirement of an annual management report on the effectiveness of our internal control over financial reporting, commencing with our annual report on Form 10-K for the fiscal year ending December 31, 2015. This assessment will need to include the disclosure of any material weaknesses in our internal control over financial reporting identified by our management or our independent registered public accounting firm. In addition, we will be required to have our independent registered public accounting firm attest to the effectiveness of our internal control over financial reporting beginning with our first annual report on Form 10-K following the date on which we are no longer an emerging growth company.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8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8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9" w:lineRule="exact"/>
        <w:rPr>
          <w:sz w:val="20"/>
          <w:szCs w:val="20"/>
          <w:color w:val="auto"/>
        </w:rPr>
      </w:pPr>
    </w:p>
    <w:p>
      <w:pPr>
        <w:ind w:left="900" w:right="2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United States federal and state taxable income. As described above under “—Risks Related to our Financial Position and History of Operating Losses,” we have incurred significant net losses since our inception and anticipate that we will continue to incur significant losses for the foreseeable future; thus, we do not know whether or when we will generate the United States federal or state taxable income necessary to utilize our NOLs or credits. A full valuation allowance has been provided for the entire amount of our NOLs and credits.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multinational corporation, we are subject to income taxes in the United States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United States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for Public Offering of Common Stock</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13, 2014, our Registration Statement on Form S-1, as amended (Reg. Nos. 333-199069 and 333-200189 was declared effective by the SEC for our initial public offering (“IPO”) of common stock, pursuant to which we sold an aggregate of 9,315,000 shares of our common stock at a public offering price of $18.00 per share. AstraZeneca, one of our collaboration partners, agreed to purchase from us, concurrently with the closing of our IPO, in a private placement 1,111,111 shares of our common stock with an aggregate purchase price of $20.0 million at a price per share equal to the IPO price. Net proceeds from our IPO and concurrent private placement were $171.8 million, after deducting underwriting discounts of $11.7 million and offering expenses of $4.1 million.</w:t>
      </w:r>
    </w:p>
    <w:p>
      <w:pPr>
        <w:spacing w:after="0" w:line="19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June 30, 2015, the net proceeds are held in our investment accounts. There has been no material change in the planned use of proceeds from our IPO as described in our final prospectus filed with the SEC pursuant to Rule 424(b) under the Securities Act on November 14, 2014.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on the accompanying Exhibit Index are filed or incorporated by reference (as stated therein) as part of this Quarterly Report on From 10-Q.</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Dated: August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Dated: August 13, 2015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FibroGen, Inc.</w:t>
      </w:r>
    </w:p>
    <w:p>
      <w:pPr>
        <w:spacing w:after="0" w:line="22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14605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B. Neff</w:t>
      </w:r>
    </w:p>
    <w:p>
      <w:pPr>
        <w:spacing w:after="0" w:line="9"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14605</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 Cotroneo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Vice President, Finance and Chief Financial Officer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80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3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7420" w:type="dxa"/>
            <w:vAlign w:val="bottom"/>
            <w:gridSpan w:val="3"/>
          </w:tcPr>
          <w:p>
            <w:pPr>
              <w:ind w:left="328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Amended and Restated Certificate of Incorporation of FibroGen,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FibroGen,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1"/>
              </w:rPr>
              <w:t>Investor Rights Agreement by and among FibroGen, Inc. and certain of its stockholders, dated as</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of December 1995.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1"/>
              </w:rPr>
              <w:t>Investor Rights Agreement by and among FibroGen, Inc. and certain of its stockholders, dated as</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of February 20, 1998.</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1"/>
              </w:rPr>
              <w:t>Investor Rights Agreement by and among FibroGen, Inc. and certain of its warrant holders, dated</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as of June 3, 1999.</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1"/>
              </w:rPr>
              <w:t>Investor Rights Agreement by and among FibroGen, Inc. and certain of its warrant holders, dated</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as of February 8, 2000.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89"/>
              </w:rPr>
              <w:t>Warrant to Purchase 67,200 Shares of Common Stock issued to Lease Management Services, Inc.,</w:t>
            </w:r>
          </w:p>
        </w:tc>
      </w:tr>
      <w:tr>
        <w:trPr>
          <w:trHeight w:val="216"/>
        </w:trPr>
        <w:tc>
          <w:tcPr>
            <w:tcW w:w="5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2"/>
              </w:rPr>
              <w:t>dated as of June 6, 1995; as amended by Amendment to Warrant to Purchase 67,200 Shares of</w:t>
            </w:r>
          </w:p>
        </w:tc>
      </w:tr>
      <w:tr>
        <w:trPr>
          <w:trHeight w:val="216"/>
        </w:trPr>
        <w:tc>
          <w:tcPr>
            <w:tcW w:w="5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2"/>
              </w:rPr>
              <w:t>Common Stock by and between FibroGen, Inc. and Phoenixcor, Inc. (as successor in interest to</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Lease Management Services, Inc.), dated as of June 5, 2001.</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89"/>
              </w:rPr>
              <w:t>Warrant to Purchase 43,140 Shares of Common Stock issued to Lease Management Services, Inc.,</w:t>
            </w:r>
          </w:p>
        </w:tc>
      </w:tr>
      <w:tr>
        <w:trPr>
          <w:trHeight w:val="216"/>
        </w:trPr>
        <w:tc>
          <w:tcPr>
            <w:tcW w:w="5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88"/>
              </w:rPr>
              <w:t>dated as of December 11, 1997; as amended by Amendment to Warrant to Purchase 43,140 Shares</w:t>
            </w:r>
          </w:p>
        </w:tc>
      </w:tr>
      <w:tr>
        <w:trPr>
          <w:trHeight w:val="216"/>
        </w:trPr>
        <w:tc>
          <w:tcPr>
            <w:tcW w:w="5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4"/>
              </w:rPr>
              <w:t>of Common Stock by and between FibroGen, Inc. and General Electric Capital Corporation (as</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7"/>
              </w:rPr>
              <w:t>successor in interest to Lease Management Services, Inc.), dated as of December 9, 2003.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8"/>
              </w:rPr>
              <w:t>Warrant to Purchase 4,000 Shares of Common Stock issued to Laurence S. Shushan and</w:t>
            </w:r>
          </w:p>
        </w:tc>
      </w:tr>
      <w:tr>
        <w:trPr>
          <w:trHeight w:val="216"/>
        </w:trPr>
        <w:tc>
          <w:tcPr>
            <w:tcW w:w="5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89"/>
              </w:rPr>
              <w:t>Magdalena Shushan, Trustees of The Laurence and Magdalena Shushan Family Trust, dated as of</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June 3, 1999.</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0"/>
              </w:rPr>
              <w:t>Warrant to Purchase 180,000 Shares of Common Stock issued to Slough Estates USA, Inc., dated</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as of June 3, 1999.</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89"/>
              </w:rPr>
              <w:t>Warrant to Purchase 11,076 Shares of Common Stock issued to Bristow Investments, L.P, dated as</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of February 8, 2000.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8"/>
              </w:rPr>
              <w:t>Warrant to Purchase 2,769 Shares of Common Stock issued to Laurence S. Shushan and</w:t>
            </w:r>
          </w:p>
        </w:tc>
      </w:tr>
      <w:tr>
        <w:trPr>
          <w:trHeight w:val="216"/>
        </w:trPr>
        <w:tc>
          <w:tcPr>
            <w:tcW w:w="5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89"/>
              </w:rPr>
              <w:t>Magdalena Shushan, Trustees of The Laurence and Magdalena Shushan Family Trust, dated as of</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February 8, 2000.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0"/>
              </w:rPr>
              <w:t>Warrant to Purchase 124,605 Shares of Common Stock issued to Slough Estates USA, Inc., dated</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as of February 8, 2000.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1"/>
              </w:rPr>
              <w:t>Shareholders’ Agreement by and among FibroGen China Anemia Holdings, Ltd. and certain of its</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shareholders, dated as of July 11,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8"/>
              </w:rPr>
              <w:t>Share Purchase Agreement by and among FibroGen China Anemia Holdings, Ltd. and the</w:t>
            </w:r>
          </w:p>
        </w:tc>
      </w:tr>
      <w:tr>
        <w:trPr>
          <w:trHeight w:val="230"/>
        </w:trPr>
        <w:tc>
          <w:tcPr>
            <w:tcW w:w="5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purchasers party thereto, dated as of July 11, 2012.</w:t>
            </w:r>
          </w:p>
        </w:tc>
      </w:tr>
      <w:tr>
        <w:trPr>
          <w:trHeight w:val="365"/>
        </w:trPr>
        <w:tc>
          <w:tcPr>
            <w:tcW w:w="520" w:type="dxa"/>
            <w:vAlign w:val="bottom"/>
          </w:tcPr>
          <w:p>
            <w:pPr>
              <w:spacing w:after="0"/>
              <w:rPr>
                <w:sz w:val="24"/>
                <w:szCs w:val="24"/>
                <w:color w:val="auto"/>
              </w:rPr>
            </w:pPr>
          </w:p>
        </w:tc>
        <w:tc>
          <w:tcPr>
            <w:tcW w:w="7420" w:type="dxa"/>
            <w:vAlign w:val="bottom"/>
            <w:gridSpan w:val="3"/>
          </w:tcPr>
          <w:p>
            <w:pPr>
              <w:ind w:left="5100"/>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SEC File</w:t>
            </w: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r>
      <w:tr>
        <w:trPr>
          <w:trHeight w:val="185"/>
        </w:trPr>
        <w:tc>
          <w:tcPr>
            <w:tcW w:w="4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26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w:t>
            </w:r>
          </w:p>
        </w:tc>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6"/>
                <w:szCs w:val="16"/>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Filing Date</w:t>
            </w:r>
          </w:p>
        </w:tc>
      </w:tr>
      <w:tr>
        <w:trPr>
          <w:trHeight w:val="20"/>
        </w:trPr>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001-36740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11/21/2014</w:t>
            </w:r>
          </w:p>
        </w:tc>
      </w:tr>
      <w:tr>
        <w:trPr>
          <w:trHeight w:val="324"/>
        </w:trPr>
        <w:tc>
          <w:tcPr>
            <w:tcW w:w="5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S-1/A</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10/23/2014</w:t>
            </w:r>
          </w:p>
        </w:tc>
      </w:tr>
      <w:tr>
        <w:trPr>
          <w:trHeight w:val="324"/>
        </w:trPr>
        <w:tc>
          <w:tcPr>
            <w:tcW w:w="40" w:type="dxa"/>
            <w:vAlign w:val="bottom"/>
          </w:tcPr>
          <w:p>
            <w:pPr>
              <w:spacing w:after="0"/>
              <w:rPr>
                <w:sz w:val="24"/>
                <w:szCs w:val="2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001-36740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11/21/2014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972"/>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972"/>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756"/>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756"/>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4.14</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r>
        <w:trPr>
          <w:trHeight w:val="540"/>
        </w:trPr>
        <w:tc>
          <w:tcPr>
            <w:tcW w:w="4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333-199069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104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10/01/2014</w:t>
            </w:r>
          </w:p>
        </w:tc>
      </w:tr>
    </w:tbl>
    <w:p>
      <w:pPr>
        <w:sectPr>
          <w:pgSz w:w="11900" w:h="16838" w:orient="portrait"/>
          <w:cols w:equalWidth="0" w:num="2">
            <w:col w:w="7940" w:space="240"/>
            <w:col w:w="324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85"/>
        </w:trPr>
        <w:tc>
          <w:tcPr>
            <w:tcW w:w="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7180" w:type="dxa"/>
            <w:vAlign w:val="bottom"/>
            <w:gridSpan w:val="3"/>
          </w:tcPr>
          <w:p>
            <w:pPr>
              <w:ind w:left="304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77"/>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0"/>
              </w:rPr>
              <w:t>Common Stock Purchase Agreement by and between FibroGen, Inc. and AstraZeneca AB, dated</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as of October 20, 2014.</w:t>
            </w: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as required by Rule 13a-14(a) or Rule 15d-14(a).</w:t>
            </w: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as required by Rule 13a-14(a) or Rule 15d-14(a).</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Principal Executive Officer and Principal Financial Officer, as required by Rule</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6"/>
              </w:rPr>
              <w:t>13a-14(b) or Rule 15d-14(b) and Section 1350 of Chapter 63 of Title 18 of the United States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Code (18 U.S.C. §1350)(1).</w:t>
            </w:r>
          </w:p>
        </w:tc>
      </w:tr>
      <w:tr>
        <w:trPr>
          <w:trHeight w:val="310"/>
        </w:trPr>
        <w:tc>
          <w:tcPr>
            <w:tcW w:w="520" w:type="dxa"/>
            <w:vAlign w:val="bottom"/>
            <w:gridSpan w:val="2"/>
          </w:tcPr>
          <w:p>
            <w:pPr>
              <w:jc w:val="right"/>
              <w:ind w:right="88"/>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6"/>
              </w:rPr>
              <w:t>Financial statements from the quarterly report on Form 10-Q of the Company for the quarter</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0"/>
              </w:rPr>
              <w:t>ended June 30, 2015, formatted in XBRL: (i) the Condensed Consolidated Balance Sheets, (ii) the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89"/>
              </w:rPr>
              <w:t>Condensed Consolidated Statements of Operations (iii) the Condensed Consolidated Statement of</w:t>
            </w:r>
          </w:p>
        </w:tc>
      </w:tr>
    </w:tbl>
    <w:p>
      <w:pPr>
        <w:ind w:left="760" w:right="360"/>
        <w:spacing w:after="0" w:line="261" w:lineRule="auto"/>
        <w:rPr>
          <w:sz w:val="20"/>
          <w:szCs w:val="20"/>
          <w:color w:val="auto"/>
        </w:rPr>
      </w:pPr>
      <w:r>
        <w:rPr>
          <w:rFonts w:ascii="Arial" w:cs="Arial" w:eastAsia="Arial" w:hAnsi="Arial"/>
          <w:sz w:val="18"/>
          <w:szCs w:val="18"/>
          <w:color w:val="auto"/>
        </w:rPr>
        <w:t>Comprehensive Loss, (iv) the Condensed Consolidated Statements of Cash Flows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2152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SEC File</w:t>
      </w:r>
    </w:p>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91"/>
              </w:rPr>
              <w:t>Form</w:t>
            </w:r>
          </w:p>
        </w:tc>
        <w:tc>
          <w:tcPr>
            <w:tcW w:w="4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Filing Date</w:t>
            </w:r>
          </w:p>
        </w:tc>
      </w:tr>
      <w:tr>
        <w:trPr>
          <w:trHeight w:val="20"/>
        </w:trPr>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1820" w:type="dxa"/>
            <w:vAlign w:val="bottom"/>
            <w:gridSpan w:val="5"/>
          </w:tcPr>
          <w:p>
            <w:pPr>
              <w:spacing w:after="0"/>
              <w:rPr>
                <w:sz w:val="20"/>
                <w:szCs w:val="20"/>
                <w:color w:val="auto"/>
              </w:rPr>
            </w:pPr>
            <w:r>
              <w:rPr>
                <w:rFonts w:ascii="Arial" w:cs="Arial" w:eastAsia="Arial" w:hAnsi="Arial"/>
                <w:sz w:val="18"/>
                <w:szCs w:val="18"/>
                <w:color w:val="auto"/>
              </w:rPr>
              <w:t>S-1/A   333-199069</w:t>
            </w:r>
          </w:p>
        </w:tc>
        <w:tc>
          <w:tcPr>
            <w:tcW w:w="460" w:type="dxa"/>
            <w:vAlign w:val="bottom"/>
          </w:tcPr>
          <w:p>
            <w:pPr>
              <w:ind w:left="60"/>
              <w:spacing w:after="0"/>
              <w:rPr>
                <w:sz w:val="20"/>
                <w:szCs w:val="20"/>
                <w:color w:val="auto"/>
              </w:rPr>
            </w:pPr>
            <w:r>
              <w:rPr>
                <w:rFonts w:ascii="Arial" w:cs="Arial" w:eastAsia="Arial" w:hAnsi="Arial"/>
                <w:sz w:val="18"/>
                <w:szCs w:val="18"/>
                <w:color w:val="auto"/>
              </w:rPr>
              <w:t>4.17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10/24/2014</w:t>
            </w:r>
          </w:p>
        </w:tc>
      </w:tr>
      <w:tr>
        <w:trPr>
          <w:trHeight w:val="324"/>
        </w:trPr>
        <w:tc>
          <w:tcPr>
            <w:tcW w:w="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756"/>
        </w:trPr>
        <w:tc>
          <w:tcPr>
            <w:tcW w:w="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tabs>
          <w:tab w:leader="none" w:pos="960" w:val="left"/>
          <w:tab w:leader="none" w:pos="1880" w:val="left"/>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7820" w:space="220"/>
            <w:col w:w="3360"/>
          </w:cols>
          <w:pgMar w:left="240" w:top="459"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500" w:firstLine="464"/>
        <w:spacing w:after="0" w:line="264" w:lineRule="auto"/>
        <w:tabs>
          <w:tab w:leader="none" w:pos="7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464"/>
        <w:spacing w:after="0" w:line="264" w:lineRule="auto"/>
        <w:tabs>
          <w:tab w:leader="none" w:pos="7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464"/>
        <w:spacing w:after="0" w:line="277" w:lineRule="auto"/>
        <w:tabs>
          <w:tab w:leader="none" w:pos="7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13, 2015</w:t>
      </w:r>
      <w:r>
        <w:rPr>
          <w:sz w:val="20"/>
          <w:szCs w:val="20"/>
          <w:color w:val="auto"/>
        </w:rPr>
        <w:tab/>
      </w:r>
      <w:r>
        <w:rPr>
          <w:rFonts w:ascii="Arial" w:cs="Arial" w:eastAsia="Arial" w:hAnsi="Arial"/>
          <w:sz w:val="16"/>
          <w:szCs w:val="16"/>
          <w:color w:val="auto"/>
        </w:rPr>
        <w:t>/s/ 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B. Neff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500" w:firstLine="464"/>
        <w:spacing w:after="0" w:line="264" w:lineRule="auto"/>
        <w:tabs>
          <w:tab w:leader="none" w:pos="7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464"/>
        <w:spacing w:after="0" w:line="264" w:lineRule="auto"/>
        <w:tabs>
          <w:tab w:leader="none" w:pos="7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464"/>
        <w:spacing w:after="0" w:line="277" w:lineRule="auto"/>
        <w:tabs>
          <w:tab w:leader="none" w:pos="7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13, 2015</w:t>
      </w:r>
      <w:r>
        <w:rPr>
          <w:sz w:val="20"/>
          <w:szCs w:val="20"/>
          <w:color w:val="auto"/>
        </w:rPr>
        <w:tab/>
      </w:r>
      <w:r>
        <w:rPr>
          <w:rFonts w:ascii="Arial" w:cs="Arial" w:eastAsia="Arial" w:hAnsi="Arial"/>
          <w:sz w:val="16"/>
          <w:szCs w:val="16"/>
          <w:color w:val="auto"/>
        </w:rPr>
        <w:t>/s/ 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 Cotroneo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87" w:lineRule="exact"/>
        <w:rPr>
          <w:sz w:val="20"/>
          <w:szCs w:val="20"/>
          <w:color w:val="auto"/>
        </w:rPr>
      </w:pPr>
    </w:p>
    <w:p>
      <w:pPr>
        <w:ind w:left="460" w:right="68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2015, to which this Certification is attached as Exhibit 32.1 (the “Quarterly Report”) fully complies with the requirements of Section 13(a) or Section 15(d) of the Exchange Act,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 WITNESS WHEREOF</w:t>
      </w:r>
      <w:r>
        <w:rPr>
          <w:rFonts w:ascii="Arial" w:cs="Arial" w:eastAsia="Arial" w:hAnsi="Arial"/>
          <w:sz w:val="18"/>
          <w:szCs w:val="18"/>
          <w:color w:val="auto"/>
        </w:rPr>
        <w:t>, the undersigned have set their hands hereto as of the 13</w:t>
      </w:r>
      <w:r>
        <w:rPr>
          <w:rFonts w:ascii="Arial" w:cs="Arial" w:eastAsia="Arial" w:hAnsi="Arial"/>
          <w:sz w:val="15"/>
          <w:szCs w:val="15"/>
          <w:color w:val="auto"/>
        </w:rPr>
        <w:t>th</w:t>
      </w:r>
      <w:r>
        <w:rPr>
          <w:rFonts w:ascii="Arial" w:cs="Arial" w:eastAsia="Arial" w:hAnsi="Arial"/>
          <w:sz w:val="18"/>
          <w:szCs w:val="18"/>
          <w:color w:val="auto"/>
        </w:rPr>
        <w:t xml:space="preserve"> day of August,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Thomas B. Neff</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Roman"/>
      <w:start w:val="2"/>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3"/>
    </w:lvl>
  </w:abstractNum>
  <w:abstractNum w:abstractNumId="14">
    <w:nsid w:val="6CEAF087"/>
    <w:multiLevelType w:val="hybridMultilevel"/>
    <w:lvl w:ilvl="0">
      <w:lvlJc w:val="left"/>
      <w:lvlText w:val="%1."/>
      <w:numFmt w:val="decimal"/>
      <w:start w:val="4"/>
    </w:lvl>
  </w:abstractNum>
  <w:abstractNum w:abstractNumId="15">
    <w:nsid w:val="22221A70"/>
    <w:multiLevelType w:val="hybridMultilevel"/>
    <w:lvl w:ilvl="0">
      <w:lvlJc w:val="left"/>
      <w:lvlText w:val="%1."/>
      <w:numFmt w:val="decimal"/>
      <w:start w:val="5"/>
    </w:lvl>
  </w:abstractNum>
  <w:abstractNum w:abstractNumId="16">
    <w:nsid w:val="4516DDE9"/>
    <w:multiLevelType w:val="hybridMultilevel"/>
    <w:lvl w:ilvl="0">
      <w:lvlJc w:val="left"/>
      <w:lvlText w:val="%1."/>
      <w:numFmt w:val="decimal"/>
      <w:start w:val="6"/>
    </w:lvl>
  </w:abstractNum>
  <w:abstractNum w:abstractNumId="17">
    <w:nsid w:val="3006C83E"/>
    <w:multiLevelType w:val="hybridMultilevel"/>
    <w:lvl w:ilvl="0">
      <w:lvlJc w:val="left"/>
      <w:lvlText w:val="%1."/>
      <w:numFmt w:val="decimal"/>
      <w:start w:val="7"/>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2019-12-29T15:10:39Z</dcterms:created>
  <dcterms:modified xsi:type="dcterms:W3CDTF">2019-12-29T15:10:39Z</dcterms:modified>
</cp:coreProperties>
</file>